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000000" w:themeColor="text1"/>
          <w:sz w:val="36"/>
          <w:szCs w:val="36"/>
          <w:highlight w:val="none"/>
          <w14:textFill>
            <w14:solidFill>
              <w14:schemeClr w14:val="tx1"/>
            </w14:solidFill>
          </w14:textFill>
        </w:rPr>
      </w:pPr>
    </w:p>
    <w:p>
      <w:pPr>
        <w:rPr>
          <w:rFonts w:ascii="仿宋_GB2312" w:hAnsi="仿宋_GB2312" w:eastAsia="仿宋_GB2312" w:cs="仿宋_GB2312"/>
          <w:color w:val="000000" w:themeColor="text1"/>
          <w:sz w:val="36"/>
          <w:szCs w:val="36"/>
          <w:highlight w:val="none"/>
          <w14:textFill>
            <w14:solidFill>
              <w14:schemeClr w14:val="tx1"/>
            </w14:solidFill>
          </w14:textFill>
        </w:rPr>
      </w:pPr>
    </w:p>
    <w:p>
      <w:pPr>
        <w:rPr>
          <w:rFonts w:ascii="仿宋_GB2312" w:hAnsi="仿宋_GB2312" w:eastAsia="仿宋_GB2312" w:cs="仿宋_GB2312"/>
          <w:color w:val="000000" w:themeColor="text1"/>
          <w:sz w:val="36"/>
          <w:szCs w:val="36"/>
          <w:highlight w:val="none"/>
          <w14:textFill>
            <w14:solidFill>
              <w14:schemeClr w14:val="tx1"/>
            </w14:solidFill>
          </w14:textFill>
        </w:rPr>
      </w:pPr>
    </w:p>
    <w:p>
      <w:pPr>
        <w:rPr>
          <w:rFonts w:hint="eastAsia" w:ascii="仿宋_GB2312" w:hAnsi="仿宋_GB2312" w:eastAsia="仿宋_GB2312" w:cs="仿宋_GB2312"/>
          <w:color w:val="000000" w:themeColor="text1"/>
          <w:sz w:val="36"/>
          <w:szCs w:val="36"/>
          <w:highlight w:val="none"/>
          <w14:textFill>
            <w14:solidFill>
              <w14:schemeClr w14:val="tx1"/>
            </w14:solidFill>
          </w14:textFill>
        </w:rPr>
      </w:pPr>
    </w:p>
    <w:p>
      <w:pPr>
        <w:adjustRightInd w:val="0"/>
        <w:snapToGrid w:val="0"/>
        <w:jc w:val="center"/>
        <w:outlineLvl w:val="0"/>
        <w:rPr>
          <w:rFonts w:hint="eastAsia" w:ascii="方正小标宋_GBK" w:eastAsia="方正小标宋_GBK"/>
          <w:bCs/>
          <w:color w:val="000000" w:themeColor="text1"/>
          <w:sz w:val="72"/>
          <w:szCs w:val="72"/>
          <w:highlight w:val="none"/>
          <w14:textFill>
            <w14:solidFill>
              <w14:schemeClr w14:val="tx1"/>
            </w14:solidFill>
          </w14:textFill>
        </w:rPr>
      </w:pPr>
      <w:r>
        <w:rPr>
          <w:rFonts w:hint="eastAsia" w:ascii="方正小标宋_GBK" w:eastAsia="方正小标宋_GBK"/>
          <w:bCs/>
          <w:color w:val="000000" w:themeColor="text1"/>
          <w:sz w:val="72"/>
          <w:szCs w:val="72"/>
          <w:highlight w:val="none"/>
          <w14:textFill>
            <w14:solidFill>
              <w14:schemeClr w14:val="tx1"/>
            </w14:solidFill>
          </w14:textFill>
        </w:rPr>
        <w:t>建设项目环境影响报告表</w:t>
      </w:r>
    </w:p>
    <w:p>
      <w:pPr>
        <w:adjustRightInd w:val="0"/>
        <w:snapToGrid w:val="0"/>
        <w:spacing w:before="192" w:beforeLines="80"/>
        <w:jc w:val="center"/>
        <w:rPr>
          <w:rFonts w:hint="eastAsia" w:ascii="楷体_GB2312" w:eastAsia="楷体_GB2312"/>
          <w:bCs/>
          <w:color w:val="000000" w:themeColor="text1"/>
          <w:sz w:val="48"/>
          <w:szCs w:val="48"/>
          <w:highlight w:val="none"/>
          <w14:textFill>
            <w14:solidFill>
              <w14:schemeClr w14:val="tx1"/>
            </w14:solidFill>
          </w14:textFill>
        </w:rPr>
      </w:pPr>
      <w:r>
        <w:rPr>
          <w:rFonts w:hint="eastAsia" w:ascii="楷体_GB2312" w:eastAsia="楷体_GB2312"/>
          <w:bCs/>
          <w:color w:val="000000" w:themeColor="text1"/>
          <w:sz w:val="48"/>
          <w:szCs w:val="48"/>
          <w:highlight w:val="none"/>
          <w14:textFill>
            <w14:solidFill>
              <w14:schemeClr w14:val="tx1"/>
            </w14:solidFill>
          </w14:textFill>
        </w:rPr>
        <w:t>（污染影响类）</w:t>
      </w:r>
    </w:p>
    <w:p>
      <w:pPr>
        <w:adjustRightInd w:val="0"/>
        <w:snapToGrid w:val="0"/>
        <w:spacing w:line="288" w:lineRule="auto"/>
        <w:jc w:val="center"/>
        <w:outlineLvl w:val="9"/>
        <w:rPr>
          <w:rFonts w:ascii="华文仿宋" w:hAnsi="华文仿宋" w:eastAsia="华文仿宋" w:cs="华文仿宋"/>
          <w:color w:val="000000" w:themeColor="text1"/>
          <w:kern w:val="44"/>
          <w:sz w:val="44"/>
          <w:szCs w:val="44"/>
          <w:highlight w:val="none"/>
          <w14:textFill>
            <w14:solidFill>
              <w14:schemeClr w14:val="tx1"/>
            </w14:solidFill>
          </w14:textFill>
        </w:rPr>
      </w:pPr>
    </w:p>
    <w:p>
      <w:pPr>
        <w:jc w:val="center"/>
        <w:rPr>
          <w:rFonts w:eastAsia="仿宋"/>
          <w:color w:val="000000" w:themeColor="text1"/>
          <w:sz w:val="52"/>
          <w:szCs w:val="52"/>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adjustRightInd w:val="0"/>
        <w:snapToGrid w:val="0"/>
        <w:spacing w:line="360" w:lineRule="auto"/>
        <w:ind w:left="2997" w:leftChars="513" w:hanging="1920" w:hangingChars="600"/>
        <w:rPr>
          <w:rFonts w:hint="eastAsia" w:ascii="仿宋_GB2312" w:eastAsia="仿宋_GB2312"/>
          <w:color w:val="000000" w:themeColor="text1"/>
          <w:sz w:val="32"/>
          <w:szCs w:val="32"/>
          <w:highlight w:val="none"/>
          <w:u w:val="single"/>
          <w14:textFill>
            <w14:solidFill>
              <w14:schemeClr w14:val="tx1"/>
            </w14:solidFill>
          </w14:textFill>
        </w:rPr>
      </w:pPr>
      <w:r>
        <w:rPr>
          <w:rFonts w:hint="eastAsia" w:ascii="仿宋_GB2312" w:eastAsia="仿宋_GB2312"/>
          <w:color w:val="000000" w:themeColor="text1"/>
          <w:sz w:val="32"/>
          <w:szCs w:val="32"/>
          <w:highlight w:val="none"/>
          <w14:textFill>
            <w14:solidFill>
              <w14:schemeClr w14:val="tx1"/>
            </w14:solidFill>
          </w14:textFill>
        </w:rPr>
        <w:t>项目名称：</w:t>
      </w:r>
      <w:r>
        <w:rPr>
          <w:rFonts w:hint="eastAsia" w:ascii="Times New Roman" w:hAnsi="Times New Roman" w:eastAsia="仿宋_GB2312" w:cs="Times New Roman"/>
          <w:color w:val="000000" w:themeColor="text1"/>
          <w:sz w:val="32"/>
          <w:szCs w:val="32"/>
          <w:highlight w:val="none"/>
          <w:u w:val="single"/>
          <w:lang w:eastAsia="zh-CN"/>
          <w14:textFill>
            <w14:solidFill>
              <w14:schemeClr w14:val="tx1"/>
            </w14:solidFill>
          </w14:textFill>
        </w:rPr>
        <w:t>台安县九股河农业发展有限公司年产50万吨无公害颗粒饲料项目</w:t>
      </w:r>
    </w:p>
    <w:p>
      <w:pPr>
        <w:adjustRightInd w:val="0"/>
        <w:snapToGrid w:val="0"/>
        <w:spacing w:line="288" w:lineRule="auto"/>
        <w:ind w:firstLine="1040"/>
        <w:rPr>
          <w:rFonts w:ascii="仿宋_GB2312" w:eastAsia="仿宋_GB2312"/>
          <w:color w:val="000000" w:themeColor="text1"/>
          <w:sz w:val="32"/>
          <w:szCs w:val="32"/>
          <w:highlight w:val="none"/>
          <w:u w:val="single"/>
          <w14:textFill>
            <w14:solidFill>
              <w14:schemeClr w14:val="tx1"/>
            </w14:solidFill>
          </w14:textFill>
        </w:rPr>
      </w:pPr>
      <w:r>
        <w:rPr>
          <w:rFonts w:hint="eastAsia" w:ascii="仿宋_GB2312" w:eastAsia="仿宋_GB2312"/>
          <w:color w:val="000000" w:themeColor="text1"/>
          <w:sz w:val="32"/>
          <w:szCs w:val="32"/>
          <w:highlight w:val="none"/>
          <w14:textFill>
            <w14:solidFill>
              <w14:schemeClr w14:val="tx1"/>
            </w14:solidFill>
          </w14:textFill>
        </w:rPr>
        <w:t>建设单位（盖章）：</w:t>
      </w:r>
      <w:r>
        <w:rPr>
          <w:rFonts w:hint="eastAsia" w:ascii="Times New Roman" w:hAnsi="Times New Roman" w:eastAsia="仿宋_GB2312" w:cs="Times New Roman"/>
          <w:color w:val="000000" w:themeColor="text1"/>
          <w:sz w:val="32"/>
          <w:szCs w:val="32"/>
          <w:highlight w:val="none"/>
          <w:u w:val="single"/>
          <w:lang w:eastAsia="zh-CN"/>
          <w14:textFill>
            <w14:solidFill>
              <w14:schemeClr w14:val="tx1"/>
            </w14:solidFill>
          </w14:textFill>
        </w:rPr>
        <w:t>台安县九股河农业发展有限公司</w:t>
      </w:r>
    </w:p>
    <w:p>
      <w:pPr>
        <w:adjustRightInd w:val="0"/>
        <w:snapToGrid w:val="0"/>
        <w:spacing w:line="288" w:lineRule="auto"/>
        <w:ind w:firstLine="1040"/>
        <w:rPr>
          <w:rFonts w:hint="eastAsia" w:ascii="仿宋_GB2312" w:eastAsia="仿宋_GB2312"/>
          <w:color w:val="000000" w:themeColor="text1"/>
          <w:sz w:val="36"/>
          <w:szCs w:val="36"/>
          <w:highlight w:val="none"/>
          <w:u w:val="single"/>
          <w:lang w:eastAsia="zh-CN"/>
          <w14:textFill>
            <w14:solidFill>
              <w14:schemeClr w14:val="tx1"/>
            </w14:solidFill>
          </w14:textFill>
        </w:rPr>
      </w:pPr>
      <w:r>
        <w:rPr>
          <w:rFonts w:hint="eastAsia" w:ascii="仿宋_GB2312" w:eastAsia="仿宋_GB2312"/>
          <w:color w:val="000000" w:themeColor="text1"/>
          <w:sz w:val="32"/>
          <w:szCs w:val="32"/>
          <w:highlight w:val="none"/>
          <w14:textFill>
            <w14:solidFill>
              <w14:schemeClr w14:val="tx1"/>
            </w14:solidFill>
          </w14:textFill>
        </w:rPr>
        <w:t>编制日期：</w:t>
      </w:r>
      <w:r>
        <w:rPr>
          <w:rFonts w:hint="eastAsia" w:ascii="仿宋_GB2312" w:eastAsia="仿宋_GB2312"/>
          <w:color w:val="000000" w:themeColor="text1"/>
          <w:sz w:val="32"/>
          <w:szCs w:val="32"/>
          <w:highlight w:val="none"/>
          <w:u w:val="single"/>
          <w:lang w:eastAsia="zh-CN"/>
          <w14:textFill>
            <w14:solidFill>
              <w14:schemeClr w14:val="tx1"/>
            </w14:solidFill>
          </w14:textFill>
        </w:rPr>
        <w:t>二〇二四年四月</w:t>
      </w:r>
    </w:p>
    <w:p>
      <w:pPr>
        <w:adjustRightInd w:val="0"/>
        <w:snapToGrid w:val="0"/>
        <w:spacing w:line="288" w:lineRule="auto"/>
        <w:ind w:firstLine="1040"/>
        <w:rPr>
          <w:rFonts w:ascii="仿宋_GB2312" w:eastAsia="仿宋_GB2312"/>
          <w:color w:val="000000" w:themeColor="text1"/>
          <w:sz w:val="36"/>
          <w:szCs w:val="36"/>
          <w:highlight w:val="none"/>
          <w:u w:val="single"/>
          <w14:textFill>
            <w14:solidFill>
              <w14:schemeClr w14:val="tx1"/>
            </w14:solidFill>
          </w14:textFill>
        </w:rPr>
      </w:pPr>
      <w:bookmarkStart w:id="0" w:name="_Hlk57884087"/>
    </w:p>
    <w:p>
      <w:pPr>
        <w:adjustRightInd w:val="0"/>
        <w:snapToGrid w:val="0"/>
        <w:spacing w:line="288" w:lineRule="auto"/>
        <w:ind w:firstLine="1040"/>
        <w:rPr>
          <w:rFonts w:hint="eastAsia" w:ascii="仿宋_GB2312" w:eastAsia="仿宋_GB2312"/>
          <w:color w:val="000000" w:themeColor="text1"/>
          <w:sz w:val="36"/>
          <w:szCs w:val="36"/>
          <w:highlight w:val="none"/>
          <w14:textFill>
            <w14:solidFill>
              <w14:schemeClr w14:val="tx1"/>
            </w14:solidFill>
          </w14:textFill>
        </w:rPr>
      </w:pPr>
    </w:p>
    <w:p>
      <w:pPr>
        <w:adjustRightInd w:val="0"/>
        <w:snapToGrid w:val="0"/>
        <w:spacing w:line="288" w:lineRule="auto"/>
        <w:ind w:firstLine="1040"/>
        <w:rPr>
          <w:rFonts w:hint="eastAsia" w:ascii="仿宋_GB2312" w:eastAsia="仿宋_GB2312"/>
          <w:color w:val="000000" w:themeColor="text1"/>
          <w:sz w:val="36"/>
          <w:szCs w:val="36"/>
          <w:highlight w:val="none"/>
          <w14:textFill>
            <w14:solidFill>
              <w14:schemeClr w14:val="tx1"/>
            </w14:solidFill>
          </w14:textFill>
        </w:rPr>
      </w:pPr>
    </w:p>
    <w:p>
      <w:pPr>
        <w:adjustRightInd w:val="0"/>
        <w:snapToGrid w:val="0"/>
        <w:spacing w:line="288" w:lineRule="auto"/>
        <w:ind w:firstLine="1040"/>
        <w:rPr>
          <w:rFonts w:hint="eastAsia" w:ascii="仿宋_GB2312" w:eastAsia="仿宋_GB2312"/>
          <w:color w:val="000000" w:themeColor="text1"/>
          <w:sz w:val="36"/>
          <w:szCs w:val="36"/>
          <w:highlight w:val="none"/>
          <w14:textFill>
            <w14:solidFill>
              <w14:schemeClr w14:val="tx1"/>
            </w14:solidFill>
          </w14:textFill>
        </w:rPr>
      </w:pPr>
    </w:p>
    <w:bookmarkEnd w:id="0"/>
    <w:p>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pPr>
      <w:r>
        <w:rPr>
          <w:rFonts w:hint="eastAsia" w:ascii="楷体_GB2312" w:eastAsia="楷体_GB2312"/>
          <w:color w:val="000000" w:themeColor="text1"/>
          <w:sz w:val="36"/>
          <w:szCs w:val="36"/>
          <w:highlight w:val="none"/>
          <w14:textFill>
            <w14:solidFill>
              <w14:schemeClr w14:val="tx1"/>
            </w14:solidFill>
          </w14:textFill>
        </w:rPr>
        <w:t>中华人民共和国生态环境部制</w:t>
      </w:r>
    </w:p>
    <w:p>
      <w:pPr>
        <w:adjustRightInd w:val="0"/>
        <w:snapToGrid w:val="0"/>
        <w:spacing w:line="288" w:lineRule="auto"/>
        <w:ind w:firstLine="1040"/>
        <w:rPr>
          <w:rFonts w:ascii="仿宋_GB2312" w:eastAsia="仿宋_GB2312"/>
          <w:color w:val="000000" w:themeColor="text1"/>
          <w:sz w:val="36"/>
          <w:szCs w:val="36"/>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pPr>
        <w:pStyle w:val="2"/>
        <w:rPr>
          <w:color w:val="000000" w:themeColor="text1"/>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539740" cy="7314565"/>
            <wp:effectExtent l="0" t="0" r="3810" b="63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10"/>
                    <a:stretch>
                      <a:fillRect/>
                    </a:stretch>
                  </pic:blipFill>
                  <pic:spPr>
                    <a:xfrm>
                      <a:off x="0" y="0"/>
                      <a:ext cx="5539740" cy="7314565"/>
                    </a:xfrm>
                    <a:prstGeom prst="rect">
                      <a:avLst/>
                    </a:prstGeom>
                    <a:noFill/>
                    <a:ln>
                      <a:noFill/>
                    </a:ln>
                  </pic:spPr>
                </pic:pic>
              </a:graphicData>
            </a:graphic>
          </wp:inline>
        </w:drawing>
      </w:r>
      <w:r>
        <w:drawing>
          <wp:inline distT="0" distB="0" distL="114300" distR="114300">
            <wp:extent cx="5552440" cy="8035925"/>
            <wp:effectExtent l="0" t="0" r="10160" b="3175"/>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11"/>
                    <a:stretch>
                      <a:fillRect/>
                    </a:stretch>
                  </pic:blipFill>
                  <pic:spPr>
                    <a:xfrm>
                      <a:off x="0" y="0"/>
                      <a:ext cx="5552440" cy="8035925"/>
                    </a:xfrm>
                    <a:prstGeom prst="rect">
                      <a:avLst/>
                    </a:prstGeom>
                    <a:noFill/>
                    <a:ln>
                      <a:noFill/>
                    </a:ln>
                  </pic:spPr>
                </pic:pic>
              </a:graphicData>
            </a:graphic>
          </wp:inline>
        </w:drawing>
      </w:r>
    </w:p>
    <w:p>
      <w:pPr>
        <w:rPr>
          <w:color w:val="000000" w:themeColor="text1"/>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542915" cy="7556500"/>
            <wp:effectExtent l="0" t="0" r="635" b="635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12"/>
                    <a:stretch>
                      <a:fillRect/>
                    </a:stretch>
                  </pic:blipFill>
                  <pic:spPr>
                    <a:xfrm>
                      <a:off x="0" y="0"/>
                      <a:ext cx="5542915" cy="7556500"/>
                    </a:xfrm>
                    <a:prstGeom prst="rect">
                      <a:avLst/>
                    </a:prstGeom>
                    <a:noFill/>
                    <a:ln>
                      <a:noFill/>
                    </a:ln>
                  </pic:spPr>
                </pic:pic>
              </a:graphicData>
            </a:graphic>
          </wp:inline>
        </w:drawing>
      </w:r>
    </w:p>
    <w:p>
      <w:pPr>
        <w:pStyle w:val="2"/>
        <w:rPr>
          <w:color w:val="000000" w:themeColor="text1"/>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554980" cy="6829425"/>
            <wp:effectExtent l="0" t="0" r="7620" b="9525"/>
            <wp:docPr id="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7"/>
                    <pic:cNvPicPr>
                      <a:picLocks noChangeAspect="1"/>
                    </pic:cNvPicPr>
                  </pic:nvPicPr>
                  <pic:blipFill>
                    <a:blip r:embed="rId13"/>
                    <a:stretch>
                      <a:fillRect/>
                    </a:stretch>
                  </pic:blipFill>
                  <pic:spPr>
                    <a:xfrm>
                      <a:off x="0" y="0"/>
                      <a:ext cx="5554980" cy="6829425"/>
                    </a:xfrm>
                    <a:prstGeom prst="rect">
                      <a:avLst/>
                    </a:prstGeom>
                    <a:noFill/>
                    <a:ln>
                      <a:noFill/>
                    </a:ln>
                  </pic:spPr>
                </pic:pic>
              </a:graphicData>
            </a:graphic>
          </wp:inline>
        </w:drawing>
      </w:r>
    </w:p>
    <w:p>
      <w:pPr>
        <w:pStyle w:val="17"/>
        <w:jc w:val="center"/>
        <w:outlineLvl w:val="0"/>
        <w:rPr>
          <w:rFonts w:hint="eastAsia"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一、建设项目基本情况</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90"/>
        <w:gridCol w:w="1905"/>
        <w:gridCol w:w="2355"/>
        <w:gridCol w:w="32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建设项目名称</w:t>
            </w:r>
          </w:p>
        </w:tc>
        <w:tc>
          <w:tcPr>
            <w:tcW w:w="7480" w:type="dxa"/>
            <w:gridSpan w:val="3"/>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台安县九股河农业发展有限公司年产50万吨无公害颗粒饲料项目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项目代码</w:t>
            </w:r>
          </w:p>
        </w:tc>
        <w:tc>
          <w:tcPr>
            <w:tcW w:w="7480" w:type="dxa"/>
            <w:gridSpan w:val="3"/>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2103-210321-04-01-710185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建设单位联系人</w:t>
            </w:r>
          </w:p>
        </w:tc>
        <w:tc>
          <w:tcPr>
            <w:tcW w:w="190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阚红洋</w:t>
            </w:r>
          </w:p>
        </w:tc>
        <w:tc>
          <w:tcPr>
            <w:tcW w:w="235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联系方式</w:t>
            </w:r>
          </w:p>
        </w:tc>
        <w:tc>
          <w:tcPr>
            <w:tcW w:w="3220"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130</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1787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建设地点</w:t>
            </w:r>
          </w:p>
        </w:tc>
        <w:tc>
          <w:tcPr>
            <w:tcW w:w="7480" w:type="dxa"/>
            <w:gridSpan w:val="3"/>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辽宁</w:t>
            </w:r>
            <w:r>
              <w:rPr>
                <w:rFonts w:hint="eastAsia" w:ascii="宋体" w:hAnsi="宋体" w:cs="宋体"/>
                <w:color w:val="000000" w:themeColor="text1"/>
                <w:szCs w:val="21"/>
                <w:highlight w:val="none"/>
                <w:u w:val="none"/>
                <w14:textFill>
                  <w14:solidFill>
                    <w14:schemeClr w14:val="tx1"/>
                  </w14:solidFill>
                </w14:textFill>
              </w:rPr>
              <w:t>省</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鞍山</w:t>
            </w:r>
            <w:r>
              <w:rPr>
                <w:rFonts w:hint="eastAsia" w:ascii="宋体" w:hAnsi="宋体" w:cs="宋体"/>
                <w:color w:val="000000" w:themeColor="text1"/>
                <w:szCs w:val="21"/>
                <w:highlight w:val="none"/>
                <w:u w:val="none"/>
                <w14:textFill>
                  <w14:solidFill>
                    <w14:schemeClr w14:val="tx1"/>
                  </w14:solidFill>
                </w14:textFill>
              </w:rPr>
              <w:t>市</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台安</w:t>
            </w:r>
            <w:r>
              <w:rPr>
                <w:rFonts w:hint="eastAsia" w:ascii="宋体" w:hAnsi="宋体" w:cs="宋体"/>
                <w:color w:val="000000" w:themeColor="text1"/>
                <w:szCs w:val="21"/>
                <w:highlight w:val="none"/>
                <w:u w:val="none"/>
                <w14:textFill>
                  <w14:solidFill>
                    <w14:schemeClr w14:val="tx1"/>
                  </w14:solidFill>
                </w14:textFill>
              </w:rPr>
              <w:t>县</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工业园区工业一路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地理坐标</w:t>
            </w:r>
          </w:p>
        </w:tc>
        <w:tc>
          <w:tcPr>
            <w:tcW w:w="7480" w:type="dxa"/>
            <w:gridSpan w:val="3"/>
            <w:noWrap w:val="0"/>
            <w:vAlign w:val="center"/>
          </w:tcPr>
          <w:p>
            <w:pPr>
              <w:jc w:val="center"/>
              <w:rPr>
                <w:rFonts w:hint="eastAsia" w:ascii="宋体" w:hAnsi="宋体" w:cs="宋体"/>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经度：</w:t>
            </w:r>
            <w:r>
              <w:rPr>
                <w:rFonts w:hint="default" w:ascii="Times New Roman" w:hAnsi="Times New Roman" w:eastAsia="宋体" w:cs="Times New Roman"/>
                <w:color w:val="000000" w:themeColor="text1"/>
                <w:sz w:val="21"/>
                <w:szCs w:val="21"/>
                <w:highlight w:val="none"/>
                <w:u w:val="single"/>
                <w14:textFill>
                  <w14:solidFill>
                    <w14:schemeClr w14:val="tx1"/>
                  </w14:solidFill>
                </w14:textFill>
              </w:rPr>
              <w:t>12</w:t>
            </w:r>
            <w:r>
              <w:rPr>
                <w:rFonts w:hint="default"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度</w:t>
            </w:r>
            <w:r>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22</w:t>
            </w:r>
            <w:r>
              <w:rPr>
                <w:rFonts w:hint="default" w:ascii="Times New Roman" w:hAnsi="Times New Roman" w:eastAsia="宋体" w:cs="Times New Roman"/>
                <w:color w:val="000000" w:themeColor="text1"/>
                <w:sz w:val="21"/>
                <w:szCs w:val="21"/>
                <w:highlight w:val="none"/>
                <w14:textFill>
                  <w14:solidFill>
                    <w14:schemeClr w14:val="tx1"/>
                  </w14:solidFill>
                </w14:textFill>
              </w:rPr>
              <w:t>分</w:t>
            </w:r>
            <w:r>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59.224</w:t>
            </w:r>
            <w:r>
              <w:rPr>
                <w:rFonts w:hint="default" w:ascii="Times New Roman" w:hAnsi="Times New Roman" w:eastAsia="宋体" w:cs="Times New Roman"/>
                <w:color w:val="000000" w:themeColor="text1"/>
                <w:sz w:val="21"/>
                <w:szCs w:val="21"/>
                <w:highlight w:val="none"/>
                <w14:textFill>
                  <w14:solidFill>
                    <w14:schemeClr w14:val="tx1"/>
                  </w14:solidFill>
                </w14:textFill>
              </w:rPr>
              <w:t>秒，</w:t>
            </w:r>
            <w:r>
              <w:rPr>
                <w:rFonts w:hint="eastAsia" w:cs="Times New Roman"/>
                <w:color w:val="000000" w:themeColor="text1"/>
                <w:sz w:val="21"/>
                <w:szCs w:val="21"/>
                <w:highlight w:val="none"/>
                <w:lang w:eastAsia="zh-CN"/>
                <w14:textFill>
                  <w14:solidFill>
                    <w14:schemeClr w14:val="tx1"/>
                  </w14:solidFill>
                </w14:textFill>
              </w:rPr>
              <w:t>纬度：</w:t>
            </w:r>
            <w:r>
              <w:rPr>
                <w:rFonts w:hint="default" w:ascii="Times New Roman" w:hAnsi="Times New Roman" w:eastAsia="宋体" w:cs="Times New Roman"/>
                <w:color w:val="000000" w:themeColor="text1"/>
                <w:sz w:val="21"/>
                <w:szCs w:val="21"/>
                <w:highlight w:val="none"/>
                <w:u w:val="single"/>
                <w14:textFill>
                  <w14:solidFill>
                    <w14:schemeClr w14:val="tx1"/>
                  </w14:solidFill>
                </w14:textFill>
              </w:rPr>
              <w:t>4</w:t>
            </w:r>
            <w:r>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14:textFill>
                  <w14:solidFill>
                    <w14:schemeClr w14:val="tx1"/>
                  </w14:solidFill>
                </w14:textFill>
              </w:rPr>
              <w:t>度</w:t>
            </w:r>
            <w:r>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highlight w:val="none"/>
                <w14:textFill>
                  <w14:solidFill>
                    <w14:schemeClr w14:val="tx1"/>
                  </w14:solidFill>
                </w14:textFill>
              </w:rPr>
              <w:t>分</w:t>
            </w:r>
            <w:r>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26.096</w:t>
            </w:r>
            <w:r>
              <w:rPr>
                <w:rFonts w:hint="default" w:ascii="Times New Roman" w:hAnsi="Times New Roman" w:eastAsia="宋体" w:cs="Times New Roman"/>
                <w:color w:val="000000" w:themeColor="text1"/>
                <w:sz w:val="21"/>
                <w:szCs w:val="21"/>
                <w:highlight w:val="none"/>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390" w:type="dxa"/>
            <w:noWrap w:val="0"/>
            <w:tcMar>
              <w:top w:w="16" w:type="dxa"/>
              <w:left w:w="16" w:type="dxa"/>
              <w:right w:w="16" w:type="dxa"/>
            </w:tcMar>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国民经济</w:t>
            </w:r>
          </w:p>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行业类别</w:t>
            </w:r>
          </w:p>
        </w:tc>
        <w:tc>
          <w:tcPr>
            <w:tcW w:w="190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1329</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其他饲料加工</w:t>
            </w:r>
          </w:p>
        </w:tc>
        <w:tc>
          <w:tcPr>
            <w:tcW w:w="235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bookmarkStart w:id="1" w:name="_Hlk49843745"/>
            <w:r>
              <w:rPr>
                <w:rFonts w:hint="eastAsia" w:ascii="宋体" w:hAnsi="宋体" w:cs="宋体"/>
                <w:color w:val="000000" w:themeColor="text1"/>
                <w:szCs w:val="21"/>
                <w:highlight w:val="none"/>
                <w14:textFill>
                  <w14:solidFill>
                    <w14:schemeClr w14:val="tx1"/>
                  </w14:solidFill>
                </w14:textFill>
              </w:rPr>
              <w:t>建设项目</w:t>
            </w:r>
          </w:p>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行业类别</w:t>
            </w:r>
            <w:bookmarkEnd w:id="1"/>
          </w:p>
        </w:tc>
        <w:tc>
          <w:tcPr>
            <w:tcW w:w="3220" w:type="dxa"/>
            <w:noWrap w:val="0"/>
            <w:vAlign w:val="center"/>
          </w:tcPr>
          <w:p>
            <w:pPr>
              <w:adjustRightInd w:val="0"/>
              <w:snapToGrid w:val="0"/>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饲料加工132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建设性质</w:t>
            </w:r>
          </w:p>
        </w:tc>
        <w:tc>
          <w:tcPr>
            <w:tcW w:w="1905" w:type="dxa"/>
            <w:noWrap w:val="0"/>
            <w:vAlign w:val="center"/>
          </w:tcPr>
          <w:p>
            <w:pPr>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w:t>
            </w:r>
            <w:r>
              <w:rPr>
                <w:rFonts w:hint="eastAsia" w:ascii="宋体" w:hAnsi="宋体" w:cs="宋体"/>
                <w:color w:val="000000" w:themeColor="text1"/>
                <w:szCs w:val="21"/>
                <w:highlight w:val="none"/>
                <w14:textFill>
                  <w14:solidFill>
                    <w14:schemeClr w14:val="tx1"/>
                  </w14:solidFill>
                </w14:textFill>
              </w:rPr>
              <w:t>新建（迁建）</w:t>
            </w:r>
          </w:p>
          <w:p>
            <w:pPr>
              <w:jc w:val="left"/>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□改建</w:t>
            </w:r>
          </w:p>
          <w:p>
            <w:pPr>
              <w:jc w:val="left"/>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□扩建</w:t>
            </w:r>
          </w:p>
          <w:p>
            <w:pPr>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□技术改造</w:t>
            </w:r>
          </w:p>
        </w:tc>
        <w:tc>
          <w:tcPr>
            <w:tcW w:w="23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建设项目</w:t>
            </w:r>
          </w:p>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申报情形</w:t>
            </w:r>
          </w:p>
        </w:tc>
        <w:tc>
          <w:tcPr>
            <w:tcW w:w="3220" w:type="dxa"/>
            <w:noWrap w:val="0"/>
            <w:vAlign w:val="center"/>
          </w:tcPr>
          <w:p>
            <w:pPr>
              <w:jc w:val="left"/>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首次申报项目</w:t>
            </w:r>
          </w:p>
          <w:p>
            <w:pPr>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□不予批准后再次申报项目</w:t>
            </w:r>
          </w:p>
          <w:p>
            <w:pPr>
              <w:jc w:val="left"/>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A3"/>
            </w:r>
            <w:r>
              <w:rPr>
                <w:rFonts w:hint="eastAsia" w:ascii="宋体" w:hAnsi="宋体" w:cs="宋体"/>
                <w:color w:val="000000" w:themeColor="text1"/>
                <w:szCs w:val="21"/>
                <w:highlight w:val="none"/>
                <w14:textFill>
                  <w14:solidFill>
                    <w14:schemeClr w14:val="tx1"/>
                  </w14:solidFill>
                </w14:textFill>
              </w:rPr>
              <w:t>超五年重新审核项目</w:t>
            </w:r>
          </w:p>
          <w:p>
            <w:pPr>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90" w:type="dxa"/>
            <w:noWrap w:val="0"/>
            <w:tcMar>
              <w:top w:w="16" w:type="dxa"/>
              <w:left w:w="16" w:type="dxa"/>
              <w:right w:w="16" w:type="dxa"/>
            </w:tcMar>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项目审批（核准</w:t>
            </w:r>
            <w:r>
              <w:rPr>
                <w:rFonts w:ascii="宋体" w:hAnsi="宋体" w:cs="宋体"/>
                <w:color w:val="000000" w:themeColor="text1"/>
                <w:szCs w:val="21"/>
                <w:highlight w:val="none"/>
                <w14:textFill>
                  <w14:solidFill>
                    <w14:schemeClr w14:val="tx1"/>
                  </w14:solidFill>
                </w14:textFill>
              </w:rPr>
              <w:t>/</w:t>
            </w:r>
          </w:p>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备案）部门（选填）</w:t>
            </w:r>
          </w:p>
        </w:tc>
        <w:tc>
          <w:tcPr>
            <w:tcW w:w="190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台安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县发展改革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局</w:t>
            </w:r>
          </w:p>
        </w:tc>
        <w:tc>
          <w:tcPr>
            <w:tcW w:w="23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项目审批（核准</w:t>
            </w:r>
            <w:r>
              <w:rPr>
                <w:rFonts w:ascii="宋体" w:hAnsi="宋体" w:cs="宋体"/>
                <w:color w:val="000000" w:themeColor="text1"/>
                <w:szCs w:val="21"/>
                <w:highlight w:val="none"/>
                <w14:textFill>
                  <w14:solidFill>
                    <w14:schemeClr w14:val="tx1"/>
                  </w14:solidFill>
                </w14:textFill>
              </w:rPr>
              <w:t>/</w:t>
            </w:r>
          </w:p>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备案）文号（选填）</w:t>
            </w:r>
          </w:p>
        </w:tc>
        <w:tc>
          <w:tcPr>
            <w:tcW w:w="3220"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台发改备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总投资（万元）</w:t>
            </w:r>
          </w:p>
        </w:tc>
        <w:tc>
          <w:tcPr>
            <w:tcW w:w="1905"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12000</w:t>
            </w:r>
          </w:p>
        </w:tc>
        <w:tc>
          <w:tcPr>
            <w:tcW w:w="2355"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环保投资（万元）</w:t>
            </w:r>
          </w:p>
        </w:tc>
        <w:tc>
          <w:tcPr>
            <w:tcW w:w="3220" w:type="dxa"/>
            <w:noWrap w:val="0"/>
            <w:vAlign w:val="center"/>
          </w:tcPr>
          <w:p>
            <w:pPr>
              <w:adjustRightInd w:val="0"/>
              <w:snapToGrid w:val="0"/>
              <w:jc w:val="center"/>
              <w:rPr>
                <w:rFonts w:hint="default" w:ascii="宋体" w:hAnsi="宋体" w:eastAsia="宋体" w:cs="宋体"/>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71.5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环保投资占比（</w:t>
            </w:r>
            <w:r>
              <w:rPr>
                <w:rFonts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14:textFill>
                  <w14:solidFill>
                    <w14:schemeClr w14:val="tx1"/>
                  </w14:solidFill>
                </w14:textFill>
              </w:rPr>
              <w:t>）</w:t>
            </w:r>
          </w:p>
        </w:tc>
        <w:tc>
          <w:tcPr>
            <w:tcW w:w="1905" w:type="dxa"/>
            <w:noWrap w:val="0"/>
            <w:vAlign w:val="center"/>
          </w:tcPr>
          <w:p>
            <w:pPr>
              <w:adjustRightInd w:val="0"/>
              <w:snapToGrid w:val="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0.60</w:t>
            </w:r>
          </w:p>
        </w:tc>
        <w:tc>
          <w:tcPr>
            <w:tcW w:w="2355" w:type="dxa"/>
            <w:noWrap w:val="0"/>
            <w:tcMar>
              <w:top w:w="16" w:type="dxa"/>
              <w:left w:w="16" w:type="dxa"/>
              <w:right w:w="16" w:type="dxa"/>
            </w:tcMar>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施工工期</w:t>
            </w:r>
          </w:p>
        </w:tc>
        <w:tc>
          <w:tcPr>
            <w:tcW w:w="3220" w:type="dxa"/>
            <w:noWrap w:val="0"/>
            <w:vAlign w:val="center"/>
          </w:tcPr>
          <w:p>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14:textFill>
                  <w14:solidFill>
                    <w14:schemeClr w14:val="tx1"/>
                  </w14:solidFill>
                </w14:textFill>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90" w:type="dxa"/>
            <w:noWrap w:val="0"/>
            <w:tcMar>
              <w:top w:w="16" w:type="dxa"/>
              <w:left w:w="16" w:type="dxa"/>
              <w:right w:w="16" w:type="dxa"/>
            </w:tcMar>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是否开工建设</w:t>
            </w:r>
          </w:p>
        </w:tc>
        <w:tc>
          <w:tcPr>
            <w:tcW w:w="1905" w:type="dxa"/>
            <w:noWrap w:val="0"/>
            <w:vAlign w:val="center"/>
          </w:tcPr>
          <w:p>
            <w:pPr>
              <w:adjustRightInd w:val="0"/>
              <w:snapToGrid w:val="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否</w:t>
            </w:r>
          </w:p>
          <w:p>
            <w:pPr>
              <w:adjustRightInd w:val="0"/>
              <w:snapToGrid w:val="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A3"/>
            </w:r>
            <w:r>
              <w:rPr>
                <w:rFonts w:hint="eastAsia" w:ascii="宋体" w:hAnsi="宋体" w:cs="宋体"/>
                <w:color w:val="000000" w:themeColor="text1"/>
                <w:szCs w:val="21"/>
                <w:highlight w:val="none"/>
                <w14:textFill>
                  <w14:solidFill>
                    <w14:schemeClr w14:val="tx1"/>
                  </w14:solidFill>
                </w14:textFill>
              </w:rPr>
              <w:t>是：</w:t>
            </w:r>
          </w:p>
        </w:tc>
        <w:tc>
          <w:tcPr>
            <w:tcW w:w="2355" w:type="dxa"/>
            <w:noWrap w:val="0"/>
            <w:tcMar>
              <w:top w:w="16" w:type="dxa"/>
              <w:left w:w="16" w:type="dxa"/>
              <w:right w:w="16" w:type="dxa"/>
            </w:tcMar>
            <w:vAlign w:val="center"/>
          </w:tcPr>
          <w:p>
            <w:pPr>
              <w:adjustRightInd w:val="0"/>
              <w:snapToGrid w:val="0"/>
              <w:jc w:val="center"/>
              <w:rPr>
                <w:rFonts w:ascii="宋体" w:hAnsi="宋体" w:cs="宋体"/>
                <w:color w:val="000000" w:themeColor="text1"/>
                <w:spacing w:val="-6"/>
                <w:szCs w:val="21"/>
                <w:highlight w:val="none"/>
                <w14:textFill>
                  <w14:solidFill>
                    <w14:schemeClr w14:val="tx1"/>
                  </w14:solidFill>
                </w14:textFill>
              </w:rPr>
            </w:pPr>
            <w:r>
              <w:rPr>
                <w:rFonts w:hint="eastAsia" w:ascii="宋体" w:hAnsi="宋体" w:cs="宋体"/>
                <w:color w:val="000000" w:themeColor="text1"/>
                <w:spacing w:val="-6"/>
                <w:szCs w:val="21"/>
                <w:highlight w:val="none"/>
                <w14:textFill>
                  <w14:solidFill>
                    <w14:schemeClr w14:val="tx1"/>
                  </w14:solidFill>
                </w14:textFill>
              </w:rPr>
              <w:t>用地（用海）</w:t>
            </w:r>
          </w:p>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pacing w:val="-6"/>
                <w:szCs w:val="21"/>
                <w:highlight w:val="none"/>
                <w14:textFill>
                  <w14:solidFill>
                    <w14:schemeClr w14:val="tx1"/>
                  </w14:solidFill>
                </w14:textFill>
              </w:rPr>
              <w:t>面积（</w:t>
            </w:r>
            <w:r>
              <w:rPr>
                <w:rFonts w:ascii="宋体" w:hAnsi="宋体" w:cs="宋体"/>
                <w:color w:val="000000" w:themeColor="text1"/>
                <w:spacing w:val="-6"/>
                <w:szCs w:val="21"/>
                <w:highlight w:val="none"/>
                <w14:textFill>
                  <w14:solidFill>
                    <w14:schemeClr w14:val="tx1"/>
                  </w14:solidFill>
                </w14:textFill>
              </w:rPr>
              <w:t>m</w:t>
            </w:r>
            <w:r>
              <w:rPr>
                <w:rFonts w:ascii="宋体" w:hAnsi="宋体" w:cs="宋体"/>
                <w:color w:val="000000" w:themeColor="text1"/>
                <w:spacing w:val="-6"/>
                <w:szCs w:val="21"/>
                <w:highlight w:val="none"/>
                <w:vertAlign w:val="superscript"/>
                <w14:textFill>
                  <w14:solidFill>
                    <w14:schemeClr w14:val="tx1"/>
                  </w14:solidFill>
                </w14:textFill>
              </w:rPr>
              <w:t>2</w:t>
            </w:r>
            <w:r>
              <w:rPr>
                <w:rFonts w:hint="eastAsia" w:ascii="宋体" w:hAnsi="宋体" w:cs="宋体"/>
                <w:color w:val="000000" w:themeColor="text1"/>
                <w:spacing w:val="-6"/>
                <w:szCs w:val="21"/>
                <w:highlight w:val="none"/>
                <w14:textFill>
                  <w14:solidFill>
                    <w14:schemeClr w14:val="tx1"/>
                  </w14:solidFill>
                </w14:textFill>
              </w:rPr>
              <w:t>）</w:t>
            </w:r>
          </w:p>
        </w:tc>
        <w:tc>
          <w:tcPr>
            <w:tcW w:w="3220" w:type="dxa"/>
            <w:noWrap w:val="0"/>
            <w:vAlign w:val="center"/>
          </w:tcPr>
          <w:p>
            <w:pPr>
              <w:adjustRightInd w:val="0"/>
              <w:snapToGrid w:val="0"/>
              <w:jc w:val="center"/>
              <w:rPr>
                <w:rFonts w:hint="default" w:ascii="宋体" w:hAnsi="宋体" w:cs="宋体"/>
                <w:color w:val="000000" w:themeColor="text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58576.21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390" w:type="dxa"/>
            <w:noWrap w:val="0"/>
            <w:vAlign w:val="center"/>
          </w:tcPr>
          <w:p>
            <w:pPr>
              <w:autoSpaceDE w:val="0"/>
              <w:autoSpaceDN w:val="0"/>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专项评价设置情况</w:t>
            </w:r>
          </w:p>
        </w:tc>
        <w:tc>
          <w:tcPr>
            <w:tcW w:w="7480" w:type="dxa"/>
            <w:gridSpan w:val="3"/>
            <w:noWrap w:val="0"/>
            <w:vAlign w:val="center"/>
          </w:tcPr>
          <w:p>
            <w:pPr>
              <w:autoSpaceDE w:val="0"/>
              <w:autoSpaceDN w:val="0"/>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390" w:type="dxa"/>
            <w:noWrap w:val="0"/>
            <w:vAlign w:val="center"/>
          </w:tcPr>
          <w:p>
            <w:pPr>
              <w:autoSpaceDE w:val="0"/>
              <w:autoSpaceDN w:val="0"/>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规划情况</w:t>
            </w:r>
          </w:p>
        </w:tc>
        <w:tc>
          <w:tcPr>
            <w:tcW w:w="7480" w:type="dxa"/>
            <w:gridSpan w:val="3"/>
            <w:noWrap w:val="0"/>
            <w:vAlign w:val="center"/>
          </w:tcPr>
          <w:p>
            <w:pPr>
              <w:keepNext w:val="0"/>
              <w:keepLines w:val="0"/>
              <w:widowControl/>
              <w:suppressLineNumbers w:val="0"/>
              <w:spacing w:line="360" w:lineRule="auto"/>
              <w:jc w:val="left"/>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文件</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名称：《辽宁台安经济经济开发区总体规划（2019~2035</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年</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pPr>
              <w:keepNext w:val="0"/>
              <w:keepLines w:val="0"/>
              <w:widowControl/>
              <w:suppressLineNumbers w:val="0"/>
              <w:spacing w:line="360" w:lineRule="auto"/>
              <w:jc w:val="left"/>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审批机关：</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台安县人民政府；</w:t>
            </w:r>
          </w:p>
          <w:p>
            <w:pPr>
              <w:keepNext w:val="0"/>
              <w:keepLines w:val="0"/>
              <w:widowControl/>
              <w:suppressLineNumbers w:val="0"/>
              <w:spacing w:line="360" w:lineRule="auto"/>
              <w:jc w:val="left"/>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审查文件名称及文号：《关于对辽宁台安经济经济开发区总体规划（2019~2035年）的批复》（台政复[2020]44号）</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390" w:type="dxa"/>
            <w:noWrap w:val="0"/>
            <w:vAlign w:val="center"/>
          </w:tcPr>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规划环境影响评价情况</w:t>
            </w:r>
          </w:p>
        </w:tc>
        <w:tc>
          <w:tcPr>
            <w:tcW w:w="7480" w:type="dxa"/>
            <w:gridSpan w:val="3"/>
            <w:noWrap w:val="0"/>
            <w:vAlign w:val="center"/>
          </w:tcPr>
          <w:p>
            <w:pPr>
              <w:keepNext w:val="0"/>
              <w:keepLines w:val="0"/>
              <w:widowControl/>
              <w:suppressLineNumbers w:val="0"/>
              <w:spacing w:line="360" w:lineRule="auto"/>
              <w:jc w:val="both"/>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文件名称：《</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辽宁台安经济经济开发区总体规划（</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2019~2035</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）环境影响报告书</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p>
          <w:p>
            <w:pPr>
              <w:keepNext w:val="0"/>
              <w:keepLines w:val="0"/>
              <w:widowControl/>
              <w:suppressLineNumbers w:val="0"/>
              <w:spacing w:line="360" w:lineRule="auto"/>
              <w:jc w:val="both"/>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审批机关</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鞍山市行政审批局；</w:t>
            </w:r>
          </w:p>
          <w:p>
            <w:pPr>
              <w:keepNext w:val="0"/>
              <w:keepLines w:val="0"/>
              <w:widowControl/>
              <w:suppressLineNumbers w:val="0"/>
              <w:spacing w:line="360" w:lineRule="auto"/>
              <w:jc w:val="both"/>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审查文件名称及文号：</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《关于辽宁台安经济经济开发区总体规划（</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2019~2035</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）环境影响报告书的审查意见》（鞍行审批复环</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[2020]43</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0" w:type="dxa"/>
            <w:noWrap w:val="0"/>
            <w:vAlign w:val="center"/>
          </w:tcPr>
          <w:p>
            <w:pPr>
              <w:autoSpaceDE w:val="0"/>
              <w:autoSpaceDN w:val="0"/>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规划及规划环境影响评价符合性分析</w:t>
            </w:r>
          </w:p>
        </w:tc>
        <w:tc>
          <w:tcPr>
            <w:tcW w:w="7480"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rPr>
                <w:rFonts w:hint="default"/>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1、与规划符合性分析</w:t>
            </w:r>
          </w:p>
          <w:p>
            <w:pPr>
              <w:spacing w:line="360" w:lineRule="auto"/>
              <w:ind w:firstLine="480" w:firstLineChars="200"/>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辽宁台安经济开发区成立于2001年4月，前身为台安县工业园区</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2011年12月获得鞍山市批准，批复园区面积30.88平方公里</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2013年6月更名为台安经济开发区。</w:t>
            </w:r>
          </w:p>
          <w:p>
            <w:pPr>
              <w:spacing w:line="360" w:lineRule="auto"/>
              <w:ind w:firstLine="480" w:firstLineChars="200"/>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根据《辽宁台安经济经济开发区总体规划（</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2019~2035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年）》，本项目位于位于装备及其他产业园区，该区占地面积</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8.01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平方公里，本项目具体位置见附图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，具体符合性分析见下表1-1。</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b/>
                <w:bCs/>
                <w:color w:val="000000" w:themeColor="text1"/>
                <w:sz w:val="24"/>
                <w:szCs w:val="32"/>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表1-1与规划批复相符性分析</w:t>
            </w:r>
          </w:p>
          <w:tbl>
            <w:tblPr>
              <w:tblStyle w:val="2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090"/>
              <w:gridCol w:w="2911"/>
              <w:gridCol w:w="7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45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文件要求</w:t>
                  </w:r>
                </w:p>
              </w:tc>
              <w:tc>
                <w:tcPr>
                  <w:tcW w:w="20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本项目情况</w:t>
                  </w:r>
                </w:p>
              </w:tc>
              <w:tc>
                <w:tcPr>
                  <w:tcW w:w="5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相符</w:t>
                  </w:r>
                  <w:r>
                    <w:rPr>
                      <w:rFonts w:hint="default" w:ascii="Times New Roman" w:hAnsi="Times New Roman" w:cs="Times New Roman"/>
                      <w:b/>
                      <w:bCs/>
                      <w:color w:val="000000" w:themeColor="text1"/>
                      <w:highlight w:val="none"/>
                      <w:lang w:val="en-US" w:eastAsia="zh-CN"/>
                      <w14:textFill>
                        <w14:solidFill>
                          <w14:schemeClr w14:val="tx1"/>
                        </w14:solidFill>
                      </w14:textFill>
                    </w:rPr>
                    <w:t>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restar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规划</w:t>
                  </w:r>
                </w:p>
              </w:tc>
              <w:tc>
                <w:tcPr>
                  <w:tcW w:w="2125"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规划范围</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北至京沈高速公路，南至沈盘公路（102省道），西至新台镇西桓村八家子、示范场农田，东至台西区大黑鱼、十里村与城区接壤处，总用地面积29.88平方公里。</w:t>
                  </w:r>
                </w:p>
              </w:tc>
              <w:tc>
                <w:tcPr>
                  <w:tcW w:w="2003"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本项目位于辽宁台安经济开发区，在规划范围内。</w:t>
                  </w:r>
                </w:p>
              </w:tc>
              <w:tc>
                <w:tcPr>
                  <w:tcW w:w="545" w:type="pct"/>
                  <w:tcBorders>
                    <w:tl2br w:val="nil"/>
                    <w:tr2bl w:val="nil"/>
                  </w:tcBorders>
                  <w:noWrap w:val="0"/>
                  <w:vAlign w:val="center"/>
                </w:tcPr>
                <w:p>
                  <w:pPr>
                    <w:keepNext w:val="0"/>
                    <w:keepLines w:val="0"/>
                    <w:widowControl/>
                    <w:suppressLineNumbers w:val="0"/>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continue"/>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p>
              </w:tc>
              <w:tc>
                <w:tcPr>
                  <w:tcW w:w="2125"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发展定位</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辽宁台安经济开发区是以化工、钢铁深加工、生态造纸三大产业为主导；新能源新材料产业为潜导；综合配套服务为基础，服务全省、影响东北地区的高质量发展产业示范区。</w:t>
                  </w:r>
                </w:p>
              </w:tc>
              <w:tc>
                <w:tcPr>
                  <w:tcW w:w="2003"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本项目属于</w:t>
                  </w:r>
                  <w:r>
                    <w:rPr>
                      <w:rFonts w:hint="eastAsia"/>
                      <w:color w:val="000000" w:themeColor="text1"/>
                      <w:highlight w:val="none"/>
                      <w:lang w:eastAsia="zh-CN"/>
                      <w14:textFill>
                        <w14:solidFill>
                          <w14:schemeClr w14:val="tx1"/>
                        </w14:solidFill>
                      </w14:textFill>
                    </w:rPr>
                    <w:t>饲料加工</w:t>
                  </w:r>
                  <w:r>
                    <w:rPr>
                      <w:rFonts w:hint="default"/>
                      <w:color w:val="000000" w:themeColor="text1"/>
                      <w:highlight w:val="none"/>
                      <w14:textFill>
                        <w14:solidFill>
                          <w14:schemeClr w14:val="tx1"/>
                        </w14:solidFill>
                      </w14:textFill>
                    </w:rPr>
                    <w:t>，产品</w:t>
                  </w:r>
                  <w:r>
                    <w:rPr>
                      <w:rFonts w:hint="eastAsia"/>
                      <w:color w:val="000000" w:themeColor="text1"/>
                      <w:highlight w:val="none"/>
                      <w:lang w:val="en-US" w:eastAsia="zh-CN"/>
                      <w14:textFill>
                        <w14:solidFill>
                          <w14:schemeClr w14:val="tx1"/>
                        </w14:solidFill>
                      </w14:textFill>
                    </w:rPr>
                    <w:t>50万吨肉鸡</w:t>
                  </w:r>
                  <w:r>
                    <w:rPr>
                      <w:rFonts w:hint="eastAsia"/>
                      <w:color w:val="000000" w:themeColor="text1"/>
                      <w:highlight w:val="none"/>
                      <w:lang w:eastAsia="zh-CN"/>
                      <w14:textFill>
                        <w14:solidFill>
                          <w14:schemeClr w14:val="tx1"/>
                        </w14:solidFill>
                      </w14:textFill>
                    </w:rPr>
                    <w:t>饲料</w:t>
                  </w:r>
                  <w:r>
                    <w:rPr>
                      <w:rFonts w:hint="default"/>
                      <w:color w:val="000000" w:themeColor="text1"/>
                      <w:highlight w:val="none"/>
                      <w14:textFill>
                        <w14:solidFill>
                          <w14:schemeClr w14:val="tx1"/>
                        </w14:solidFill>
                      </w14:textFill>
                    </w:rPr>
                    <w:t>，本项目</w:t>
                  </w:r>
                  <w:r>
                    <w:rPr>
                      <w:rFonts w:hint="default"/>
                      <w:color w:val="000000" w:themeColor="text1"/>
                      <w:highlight w:val="none"/>
                      <w:lang w:val="en-US" w:eastAsia="zh-CN"/>
                      <w14:textFill>
                        <w14:solidFill>
                          <w14:schemeClr w14:val="tx1"/>
                        </w14:solidFill>
                      </w14:textFill>
                    </w:rPr>
                    <w:t>符合</w:t>
                  </w:r>
                  <w:r>
                    <w:rPr>
                      <w:rFonts w:hint="default"/>
                      <w:color w:val="000000" w:themeColor="text1"/>
                      <w:highlight w:val="none"/>
                      <w14:textFill>
                        <w14:solidFill>
                          <w14:schemeClr w14:val="tx1"/>
                        </w14:solidFill>
                      </w14:textFill>
                    </w:rPr>
                    <w:t>园区发展定位要求，不在园区禁止入园行业范围内，</w:t>
                  </w:r>
                  <w:r>
                    <w:rPr>
                      <w:rFonts w:hint="eastAsia"/>
                      <w:color w:val="000000" w:themeColor="text1"/>
                      <w:highlight w:val="none"/>
                      <w:lang w:eastAsia="zh-CN"/>
                      <w14:textFill>
                        <w14:solidFill>
                          <w14:schemeClr w14:val="tx1"/>
                        </w14:solidFill>
                      </w14:textFill>
                    </w:rPr>
                    <w:t>园区已出具选址意见说明（</w:t>
                  </w:r>
                  <w:r>
                    <w:rPr>
                      <w:rFonts w:hint="default"/>
                      <w:color w:val="000000" w:themeColor="text1"/>
                      <w:highlight w:val="none"/>
                      <w:lang w:eastAsia="zh-CN"/>
                      <w14:textFill>
                        <w14:solidFill>
                          <w14:schemeClr w14:val="tx1"/>
                        </w14:solidFill>
                      </w14:textFill>
                    </w:rPr>
                    <w:t>附件</w:t>
                  </w: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符合园区的发展定位</w:t>
                  </w:r>
                  <w:r>
                    <w:rPr>
                      <w:rFonts w:hint="default"/>
                      <w:color w:val="000000" w:themeColor="text1"/>
                      <w:highlight w:val="none"/>
                      <w:lang w:eastAsia="zh-CN"/>
                      <w14:textFill>
                        <w14:solidFill>
                          <w14:schemeClr w14:val="tx1"/>
                        </w14:solidFill>
                      </w14:textFill>
                    </w:rPr>
                    <w:t>。</w:t>
                  </w:r>
                </w:p>
              </w:tc>
              <w:tc>
                <w:tcPr>
                  <w:tcW w:w="545" w:type="pct"/>
                  <w:tcBorders>
                    <w:tl2br w:val="nil"/>
                    <w:tr2bl w:val="nil"/>
                  </w:tcBorders>
                  <w:noWrap w:val="0"/>
                  <w:vAlign w:val="center"/>
                </w:tcPr>
                <w:p>
                  <w:pPr>
                    <w:keepNext w:val="0"/>
                    <w:keepLines w:val="0"/>
                    <w:widowControl/>
                    <w:suppressLineNumbers w:val="0"/>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continue"/>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p>
              </w:tc>
              <w:tc>
                <w:tcPr>
                  <w:tcW w:w="2125"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用地布局规划</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依据辽宁台安经济开发区总体规划，用地布局主要规划有居住用地、公共管理与公共服务设施用地、商业服务业设施用地、工业用地、道路与交通设施用地、公用设施用地、绿地与广场用地等七种用地类型。</w:t>
                  </w:r>
                </w:p>
              </w:tc>
              <w:tc>
                <w:tcPr>
                  <w:tcW w:w="2003"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本项目位于辽宁台安经济开发区内，用地性质为工业用地，</w:t>
                  </w:r>
                  <w:r>
                    <w:rPr>
                      <w:rFonts w:hint="default"/>
                      <w:color w:val="000000" w:themeColor="text1"/>
                      <w:highlight w:val="none"/>
                      <w:lang w:eastAsia="zh-CN"/>
                      <w14:textFill>
                        <w14:solidFill>
                          <w14:schemeClr w14:val="tx1"/>
                        </w14:solidFill>
                      </w14:textFill>
                    </w:rPr>
                    <w:t>符合用地布局规划</w:t>
                  </w:r>
                </w:p>
              </w:tc>
              <w:tc>
                <w:tcPr>
                  <w:tcW w:w="545" w:type="pct"/>
                  <w:tcBorders>
                    <w:tl2br w:val="nil"/>
                    <w:tr2bl w:val="nil"/>
                  </w:tcBorders>
                  <w:noWrap w:val="0"/>
                  <w:vAlign w:val="center"/>
                </w:tcPr>
                <w:p>
                  <w:pPr>
                    <w:keepNext w:val="0"/>
                    <w:keepLines w:val="0"/>
                    <w:widowControl/>
                    <w:suppressLineNumbers w:val="0"/>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restar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规划批复</w:t>
                  </w:r>
                </w:p>
              </w:tc>
              <w:tc>
                <w:tcPr>
                  <w:tcW w:w="2125"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辽宁台安经济开发区要以化工、钢铁深加工、生态造纸三大产业为主导产业</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新能源新材料产业为潜导产业</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综合配套服务为基础产业，逐步建设成为服务全省、影响东北地区的高质量发展产业示范区。</w:t>
                  </w:r>
                </w:p>
              </w:tc>
              <w:tc>
                <w:tcPr>
                  <w:tcW w:w="2003" w:type="pct"/>
                  <w:vMerge w:val="restar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本项目位于</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辽宁台安经济经济开发区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装备及其他产业区，行业类别为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C</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1329</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其他饲料加工</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，产品为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肉鸡饲料</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辽宁台安经济开发区管理委员会已出具本项目符合园区定位的证明（详见附件</w:t>
                  </w:r>
                  <w:r>
                    <w:rPr>
                      <w:rFonts w:hint="eastAsia" w:cs="Times New Roman"/>
                      <w:color w:val="000000" w:themeColor="text1"/>
                      <w:kern w:val="0"/>
                      <w:sz w:val="21"/>
                      <w:szCs w:val="21"/>
                      <w:highlight w:val="none"/>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故符合</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装备及其他产业区定位要求。</w:t>
                  </w:r>
                </w:p>
              </w:tc>
              <w:tc>
                <w:tcPr>
                  <w:tcW w:w="545"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4"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125"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要科学引导开发区，形成</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一核、一轴、五区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的空间布局。在开发区北部形成集开发区管委会办公服务中心、研发中心、酒店商场、商务办公、职工餐饮娱乐于一体的综合性服务核心区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沿迎宾路形成南北纵向发展轴线，串联起开发区的各产业分区，包括化工产业区、彩涂板产业区、生态造纸产业区、新能源新材料产业区、装备及其他产业区。</w:t>
                  </w:r>
                </w:p>
              </w:tc>
              <w:tc>
                <w:tcPr>
                  <w:tcW w:w="2003"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545"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综上所述，本项目建设符合《辽宁台安经济经济开发区总体规划（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2019~2035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年）》及批复中相关要求。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rPr>
                <w:rFonts w:hint="eastAsia"/>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2、与规划环评审查意见符合性分析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b/>
                <w:bCs/>
                <w:color w:val="000000" w:themeColor="text1"/>
                <w:sz w:val="24"/>
                <w:szCs w:val="32"/>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本项目与规划环评审查意见相符性分析详见表1-2。</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b/>
                <w:bCs/>
                <w:color w:val="000000" w:themeColor="text1"/>
                <w:sz w:val="24"/>
                <w:szCs w:val="32"/>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表1-2与规划环评及审查意见相符性分析</w:t>
            </w:r>
          </w:p>
          <w:tbl>
            <w:tblPr>
              <w:tblStyle w:val="2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3680"/>
              <w:gridCol w:w="2312"/>
              <w:gridCol w:w="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86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文件要求</w:t>
                  </w:r>
                </w:p>
              </w:tc>
              <w:tc>
                <w:tcPr>
                  <w:tcW w:w="15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本项目情况</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规划环评</w:t>
                  </w:r>
                </w:p>
              </w:tc>
              <w:tc>
                <w:tcPr>
                  <w:tcW w:w="2534"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辽宁台安经济开发区总用地面积29.88平方公里。规划范围北至京沈高速公路，南至沈盘公路（102省道），西至新台镇西桓村八家子、示范场农田，东至台西区大黑鱼、十里村与城区接壤处。，形成“一核、一轴、五区”的空间布局。在开发区北部形成集开发区管委会办公服务中心、研发中心、酒店商场、商务办公、职工餐饮娱乐于一体的综合性服务核心区;沿迎宾路形成南北纵向发展轴线，串联起开发区的各产业分区，包括化工产业区、彩涂板产业区、生态造纸产业区、新能源新材料产业区、装备及其他产业区。</w:t>
                  </w:r>
                </w:p>
              </w:tc>
              <w:tc>
                <w:tcPr>
                  <w:tcW w:w="1592"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本项目位于装备及其他产业区，行业类别为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C1329其他饲料加工</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，产品为肉鸡饲料，辽宁</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台安</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经济开发区管理委员会已出具本项目符合园区定位的证明（详见附件</w:t>
                  </w:r>
                  <w:r>
                    <w:rPr>
                      <w:rFonts w:hint="eastAsia" w:cs="Times New Roman"/>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），故符合装备及其他产业区定位要求。</w:t>
                  </w:r>
                </w:p>
              </w:tc>
              <w:tc>
                <w:tcPr>
                  <w:tcW w:w="546"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2" w:hRule="atLeast"/>
                <w:jc w:val="center"/>
              </w:trPr>
              <w:tc>
                <w:tcPr>
                  <w:tcW w:w="327" w:type="pct"/>
                  <w:vMerge w:val="restart"/>
                  <w:tcBorders>
                    <w:tl2br w:val="nil"/>
                    <w:tr2bl w:val="nil"/>
                  </w:tcBorders>
                  <w:noWrap w:val="0"/>
                  <w:vAlign w:val="center"/>
                </w:tcPr>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规</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划</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环</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评</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审</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查</w:t>
                  </w:r>
                </w:p>
                <w:p>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意</w:t>
                  </w:r>
                </w:p>
                <w:p>
                  <w:pPr>
                    <w:widowControl/>
                    <w:jc w:val="center"/>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见</w:t>
                  </w:r>
                </w:p>
              </w:tc>
              <w:tc>
                <w:tcPr>
                  <w:tcW w:w="2534"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严格规划区城内建设项目的环境准入，严禁引进违反国家产业政策、不符合规划区域产业定位，高污染、高耗能、高水耗的建设项目。入驻企业选择要遵循减物质化、再循环化、多级利用、生态链和清洁生产等原则，入驻企业选址应符合相关区域规划要求，新建企业的清洁生产水平原则上要达到国内先进水平。</w:t>
                  </w:r>
                </w:p>
              </w:tc>
              <w:tc>
                <w:tcPr>
                  <w:tcW w:w="1592"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根据《产业结构调整指导目录》（2</w:t>
                  </w:r>
                  <w:r>
                    <w:rPr>
                      <w:rFonts w:hint="eastAsia" w:cs="Times New Roman"/>
                      <w:color w:val="000000" w:themeColor="text1"/>
                      <w:kern w:val="0"/>
                      <w:sz w:val="21"/>
                      <w:szCs w:val="21"/>
                      <w:highlight w:val="none"/>
                      <w:lang w:val="en-US" w:eastAsia="zh-CN" w:bidi="ar"/>
                      <w14:textFill>
                        <w14:solidFill>
                          <w14:schemeClr w14:val="tx1"/>
                        </w14:solidFill>
                      </w14:textFill>
                    </w:rPr>
                    <w:t>024</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年本）及《国家发展改革委关于修改&lt;产业结构调整指导目录（2019年本）&gt;的决定》，本项目</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允许类，符合产业政策要求。</w:t>
                  </w:r>
                </w:p>
                <w:p>
                  <w:pPr>
                    <w:keepNext w:val="0"/>
                    <w:keepLines w:val="0"/>
                    <w:pageBreakBefore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w:t>
                  </w:r>
                  <w:r>
                    <w:rPr>
                      <w:rFonts w:hint="eastAsia"/>
                      <w:color w:val="000000" w:themeColor="text1"/>
                      <w:sz w:val="21"/>
                      <w:szCs w:val="21"/>
                      <w:highlight w:val="none"/>
                      <w:lang w:val="en-US" w:eastAsia="zh-CN"/>
                      <w14:textFill>
                        <w14:solidFill>
                          <w14:schemeClr w14:val="tx1"/>
                        </w14:solidFill>
                      </w14:textFill>
                    </w:rPr>
                    <w:t>本项目废气、废水、噪声及固体废物均采取有效环保措施处理后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能够确保污染物稳定达标排放。</w:t>
                  </w:r>
                </w:p>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本项目不属于重大环境风险、严重污染隐患企业。</w:t>
                  </w:r>
                </w:p>
              </w:tc>
              <w:tc>
                <w:tcPr>
                  <w:tcW w:w="546"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强化对区域内现有企业的环境监管，认真落实环境影响评价和环境保护“三间时”制度，以废气、废水和固废污染防治为重点加强对现有污染源的综合治理，确保各项污染物稳定达标排放。鼓励现有企业进行工艺改造、技术创新，推进节能降耗，减少污染物排放，加快清洁能源替代利用，改善区域环境质量。</w:t>
                  </w:r>
                </w:p>
              </w:tc>
              <w:tc>
                <w:tcPr>
                  <w:tcW w:w="1592"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本项目为新建项目，建成后会</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认真落实环境影响评价和环境保护“三间时”制度，确保各项污染物稳定达标排放。</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优化区城内产业布局,同类产业宜集中布置，应结合城市主导风向、相关产业集中区卫生防护距高等制约因素对规划区城内产业布局进行合理调整，对本规划中尚不属于建设用地的地块及时对用地性质进行调整，在土地性质未转化成建设用地前，严禁进行任何开发建设。逐步将不符合本开发区产业定位的企业迁出本规划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对于处于规划区内的西桓村，双并子村、大黑鱼村小榆树村、六家子村、农业示范村、团结村等村庄中尚未</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搬迁</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的居民应尽快实现全部搬迁。工业用地与科研用地及居住用地之间应设置30米以上绿地隔离带。</w:t>
                  </w:r>
                </w:p>
              </w:tc>
              <w:tc>
                <w:tcPr>
                  <w:tcW w:w="1592"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位于装备及其他产业区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所在地块为园区内工业用地。</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切实完善规划区域内环境基础设施建设。结合地区供热供气、排水需求和发展规划统筹考虑园区供热、供气、排水。考虑到目前规划区内主要依托的热源鞍炼热电厂</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未</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能完全满足区域内现有企业取暖及工业用汽</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需求</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，应尽快对该热源厂进行</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扩建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，扩建规模应满足现有及未来入驻企业取暖及工业用汽需要</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逐步拆除开发区内现有企业自建的燃煤供暖、供汽设施。入区项目不得新建燃煤供热设施。考虑到规划区内造纸企业用水量较大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为满足未来入驻企业污水集中处理需求，应对开发区内现有污水处理厂实施扩建，并扩大中水回用规模，对于污水水质无法达到进入排水管网要求的企业应自建污水处理设施。努力提高区内工业水资源循环利用水平，严禁违法取用地下水，保障供水安全。</w:t>
                  </w:r>
                </w:p>
              </w:tc>
              <w:tc>
                <w:tcPr>
                  <w:tcW w:w="1592" w:type="pct"/>
                  <w:tcBorders>
                    <w:tl2br w:val="nil"/>
                    <w:tr2bl w:val="nil"/>
                  </w:tcBorders>
                  <w:noWrap w:val="0"/>
                  <w:vAlign w:val="center"/>
                </w:tcPr>
                <w:p>
                  <w:pPr>
                    <w:keepNext w:val="0"/>
                    <w:keepLines w:val="0"/>
                    <w:widowControl/>
                    <w:suppressLineNumbers w:val="0"/>
                    <w:jc w:val="both"/>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本项目新建一台</w:t>
                  </w:r>
                  <w:r>
                    <w:rPr>
                      <w:rFonts w:hint="eastAsia" w:cs="Times New Roman"/>
                      <w:color w:val="000000" w:themeColor="text1"/>
                      <w:highlight w:val="none"/>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t/h的天然气锅炉用于生产。</w:t>
                  </w:r>
                  <w:r>
                    <w:rPr>
                      <w:rFonts w:hint="eastAsia"/>
                      <w:color w:val="000000" w:themeColor="text1"/>
                      <w:highlight w:val="none"/>
                      <w:lang w:eastAsia="zh-CN"/>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建议在水源一级保护区边界外延伸</w:t>
                  </w:r>
                  <w:r>
                    <w:rPr>
                      <w:rFonts w:hint="default"/>
                      <w:color w:val="000000" w:themeColor="text1"/>
                      <w:highlight w:val="none"/>
                      <w:lang w:val="en-US" w:eastAsia="zh-CN"/>
                      <w14:textFill>
                        <w14:solidFill>
                          <w14:schemeClr w14:val="tx1"/>
                        </w14:solidFill>
                      </w14:textFill>
                    </w:rPr>
                    <w:t>500</w:t>
                  </w:r>
                  <w:r>
                    <w:rPr>
                      <w:rFonts w:hint="eastAsia"/>
                      <w:color w:val="000000" w:themeColor="text1"/>
                      <w:highlight w:val="none"/>
                      <w:lang w:val="en-US" w:eastAsia="zh-CN"/>
                      <w14:textFill>
                        <w14:solidFill>
                          <w14:schemeClr w14:val="tx1"/>
                        </w14:solidFill>
                      </w14:textFill>
                    </w:rPr>
                    <w:t>米区域，按二级保护区管理，该区域内禁止新建、改建、扩建对水源有污染危害的建设项目。</w:t>
                  </w:r>
                </w:p>
              </w:tc>
              <w:tc>
                <w:tcPr>
                  <w:tcW w:w="1592"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本项目不在水源保护区范围内。</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不断提高区域环境风险的防范与应急处理能力，指定完善的环境风险应急预案，报生态环境部门备案，实现区域环境风险应急预案与地方政府、相关管理部门及入区企业环境风险应急预案的有效衔接，并定期开展环境突发事故应急演练，确保风险事故得到有效控制。</w:t>
                  </w:r>
                </w:p>
              </w:tc>
              <w:tc>
                <w:tcPr>
                  <w:tcW w:w="1592"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建设单位应当尽快编制（或委托相关技术单位编制）突发环境事件</w:t>
                  </w:r>
                </w:p>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应急预案，报生态环境部门备案，与园区环境风险应急预案有效衔接，并定期开展突发环境事件应急演练，确保风险事故得到有效控制。</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严格执行污染物总量控制制度，规划实施过程中，统筹考虑园区现有污染源存在和新增污染源的增加量，加强污染物排放控制，泄漏污染物满足排放总量控制要求。</w:t>
                  </w:r>
                </w:p>
              </w:tc>
              <w:tc>
                <w:tcPr>
                  <w:tcW w:w="1592"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本项目将对其产生的污染物进行治理并可达标排放，需申请总量控制指标并确保满足排放总量控制要求。</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27" w:type="pct"/>
                  <w:vMerge w:val="continue"/>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000000" w:themeColor="text1"/>
                      <w:highlight w:val="none"/>
                      <w:lang w:val="en-US" w:eastAsia="zh-CN"/>
                      <w14:textFill>
                        <w14:solidFill>
                          <w14:schemeClr w14:val="tx1"/>
                        </w14:solidFill>
                      </w14:textFill>
                    </w:rPr>
                  </w:pPr>
                </w:p>
              </w:tc>
              <w:tc>
                <w:tcPr>
                  <w:tcW w:w="2534"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加强环境跟踪监测各管理力度，规划实施过程中，结合园区发展，完善环境监控体系，建立健全环境管理机构和制度。</w:t>
                  </w:r>
                </w:p>
              </w:tc>
              <w:tc>
                <w:tcPr>
                  <w:tcW w:w="1592" w:type="pct"/>
                  <w:tcBorders>
                    <w:tl2br w:val="nil"/>
                    <w:tr2bl w:val="nil"/>
                  </w:tcBorders>
                  <w:noWrap w:val="0"/>
                  <w:vAlign w:val="center"/>
                </w:tcPr>
                <w:p>
                  <w:pPr>
                    <w:pStyle w:val="45"/>
                    <w:bidi w:val="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本项目设置了跟踪监测和健全环境管理机构和制度。</w:t>
                  </w:r>
                </w:p>
              </w:tc>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bl>
          <w:p>
            <w:pPr>
              <w:pStyle w:val="44"/>
              <w:numPr>
                <w:ilvl w:val="0"/>
                <w:numId w:val="0"/>
              </w:numPr>
              <w:bidi w:val="0"/>
              <w:rPr>
                <w:rFonts w:hint="default"/>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default"/>
                <w:b/>
                <w:bCs/>
                <w:color w:val="000000" w:themeColor="text1"/>
                <w:highlight w:val="none"/>
                <w14:textFill>
                  <w14:solidFill>
                    <w14:schemeClr w14:val="tx1"/>
                  </w14:solidFill>
                </w14:textFill>
              </w:rPr>
              <w:t>与辽宁台安经济开发区供热规划符合性分析</w:t>
            </w:r>
          </w:p>
          <w:p>
            <w:pPr>
              <w:pStyle w:val="44"/>
              <w:numPr>
                <w:ilvl w:val="0"/>
                <w:numId w:val="0"/>
              </w:numPr>
              <w:bidi w:val="0"/>
              <w:ind w:firstLine="480" w:firstLineChars="2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本项目位于辽宁台安经济开发区内，根据《辽宁台安经济开发区总体规划（2019-2035）环境影响报告书》可知，经济开发区现状依托规划区内鞍炼热电厂，</w:t>
            </w:r>
            <w:r>
              <w:rPr>
                <w:rFonts w:ascii="宋体" w:hAnsi="宋体" w:eastAsia="宋体" w:cs="宋体"/>
                <w:color w:val="000000" w:themeColor="text1"/>
                <w:sz w:val="24"/>
                <w:szCs w:val="24"/>
                <w:highlight w:val="none"/>
                <w14:textFill>
                  <w14:solidFill>
                    <w14:schemeClr w14:val="tx1"/>
                  </w14:solidFill>
                </w14:textFill>
              </w:rPr>
              <w:t>但由于辽宁鞍炼热电有</w:t>
            </w:r>
            <w:r>
              <w:rPr>
                <w:rStyle w:val="63"/>
                <w:color w:val="000000" w:themeColor="text1"/>
                <w:highlight w:val="none"/>
                <w14:textFill>
                  <w14:solidFill>
                    <w14:schemeClr w14:val="tx1"/>
                  </w14:solidFill>
                </w14:textFill>
              </w:rPr>
              <w:t>限公司于2023年3月</w:t>
            </w:r>
            <w:r>
              <w:rPr>
                <w:rFonts w:ascii="宋体" w:hAnsi="宋体" w:eastAsia="宋体" w:cs="宋体"/>
                <w:color w:val="000000" w:themeColor="text1"/>
                <w:sz w:val="24"/>
                <w:szCs w:val="24"/>
                <w:highlight w:val="none"/>
                <w14:textFill>
                  <w14:solidFill>
                    <w14:schemeClr w14:val="tx1"/>
                  </w14:solidFill>
                </w14:textFill>
              </w:rPr>
              <w:t>停产，不具备保障企业连续稳定生产的能力</w:t>
            </w:r>
            <w:r>
              <w:rPr>
                <w:rFonts w:hint="default"/>
                <w:color w:val="000000" w:themeColor="text1"/>
                <w:highlight w:val="none"/>
                <w14:textFill>
                  <w14:solidFill>
                    <w14:schemeClr w14:val="tx1"/>
                  </w14:solidFill>
                </w14:textFill>
              </w:rPr>
              <w:t>。开发区内现状工业用热、用汽大多为企业自备蒸气炉自行解决，故本项目将自建一台</w:t>
            </w: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14:textFill>
                  <w14:solidFill>
                    <w14:schemeClr w14:val="tx1"/>
                  </w14:solidFill>
                </w14:textFill>
              </w:rPr>
              <w:t>/h的天然气</w:t>
            </w:r>
            <w:r>
              <w:rPr>
                <w:rFonts w:hint="default"/>
                <w:color w:val="000000" w:themeColor="text1"/>
                <w:highlight w:val="none"/>
                <w:lang w:eastAsia="zh-CN"/>
                <w14:textFill>
                  <w14:solidFill>
                    <w14:schemeClr w14:val="tx1"/>
                  </w14:solidFill>
                </w14:textFill>
              </w:rPr>
              <w:t>临时</w:t>
            </w:r>
            <w:r>
              <w:rPr>
                <w:rFonts w:hint="default"/>
                <w:color w:val="000000" w:themeColor="text1"/>
                <w:highlight w:val="none"/>
                <w14:textFill>
                  <w14:solidFill>
                    <w14:schemeClr w14:val="tx1"/>
                  </w14:solidFill>
                </w14:textFill>
              </w:rPr>
              <w:t>锅炉</w:t>
            </w:r>
            <w:r>
              <w:rPr>
                <w:rFonts w:hint="eastAsia"/>
                <w:color w:val="000000" w:themeColor="text1"/>
                <w:highlight w:val="none"/>
                <w:lang w:eastAsia="zh-CN"/>
                <w14:textFill>
                  <w14:solidFill>
                    <w14:schemeClr w14:val="tx1"/>
                  </w14:solidFill>
                </w14:textFill>
              </w:rPr>
              <w:t>为</w:t>
            </w:r>
            <w:r>
              <w:rPr>
                <w:rFonts w:hint="eastAsia"/>
                <w:color w:val="000000" w:themeColor="text1"/>
                <w:highlight w:val="none"/>
                <w:lang w:val="en-US" w:eastAsia="zh-CN"/>
                <w14:textFill>
                  <w14:solidFill>
                    <w14:schemeClr w14:val="tx1"/>
                  </w14:solidFill>
                </w14:textFill>
              </w:rPr>
              <w:t>厂区生产</w:t>
            </w:r>
            <w:r>
              <w:rPr>
                <w:rFonts w:hint="default"/>
                <w:color w:val="000000" w:themeColor="text1"/>
                <w:highlight w:val="none"/>
                <w14:textFill>
                  <w14:solidFill>
                    <w14:schemeClr w14:val="tx1"/>
                  </w14:solidFill>
                </w14:textFill>
              </w:rPr>
              <w:t>供热</w:t>
            </w:r>
            <w:r>
              <w:rPr>
                <w:rFonts w:hint="eastAsia"/>
                <w:color w:val="000000" w:themeColor="text1"/>
                <w:highlight w:val="none"/>
                <w:lang w:eastAsia="zh-CN"/>
                <w14:textFill>
                  <w14:solidFill>
                    <w14:schemeClr w14:val="tx1"/>
                  </w14:solidFill>
                </w14:textFill>
              </w:rPr>
              <w:t>及冬季供暖</w:t>
            </w:r>
            <w:r>
              <w:rPr>
                <w:rFonts w:hint="default"/>
                <w:color w:val="000000" w:themeColor="text1"/>
                <w:highlight w:val="none"/>
                <w14:textFill>
                  <w14:solidFill>
                    <w14:schemeClr w14:val="tx1"/>
                  </w14:solidFill>
                </w14:textFill>
              </w:rPr>
              <w:t>，待园区供热管网覆盖本企业</w:t>
            </w:r>
            <w:r>
              <w:rPr>
                <w:rFonts w:hint="default"/>
                <w:color w:val="000000" w:themeColor="text1"/>
                <w:highlight w:val="none"/>
                <w:lang w:eastAsia="zh-CN"/>
                <w14:textFill>
                  <w14:solidFill>
                    <w14:schemeClr w14:val="tx1"/>
                  </w14:solidFill>
                </w14:textFill>
              </w:rPr>
              <w:t>并能正常供气</w:t>
            </w:r>
            <w:r>
              <w:rPr>
                <w:rFonts w:hint="default"/>
                <w:color w:val="000000" w:themeColor="text1"/>
                <w:highlight w:val="none"/>
                <w14:textFill>
                  <w14:solidFill>
                    <w14:schemeClr w14:val="tx1"/>
                  </w14:solidFill>
                </w14:textFill>
              </w:rPr>
              <w:t>后，本台锅炉无条件拆除</w:t>
            </w:r>
            <w:r>
              <w:rPr>
                <w:rFonts w:hint="eastAsia"/>
                <w:color w:val="000000" w:themeColor="text1"/>
                <w:highlight w:val="none"/>
                <w:lang w:eastAsia="zh-CN"/>
                <w14:textFill>
                  <w14:solidFill>
                    <w14:schemeClr w14:val="tx1"/>
                  </w14:solidFill>
                </w14:textFill>
              </w:rPr>
              <w:t>，具体说明详见附件</w:t>
            </w:r>
            <w:r>
              <w:rPr>
                <w:rFonts w:hint="eastAsia"/>
                <w:color w:val="000000" w:themeColor="text1"/>
                <w:highlight w:val="none"/>
                <w:lang w:val="en-US" w:eastAsia="zh-CN"/>
                <w14:textFill>
                  <w14:solidFill>
                    <w14:schemeClr w14:val="tx1"/>
                  </w14:solidFill>
                </w14:textFill>
              </w:rPr>
              <w:t>12</w:t>
            </w:r>
            <w:r>
              <w:rPr>
                <w:rFonts w:hint="default"/>
                <w:color w:val="000000" w:themeColor="text1"/>
                <w:highlight w:val="none"/>
                <w14:textFill>
                  <w14:solidFill>
                    <w14:schemeClr w14:val="tx1"/>
                  </w14:solidFill>
                </w14:textFill>
              </w:rPr>
              <w:t>。故本项目符合辽宁台安经济开发区供热规划。</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综上所述，本项目建设符合《关于辽宁台安经济经济开发区总体规划（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2019~2035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）环境影响报告书的审查意见》（鞍行审批复环[</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号）及中相关要求。</w:t>
            </w:r>
          </w:p>
          <w:p>
            <w:pPr>
              <w:pStyle w:val="44"/>
              <w:numPr>
                <w:ilvl w:val="0"/>
                <w:numId w:val="0"/>
              </w:numPr>
              <w:bidi w:val="0"/>
              <w:rPr>
                <w:rFonts w:hint="eastAsia"/>
                <w:b/>
                <w:bCs/>
                <w:color w:val="000000" w:themeColor="text1"/>
                <w:highlight w:val="none"/>
                <w:lang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4、</w:t>
            </w:r>
            <w:r>
              <w:rPr>
                <w:rFonts w:hint="default"/>
                <w:b/>
                <w:bCs/>
                <w:color w:val="000000" w:themeColor="text1"/>
                <w:highlight w:val="none"/>
                <w14:textFill>
                  <w14:solidFill>
                    <w14:schemeClr w14:val="tx1"/>
                  </w14:solidFill>
                </w14:textFill>
              </w:rPr>
              <w:t>与辽宁台安经济开发区</w:t>
            </w:r>
            <w:r>
              <w:rPr>
                <w:rFonts w:hint="eastAsia"/>
                <w:b/>
                <w:bCs/>
                <w:color w:val="000000" w:themeColor="text1"/>
                <w:highlight w:val="none"/>
                <w:lang w:eastAsia="zh-CN"/>
                <w14:textFill>
                  <w14:solidFill>
                    <w14:schemeClr w14:val="tx1"/>
                  </w14:solidFill>
                </w14:textFill>
              </w:rPr>
              <w:t>规划环评生态环境准入清单符合性分析</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b/>
                <w:bCs/>
                <w:color w:val="000000" w:themeColor="text1"/>
                <w:sz w:val="24"/>
                <w:szCs w:val="32"/>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表1-3 与辽宁台安经济开发区规划环评生态环境准入清单符合性分析</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898"/>
              <w:gridCol w:w="2897"/>
              <w:gridCol w:w="2299"/>
              <w:gridCol w:w="4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4"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清单类型</w:t>
                  </w:r>
                </w:p>
              </w:tc>
              <w:tc>
                <w:tcPr>
                  <w:tcW w:w="3795" w:type="dxa"/>
                  <w:gridSpan w:val="2"/>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准入内容</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本项目情况</w:t>
                  </w:r>
                </w:p>
              </w:tc>
              <w:tc>
                <w:tcPr>
                  <w:tcW w:w="0" w:type="auto"/>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空间布局约束</w:t>
                  </w: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禁止建设区</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包水源地、河湖岸线与湿地、自然森林公园、基本农田区等区域；</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w:t>
                  </w:r>
                  <w:r>
                    <w:rPr>
                      <w:color w:val="000000" w:themeColor="text1"/>
                      <w:highlight w:val="none"/>
                      <w14:textFill>
                        <w14:solidFill>
                          <w14:schemeClr w14:val="tx1"/>
                        </w14:solidFill>
                      </w14:textFill>
                    </w:rPr>
                    <w:t>用地类型为工业用地</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限制建设区</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包括城镇远景发展用地以及县域的一般农田、园地、林地等</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用地类型为工业用地</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园区规定的卫生防护距离和环境防护距离以内，不得建设医院、学校和居住区等环境敏感目标和对环境要求较高的工业企业</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本项目为饲料生产项目，对环境要求不高</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污染物排放管控</w:t>
                  </w:r>
                </w:p>
              </w:tc>
              <w:tc>
                <w:tcPr>
                  <w:tcW w:w="898"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挥发性有机物防治</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涉及挥发性有机物排放的企业，严格挥发性有机污染防治</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本项目不涉及挥发性有机物排放</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排放二氧化硫、氮氧化物、烟粉尘和挥发性有机污染物的项目，必须落实相关污染物总量减排方案，上一年度环境空气质量相关污染物年平均浓度不达标的城市，应进行倍量削减替代；</w:t>
                  </w:r>
                </w:p>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严格涉VOCs建设项目环境影响评价,实行区域内VOCs排放倍量削减替代，并将替代方案落实到企业排污许可证中，纳入环境执法管理。</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本项目所在地上一年度环境空气质量达标，本项目排放的二氧化硫、氮氧化物、烟粉尘严格落实染物总量减排方案</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新增源排放标准限值</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禁止污染物不能得到有效处理的项目；新、改扩建项目，气污染物排放应达到特别排放限值</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本项目污染物均得到有效处理，经环评预测可以达到特别排放限值</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水环境的整治</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施水污染物排放总量控制:按照国家现行产业政策、环保政策，落实化工、造纸产业的产能控制要求，优先考虑从小柳河流域内实施相关产业的产能控制措施，进一步整治提升化工、造纸产业水污染治理水平:持续实施小柳河提升水质保达标的工作方案</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本项目落实水污染物排放总量控制</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在线监测</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对于排放标准、技术规范等要求安装在线监测的企业，应安装在线监测设备，并与原环保部门联网</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本项目无需安装在线监测设备</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环境风险防控</w:t>
                  </w: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禁止准入</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园区禁止入驻含重大危险源且无法得到有效防控的项目。</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本项目无重大危险源</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用地环境风险防控措施</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已污染地块应当开展土壤污染状况调</w:t>
                  </w:r>
                  <w:bookmarkStart w:id="4" w:name="_GoBack"/>
                  <w:bookmarkEnd w:id="4"/>
                  <w:r>
                    <w:rPr>
                      <w:rFonts w:hint="eastAsia"/>
                      <w:color w:val="000000" w:themeColor="text1"/>
                      <w:highlight w:val="none"/>
                      <w:lang w:val="en-US" w:eastAsia="zh-CN"/>
                      <w14:textFill>
                        <w14:solidFill>
                          <w14:schemeClr w14:val="tx1"/>
                        </w14:solidFill>
                      </w14:textFill>
                    </w:rPr>
                    <w:t>查、治理与修复，符合土壤环境质量要求后，方可进入用地程序</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本项目原地块未受到污染</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企业环境风险管控</w:t>
                  </w:r>
                  <w:r>
                    <w:rPr>
                      <w:rFonts w:hint="eastAsia"/>
                      <w:color w:val="000000" w:themeColor="text1"/>
                      <w:highlight w:val="none"/>
                      <w:lang w:eastAsia="zh-CN"/>
                      <w14:textFill>
                        <w14:solidFill>
                          <w14:schemeClr w14:val="tx1"/>
                        </w14:solidFill>
                      </w14:textFill>
                    </w:rPr>
                    <w:t>措施</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存储危险化学品及产生大量废水的企业，应配套有效措施，严格落实环评报告提出事故池、分区防渗要求，防止因泄露污染地下水，土壤，以及因事故废水直接污染地表水体</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本项目设置分区防渗区，防止因泄露污染地下水，土壤</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涉及风险物质的企业，应编制应急预</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企业根据应对突发环境事件的需要，开展环境应急预案制定工作，并向企业所在地县级环境保护主管部门备案</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本项目建成后</w:t>
                  </w:r>
                  <w:r>
                    <w:rPr>
                      <w:rFonts w:hint="eastAsia"/>
                      <w:color w:val="000000" w:themeColor="text1"/>
                      <w:highlight w:val="none"/>
                      <w:lang w:eastAsia="zh-CN"/>
                      <w14:textFill>
                        <w14:solidFill>
                          <w14:schemeClr w14:val="tx1"/>
                        </w14:solidFill>
                      </w14:textFill>
                    </w:rPr>
                    <w:t>建设单位应当尽快编制（或委托相关技术单位编制）突发环境事件应急预案</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资源利用效率要求</w:t>
                  </w: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地下水开采要求</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禁止企业开采地下水</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本项目采用市政供水</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89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燃料要求</w:t>
                  </w:r>
                </w:p>
              </w:tc>
              <w:tc>
                <w:tcPr>
                  <w:tcW w:w="2897"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禁止在规划区内使用高污染燃料设施，提倡天然气、电及其他清洁能源。</w:t>
                  </w:r>
                </w:p>
              </w:tc>
              <w:tc>
                <w:tcPr>
                  <w:tcW w:w="2299"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本项目使用天然气作为燃料</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相符</w:t>
                  </w:r>
                </w:p>
              </w:tc>
            </w:tr>
          </w:tbl>
          <w:p>
            <w:pPr>
              <w:pStyle w:val="4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综上，本项目符合</w:t>
            </w:r>
            <w:r>
              <w:rPr>
                <w:rFonts w:hint="default"/>
                <w:color w:val="000000" w:themeColor="text1"/>
                <w:highlight w:val="none"/>
                <w14:textFill>
                  <w14:solidFill>
                    <w14:schemeClr w14:val="tx1"/>
                  </w14:solidFill>
                </w14:textFill>
              </w:rPr>
              <w:t>辽宁台安经济开发区</w:t>
            </w:r>
            <w:r>
              <w:rPr>
                <w:rFonts w:hint="eastAsia"/>
                <w:color w:val="000000" w:themeColor="text1"/>
                <w:highlight w:val="none"/>
                <w:lang w:eastAsia="zh-CN"/>
                <w14:textFill>
                  <w14:solidFill>
                    <w14:schemeClr w14:val="tx1"/>
                  </w14:solidFill>
                </w14:textFill>
              </w:rPr>
              <w:t>规划，项目选址合理，且</w:t>
            </w:r>
            <w:r>
              <w:rPr>
                <w:rFonts w:hint="default"/>
                <w:color w:val="000000" w:themeColor="text1"/>
                <w:highlight w:val="none"/>
                <w14:textFill>
                  <w14:solidFill>
                    <w14:schemeClr w14:val="tx1"/>
                  </w14:solidFill>
                </w14:textFill>
              </w:rPr>
              <w:t>辽宁台安经济开发区</w:t>
            </w:r>
            <w:r>
              <w:rPr>
                <w:rFonts w:hint="eastAsia"/>
                <w:color w:val="000000" w:themeColor="text1"/>
                <w:highlight w:val="none"/>
                <w:lang w:eastAsia="zh-CN"/>
                <w14:textFill>
                  <w14:solidFill>
                    <w14:schemeClr w14:val="tx1"/>
                  </w14:solidFill>
                </w14:textFill>
              </w:rPr>
              <w:t>已对项目出具选址意见说明，详见附件</w:t>
            </w:r>
            <w:r>
              <w:rPr>
                <w:rFonts w:hint="eastAsia"/>
                <w:color w:val="000000" w:themeColor="text1"/>
                <w:highlight w:val="none"/>
                <w:lang w:val="en-US" w:eastAsia="zh-CN"/>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00" w:hRule="atLeast"/>
          <w:jc w:val="center"/>
        </w:trPr>
        <w:tc>
          <w:tcPr>
            <w:tcW w:w="1390" w:type="dxa"/>
            <w:noWrap w:val="0"/>
            <w:vAlign w:val="center"/>
          </w:tcPr>
          <w:p>
            <w:pPr>
              <w:autoSpaceDE w:val="0"/>
              <w:autoSpaceDN w:val="0"/>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其他符合性分析</w:t>
            </w:r>
          </w:p>
        </w:tc>
        <w:tc>
          <w:tcPr>
            <w:tcW w:w="7480" w:type="dxa"/>
            <w:gridSpan w:val="3"/>
            <w:noWrap w:val="0"/>
            <w:vAlign w:val="center"/>
          </w:tcPr>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1.1产业政策的符合性分析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本项目已</w:t>
            </w:r>
            <w:r>
              <w:rPr>
                <w:rFonts w:hint="default"/>
                <w:color w:val="000000" w:themeColor="text1"/>
                <w:sz w:val="24"/>
                <w:szCs w:val="24"/>
                <w:highlight w:val="none"/>
                <w14:textFill>
                  <w14:solidFill>
                    <w14:schemeClr w14:val="tx1"/>
                  </w14:solidFill>
                </w14:textFill>
              </w:rPr>
              <w:t>取得</w:t>
            </w:r>
            <w:r>
              <w:rPr>
                <w:rFonts w:hint="eastAsia"/>
                <w:color w:val="000000" w:themeColor="text1"/>
                <w:sz w:val="24"/>
                <w:szCs w:val="24"/>
                <w:highlight w:val="none"/>
                <w:lang w:val="en-US" w:eastAsia="zh-CN"/>
                <w14:textFill>
                  <w14:solidFill>
                    <w14:schemeClr w14:val="tx1"/>
                  </w14:solidFill>
                </w14:textFill>
              </w:rPr>
              <w:t>台安</w:t>
            </w:r>
            <w:r>
              <w:rPr>
                <w:rFonts w:hint="default"/>
                <w:color w:val="000000" w:themeColor="text1"/>
                <w:sz w:val="24"/>
                <w:szCs w:val="24"/>
                <w:highlight w:val="none"/>
                <w:lang w:val="en-US" w:eastAsia="zh-CN"/>
                <w14:textFill>
                  <w14:solidFill>
                    <w14:schemeClr w14:val="tx1"/>
                  </w14:solidFill>
                </w14:textFill>
              </w:rPr>
              <w:t>县发展改革</w:t>
            </w:r>
            <w:r>
              <w:rPr>
                <w:rFonts w:hint="eastAsia"/>
                <w:color w:val="000000" w:themeColor="text1"/>
                <w:sz w:val="24"/>
                <w:szCs w:val="24"/>
                <w:highlight w:val="none"/>
                <w:lang w:val="en-US" w:eastAsia="zh-CN"/>
                <w14:textFill>
                  <w14:solidFill>
                    <w14:schemeClr w14:val="tx1"/>
                  </w14:solidFill>
                </w14:textFill>
              </w:rPr>
              <w:t>局</w:t>
            </w:r>
            <w:r>
              <w:rPr>
                <w:rFonts w:hint="default"/>
                <w:color w:val="000000" w:themeColor="text1"/>
                <w:sz w:val="24"/>
                <w:szCs w:val="24"/>
                <w:highlight w:val="none"/>
                <w14:textFill>
                  <w14:solidFill>
                    <w14:schemeClr w14:val="tx1"/>
                  </w14:solidFill>
                </w14:textFill>
              </w:rPr>
              <w:t>出具的备案证明（</w:t>
            </w:r>
            <w:r>
              <w:rPr>
                <w:rFonts w:hint="default"/>
                <w:color w:val="000000" w:themeColor="text1"/>
                <w:sz w:val="24"/>
                <w:szCs w:val="24"/>
                <w:highlight w:val="none"/>
                <w:lang w:val="en-US" w:eastAsia="zh-CN"/>
                <w14:textFill>
                  <w14:solidFill>
                    <w14:schemeClr w14:val="tx1"/>
                  </w14:solidFill>
                </w14:textFill>
              </w:rPr>
              <w:t>台发改备</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14号</w:t>
            </w:r>
            <w:r>
              <w:rPr>
                <w:rFonts w:hint="default"/>
                <w:color w:val="000000" w:themeColor="text1"/>
                <w:sz w:val="24"/>
                <w:szCs w:val="24"/>
                <w:highlight w:val="none"/>
                <w14:textFill>
                  <w14:solidFill>
                    <w14:schemeClr w14:val="tx1"/>
                  </w14:solidFill>
                </w14:textFill>
              </w:rPr>
              <w:t>）</w:t>
            </w:r>
            <w:r>
              <w:rPr>
                <w:rFonts w:hint="default"/>
                <w:color w:val="000000" w:themeColor="text1"/>
                <w:sz w:val="24"/>
                <w:szCs w:val="24"/>
                <w:highlight w:val="none"/>
                <w:lang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本项目为</w:t>
            </w:r>
            <w:r>
              <w:rPr>
                <w:rFonts w:hint="eastAsia"/>
                <w:color w:val="000000" w:themeColor="text1"/>
                <w:sz w:val="24"/>
                <w:szCs w:val="24"/>
                <w:highlight w:val="none"/>
                <w:lang w:val="en-US" w:eastAsia="zh-CN"/>
                <w14:textFill>
                  <w14:solidFill>
                    <w14:schemeClr w14:val="tx1"/>
                  </w14:solidFill>
                </w14:textFill>
              </w:rPr>
              <w:t>新建</w:t>
            </w:r>
            <w:r>
              <w:rPr>
                <w:rFonts w:hint="default"/>
                <w:color w:val="000000" w:themeColor="text1"/>
                <w:sz w:val="24"/>
                <w:szCs w:val="24"/>
                <w:highlight w:val="none"/>
                <w:lang w:val="en-US" w:eastAsia="zh-CN"/>
                <w14:textFill>
                  <w14:solidFill>
                    <w14:schemeClr w14:val="tx1"/>
                  </w14:solidFill>
                </w14:textFill>
              </w:rPr>
              <w:t>项目，</w:t>
            </w:r>
            <w:r>
              <w:rPr>
                <w:rFonts w:hint="eastAsia"/>
                <w:color w:val="000000" w:themeColor="text1"/>
                <w:sz w:val="24"/>
                <w:szCs w:val="24"/>
                <w:highlight w:val="none"/>
                <w:lang w:val="en-US" w:eastAsia="zh-CN"/>
                <w14:textFill>
                  <w14:solidFill>
                    <w14:schemeClr w14:val="tx1"/>
                  </w14:solidFill>
                </w14:textFill>
              </w:rPr>
              <w:t>为饲料生产项目</w:t>
            </w:r>
            <w:r>
              <w:rPr>
                <w:rFonts w:hint="default"/>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根据《产业结构调整指导目录（2024年本）》，本项目不属于鼓励类、限制类、淘汰类，</w:t>
            </w:r>
            <w:r>
              <w:rPr>
                <w:rFonts w:hint="eastAsia"/>
                <w:color w:val="000000" w:themeColor="text1"/>
                <w:sz w:val="24"/>
                <w:szCs w:val="24"/>
                <w:highlight w:val="none"/>
                <w:lang w:val="en-US" w:eastAsia="zh-CN"/>
                <w14:textFill>
                  <w14:solidFill>
                    <w14:schemeClr w14:val="tx1"/>
                  </w14:solidFill>
                </w14:textFill>
              </w:rPr>
              <w:t>为</w:t>
            </w:r>
            <w:r>
              <w:rPr>
                <w:rFonts w:hint="default"/>
                <w:color w:val="000000" w:themeColor="text1"/>
                <w:sz w:val="24"/>
                <w:szCs w:val="24"/>
                <w:highlight w:val="none"/>
                <w:lang w:eastAsia="zh-CN"/>
                <w14:textFill>
                  <w14:solidFill>
                    <w14:schemeClr w14:val="tx1"/>
                  </w14:solidFill>
                </w14:textFill>
              </w:rPr>
              <w:t>“</w:t>
            </w:r>
            <w:r>
              <w:rPr>
                <w:rFonts w:hint="default"/>
                <w:color w:val="000000" w:themeColor="text1"/>
                <w:sz w:val="24"/>
                <w:szCs w:val="24"/>
                <w:highlight w:val="none"/>
                <w14:textFill>
                  <w14:solidFill>
                    <w14:schemeClr w14:val="tx1"/>
                  </w14:solidFill>
                </w14:textFill>
              </w:rPr>
              <w:t>允许类</w:t>
            </w:r>
            <w:r>
              <w:rPr>
                <w:rFonts w:hint="default"/>
                <w:color w:val="000000" w:themeColor="text1"/>
                <w:sz w:val="24"/>
                <w:szCs w:val="24"/>
                <w:highlight w:val="none"/>
                <w:lang w:eastAsia="zh-CN"/>
                <w14:textFill>
                  <w14:solidFill>
                    <w14:schemeClr w14:val="tx1"/>
                  </w14:solidFill>
                </w14:textFill>
              </w:rPr>
              <w:t>”</w:t>
            </w:r>
            <w:r>
              <w:rPr>
                <w:rFonts w:hint="default"/>
                <w:color w:val="000000" w:themeColor="text1"/>
                <w:sz w:val="24"/>
                <w:szCs w:val="24"/>
                <w:highlight w:val="none"/>
                <w14:textFill>
                  <w14:solidFill>
                    <w14:schemeClr w14:val="tx1"/>
                  </w14:solidFill>
                </w14:textFill>
              </w:rPr>
              <w:t>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根据《市场准入负面清单（2022版）》，本项目不在负面清单之列。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综上所述，本项目建设符合国家及当地产业政策。</w:t>
            </w:r>
          </w:p>
          <w:p>
            <w:pPr>
              <w:pStyle w:val="44"/>
              <w:bidi w:val="0"/>
              <w:ind w:left="0" w:leftChars="0" w:firstLine="0" w:firstLineChars="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1.2选址符合性</w:t>
            </w:r>
          </w:p>
          <w:p>
            <w:pPr>
              <w:pStyle w:val="44"/>
              <w:bidi w:val="0"/>
              <w:rPr>
                <w:rFonts w:hint="default"/>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本项目位于辽宁台安经济经济开发区装备及其他产业区</w:t>
            </w:r>
            <w:r>
              <w:rPr>
                <w:color w:val="000000" w:themeColor="text1"/>
                <w:highlight w:val="none"/>
                <w14:textFill>
                  <w14:solidFill>
                    <w14:schemeClr w14:val="tx1"/>
                  </w14:solidFill>
                </w14:textFill>
              </w:rPr>
              <w:t>，用地类型为工业用地，项目生产过程产生的废气、废水、噪声及固废等污染在采取有效措施后对周围环境影响较小，根据现场调查和收集到的环境功能区划等资料，项目用地不在饮用水源保护区、自然保护区、风景名胜区、文物保护单位、生态保护区等需要特殊保护的区域范围内，综上所述，本项目选址合理。</w:t>
            </w:r>
          </w:p>
          <w:p>
            <w:pPr>
              <w:numPr>
                <w:ilvl w:val="0"/>
                <w:numId w:val="0"/>
              </w:numPr>
              <w:adjustRightInd w:val="0"/>
              <w:snapToGrid w:val="0"/>
              <w:spacing w:line="360" w:lineRule="auto"/>
              <w:rPr>
                <w:rFonts w:hint="default"/>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1.3</w:t>
            </w:r>
            <w:r>
              <w:rPr>
                <w:rFonts w:hint="default"/>
                <w:b/>
                <w:bCs/>
                <w:color w:val="000000" w:themeColor="text1"/>
                <w:sz w:val="24"/>
                <w:szCs w:val="24"/>
                <w:highlight w:val="none"/>
                <w14:textFill>
                  <w14:solidFill>
                    <w14:schemeClr w14:val="tx1"/>
                  </w14:solidFill>
                </w14:textFill>
              </w:rPr>
              <w:t>“三线一单”符合性分析</w:t>
            </w:r>
          </w:p>
          <w:p>
            <w:pPr>
              <w:pStyle w:val="44"/>
              <w:bidi w:val="0"/>
              <w:rPr>
                <w:rFonts w:hint="eastAsia"/>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t>为全面落实《辽宁省人民政府关于实施“三线一单”生态环境分区管控的意见》（辽政发〔2021〕6号）工作要求，促进生态环境高水平保护和经济社会高质量发展，</w:t>
            </w:r>
            <w:r>
              <w:rPr>
                <w:rFonts w:hint="default"/>
                <w:color w:val="000000" w:themeColor="text1"/>
                <w:highlight w:val="none"/>
                <w14:textFill>
                  <w14:solidFill>
                    <w14:schemeClr w14:val="tx1"/>
                  </w14:solidFill>
                </w14:textFill>
              </w:rPr>
              <w:t>鞍山市于2021年9月30日以鞍政发[2021]9号文发布了《鞍山市人民政府关于实施“三线一单”生态环境分区管控的意见》</w:t>
            </w:r>
            <w:r>
              <w:rPr>
                <w:rFonts w:hint="eastAsia"/>
                <w:color w:val="000000" w:themeColor="text1"/>
                <w:sz w:val="24"/>
                <w:szCs w:val="24"/>
                <w:highlight w:val="none"/>
                <w:lang w:val="en-US" w:eastAsia="zh-CN"/>
                <w14:textFill>
                  <w14:solidFill>
                    <w14:schemeClr w14:val="tx1"/>
                  </w14:solidFill>
                </w14:textFill>
              </w:rPr>
              <w:t>（鞍政发[</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]9号）</w:t>
            </w:r>
            <w:r>
              <w:rPr>
                <w:rFonts w:hint="default"/>
                <w:color w:val="000000" w:themeColor="text1"/>
                <w:highlight w:val="none"/>
                <w14:textFill>
                  <w14:solidFill>
                    <w14:schemeClr w14:val="tx1"/>
                  </w14:solidFill>
                </w14:textFill>
              </w:rPr>
              <w:t>，环境管控单元包括优先保护单元、重点管控单元和一般管控单元三类。</w:t>
            </w:r>
            <w:r>
              <w:rPr>
                <w:rFonts w:hint="eastAsia"/>
                <w:color w:val="000000" w:themeColor="text1"/>
                <w:sz w:val="24"/>
                <w:szCs w:val="24"/>
                <w:highlight w:val="none"/>
                <w:lang w:val="en-US" w:eastAsia="zh-CN"/>
                <w14:textFill>
                  <w14:solidFill>
                    <w14:schemeClr w14:val="tx1"/>
                  </w14:solidFill>
                </w14:textFill>
              </w:rPr>
              <w:t>鞍山市生态环境局于</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年10月15日发布了《鞍山市生态环境局关于印发</w:t>
            </w:r>
            <w:r>
              <w:rPr>
                <w:rFonts w:hint="default"/>
                <w:color w:val="000000" w:themeColor="text1"/>
                <w:sz w:val="24"/>
                <w:szCs w:val="24"/>
                <w:highlight w:val="none"/>
                <w:lang w:val="en-US" w:eastAsia="zh-CN"/>
                <w14:textFill>
                  <w14:solidFill>
                    <w14:schemeClr w14:val="tx1"/>
                  </w14:solidFill>
                </w14:textFill>
              </w:rPr>
              <w:t>&lt;</w:t>
            </w:r>
            <w:r>
              <w:rPr>
                <w:rFonts w:hint="eastAsia"/>
                <w:color w:val="000000" w:themeColor="text1"/>
                <w:sz w:val="24"/>
                <w:szCs w:val="24"/>
                <w:highlight w:val="none"/>
                <w:lang w:val="en-US" w:eastAsia="zh-CN"/>
                <w14:textFill>
                  <w14:solidFill>
                    <w14:schemeClr w14:val="tx1"/>
                  </w14:solidFill>
                </w14:textFill>
              </w:rPr>
              <w:t>生态环境准入清单（</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年版）</w:t>
            </w:r>
            <w:r>
              <w:rPr>
                <w:rFonts w:hint="default"/>
                <w:color w:val="000000" w:themeColor="text1"/>
                <w:sz w:val="24"/>
                <w:szCs w:val="24"/>
                <w:highlight w:val="none"/>
                <w:lang w:val="en-US" w:eastAsia="zh-CN"/>
                <w14:textFill>
                  <w14:solidFill>
                    <w14:schemeClr w14:val="tx1"/>
                  </w14:solidFill>
                </w14:textFill>
              </w:rPr>
              <w:t>&gt;</w:t>
            </w:r>
            <w:r>
              <w:rPr>
                <w:rFonts w:hint="eastAsia"/>
                <w:color w:val="000000" w:themeColor="text1"/>
                <w:sz w:val="24"/>
                <w:szCs w:val="24"/>
                <w:highlight w:val="none"/>
                <w:lang w:val="en-US" w:eastAsia="zh-CN"/>
                <w14:textFill>
                  <w14:solidFill>
                    <w14:schemeClr w14:val="tx1"/>
                  </w14:solidFill>
                </w14:textFill>
              </w:rPr>
              <w:t>的通知》（鞍环发[</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]6号）。</w:t>
            </w:r>
          </w:p>
          <w:p>
            <w:pPr>
              <w:adjustRightInd w:val="0"/>
              <w:snapToGrid w:val="0"/>
              <w:spacing w:line="360" w:lineRule="auto"/>
              <w:ind w:firstLine="480" w:firstLineChars="200"/>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本项目位于辽宁省鞍山市台安县-辽宁台安经济经济开发区中-</w:t>
            </w:r>
            <w:r>
              <w:rPr>
                <w:rFonts w:hint="default"/>
                <w:color w:val="000000" w:themeColor="text1"/>
                <w:sz w:val="24"/>
                <w:szCs w:val="24"/>
                <w:highlight w:val="none"/>
                <w:lang w:val="en-US" w:eastAsia="zh-CN"/>
                <w14:textFill>
                  <w14:solidFill>
                    <w14:schemeClr w14:val="tx1"/>
                  </w14:solidFill>
                </w14:textFill>
              </w:rPr>
              <w:t>装备及其他产业区</w:t>
            </w:r>
            <w:r>
              <w:rPr>
                <w:rFonts w:hint="eastAsia"/>
                <w:color w:val="000000" w:themeColor="text1"/>
                <w:sz w:val="24"/>
                <w:szCs w:val="24"/>
                <w:highlight w:val="none"/>
                <w:lang w:val="en-US" w:eastAsia="zh-CN"/>
                <w14:textFill>
                  <w14:solidFill>
                    <w14:schemeClr w14:val="tx1"/>
                  </w14:solidFill>
                </w14:textFill>
              </w:rPr>
              <w:t>，根据《鞍山市人民政府关于实施“三线一单”生态环境分区管控的意见》中鞍山市环境管控单元分布示意图（鞍山市环境管控单元分布示意图见附图2），本项目所在区域属于重点管控单元。结合《鞍山市生态环境准入清单（</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年版）》，本项目与鞍山市生态环境准入要求符合性分析具体见表</w:t>
            </w:r>
            <w:r>
              <w:rPr>
                <w:rFonts w:hint="default"/>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4。</w:t>
            </w:r>
          </w:p>
          <w:p>
            <w:pPr>
              <w:spacing w:line="240" w:lineRule="auto"/>
              <w:ind w:firstLine="422" w:firstLineChars="200"/>
              <w:jc w:val="center"/>
              <w:rPr>
                <w:rFonts w:hint="default"/>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表1-</w:t>
            </w:r>
            <w:r>
              <w:rPr>
                <w:rFonts w:hint="eastAsia"/>
                <w:b/>
                <w:bCs/>
                <w:color w:val="000000" w:themeColor="text1"/>
                <w:highlight w:val="none"/>
                <w:lang w:val="en-US" w:eastAsia="zh-CN"/>
                <w14:textFill>
                  <w14:solidFill>
                    <w14:schemeClr w14:val="tx1"/>
                  </w14:solidFill>
                </w14:textFill>
              </w:rPr>
              <w:t xml:space="preserve">4 </w:t>
            </w:r>
            <w:r>
              <w:rPr>
                <w:rFonts w:hint="default"/>
                <w:b/>
                <w:bCs/>
                <w:color w:val="000000" w:themeColor="text1"/>
                <w:highlight w:val="none"/>
                <w14:textFill>
                  <w14:solidFill>
                    <w14:schemeClr w14:val="tx1"/>
                  </w14:solidFill>
                </w14:textFill>
              </w:rPr>
              <w:t>与</w:t>
            </w:r>
            <w:r>
              <w:rPr>
                <w:rFonts w:hint="eastAsia"/>
                <w:b/>
                <w:bCs/>
                <w:color w:val="000000" w:themeColor="text1"/>
                <w:highlight w:val="none"/>
                <w:lang w:val="en-US" w:eastAsia="zh-CN"/>
                <w14:textFill>
                  <w14:solidFill>
                    <w14:schemeClr w14:val="tx1"/>
                  </w14:solidFill>
                </w14:textFill>
              </w:rPr>
              <w:t>鞍山市</w:t>
            </w:r>
            <w:r>
              <w:rPr>
                <w:rFonts w:hint="default"/>
                <w:b/>
                <w:bCs/>
                <w:color w:val="000000" w:themeColor="text1"/>
                <w:highlight w:val="none"/>
                <w14:textFill>
                  <w14:solidFill>
                    <w14:schemeClr w14:val="tx1"/>
                  </w14:solidFill>
                </w14:textFill>
              </w:rPr>
              <w:t>“三线一单”</w:t>
            </w:r>
            <w:r>
              <w:rPr>
                <w:rFonts w:hint="default"/>
                <w:b/>
                <w:bCs/>
                <w:color w:val="000000" w:themeColor="text1"/>
                <w:highlight w:val="none"/>
                <w:lang w:val="en-US" w:eastAsia="zh-CN"/>
                <w14:textFill>
                  <w14:solidFill>
                    <w14:schemeClr w14:val="tx1"/>
                  </w14:solidFill>
                </w14:textFill>
              </w:rPr>
              <w:t>分区管控</w:t>
            </w:r>
            <w:r>
              <w:rPr>
                <w:rFonts w:hint="eastAsia"/>
                <w:b/>
                <w:bCs/>
                <w:color w:val="000000" w:themeColor="text1"/>
                <w:highlight w:val="none"/>
                <w:lang w:val="en-US" w:eastAsia="zh-CN"/>
                <w14:textFill>
                  <w14:solidFill>
                    <w14:schemeClr w14:val="tx1"/>
                  </w14:solidFill>
                </w14:textFill>
              </w:rPr>
              <w:t>相符性</w:t>
            </w:r>
            <w:r>
              <w:rPr>
                <w:rFonts w:hint="default"/>
                <w:b/>
                <w:bCs/>
                <w:color w:val="000000" w:themeColor="text1"/>
                <w:highlight w:val="none"/>
                <w14:textFill>
                  <w14:solidFill>
                    <w14:schemeClr w14:val="tx1"/>
                  </w14:solidFill>
                </w14:textFill>
              </w:rPr>
              <w:t>分析</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3211"/>
              <w:gridCol w:w="2390"/>
              <w:gridCol w:w="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6" w:type="pct"/>
                  <w:gridSpan w:val="2"/>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相关要求</w:t>
                  </w:r>
                </w:p>
              </w:tc>
              <w:tc>
                <w:tcPr>
                  <w:tcW w:w="1646"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537"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ZH21032120002</w:t>
                  </w:r>
                  <w:r>
                    <w:rPr>
                      <w:rFonts w:hint="default"/>
                      <w:color w:val="000000" w:themeColor="text1"/>
                      <w:highlight w:val="none"/>
                      <w14:textFill>
                        <w14:solidFill>
                          <w14:schemeClr w14:val="tx1"/>
                        </w14:solidFill>
                      </w14:textFill>
                    </w:rPr>
                    <w:t>重点管控单元</w:t>
                  </w:r>
                  <w:r>
                    <w:rPr>
                      <w:rFonts w:hint="default"/>
                      <w:color w:val="000000" w:themeColor="text1"/>
                      <w:highlight w:val="none"/>
                      <w:lang w:val="en-US" w:eastAsia="zh-CN"/>
                      <w14:textFill>
                        <w14:solidFill>
                          <w14:schemeClr w14:val="tx1"/>
                        </w14:solidFill>
                      </w14:textFill>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空间布局约束</w:t>
                  </w:r>
                </w:p>
              </w:tc>
              <w:tc>
                <w:tcPr>
                  <w:tcW w:w="2210"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（1）执行开发区规划和规划环评及其审查意见相关要求。</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（2）优化产业布局和结构，实施分区差别化的产业准入要求。</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（3）合理规划居住区与园区，在居住区和园区、企业之间设置防护绿地、生态绿地等隔离带。</w:t>
                  </w:r>
                </w:p>
              </w:tc>
              <w:tc>
                <w:tcPr>
                  <w:tcW w:w="1646"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项目符合规划及规划环评要求，项目</w:t>
                  </w:r>
                  <w:r>
                    <w:rPr>
                      <w:rFonts w:hint="eastAsia"/>
                      <w:color w:val="000000" w:themeColor="text1"/>
                      <w:highlight w:val="none"/>
                      <w:lang w:eastAsia="zh-CN"/>
                      <w14:textFill>
                        <w14:solidFill>
                          <w14:schemeClr w14:val="tx1"/>
                        </w14:solidFill>
                      </w14:textFill>
                    </w:rPr>
                    <w:t>北侧为中粮辽宁银鼎米业有限公司</w:t>
                  </w:r>
                  <w:r>
                    <w:rPr>
                      <w:rFonts w:hint="eastAsia"/>
                      <w:color w:val="000000" w:themeColor="text1"/>
                      <w:highlight w:val="none"/>
                      <w:lang w:val="en-US" w:eastAsia="zh-CN"/>
                      <w14:textFill>
                        <w14:solidFill>
                          <w14:schemeClr w14:val="tx1"/>
                        </w14:solidFill>
                      </w14:textFill>
                    </w:rPr>
                    <w:t>，西侧为鞍山市奥鞍耐火材料有限公司，东侧为金山钢构彩板有限公司，南侧为空地，周边无居住区。</w:t>
                  </w:r>
                </w:p>
              </w:tc>
              <w:tc>
                <w:tcPr>
                  <w:tcW w:w="537"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污染物排放管控</w:t>
                  </w:r>
                </w:p>
              </w:tc>
              <w:tc>
                <w:tcPr>
                  <w:tcW w:w="2210"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（1）严格实施污染物总量控制制度，根据区域环境质量改善目标，采取有效措施减少主要污染物排放总量，确保区域环境质量持续改善；园区污染物排放总量按照规划和规划环评及其审查意见的要求进行管控。</w:t>
                  </w:r>
                </w:p>
                <w:p>
                  <w:pPr>
                    <w:pStyle w:val="45"/>
                    <w:bidi w:val="0"/>
                    <w:rPr>
                      <w:rFonts w:hint="default"/>
                      <w:color w:val="000000" w:themeColor="text1"/>
                      <w:highlight w:val="none"/>
                      <w:lang w:val="en-US"/>
                      <w14:textFill>
                        <w14:solidFill>
                          <w14:schemeClr w14:val="tx1"/>
                        </w14:solidFill>
                      </w14:textFill>
                    </w:rPr>
                  </w:pPr>
                  <w:r>
                    <w:rPr>
                      <w:rFonts w:hint="default"/>
                      <w:color w:val="000000" w:themeColor="text1"/>
                      <w:highlight w:val="none"/>
                      <w:lang w:val="en-US"/>
                      <w14:textFill>
                        <w14:solidFill>
                          <w14:schemeClr w14:val="tx1"/>
                        </w14:solidFill>
                      </w14:textFill>
                    </w:rPr>
                    <w:t>（2）区内设置统一的污水管网，各污水处理厂进水水质应达到《辽宁省污水综合排放标准》（DB21/1627-2008）表2限值，该标准未包括的水污染项目，从严执行GB8978《污水综合排放标准》或对应国家行业及国家清洁生产标准，出水水质应达到GB18918《城镇污水处理厂污染物排放标准》（GB18918）一级A标准；</w:t>
                  </w:r>
                </w:p>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（3）各企业应建设一般工业固体废物贮存设施，并符合《一般工业固体废物贮存、处置场污染控制标准》要求；各危险废物产排企业应建设危险固体废物贮存设施，并符合《危险废物贮存污染控制标准》要求。</w:t>
                  </w:r>
                </w:p>
              </w:tc>
              <w:tc>
                <w:tcPr>
                  <w:tcW w:w="1646"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项目排水仅为员工的生活污水，生活污水进入园区污水管网，进水水质满足要求，经台安县工业园区污水处理厂处理后排入小柳河</w:t>
                  </w:r>
                </w:p>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项目产生的一般工业固体废物符合《一般工业固体废物贮存、处置场污染控制标准》（</w:t>
                  </w:r>
                  <w:r>
                    <w:rPr>
                      <w:rFonts w:hint="default"/>
                      <w:color w:val="000000" w:themeColor="text1"/>
                      <w:highlight w:val="none"/>
                      <w:lang w:val="en-US" w:eastAsia="zh-CN"/>
                      <w14:textFill>
                        <w14:solidFill>
                          <w14:schemeClr w14:val="tx1"/>
                        </w14:solidFill>
                      </w14:textFill>
                    </w:rPr>
                    <w:t>GB18599-2020</w:t>
                  </w:r>
                  <w:r>
                    <w:rPr>
                      <w:rFonts w:hint="eastAsia"/>
                      <w:color w:val="000000" w:themeColor="text1"/>
                      <w:highlight w:val="none"/>
                      <w:lang w:val="en-US" w:eastAsia="zh-CN"/>
                      <w14:textFill>
                        <w14:solidFill>
                          <w14:schemeClr w14:val="tx1"/>
                        </w14:solidFill>
                      </w14:textFill>
                    </w:rPr>
                    <w:t>）的要求。本项目无危险废物产生。</w:t>
                  </w:r>
                </w:p>
              </w:tc>
              <w:tc>
                <w:tcPr>
                  <w:tcW w:w="537"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环境风险防控</w:t>
                  </w:r>
                </w:p>
              </w:tc>
              <w:tc>
                <w:tcPr>
                  <w:tcW w:w="2210"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（1）应建立环境风险防控体系。制定应急预案，配备必须的事故应急设备、物资，定期组织演练，防范环境风险。</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（2）加强环境影响跟踪监测，建立健全各环境要素监控体系，完善并落实日常环境监测与污染源监控计划。</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（3）严格防止大气、水体、土壤污染事件发生。</w:t>
                  </w:r>
                </w:p>
              </w:tc>
              <w:tc>
                <w:tcPr>
                  <w:tcW w:w="1646" w:type="pct"/>
                  <w:tcBorders>
                    <w:tl2br w:val="nil"/>
                    <w:tr2bl w:val="nil"/>
                  </w:tcBorders>
                  <w:noWrap w:val="0"/>
                  <w:vAlign w:val="center"/>
                </w:tcPr>
                <w:p>
                  <w:pPr>
                    <w:keepNext w:val="0"/>
                    <w:keepLines w:val="0"/>
                    <w:widowControl/>
                    <w:suppressLineNumbers w:val="0"/>
                    <w:jc w:val="left"/>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（1）本项目采取合理有效的环境风险防范措施及应急措施，提出了环境风险应急预案编制要求。</w:t>
                  </w:r>
                </w:p>
                <w:p>
                  <w:pPr>
                    <w:keepNext w:val="0"/>
                    <w:keepLines w:val="0"/>
                    <w:widowControl/>
                    <w:suppressLineNumbers w:val="0"/>
                    <w:jc w:val="left"/>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）待项目建成后，企业应当加强环境影响跟踪监测，建立健全各环境要素监控体系，完善并落实日常环境监测与污染源监控计划。</w:t>
                  </w:r>
                </w:p>
              </w:tc>
              <w:tc>
                <w:tcPr>
                  <w:tcW w:w="537"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资源开发效率要求</w:t>
                  </w:r>
                </w:p>
              </w:tc>
              <w:tc>
                <w:tcPr>
                  <w:tcW w:w="2210"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（1）鼓励支持使用新工艺、新技术替代传统工艺；引进项目的生产工艺、设备、能耗、污染物排放、资源利用等均须达到同行业先进水平，新入驻企业应进行碳排放情况与减排潜力分析。</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（2）按照国家和省能耗及水耗限额标准执行；强化企业清洁生产改造，推进节水型企业、节水型园区建设，提高资源能源利用效率。</w:t>
                  </w:r>
                  <w:r>
                    <w:rPr>
                      <w:rFonts w:hint="default"/>
                      <w:color w:val="000000" w:themeColor="text1"/>
                      <w:highlight w:val="none"/>
                      <w14:textFill>
                        <w14:solidFill>
                          <w14:schemeClr w14:val="tx1"/>
                        </w14:solidFill>
                      </w14:textFill>
                    </w:rPr>
                    <w:br w:type="textWrapping"/>
                  </w:r>
                  <w:r>
                    <w:rPr>
                      <w:rFonts w:hint="default"/>
                      <w:color w:val="000000" w:themeColor="text1"/>
                      <w:highlight w:val="none"/>
                      <w14:textFill>
                        <w14:solidFill>
                          <w14:schemeClr w14:val="tx1"/>
                        </w14:solidFill>
                      </w14:textFill>
                    </w:rPr>
                    <w:t>（3）避免加剧林地资源资产数量减少、质量下降的开发建设行为。</w:t>
                  </w:r>
                </w:p>
              </w:tc>
              <w:tc>
                <w:tcPr>
                  <w:tcW w:w="1646" w:type="pct"/>
                  <w:tcBorders>
                    <w:tl2br w:val="nil"/>
                    <w:tr2bl w:val="nil"/>
                  </w:tcBorders>
                  <w:noWrap w:val="0"/>
                  <w:vAlign w:val="center"/>
                </w:tcPr>
                <w:p>
                  <w:pPr>
                    <w:pStyle w:val="45"/>
                    <w:bidi w:val="0"/>
                    <w:jc w:val="left"/>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）本项目使用先进生产设备，设置严格污染物排放处置措施，可以达到同行业先进水平，本项目特征污染物主要为颗粒物不涉及碳排放。</w:t>
                  </w:r>
                </w:p>
                <w:p>
                  <w:pPr>
                    <w:pStyle w:val="45"/>
                    <w:bidi w:val="0"/>
                    <w:jc w:val="left"/>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（2）项目能耗、水耗较低，满足国家、省相关限额标准；</w:t>
                  </w:r>
                </w:p>
                <w:p>
                  <w:pPr>
                    <w:pStyle w:val="45"/>
                    <w:bidi w:val="0"/>
                    <w:jc w:val="left"/>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（3）项目在台安经济开发区原有工业场地内建设，不新增土地。</w:t>
                  </w:r>
                </w:p>
              </w:tc>
              <w:tc>
                <w:tcPr>
                  <w:tcW w:w="537"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综上所述，本项目建设符合“三线一单”管控要求。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1.4</w:t>
            </w:r>
            <w:r>
              <w:rPr>
                <w:rFonts w:hint="default"/>
                <w:b/>
                <w:bCs/>
                <w:color w:val="000000" w:themeColor="text1"/>
                <w:sz w:val="24"/>
                <w:szCs w:val="24"/>
                <w:highlight w:val="none"/>
                <w14:textFill>
                  <w14:solidFill>
                    <w14:schemeClr w14:val="tx1"/>
                  </w14:solidFill>
                </w14:textFill>
              </w:rPr>
              <w:t>与</w:t>
            </w:r>
            <w:r>
              <w:rPr>
                <w:rFonts w:hint="eastAsia"/>
                <w:b/>
                <w:bCs/>
                <w:color w:val="000000" w:themeColor="text1"/>
                <w:sz w:val="24"/>
                <w:szCs w:val="24"/>
                <w:highlight w:val="none"/>
                <w:lang w:val="en-US" w:eastAsia="zh-CN"/>
                <w14:textFill>
                  <w14:solidFill>
                    <w14:schemeClr w14:val="tx1"/>
                  </w14:solidFill>
                </w14:textFill>
              </w:rPr>
              <w:t>其他</w:t>
            </w:r>
            <w:r>
              <w:rPr>
                <w:rFonts w:hint="default"/>
                <w:b/>
                <w:bCs/>
                <w:color w:val="000000" w:themeColor="text1"/>
                <w:sz w:val="24"/>
                <w:szCs w:val="24"/>
                <w:highlight w:val="none"/>
                <w14:textFill>
                  <w14:solidFill>
                    <w14:schemeClr w14:val="tx1"/>
                  </w14:solidFill>
                </w14:textFill>
              </w:rPr>
              <w:t>文件</w:t>
            </w:r>
            <w:r>
              <w:rPr>
                <w:rFonts w:hint="eastAsia"/>
                <w:b/>
                <w:bCs/>
                <w:color w:val="000000" w:themeColor="text1"/>
                <w:sz w:val="24"/>
                <w:szCs w:val="24"/>
                <w:highlight w:val="none"/>
                <w:lang w:eastAsia="zh-CN"/>
                <w14:textFill>
                  <w14:solidFill>
                    <w14:schemeClr w14:val="tx1"/>
                  </w14:solidFill>
                </w14:textFill>
              </w:rPr>
              <w:t>相符</w:t>
            </w:r>
            <w:r>
              <w:rPr>
                <w:rFonts w:hint="default"/>
                <w:b/>
                <w:bCs/>
                <w:color w:val="000000" w:themeColor="text1"/>
                <w:sz w:val="24"/>
                <w:szCs w:val="24"/>
                <w:highlight w:val="none"/>
                <w14:textFill>
                  <w14:solidFill>
                    <w14:schemeClr w14:val="tx1"/>
                  </w14:solidFill>
                </w14:textFill>
              </w:rPr>
              <w:t>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textAlignment w:val="auto"/>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（1）与打好污染防治攻坚战相符性分析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经查阅</w:t>
            </w:r>
            <w:r>
              <w:rPr>
                <w:rFonts w:hint="default"/>
                <w:color w:val="000000" w:themeColor="text1"/>
                <w:sz w:val="24"/>
                <w:szCs w:val="24"/>
                <w:highlight w:val="none"/>
                <w:lang w:val="en-US" w:eastAsia="zh-CN"/>
                <w14:textFill>
                  <w14:solidFill>
                    <w14:schemeClr w14:val="tx1"/>
                  </w14:solidFill>
                </w14:textFill>
              </w:rPr>
              <w:t>《中共中央国务院关于深入打好污染防治攻坚战的意见》（2021年11月2日实施）、</w:t>
            </w:r>
            <w:r>
              <w:rPr>
                <w:rFonts w:hint="default"/>
                <w:color w:val="000000" w:themeColor="text1"/>
                <w:sz w:val="24"/>
                <w:szCs w:val="24"/>
                <w:highlight w:val="none"/>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辽宁省深入打好污染防治攻坚战实施方案</w:t>
            </w:r>
            <w:r>
              <w:rPr>
                <w:rFonts w:hint="default"/>
                <w:color w:val="000000" w:themeColor="text1"/>
                <w:sz w:val="24"/>
                <w:szCs w:val="24"/>
                <w:highlight w:val="none"/>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辽委发</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2022</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8</w:t>
            </w:r>
            <w:r>
              <w:rPr>
                <w:rFonts w:hint="default"/>
                <w:color w:val="000000" w:themeColor="text1"/>
                <w:sz w:val="24"/>
                <w:szCs w:val="24"/>
                <w:highlight w:val="none"/>
                <w14:textFill>
                  <w14:solidFill>
                    <w14:schemeClr w14:val="tx1"/>
                  </w14:solidFill>
                </w14:textFill>
              </w:rPr>
              <w:t>号）</w:t>
            </w:r>
            <w:r>
              <w:rPr>
                <w:rFonts w:hint="eastAsia"/>
                <w:color w:val="000000" w:themeColor="text1"/>
                <w:sz w:val="24"/>
                <w:szCs w:val="24"/>
                <w:highlight w:val="none"/>
                <w:lang w:val="en-US" w:eastAsia="zh-CN"/>
                <w14:textFill>
                  <w14:solidFill>
                    <w14:schemeClr w14:val="tx1"/>
                  </w14:solidFill>
                </w14:textFill>
              </w:rPr>
              <w:t>相关条款，本项目与其相符性分析详见表1-5。</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表1-5 本项目与打好污染防治攻坚战的相符性分析</w:t>
            </w:r>
          </w:p>
          <w:tbl>
            <w:tblPr>
              <w:tblStyle w:val="2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82"/>
              <w:gridCol w:w="4120"/>
              <w:gridCol w:w="1663"/>
              <w:gridCol w:w="69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分类</w:t>
                  </w:r>
                </w:p>
              </w:tc>
              <w:tc>
                <w:tcPr>
                  <w:tcW w:w="2904" w:type="pct"/>
                  <w:tcBorders>
                    <w:tl2br w:val="nil"/>
                    <w:tr2bl w:val="nil"/>
                  </w:tcBorders>
                  <w:noWrap w:val="0"/>
                  <w:vAlign w:val="center"/>
                </w:tcPr>
                <w:p>
                  <w:pPr>
                    <w:pStyle w:val="3"/>
                    <w:keepNext w:val="0"/>
                    <w:keepLines w:val="0"/>
                    <w:pageBreakBefore w:val="0"/>
                    <w:widowControl w:val="0"/>
                    <w:numPr>
                      <w:ilvl w:val="0"/>
                      <w:numId w:val="0"/>
                    </w:numPr>
                    <w:kinsoku/>
                    <w:wordWrap/>
                    <w:topLinePunct/>
                    <w:autoSpaceDE/>
                    <w:bidi w:val="0"/>
                    <w:adjustRightInd w:val="0"/>
                    <w:snapToGrid w:val="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文件要求</w:t>
                  </w:r>
                </w:p>
              </w:tc>
              <w:tc>
                <w:tcPr>
                  <w:tcW w:w="939" w:type="pct"/>
                  <w:tcBorders>
                    <w:tl2br w:val="nil"/>
                    <w:tr2bl w:val="nil"/>
                  </w:tcBorders>
                  <w:noWrap w:val="0"/>
                  <w:vAlign w:val="center"/>
                </w:tcPr>
                <w:p>
                  <w:pPr>
                    <w:pStyle w:val="3"/>
                    <w:keepNext w:val="0"/>
                    <w:keepLines w:val="0"/>
                    <w:pageBreakBefore w:val="0"/>
                    <w:widowControl w:val="0"/>
                    <w:kinsoku/>
                    <w:wordWrap/>
                    <w:topLinePunct/>
                    <w:autoSpaceDE/>
                    <w:bidi w:val="0"/>
                    <w:adjustRightInd w:val="0"/>
                    <w:snapToGrid w:val="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本项目情况</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restar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中共中央国务院关于深入打好污染防治攻坚战的意见</w:t>
                  </w:r>
                </w:p>
              </w:tc>
              <w:tc>
                <w:tcPr>
                  <w:tcW w:w="2904"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93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本项目不属于“两高”项目；不属于落后产能和过剩产能项目。</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加强生态环境分区管控。衔接国土空间规划分区和用途管制要求，将生态保护红线、环境质量底线、资源利用上线的硬约束落实到环境管控单元，建立差别化的生态环境准入清单，加强“三线一单”成果在政策制定、环境准入、园区管理、执法监管等方面的应用。健全以环评制度为主体的源头预防体系，严格规划环评审查和项目环评准入，开展重大经济技术政策的生态环境影响分析和重大生态环境政策的社会经济影响评估。</w:t>
                  </w:r>
                </w:p>
              </w:tc>
              <w:tc>
                <w:tcPr>
                  <w:tcW w:w="93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本项目所在环境管控单元符合“三线一单”的管控要求。</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着力打好重污染天气消除攻坚战。聚焦秋冬季细颗粒物污染，加大重点区域、重点行业结构调整和污染治理力度。京津冀及周边地区、汾渭平原持续开展秋冬季大气污染综合治理专项行动。东北地区加强秸秆禁烧管控和采暖燃煤污染治理。</w:t>
                  </w:r>
                </w:p>
              </w:tc>
              <w:tc>
                <w:tcPr>
                  <w:tcW w:w="93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本项目以天然气为燃料，属于清洁能源。</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完善挥发性有机物产品标准体系，建立低挥发性有机物含量产品标识制度。完善挥发性有机物监测技术和排放量计算方法，在相关条件成熟后，研究适时将挥发性有机物纳入环境保护税征收范围。推进钢铁、水泥、焦化行业企业超低排放改造，重点区域钢铁、燃煤机组、燃煤锅炉实现超低排放。开展涉气产业集群排查及分类治理，推进企业升级改造和区域环境综合整治。到</w:t>
                  </w:r>
                  <w:r>
                    <w:rPr>
                      <w:rFonts w:hint="default"/>
                      <w:color w:val="000000" w:themeColor="text1"/>
                      <w:highlight w:val="none"/>
                      <w:lang w:val="en-US" w:eastAsia="zh-CN"/>
                      <w14:textFill>
                        <w14:solidFill>
                          <w14:schemeClr w14:val="tx1"/>
                        </w14:solidFill>
                      </w14:textFill>
                    </w:rPr>
                    <w:t>2025</w:t>
                  </w:r>
                  <w:r>
                    <w:rPr>
                      <w:rFonts w:hint="eastAsia"/>
                      <w:color w:val="000000" w:themeColor="text1"/>
                      <w:highlight w:val="none"/>
                      <w:lang w:val="en-US" w:eastAsia="zh-CN"/>
                      <w14:textFill>
                        <w14:solidFill>
                          <w14:schemeClr w14:val="tx1"/>
                        </w14:solidFill>
                      </w14:textFill>
                    </w:rPr>
                    <w:t>年，挥发性有机物、氮氧化物排放总量比</w:t>
                  </w:r>
                  <w:r>
                    <w:rPr>
                      <w:rFonts w:hint="default"/>
                      <w:color w:val="000000" w:themeColor="text1"/>
                      <w:highlight w:val="none"/>
                      <w:lang w:val="en-US" w:eastAsia="zh-CN"/>
                      <w14:textFill>
                        <w14:solidFill>
                          <w14:schemeClr w14:val="tx1"/>
                        </w14:solidFill>
                      </w14:textFill>
                    </w:rPr>
                    <w:t>2020</w:t>
                  </w:r>
                  <w:r>
                    <w:rPr>
                      <w:rFonts w:hint="eastAsia"/>
                      <w:color w:val="000000" w:themeColor="text1"/>
                      <w:highlight w:val="none"/>
                      <w:lang w:val="en-US" w:eastAsia="zh-CN"/>
                      <w14:textFill>
                        <w14:solidFill>
                          <w14:schemeClr w14:val="tx1"/>
                        </w14:solidFill>
                      </w14:textFill>
                    </w:rPr>
                    <w:t>年分别下降</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以上，臭氧浓度增长趋势得到有效遏制，实现细颗粒物和臭氧协同控制。</w:t>
                  </w:r>
                </w:p>
              </w:tc>
              <w:tc>
                <w:tcPr>
                  <w:tcW w:w="93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企业生产装置位于密闭厂房内，并配套设置有废气收集处理装置。</w:t>
                  </w:r>
                </w:p>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restar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辽宁省深入打好污染防治攻坚战实施方案</w:t>
                  </w:r>
                </w:p>
              </w:tc>
              <w:tc>
                <w:tcPr>
                  <w:tcW w:w="2904"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坚决遏制高耗能高排放项目盲目发展。对“两高”项目实行清单管理、分类处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合规定的“两高”项目。</w:t>
                  </w:r>
                </w:p>
              </w:tc>
              <w:tc>
                <w:tcPr>
                  <w:tcW w:w="939" w:type="pct"/>
                  <w:tcBorders>
                    <w:tl2br w:val="nil"/>
                    <w:tr2bl w:val="nil"/>
                  </w:tcBorders>
                  <w:noWrap w:val="0"/>
                  <w:vAlign w:val="center"/>
                </w:tcPr>
                <w:p>
                  <w:pPr>
                    <w:pStyle w:val="3"/>
                    <w:keepNext w:val="0"/>
                    <w:keepLines w:val="0"/>
                    <w:pageBreakBefore w:val="0"/>
                    <w:widowControl w:val="0"/>
                    <w:numPr>
                      <w:ilvl w:val="0"/>
                      <w:numId w:val="0"/>
                    </w:numPr>
                    <w:kinsoku/>
                    <w:wordWrap/>
                    <w:topLinePunct/>
                    <w:autoSpaceDE/>
                    <w:bidi w:val="0"/>
                    <w:adjustRightInd w:val="0"/>
                    <w:snapToGrid w:val="0"/>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本项目不属于“两高”项目。</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加强生态环境分区管控。围绕构建“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开展重大经济技术政策的生态环境影响分析和重大生态环境政策的社会经济影响评估。</w:t>
                  </w:r>
                </w:p>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p>
              </w:tc>
              <w:tc>
                <w:tcPr>
                  <w:tcW w:w="939"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本项目符合“三线一单”生态环境分区管控要求。</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widowControl/>
                    <w:suppressLineNumbers w:val="0"/>
                    <w:jc w:val="left"/>
                    <w:rPr>
                      <w:color w:val="000000" w:themeColor="text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着力打好重污染天气消除攻坚战。实施清洁取暖攻坚行动。充分发挥热电机组和大型热源厂能力，推进燃煤锅炉关停整合。在空气质量未达标的城市城中村、城乡接合部，因地制宜推进供暖清洁化，有序开展农村地区散煤替代工作。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2025</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年，城市建成区基本淘汰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35</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蒸吨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小时及以下燃煤锅炉。</w:t>
                  </w:r>
                </w:p>
                <w:p>
                  <w:pPr>
                    <w:keepNext w:val="0"/>
                    <w:keepLines w:val="0"/>
                    <w:pageBreakBefore w:val="0"/>
                    <w:widowControl w:val="0"/>
                    <w:kinsoku/>
                    <w:wordWrap/>
                    <w:topLinePunct/>
                    <w:autoSpaceDE/>
                    <w:bidi w:val="0"/>
                    <w:adjustRightInd w:val="0"/>
                    <w:snapToGrid w:val="0"/>
                    <w:spacing w:line="240" w:lineRule="auto"/>
                    <w:ind w:firstLine="0" w:firstLineChars="0"/>
                    <w:jc w:val="left"/>
                    <w:textAlignment w:val="auto"/>
                    <w:rPr>
                      <w:rFonts w:hint="eastAsia"/>
                      <w:color w:val="000000" w:themeColor="text1"/>
                      <w:highlight w:val="none"/>
                      <w:lang w:val="en-US" w:eastAsia="zh-CN"/>
                      <w14:textFill>
                        <w14:solidFill>
                          <w14:schemeClr w14:val="tx1"/>
                        </w14:solidFill>
                      </w14:textFill>
                    </w:rPr>
                  </w:pPr>
                </w:p>
              </w:tc>
              <w:tc>
                <w:tcPr>
                  <w:tcW w:w="939"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本项目以天然气为燃料，属于清洁能源。</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7"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着力打好臭氧污染</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防治</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攻坚战。实施氮氧化物污染治理提升行动。推进钢铁、水泥、焦化行业企业超低排放改造，到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2025</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年，全省</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80%</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以上钢铁产能完成超低排放改造，球团、高炉、轧钢等企业参照钢铁行业超低排放要求实施改造，推动改造周期较长的企业先行实施氮氧化物超低排放改造。</w:t>
                  </w:r>
                </w:p>
              </w:tc>
              <w:tc>
                <w:tcPr>
                  <w:tcW w:w="939"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本项目不属于钢铁、水泥、焦化行业；本项目确保氮氧化物满足《锅炉大气污染物排放标准》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(GB13271-2014)</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特别排放限值。</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持续打好辽河流域综合治理攻坚战。实施工业园区污水整治行动。排查整治工业园区污水集中处理设施进水浓度异常、污水管网老旧破损、混接错接等问题。鼓励工业企业、园区污水处理设施升级改造。到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2025</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年，省级及以上工业园区污水管网质量和污水收集处理效率显著提升。</w:t>
                  </w:r>
                </w:p>
              </w:tc>
              <w:tc>
                <w:tcPr>
                  <w:tcW w:w="939"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07" w:type="pct"/>
                  <w:vMerge w:val="continue"/>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p>
              </w:tc>
              <w:tc>
                <w:tcPr>
                  <w:tcW w:w="2904"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稳步推进“无废城市”建设。健全“无废城市”建设制度、技术、市场、监管体系，推进城市固体废物精细化管理。推进沈阳、大连和盘锦市开展“无废城市”建设。推进尾矿、煤矸石、粉煤灰、冶炼废渣、工业副产品石膏等固体废物综合利用。</w:t>
                  </w:r>
                </w:p>
              </w:tc>
              <w:tc>
                <w:tcPr>
                  <w:tcW w:w="939" w:type="pct"/>
                  <w:tcBorders>
                    <w:tl2br w:val="nil"/>
                    <w:tr2bl w:val="nil"/>
                  </w:tcBorders>
                  <w:noWrap w:val="0"/>
                  <w:vAlign w:val="center"/>
                </w:tcPr>
                <w:p>
                  <w:pPr>
                    <w:keepNext w:val="0"/>
                    <w:keepLines w:val="0"/>
                    <w:widowControl/>
                    <w:suppressLineNumbers w:val="0"/>
                    <w:jc w:val="left"/>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本项目生活垃圾由环卫部门统一清运。金属杂质、废包装袋</w:t>
                  </w:r>
                  <w:r>
                    <w:rPr>
                      <w:rFonts w:hint="default"/>
                      <w:color w:val="000000" w:themeColor="text1"/>
                      <w:highlight w:val="none"/>
                      <w:lang w:val="en-US" w:eastAsia="zh-CN"/>
                      <w14:textFill>
                        <w14:solidFill>
                          <w14:schemeClr w14:val="tx1"/>
                        </w14:solidFill>
                      </w14:textFill>
                    </w:rPr>
                    <w:t>集中收集后外售处理。</w:t>
                  </w:r>
                  <w:r>
                    <w:rPr>
                      <w:rFonts w:hint="eastAsia"/>
                      <w:color w:val="000000" w:themeColor="text1"/>
                      <w:highlight w:val="none"/>
                      <w:lang w:val="en-US" w:eastAsia="zh-CN"/>
                      <w14:textFill>
                        <w14:solidFill>
                          <w14:schemeClr w14:val="tx1"/>
                        </w14:solidFill>
                      </w14:textFill>
                    </w:rPr>
                    <w:t>废布袋、废离子交换树脂由厂家定期回收更换，厂区内不存储。除尘器除尘灰收集后回用于生产</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p>
              </w:tc>
              <w:tc>
                <w:tcPr>
                  <w:tcW w:w="549" w:type="pct"/>
                  <w:tcBorders>
                    <w:tl2br w:val="nil"/>
                    <w:tr2bl w:val="nil"/>
                  </w:tcBorders>
                  <w:noWrap w:val="0"/>
                  <w:vAlign w:val="center"/>
                </w:tcPr>
                <w:p>
                  <w:pPr>
                    <w:keepNext w:val="0"/>
                    <w:keepLines w:val="0"/>
                    <w:pageBreakBefore w:val="0"/>
                    <w:widowControl w:val="0"/>
                    <w:kinsoku/>
                    <w:wordWrap/>
                    <w:topLinePunct/>
                    <w:autoSpaceDE/>
                    <w:bidi w:val="0"/>
                    <w:adjustRightInd w:val="0"/>
                    <w:snapToGrid w:val="0"/>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综上，本项目符合《中共中央国务院关于深入打好污染防治攻坚战的意见》、《辽宁省深入打好污染防治攻坚战实施方案》要求。</w:t>
            </w:r>
          </w:p>
          <w:p>
            <w:pPr>
              <w:keepNext w:val="0"/>
              <w:keepLines w:val="0"/>
              <w:widowControl/>
              <w:suppressLineNumbers w:val="0"/>
              <w:jc w:val="left"/>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（2）与《辽宁省国民经济和社会发展第十四个五年规划和二〇三五年远景目标纲要》</w:t>
            </w:r>
            <w:r>
              <w:rPr>
                <w:rFonts w:hint="eastAsia"/>
                <w:b/>
                <w:bCs/>
                <w:color w:val="000000" w:themeColor="text1"/>
                <w:sz w:val="24"/>
                <w:highlight w:val="none"/>
                <w14:textFill>
                  <w14:solidFill>
                    <w14:schemeClr w14:val="tx1"/>
                  </w14:solidFill>
                </w14:textFill>
              </w:rPr>
              <w:t>、《鞍山市国民经济和社会发展第十四个五年规划和二</w:t>
            </w:r>
            <w:r>
              <w:rPr>
                <w:rFonts w:hint="eastAsia"/>
                <w:b/>
                <w:bCs/>
                <w:color w:val="000000" w:themeColor="text1"/>
                <w:sz w:val="24"/>
                <w:highlight w:val="none"/>
                <w:lang w:eastAsia="zh-CN"/>
                <w14:textFill>
                  <w14:solidFill>
                    <w14:schemeClr w14:val="tx1"/>
                  </w14:solidFill>
                </w14:textFill>
              </w:rPr>
              <w:t>〇</w:t>
            </w:r>
            <w:r>
              <w:rPr>
                <w:rFonts w:hint="eastAsia"/>
                <w:b/>
                <w:bCs/>
                <w:color w:val="000000" w:themeColor="text1"/>
                <w:sz w:val="24"/>
                <w:highlight w:val="none"/>
                <w14:textFill>
                  <w14:solidFill>
                    <w14:schemeClr w14:val="tx1"/>
                  </w14:solidFill>
                </w14:textFill>
              </w:rPr>
              <w:t>三五年远景目标纲要》</w:t>
            </w:r>
            <w:r>
              <w:rPr>
                <w:rFonts w:hint="eastAsia"/>
                <w:b/>
                <w:bCs/>
                <w:color w:val="000000" w:themeColor="text1"/>
                <w:sz w:val="24"/>
                <w:szCs w:val="24"/>
                <w:highlight w:val="none"/>
                <w:lang w:val="en-US" w:eastAsia="zh-CN"/>
                <w14:textFill>
                  <w14:solidFill>
                    <w14:schemeClr w14:val="tx1"/>
                  </w14:solidFill>
                </w14:textFill>
              </w:rPr>
              <w:t>相符性分析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本项目与《辽宁省国民经济和社会发展第十四个五年规划和二〇三五年远景目标纲要》、《鞍山市国民经济和社会发展第十四个五年规划和二〇三五年远景目标纲要》的相符性分析详见表1-6。</w:t>
            </w:r>
          </w:p>
          <w:p>
            <w:pPr>
              <w:keepNext w:val="0"/>
              <w:keepLines w:val="0"/>
              <w:widowControl/>
              <w:suppressLineNumbers w:val="0"/>
              <w:jc w:val="center"/>
              <w:rPr>
                <w:b/>
                <w:bCs/>
                <w:color w:val="000000" w:themeColor="text1"/>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1-6与《国民经济和社会发展第十四个五年规划和二〇三五年远景目标纲要》相符性分析一览表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4118"/>
              <w:gridCol w:w="1738"/>
              <w:gridCol w:w="7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272"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辽宁省国民经济和社会发展第十四个五年规划和二〇三五年远景目标纲要</w:t>
                  </w:r>
                </w:p>
              </w:tc>
              <w:tc>
                <w:tcPr>
                  <w:tcW w:w="119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项目情况</w:t>
                  </w:r>
                </w:p>
              </w:tc>
              <w:tc>
                <w:tcPr>
                  <w:tcW w:w="53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第十六章推进</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绿色发展</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建设美丽</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辽宁</w:t>
                  </w:r>
                </w:p>
              </w:tc>
              <w:tc>
                <w:tcPr>
                  <w:tcW w:w="2837"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第一节优化国土空间开发格局：推进城市化地区高效集聚发展。合理扩大区域中心城市规模，适度增加产业园区发展空间，引导人口和产业集中布局，提高城镇人口与产业综合承载能力，形成布局合理、分工协作、优势互补、集约高效的城市群和城镇体系。建设引领全省经济发展和城市化发展的核心区域，成为区域协调发展的重要支撑点。</w:t>
                  </w:r>
                </w:p>
              </w:tc>
              <w:tc>
                <w:tcPr>
                  <w:tcW w:w="119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本项目位于辽宁省鞍山市台安县辽宁台安经济经济开发区-</w:t>
                  </w:r>
                  <w:r>
                    <w:rPr>
                      <w:rFonts w:hint="default"/>
                      <w:color w:val="000000" w:themeColor="text1"/>
                      <w:highlight w:val="none"/>
                      <w:lang w:val="en-US" w:eastAsia="zh-CN"/>
                      <w14:textFill>
                        <w14:solidFill>
                          <w14:schemeClr w14:val="tx1"/>
                        </w14:solidFill>
                      </w14:textFill>
                    </w:rPr>
                    <w:t>装备及其他产业区</w:t>
                  </w:r>
                  <w:r>
                    <w:rPr>
                      <w:rFonts w:hint="eastAsia"/>
                      <w:color w:val="000000" w:themeColor="text1"/>
                      <w:highlight w:val="none"/>
                      <w:lang w:val="en-US" w:eastAsia="zh-CN"/>
                      <w14:textFill>
                        <w14:solidFill>
                          <w14:schemeClr w14:val="tx1"/>
                        </w14:solidFill>
                      </w14:textFill>
                    </w:rPr>
                    <w:t>，符合相关的产业政策，满足环保要求。</w:t>
                  </w:r>
                </w:p>
              </w:tc>
              <w:tc>
                <w:tcPr>
                  <w:tcW w:w="53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83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第二节推进绿色低碳发展：推进产业绿色转型。按照提升发展质量和效益、降低资源消耗、减少环境污染的要求，建立以产业生态化和生态产业化为主体的生态经济体系。依法依规淘汰落后产能和化解过剩产能，全面推行清洁生产，推进原材料行业绿色化改造。支持绿色技术创新，构建绿色制造体系，组织实施一批绿色制造系统集成项目，创建一批绿色工厂。推进农业农村减排固碳，实现农业资源利用节约化、废物处理资源化和无害化，提高农业综合效益。加快发展环境友好型现代服务业。</w:t>
                  </w:r>
                </w:p>
              </w:tc>
              <w:tc>
                <w:tcPr>
                  <w:tcW w:w="119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本项目使用能源为天然气，含硫量低。</w:t>
                  </w:r>
                </w:p>
              </w:tc>
              <w:tc>
                <w:tcPr>
                  <w:tcW w:w="53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83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第三节深入打好污染防治攻坚战：改善水生态环境质量。优化水环境质量目标管理，推进污染源</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排污口</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水体全过程监管。加强生活污水治理，巩固城市黑臭水体治理成效，推进重点流域和环渤海区域城市污水管网全覆盖。持续深化水污染物减排，推动工业企业污染排放全面达标。加强水源地保护，保障饮水安全。到</w:t>
                  </w:r>
                  <w:r>
                    <w:rPr>
                      <w:rFonts w:hint="default"/>
                      <w:color w:val="000000" w:themeColor="text1"/>
                      <w:highlight w:val="none"/>
                      <w:lang w:val="en-US" w:eastAsia="zh-CN"/>
                      <w14:textFill>
                        <w14:solidFill>
                          <w14:schemeClr w14:val="tx1"/>
                        </w14:solidFill>
                      </w14:textFill>
                    </w:rPr>
                    <w:t>2025</w:t>
                  </w:r>
                  <w:r>
                    <w:rPr>
                      <w:rFonts w:hint="eastAsia"/>
                      <w:color w:val="000000" w:themeColor="text1"/>
                      <w:highlight w:val="none"/>
                      <w:lang w:val="en-US" w:eastAsia="zh-CN"/>
                      <w14:textFill>
                        <w14:solidFill>
                          <w14:schemeClr w14:val="tx1"/>
                        </w14:solidFill>
                      </w14:textFill>
                    </w:rPr>
                    <w:t>年，基本消除劣</w:t>
                  </w:r>
                  <w:r>
                    <w:rPr>
                      <w:rFonts w:hint="default"/>
                      <w:color w:val="000000" w:themeColor="text1"/>
                      <w:highlight w:val="none"/>
                      <w:lang w:val="en-US" w:eastAsia="zh-CN"/>
                      <w14:textFill>
                        <w14:solidFill>
                          <w14:schemeClr w14:val="tx1"/>
                        </w14:solidFill>
                      </w14:textFill>
                    </w:rPr>
                    <w:t>V</w:t>
                  </w:r>
                  <w:r>
                    <w:rPr>
                      <w:rFonts w:hint="eastAsia"/>
                      <w:color w:val="000000" w:themeColor="text1"/>
                      <w:highlight w:val="none"/>
                      <w:lang w:val="en-US" w:eastAsia="zh-CN"/>
                      <w14:textFill>
                        <w14:solidFill>
                          <w14:schemeClr w14:val="tx1"/>
                        </w14:solidFill>
                      </w14:textFill>
                    </w:rPr>
                    <w:t>类水质断面和城市黑臭水体，有效降低化学需氧量和氨氮排放量。</w:t>
                  </w:r>
                </w:p>
              </w:tc>
              <w:tc>
                <w:tcPr>
                  <w:tcW w:w="119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w:t>
                  </w:r>
                </w:p>
              </w:tc>
              <w:tc>
                <w:tcPr>
                  <w:tcW w:w="53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72" w:type="pct"/>
                  <w:gridSpan w:val="2"/>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鞍山市国民经济和社会发展第十四个五年规划和二</w:t>
                  </w:r>
                  <w:r>
                    <w:rPr>
                      <w:rFonts w:hint="eastAsia"/>
                      <w:b w:val="0"/>
                      <w:bCs w:val="0"/>
                      <w:color w:val="000000" w:themeColor="text1"/>
                      <w:highlight w:val="none"/>
                      <w:lang w:val="en-US" w:eastAsia="zh-CN"/>
                      <w14:textFill>
                        <w14:solidFill>
                          <w14:schemeClr w14:val="tx1"/>
                        </w14:solidFill>
                      </w14:textFill>
                    </w:rPr>
                    <w:t>〇三</w:t>
                  </w:r>
                  <w:r>
                    <w:rPr>
                      <w:rFonts w:hint="eastAsia"/>
                      <w:color w:val="000000" w:themeColor="text1"/>
                      <w:highlight w:val="none"/>
                      <w:lang w:val="en-US" w:eastAsia="zh-CN"/>
                      <w14:textFill>
                        <w14:solidFill>
                          <w14:schemeClr w14:val="tx1"/>
                        </w14:solidFill>
                      </w14:textFill>
                    </w:rPr>
                    <w:t>五年远景目标纲要</w:t>
                  </w:r>
                </w:p>
              </w:tc>
              <w:tc>
                <w:tcPr>
                  <w:tcW w:w="119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项目情况</w:t>
                  </w:r>
                </w:p>
              </w:tc>
              <w:tc>
                <w:tcPr>
                  <w:tcW w:w="53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第十</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章坚持生态绿色发展，</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打造</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美丽</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宜居</w:t>
                  </w:r>
                </w:p>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家园</w:t>
                  </w:r>
                </w:p>
              </w:tc>
              <w:tc>
                <w:tcPr>
                  <w:tcW w:w="283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一、强化资源利用，推进低碳绿色循环发展：开展碳排放达峰行动。大力发展循环经济。深入推进节能降耗。推行绿色生活方式。</w:t>
                  </w:r>
                </w:p>
              </w:tc>
              <w:tc>
                <w:tcPr>
                  <w:tcW w:w="1197" w:type="pct"/>
                  <w:vMerge w:val="restar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本项目废气、废水均可达标排放，各类固体废物均可有效处理，对环境影响较小。</w:t>
                  </w:r>
                </w:p>
              </w:tc>
              <w:tc>
                <w:tcPr>
                  <w:tcW w:w="53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83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二、提升品质形象，持续改善城市人居环境：加强生态保护与修复。构建人与自然和谐关系。持续改善水环境。全面提升空气质量。强化土壤污染防治。</w:t>
                  </w:r>
                </w:p>
              </w:tc>
              <w:tc>
                <w:tcPr>
                  <w:tcW w:w="119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53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35"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837"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三、加强制度保障，提升生态治理现代化水平：强化生态空间管控。构建规范开放市场体系。推进环境治理制度改革。强化环境监管能力建设。强化自然资源资产管理。</w:t>
                  </w:r>
                </w:p>
              </w:tc>
              <w:tc>
                <w:tcPr>
                  <w:tcW w:w="119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53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textAlignment w:val="auto"/>
              <w:rPr>
                <w:rFonts w:hint="eastAsia"/>
                <w:b/>
                <w:bCs/>
                <w:color w:val="000000" w:themeColor="text1"/>
                <w:sz w:val="24"/>
                <w:szCs w:val="24"/>
                <w:highlight w:val="none"/>
                <w14:textFill>
                  <w14:solidFill>
                    <w14:schemeClr w14:val="tx1"/>
                  </w14:solidFill>
                </w14:textFill>
              </w:rPr>
            </w:pPr>
            <w:r>
              <w:rPr>
                <w:rFonts w:hint="eastAsia"/>
                <w:b/>
                <w:bCs/>
                <w:color w:val="000000" w:themeColor="text1"/>
                <w:highlight w:val="none"/>
                <w:lang w:eastAsia="zh-CN"/>
                <w14:textFill>
                  <w14:solidFill>
                    <w14:schemeClr w14:val="tx1"/>
                  </w14:solidFill>
                </w14:textFill>
              </w:rPr>
              <w:t>（</w:t>
            </w:r>
            <w:r>
              <w:rPr>
                <w:rFonts w:hint="eastAsia"/>
                <w:b/>
                <w:bCs/>
                <w:color w:val="000000" w:themeColor="text1"/>
                <w:sz w:val="24"/>
                <w:szCs w:val="24"/>
                <w:highlight w:val="none"/>
                <w:lang w:val="en-US" w:eastAsia="zh-CN"/>
                <w14:textFill>
                  <w14:solidFill>
                    <w14:schemeClr w14:val="tx1"/>
                  </w14:solidFill>
                </w14:textFill>
              </w:rPr>
              <w:t>3</w:t>
            </w:r>
            <w:r>
              <w:rPr>
                <w:rFonts w:hint="eastAsia"/>
                <w:b/>
                <w:bCs/>
                <w:color w:val="000000" w:themeColor="text1"/>
                <w:sz w:val="24"/>
                <w:szCs w:val="24"/>
                <w:highlight w:val="none"/>
                <w:lang w:eastAsia="zh-CN"/>
                <w14:textFill>
                  <w14:solidFill>
                    <w14:schemeClr w14:val="tx1"/>
                  </w14:solidFill>
                </w14:textFill>
              </w:rPr>
              <w:t>）</w:t>
            </w:r>
            <w:r>
              <w:rPr>
                <w:rFonts w:hint="eastAsia"/>
                <w:b/>
                <w:bCs/>
                <w:color w:val="000000" w:themeColor="text1"/>
                <w:sz w:val="24"/>
                <w:szCs w:val="24"/>
                <w:highlight w:val="none"/>
                <w:lang w:val="en-US" w:eastAsia="zh-CN"/>
                <w14:textFill>
                  <w14:solidFill>
                    <w14:schemeClr w14:val="tx1"/>
                  </w14:solidFill>
                </w14:textFill>
              </w:rPr>
              <w:t>与“两高”文件相符性分析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根据《关于加强高耗能、高排放建设项目生态环境源头防控的指导意见》（环环评</w:t>
            </w:r>
            <w:r>
              <w:rPr>
                <w:rFonts w:hint="default"/>
                <w:color w:val="000000" w:themeColor="text1"/>
                <w:sz w:val="24"/>
                <w:szCs w:val="24"/>
                <w:highlight w:val="none"/>
                <w:lang w:val="en-US" w:eastAsia="zh-CN"/>
                <w14:textFill>
                  <w14:solidFill>
                    <w14:schemeClr w14:val="tx1"/>
                  </w14:solidFill>
                </w14:textFill>
              </w:rPr>
              <w:t>[2021]45</w:t>
            </w:r>
            <w:r>
              <w:rPr>
                <w:rFonts w:hint="eastAsia"/>
                <w:color w:val="000000" w:themeColor="text1"/>
                <w:sz w:val="24"/>
                <w:szCs w:val="24"/>
                <w:highlight w:val="none"/>
                <w:lang w:val="en-US" w:eastAsia="zh-CN"/>
                <w14:textFill>
                  <w14:solidFill>
                    <w14:schemeClr w14:val="tx1"/>
                  </w14:solidFill>
                </w14:textFill>
              </w:rPr>
              <w:t>号）、《辽宁省人民政府办公厅关于加强全省高耗能、高排放项目准入管理的意见》（辽政办发[</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lang w:val="en-US" w:eastAsia="zh-CN"/>
                <w14:textFill>
                  <w14:solidFill>
                    <w14:schemeClr w14:val="tx1"/>
                  </w14:solidFill>
                </w14:textFill>
              </w:rPr>
              <w:t>号）、与《辽宁省人民政府办公厅关于加强全省高耗能、高排放项目准入管理的意见》（辽政办发[</w:t>
            </w:r>
            <w:r>
              <w:rPr>
                <w:rFonts w:hint="default"/>
                <w:color w:val="000000" w:themeColor="text1"/>
                <w:sz w:val="24"/>
                <w:szCs w:val="24"/>
                <w:highlight w:val="none"/>
                <w:lang w:val="en-US" w:eastAsia="zh-CN"/>
                <w14:textFill>
                  <w14:solidFill>
                    <w14:schemeClr w14:val="tx1"/>
                  </w14:solidFill>
                </w14:textFill>
              </w:rPr>
              <w:t>2021</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lang w:val="en-US" w:eastAsia="zh-CN"/>
                <w14:textFill>
                  <w14:solidFill>
                    <w14:schemeClr w14:val="tx1"/>
                  </w14:solidFill>
                </w14:textFill>
              </w:rPr>
              <w:t>号）等“两高”管理文件的相关要求，本项目不属于“两高”项目。</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textAlignment w:val="auto"/>
              <w:rPr>
                <w:rFonts w:hint="eastAsia"/>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（4）与《鞍山市人民政府关于印发鞍山市打赢蓝天保卫战实施方案的通知》（鞍政发</w:t>
            </w:r>
            <w:r>
              <w:rPr>
                <w:rFonts w:hint="default"/>
                <w:b/>
                <w:bCs/>
                <w:color w:val="000000" w:themeColor="text1"/>
                <w:sz w:val="24"/>
                <w:szCs w:val="24"/>
                <w:highlight w:val="none"/>
                <w:lang w:val="en-US" w:eastAsia="zh-CN"/>
                <w14:textFill>
                  <w14:solidFill>
                    <w14:schemeClr w14:val="tx1"/>
                  </w14:solidFill>
                </w14:textFill>
              </w:rPr>
              <w:t>[2019]11</w:t>
            </w:r>
            <w:r>
              <w:rPr>
                <w:rFonts w:hint="eastAsia"/>
                <w:b/>
                <w:bCs/>
                <w:color w:val="000000" w:themeColor="text1"/>
                <w:sz w:val="24"/>
                <w:szCs w:val="24"/>
                <w:highlight w:val="none"/>
                <w:lang w:val="en-US" w:eastAsia="zh-CN"/>
                <w14:textFill>
                  <w14:solidFill>
                    <w14:schemeClr w14:val="tx1"/>
                  </w14:solidFill>
                </w14:textFill>
              </w:rPr>
              <w:t>号）相符性分析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对照《鞍山市人民政府关于印发鞍山市打赢蓝天保卫战实施方案的通知》的相关内容，本项目燃料为天然气，不属于高污染燃料，且本项目不属于规定的重点行业，其原料、工艺、产品均符合国家及地方产业政策，项目建设符合城市规划要求，符合《鞍山市人民政府关于印发鞍山市打赢蓝天保卫战实施方案的通知》（鞍政发</w:t>
            </w:r>
            <w:r>
              <w:rPr>
                <w:rFonts w:hint="default"/>
                <w:color w:val="000000" w:themeColor="text1"/>
                <w:sz w:val="24"/>
                <w:szCs w:val="24"/>
                <w:highlight w:val="none"/>
                <w:lang w:val="en-US" w:eastAsia="zh-CN"/>
                <w14:textFill>
                  <w14:solidFill>
                    <w14:schemeClr w14:val="tx1"/>
                  </w14:solidFill>
                </w14:textFill>
              </w:rPr>
              <w:t>[2019]11</w:t>
            </w:r>
            <w:r>
              <w:rPr>
                <w:rFonts w:hint="eastAsia"/>
                <w:color w:val="000000" w:themeColor="text1"/>
                <w:sz w:val="24"/>
                <w:szCs w:val="24"/>
                <w:highlight w:val="none"/>
                <w:lang w:val="en-US" w:eastAsia="zh-CN"/>
                <w14:textFill>
                  <w14:solidFill>
                    <w14:schemeClr w14:val="tx1"/>
                  </w14:solidFill>
                </w14:textFill>
              </w:rPr>
              <w:t>号）的要求。</w:t>
            </w:r>
          </w:p>
          <w:p>
            <w:pPr>
              <w:keepNext w:val="0"/>
              <w:keepLines w:val="0"/>
              <w:widowControl/>
              <w:suppressLineNumbers w:val="0"/>
              <w:jc w:val="left"/>
              <w:rPr>
                <w:rFonts w:hint="eastAsia"/>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（5）与《鞍山市打赢蓝天保卫战实施方案（</w:t>
            </w:r>
            <w:r>
              <w:rPr>
                <w:rFonts w:hint="default"/>
                <w:b/>
                <w:bCs/>
                <w:color w:val="000000" w:themeColor="text1"/>
                <w:sz w:val="24"/>
                <w:szCs w:val="24"/>
                <w:highlight w:val="none"/>
                <w:lang w:val="en-US" w:eastAsia="zh-CN"/>
                <w14:textFill>
                  <w14:solidFill>
                    <w14:schemeClr w14:val="tx1"/>
                  </w14:solidFill>
                </w14:textFill>
              </w:rPr>
              <w:t>2018-2020</w:t>
            </w:r>
            <w:r>
              <w:rPr>
                <w:rFonts w:hint="eastAsia"/>
                <w:b/>
                <w:bCs/>
                <w:color w:val="000000" w:themeColor="text1"/>
                <w:sz w:val="24"/>
                <w:szCs w:val="24"/>
                <w:highlight w:val="none"/>
                <w:lang w:val="en-US" w:eastAsia="zh-CN"/>
                <w14:textFill>
                  <w14:solidFill>
                    <w14:schemeClr w14:val="tx1"/>
                  </w14:solidFill>
                </w14:textFill>
              </w:rPr>
              <w:t>年）的通知》相符性分析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本项目与《鞍山市打赢蓝天保卫战实施方案（</w:t>
            </w:r>
            <w:r>
              <w:rPr>
                <w:rFonts w:hint="default"/>
                <w:color w:val="000000" w:themeColor="text1"/>
                <w:sz w:val="24"/>
                <w:szCs w:val="24"/>
                <w:highlight w:val="none"/>
                <w:lang w:val="en-US" w:eastAsia="zh-CN"/>
                <w14:textFill>
                  <w14:solidFill>
                    <w14:schemeClr w14:val="tx1"/>
                  </w14:solidFill>
                </w14:textFill>
              </w:rPr>
              <w:t>2018-2020</w:t>
            </w:r>
            <w:r>
              <w:rPr>
                <w:rFonts w:hint="eastAsia"/>
                <w:color w:val="000000" w:themeColor="text1"/>
                <w:sz w:val="24"/>
                <w:szCs w:val="24"/>
                <w:highlight w:val="none"/>
                <w:lang w:val="en-US" w:eastAsia="zh-CN"/>
                <w14:textFill>
                  <w14:solidFill>
                    <w14:schemeClr w14:val="tx1"/>
                  </w14:solidFill>
                </w14:textFill>
              </w:rPr>
              <w:t>年）的通知》相符性分析具体详见表1-7。</w:t>
            </w:r>
          </w:p>
          <w:p>
            <w:pPr>
              <w:pStyle w:val="45"/>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表1-7本项目与《鞍山市打赢蓝天保卫战实施方案（</w:t>
            </w:r>
            <w:r>
              <w:rPr>
                <w:rFonts w:hint="default"/>
                <w:b/>
                <w:bCs/>
                <w:color w:val="000000" w:themeColor="text1"/>
                <w:highlight w:val="none"/>
                <w:lang w:val="en-US" w:eastAsia="zh-CN"/>
                <w14:textFill>
                  <w14:solidFill>
                    <w14:schemeClr w14:val="tx1"/>
                  </w14:solidFill>
                </w14:textFill>
              </w:rPr>
              <w:t>2018-2020</w:t>
            </w:r>
            <w:r>
              <w:rPr>
                <w:rFonts w:hint="eastAsia"/>
                <w:b/>
                <w:bCs/>
                <w:color w:val="000000" w:themeColor="text1"/>
                <w:highlight w:val="none"/>
                <w:lang w:val="en-US" w:eastAsia="zh-CN"/>
                <w14:textFill>
                  <w14:solidFill>
                    <w14:schemeClr w14:val="tx1"/>
                  </w14:solidFill>
                </w14:textFill>
              </w:rPr>
              <w:t>年）的通知》相符性分析一览表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4457"/>
              <w:gridCol w:w="1095"/>
              <w:gridCol w:w="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00" w:type="pct"/>
                  <w:tcBorders>
                    <w:tl2br w:val="nil"/>
                    <w:tr2bl w:val="nil"/>
                  </w:tcBorders>
                  <w:noWrap w:val="0"/>
                  <w:vAlign w:val="center"/>
                </w:tcPr>
                <w:p>
                  <w:pPr>
                    <w:adjustRightInd w:val="0"/>
                    <w:snapToGrid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序号</w:t>
                  </w:r>
                </w:p>
              </w:tc>
              <w:tc>
                <w:tcPr>
                  <w:tcW w:w="3068" w:type="pct"/>
                  <w:tcBorders>
                    <w:tl2br w:val="nil"/>
                    <w:tr2bl w:val="nil"/>
                  </w:tcBorders>
                  <w:noWrap w:val="0"/>
                  <w:vAlign w:val="center"/>
                </w:tcPr>
                <w:p>
                  <w:pPr>
                    <w:adjustRightInd w:val="0"/>
                    <w:snapToGrid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文件要求</w:t>
                  </w:r>
                </w:p>
              </w:tc>
              <w:tc>
                <w:tcPr>
                  <w:tcW w:w="754" w:type="pct"/>
                  <w:tcBorders>
                    <w:tl2br w:val="nil"/>
                    <w:tr2bl w:val="nil"/>
                  </w:tcBorders>
                  <w:noWrap w:val="0"/>
                  <w:vAlign w:val="center"/>
                </w:tcPr>
                <w:p>
                  <w:pPr>
                    <w:adjustRightInd w:val="0"/>
                    <w:snapToGrid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情况</w:t>
                  </w:r>
                </w:p>
              </w:tc>
              <w:tc>
                <w:tcPr>
                  <w:tcW w:w="676" w:type="pct"/>
                  <w:tcBorders>
                    <w:tl2br w:val="nil"/>
                    <w:tr2bl w:val="nil"/>
                  </w:tcBorders>
                  <w:noWrap w:val="0"/>
                  <w:vAlign w:val="center"/>
                </w:tcPr>
                <w:p>
                  <w:pPr>
                    <w:adjustRightInd w:val="0"/>
                    <w:snapToGrid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500" w:type="pct"/>
                  <w:tcBorders>
                    <w:tl2br w:val="nil"/>
                    <w:tr2bl w:val="nil"/>
                  </w:tcBorders>
                  <w:noWrap w:val="0"/>
                  <w:vAlign w:val="center"/>
                </w:tcPr>
                <w:p>
                  <w:pPr>
                    <w:adjustRightInd w:val="0"/>
                    <w:snapToGrid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3068" w:type="pct"/>
                  <w:tcBorders>
                    <w:tl2br w:val="nil"/>
                    <w:tr2bl w:val="nil"/>
                  </w:tcBorders>
                  <w:noWrap w:val="0"/>
                  <w:vAlign w:val="center"/>
                </w:tcPr>
                <w:p>
                  <w:pPr>
                    <w:adjustRightInd w:val="0"/>
                    <w:snapToGrid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全力淘汰燃煤小锅炉。加大燃煤小锅炉（包括燃煤锅炉及茶水炉经营性炉灶、储粮烘干设备等燃煤设施）淘汰力度。按照拆小并大全面排查燃煤锅炉，逐一登记</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建立管理清单和台账，按照拆小并大和推动清洁能源利用的原则，统筹制定拆除方案。加强生态环境、住房城乡建设、市场监督管理部门联动</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严控新建燃煤锅炉。</w:t>
                  </w:r>
                  <w:r>
                    <w:rPr>
                      <w:rFonts w:hint="default"/>
                      <w:color w:val="000000" w:themeColor="text1"/>
                      <w:highlight w:val="none"/>
                      <w:lang w:val="en-US" w:eastAsia="zh-CN"/>
                      <w14:textFill>
                        <w14:solidFill>
                          <w14:schemeClr w14:val="tx1"/>
                        </w14:solidFill>
                      </w14:textFill>
                    </w:rPr>
                    <w:t>2019</w:t>
                  </w:r>
                  <w:r>
                    <w:rPr>
                      <w:rFonts w:hint="eastAsia"/>
                      <w:color w:val="000000" w:themeColor="text1"/>
                      <w:highlight w:val="none"/>
                      <w:lang w:val="en-US" w:eastAsia="zh-CN"/>
                      <w14:textFill>
                        <w14:solidFill>
                          <w14:schemeClr w14:val="tx1"/>
                        </w14:solidFill>
                      </w14:textFill>
                    </w:rPr>
                    <w:t>年，提高淘汰燃煤锅炉标准，扩大实施范围，推进淘汰城市建成区内</w:t>
                  </w:r>
                  <w:r>
                    <w:rPr>
                      <w:rFonts w:hint="default"/>
                      <w:color w:val="000000" w:themeColor="text1"/>
                      <w:highlight w:val="none"/>
                      <w:lang w:val="en-US" w:eastAsia="zh-CN"/>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蒸吨</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小时（或</w:t>
                  </w:r>
                  <w:r>
                    <w:rPr>
                      <w:rFonts w:hint="default"/>
                      <w:color w:val="000000" w:themeColor="text1"/>
                      <w:highlight w:val="none"/>
                      <w:lang w:val="en-US" w:eastAsia="zh-CN"/>
                      <w14:textFill>
                        <w14:solidFill>
                          <w14:schemeClr w14:val="tx1"/>
                        </w14:solidFill>
                      </w14:textFill>
                    </w:rPr>
                    <w:t>14</w:t>
                  </w:r>
                  <w:r>
                    <w:rPr>
                      <w:rFonts w:hint="eastAsia"/>
                      <w:color w:val="000000" w:themeColor="text1"/>
                      <w:highlight w:val="none"/>
                      <w:lang w:val="en-US" w:eastAsia="zh-CN"/>
                      <w14:textFill>
                        <w14:solidFill>
                          <w14:schemeClr w14:val="tx1"/>
                        </w14:solidFill>
                      </w14:textFill>
                    </w:rPr>
                    <w:t>兆瓦）及以下燃煤锅炉：到</w:t>
                  </w:r>
                  <w:r>
                    <w:rPr>
                      <w:rFonts w:hint="default"/>
                      <w:color w:val="000000" w:themeColor="text1"/>
                      <w:highlight w:val="none"/>
                      <w:lang w:val="en-US" w:eastAsia="zh-CN"/>
                      <w14:textFill>
                        <w14:solidFill>
                          <w14:schemeClr w14:val="tx1"/>
                        </w14:solidFill>
                      </w14:textFill>
                    </w:rPr>
                    <w:t>2020</w:t>
                  </w:r>
                  <w:r>
                    <w:rPr>
                      <w:rFonts w:hint="eastAsia"/>
                      <w:color w:val="000000" w:themeColor="text1"/>
                      <w:highlight w:val="none"/>
                      <w:lang w:val="en-US" w:eastAsia="zh-CN"/>
                      <w14:textFill>
                        <w14:solidFill>
                          <w14:schemeClr w14:val="tx1"/>
                        </w14:solidFill>
                      </w14:textFill>
                    </w:rPr>
                    <w:t>年，除依据城市供热专项规划确需保留的供暖锅炉以外，城市建成区</w:t>
                  </w:r>
                  <w:r>
                    <w:rPr>
                      <w:rFonts w:hint="default"/>
                      <w:color w:val="000000" w:themeColor="text1"/>
                      <w:highlight w:val="none"/>
                      <w:lang w:val="en-US" w:eastAsia="zh-CN"/>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蒸吨</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小时（或</w:t>
                  </w:r>
                  <w:r>
                    <w:rPr>
                      <w:rFonts w:hint="default"/>
                      <w:color w:val="000000" w:themeColor="text1"/>
                      <w:highlight w:val="none"/>
                      <w:lang w:val="en-US" w:eastAsia="zh-CN"/>
                      <w14:textFill>
                        <w14:solidFill>
                          <w14:schemeClr w14:val="tx1"/>
                        </w14:solidFill>
                      </w14:textFill>
                    </w:rPr>
                    <w:t>14</w:t>
                  </w:r>
                  <w:r>
                    <w:rPr>
                      <w:rFonts w:hint="eastAsia"/>
                      <w:color w:val="000000" w:themeColor="text1"/>
                      <w:highlight w:val="none"/>
                      <w:lang w:val="en-US" w:eastAsia="zh-CN"/>
                      <w14:textFill>
                        <w14:solidFill>
                          <w14:schemeClr w14:val="tx1"/>
                        </w14:solidFill>
                      </w14:textFill>
                    </w:rPr>
                    <w:t>兆瓦）及以下燃煤锅炉全部予以淘汰。</w:t>
                  </w:r>
                </w:p>
              </w:tc>
              <w:tc>
                <w:tcPr>
                  <w:tcW w:w="754" w:type="pct"/>
                  <w:tcBorders>
                    <w:tl2br w:val="nil"/>
                    <w:tr2bl w:val="nil"/>
                  </w:tcBorders>
                  <w:noWrap w:val="0"/>
                  <w:vAlign w:val="center"/>
                </w:tcPr>
                <w:p>
                  <w:pPr>
                    <w:adjustRightInd w:val="0"/>
                    <w:snapToGrid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本项目不涉及燃煤锅炉的使用，项目新增</w:t>
                  </w: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台3</w:t>
                  </w:r>
                  <w:r>
                    <w:rPr>
                      <w:rFonts w:hint="default"/>
                      <w:color w:val="000000" w:themeColor="text1"/>
                      <w:highlight w:val="none"/>
                      <w:lang w:val="en-US" w:eastAsia="zh-CN"/>
                      <w14:textFill>
                        <w14:solidFill>
                          <w14:schemeClr w14:val="tx1"/>
                        </w14:solidFill>
                      </w14:textFill>
                    </w:rPr>
                    <w:t>t/h</w:t>
                  </w:r>
                  <w:r>
                    <w:rPr>
                      <w:rFonts w:hint="eastAsia"/>
                      <w:color w:val="000000" w:themeColor="text1"/>
                      <w:highlight w:val="none"/>
                      <w:lang w:val="en-US" w:eastAsia="zh-CN"/>
                      <w14:textFill>
                        <w14:solidFill>
                          <w14:schemeClr w14:val="tx1"/>
                        </w14:solidFill>
                      </w14:textFill>
                    </w:rPr>
                    <w:t>蒸汽锅炉，燃料使用天然气。</w:t>
                  </w:r>
                </w:p>
              </w:tc>
              <w:tc>
                <w:tcPr>
                  <w:tcW w:w="676" w:type="pct"/>
                  <w:tcBorders>
                    <w:tl2br w:val="nil"/>
                    <w:tr2bl w:val="nil"/>
                  </w:tcBorders>
                  <w:noWrap w:val="0"/>
                  <w:vAlign w:val="center"/>
                </w:tcPr>
                <w:p>
                  <w:pPr>
                    <w:adjustRightInd w:val="0"/>
                    <w:snapToGrid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500" w:type="pct"/>
                  <w:tcBorders>
                    <w:tl2br w:val="nil"/>
                    <w:tr2bl w:val="nil"/>
                  </w:tcBorders>
                  <w:noWrap w:val="0"/>
                  <w:vAlign w:val="center"/>
                </w:tcPr>
                <w:p>
                  <w:pPr>
                    <w:adjustRightInd w:val="0"/>
                    <w:snapToGrid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3068" w:type="pct"/>
                  <w:tcBorders>
                    <w:tl2br w:val="nil"/>
                    <w:tr2bl w:val="nil"/>
                  </w:tcBorders>
                  <w:noWrap w:val="0"/>
                  <w:vAlign w:val="center"/>
                </w:tcPr>
                <w:p>
                  <w:pPr>
                    <w:adjustRightInd w:val="0"/>
                    <w:snapToGrid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深化工业污染治理。持续推进工业污染源全面达标排放，按照国家部署和相关规范将烟气在线检测数据作为执法依据，加大超标处罚和联合惩戒力度，未达标排放的企业一律依法停产整治。建立覆盖所有固定污染源的企业排放许可制度，</w:t>
                  </w:r>
                  <w:r>
                    <w:rPr>
                      <w:rFonts w:hint="default"/>
                      <w:color w:val="000000" w:themeColor="text1"/>
                      <w:highlight w:val="none"/>
                      <w:lang w:val="en-US" w:eastAsia="zh-CN"/>
                      <w14:textFill>
                        <w14:solidFill>
                          <w14:schemeClr w14:val="tx1"/>
                        </w14:solidFill>
                      </w14:textFill>
                    </w:rPr>
                    <w:t>2020</w:t>
                  </w:r>
                  <w:r>
                    <w:rPr>
                      <w:rFonts w:hint="eastAsia"/>
                      <w:color w:val="000000" w:themeColor="text1"/>
                      <w:highlight w:val="none"/>
                      <w:lang w:val="en-US" w:eastAsia="zh-CN"/>
                      <w14:textFill>
                        <w14:solidFill>
                          <w14:schemeClr w14:val="tx1"/>
                        </w14:solidFill>
                      </w14:textFill>
                    </w:rPr>
                    <w:t>年底前，完成排污许可管理名录规定的行业许可证核发。</w:t>
                  </w:r>
                </w:p>
              </w:tc>
              <w:tc>
                <w:tcPr>
                  <w:tcW w:w="754" w:type="pct"/>
                  <w:tcBorders>
                    <w:tl2br w:val="nil"/>
                    <w:tr2bl w:val="nil"/>
                  </w:tcBorders>
                  <w:noWrap w:val="0"/>
                  <w:vAlign w:val="center"/>
                </w:tcPr>
                <w:p>
                  <w:pPr>
                    <w:adjustRightInd w:val="0"/>
                    <w:snapToGrid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本次环评要求，企业在启动生产后应该办理排污许可证。</w:t>
                  </w:r>
                </w:p>
              </w:tc>
              <w:tc>
                <w:tcPr>
                  <w:tcW w:w="676" w:type="pct"/>
                  <w:tcBorders>
                    <w:tl2br w:val="nil"/>
                    <w:tr2bl w:val="nil"/>
                  </w:tcBorders>
                  <w:noWrap w:val="0"/>
                  <w:vAlign w:val="center"/>
                </w:tcPr>
                <w:p>
                  <w:pPr>
                    <w:adjustRightInd w:val="0"/>
                    <w:snapToGrid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由上表可知，该项目符合《鞍山市打赢蓝天保卫战三年行动方案（</w:t>
            </w:r>
            <w:r>
              <w:rPr>
                <w:rFonts w:hint="default"/>
                <w:color w:val="000000" w:themeColor="text1"/>
                <w:sz w:val="24"/>
                <w:szCs w:val="24"/>
                <w:highlight w:val="none"/>
                <w:lang w:val="en-US" w:eastAsia="zh-CN"/>
                <w14:textFill>
                  <w14:solidFill>
                    <w14:schemeClr w14:val="tx1"/>
                  </w14:solidFill>
                </w14:textFill>
              </w:rPr>
              <w:t>2018</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2020</w:t>
            </w:r>
            <w:r>
              <w:rPr>
                <w:rFonts w:hint="eastAsia"/>
                <w:color w:val="000000" w:themeColor="text1"/>
                <w:sz w:val="24"/>
                <w:szCs w:val="24"/>
                <w:highlight w:val="none"/>
                <w:lang w:val="en-US" w:eastAsia="zh-CN"/>
                <w14:textFill>
                  <w14:solidFill>
                    <w14:schemeClr w14:val="tx1"/>
                  </w14:solidFill>
                </w14:textFill>
              </w:rPr>
              <w:t>年）》（本政发[</w:t>
            </w:r>
            <w:r>
              <w:rPr>
                <w:rFonts w:hint="default"/>
                <w:color w:val="000000" w:themeColor="text1"/>
                <w:sz w:val="24"/>
                <w:szCs w:val="24"/>
                <w:highlight w:val="none"/>
                <w:lang w:val="en-US" w:eastAsia="zh-CN"/>
                <w14:textFill>
                  <w14:solidFill>
                    <w14:schemeClr w14:val="tx1"/>
                  </w14:solidFill>
                </w14:textFill>
              </w:rPr>
              <w:t>2019</w:t>
            </w:r>
            <w:r>
              <w:rPr>
                <w:rFonts w:hint="eastAsia"/>
                <w:color w:val="000000" w:themeColor="text1"/>
                <w:sz w:val="24"/>
                <w:szCs w:val="24"/>
                <w:highlight w:val="none"/>
                <w:lang w:val="en-US" w:eastAsia="zh-CN"/>
                <w14:textFill>
                  <w14:solidFill>
                    <w14:schemeClr w14:val="tx1"/>
                  </w14:solidFill>
                </w14:textFill>
              </w:rPr>
              <w:t>]3号）中的相关要求。</w:t>
            </w:r>
          </w:p>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（6）辽宁省</w:t>
            </w:r>
            <w:r>
              <w:rPr>
                <w:b/>
                <w:bCs/>
                <w:color w:val="000000" w:themeColor="text1"/>
                <w:highlight w:val="none"/>
                <w:lang w:val="en-US"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十四五</w:t>
            </w:r>
            <w:r>
              <w:rPr>
                <w:rFonts w:hint="default"/>
                <w:b/>
                <w:bCs/>
                <w:color w:val="000000" w:themeColor="text1"/>
                <w:highlight w:val="none"/>
                <w:lang w:val="en-US"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生态环境保护规划符合性分析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通过对照《辽宁省人民政府办公厅关于印发辽宁省</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十四五</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生态环境保护规划的通知》（辽政办发</w:t>
            </w:r>
            <w:r>
              <w:rPr>
                <w:rFonts w:hint="default"/>
                <w:color w:val="000000" w:themeColor="text1"/>
                <w:highlight w:val="none"/>
                <w:lang w:val="en-US" w:eastAsia="zh-CN"/>
                <w14:textFill>
                  <w14:solidFill>
                    <w14:schemeClr w14:val="tx1"/>
                  </w14:solidFill>
                </w14:textFill>
              </w:rPr>
              <w:t>[2022]16</w:t>
            </w:r>
            <w:r>
              <w:rPr>
                <w:rFonts w:hint="eastAsia"/>
                <w:color w:val="000000" w:themeColor="text1"/>
                <w:highlight w:val="none"/>
                <w:lang w:val="en-US" w:eastAsia="zh-CN"/>
                <w14:textFill>
                  <w14:solidFill>
                    <w14:schemeClr w14:val="tx1"/>
                  </w14:solidFill>
                </w14:textFill>
              </w:rPr>
              <w:t>号），本项目符合</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十四五</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生态环境保护规划要求，具体见表</w:t>
            </w: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8。</w:t>
            </w:r>
          </w:p>
          <w:p>
            <w:pPr>
              <w:pStyle w:val="45"/>
              <w:bidi w:val="0"/>
              <w:rPr>
                <w:b/>
                <w:bCs/>
                <w:color w:val="000000" w:themeColor="text1"/>
                <w:highlight w:val="none"/>
                <w14:textFill>
                  <w14:solidFill>
                    <w14:schemeClr w14:val="tx1"/>
                  </w14:solidFill>
                </w14:textFill>
              </w:rPr>
            </w:pPr>
            <w:r>
              <w:rPr>
                <w:b/>
                <w:bCs/>
                <w:color w:val="000000" w:themeColor="text1"/>
                <w:highlight w:val="none"/>
                <w:lang w:val="en-US" w:eastAsia="zh-CN"/>
                <w14:textFill>
                  <w14:solidFill>
                    <w14:schemeClr w14:val="tx1"/>
                  </w14:solidFill>
                </w14:textFill>
              </w:rPr>
              <w:t>表</w:t>
            </w:r>
            <w:r>
              <w:rPr>
                <w:rFonts w:hint="default"/>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8 本项目与辽宁省</w:t>
            </w:r>
            <w:r>
              <w:rPr>
                <w:rFonts w:hint="default"/>
                <w:b/>
                <w:bCs/>
                <w:color w:val="000000" w:themeColor="text1"/>
                <w:highlight w:val="none"/>
                <w:lang w:val="en-US"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十四五</w:t>
            </w:r>
            <w:r>
              <w:rPr>
                <w:rFonts w:hint="default"/>
                <w:b/>
                <w:bCs/>
                <w:color w:val="000000" w:themeColor="text1"/>
                <w:highlight w:val="none"/>
                <w:lang w:val="en-US"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生态环境保护规划符合性分析表</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3379"/>
              <w:gridCol w:w="2221"/>
              <w:gridCol w:w="10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02"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337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文件要求</w:t>
                  </w:r>
                </w:p>
              </w:tc>
              <w:tc>
                <w:tcPr>
                  <w:tcW w:w="222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项目情况</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3379"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建立生态环境分区管控机制。强化“三线一单”生态环境分区管控的约束和政策引领</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应用于相关专项规划编制、产业政策制定、城镇建设、资源开发、建设项目选址、执法监管等方面</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健全完善“三线一单”分区管控、规划环评审查和建设项目环评审批联动机制，各市“三线一单”实施方案印发实施，依法依规推行规划环评清单式管理</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实现重点产业园区规划环评全覆盖。</w:t>
                  </w:r>
                </w:p>
              </w:tc>
              <w:tc>
                <w:tcPr>
                  <w:tcW w:w="2221" w:type="dxa"/>
                  <w:tcBorders>
                    <w:tl2br w:val="nil"/>
                    <w:tr2bl w:val="nil"/>
                  </w:tcBorders>
                  <w:noWrap w:val="0"/>
                  <w:vAlign w:val="center"/>
                </w:tcPr>
                <w:p>
                  <w:pPr>
                    <w:pStyle w:val="45"/>
                    <w:bidi w:val="0"/>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本项目符合“三线一单”生态环境分区管控要求。</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3379"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深入优化调整产业结构。持续压减淘汰落后和过剩产能，严格落实钢铁、水泥熟料、烧结砖瓦、电解铝、炼化等行业产能置换要求。</w:t>
                  </w:r>
                </w:p>
              </w:tc>
              <w:tc>
                <w:tcPr>
                  <w:tcW w:w="2221" w:type="dxa"/>
                  <w:tcBorders>
                    <w:tl2br w:val="nil"/>
                    <w:tr2bl w:val="nil"/>
                  </w:tcBorders>
                  <w:noWrap w:val="0"/>
                  <w:vAlign w:val="center"/>
                </w:tcPr>
                <w:p>
                  <w:pPr>
                    <w:pStyle w:val="45"/>
                    <w:bidi w:val="0"/>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本项目不属于钢铁、水泥熟料、烧结砖瓦、电解铝、炼化等行业。</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1" w:hRule="atLeast"/>
              </w:trPr>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337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加快优化调整能源结构。优化能源供给，大力发展风电和太阳能发电，安全有序发展核电</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推进红沿河、徐大堡和庄河等核电基地建设</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发挥天然气在低碳利用和能源调峰中的积极作用。加快实施能源消费结构调整，完善能耗</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双控</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。继续实施煤炭总量控制，推进煤炭替代。推行清洁能源替代，对以煤、石焦油、渣油、重油等为燃料的锅炉和工业炉窑</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加快使用清洁低碳能源以及工厂余热、电力热力等进行替代，持续推进清洁取暖。</w:t>
                  </w:r>
                </w:p>
              </w:tc>
              <w:tc>
                <w:tcPr>
                  <w:tcW w:w="2221" w:type="dxa"/>
                  <w:tcBorders>
                    <w:tl2br w:val="nil"/>
                    <w:tr2bl w:val="nil"/>
                  </w:tcBorders>
                  <w:noWrap w:val="0"/>
                  <w:vAlign w:val="center"/>
                </w:tcPr>
                <w:p>
                  <w:pPr>
                    <w:pStyle w:val="45"/>
                    <w:bidi w:val="0"/>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本项目使用清洁能源天然气，不涉及煤、石焦油、渣油、重油等燃料。</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3379"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强化燃煤锅炉整治和散煤污染治理。按照国家统一部署，推进热电联产企业供暖覆盖范围内的燃煤锅炉和小热电关停整合，实施燃煤锅炉超低排放改造。</w:t>
                  </w:r>
                </w:p>
              </w:tc>
              <w:tc>
                <w:tcPr>
                  <w:tcW w:w="222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本项目使用清洁能源天然气。</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3379"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实施重点行业</w:t>
                  </w:r>
                  <w:r>
                    <w:rPr>
                      <w:rFonts w:hint="default"/>
                      <w:color w:val="000000" w:themeColor="text1"/>
                      <w:highlight w:val="none"/>
                      <w:lang w:val="en-US" w:eastAsia="zh-CN"/>
                      <w14:textFill>
                        <w14:solidFill>
                          <w14:schemeClr w14:val="tx1"/>
                        </w14:solidFill>
                      </w14:textFill>
                    </w:rPr>
                    <w:t>NOx</w:t>
                  </w:r>
                  <w:r>
                    <w:rPr>
                      <w:rFonts w:hint="eastAsia"/>
                      <w:color w:val="000000" w:themeColor="text1"/>
                      <w:highlight w:val="none"/>
                      <w:lang w:val="en-US" w:eastAsia="zh-CN"/>
                      <w14:textFill>
                        <w14:solidFill>
                          <w14:schemeClr w14:val="tx1"/>
                        </w14:solidFill>
                      </w14:textFill>
                    </w:rPr>
                    <w:t>等污染物深度治理。以镁砂、钢铁、焦化、建材、有色金属冶炼、铸造等行业为重点，淘汰一批、替代一批、治理一批，分类推动工业炉窑全面实现污染物达标排放。</w:t>
                  </w:r>
                </w:p>
              </w:tc>
              <w:tc>
                <w:tcPr>
                  <w:tcW w:w="2221" w:type="dxa"/>
                  <w:tcBorders>
                    <w:tl2br w:val="nil"/>
                    <w:tr2bl w:val="nil"/>
                  </w:tcBorders>
                  <w:noWrap w:val="0"/>
                  <w:vAlign w:val="center"/>
                </w:tcPr>
                <w:p>
                  <w:pPr>
                    <w:pStyle w:val="45"/>
                    <w:bidi w:val="0"/>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本项目不属于镁砂、钢铁、焦化、建材、有色金属冶炼、铸造等行业。本项目</w:t>
                  </w:r>
                  <w:r>
                    <w:rPr>
                      <w:rFonts w:hint="default"/>
                      <w:color w:val="000000" w:themeColor="text1"/>
                      <w:highlight w:val="none"/>
                      <w:lang w:val="en-US" w:eastAsia="zh-CN"/>
                      <w14:textFill>
                        <w14:solidFill>
                          <w14:schemeClr w14:val="tx1"/>
                        </w14:solidFill>
                      </w14:textFill>
                    </w:rPr>
                    <w:t>NOx</w:t>
                  </w:r>
                  <w:r>
                    <w:rPr>
                      <w:rFonts w:hint="eastAsia"/>
                      <w:color w:val="000000" w:themeColor="text1"/>
                      <w:highlight w:val="none"/>
                      <w:lang w:val="en-US" w:eastAsia="zh-CN"/>
                      <w14:textFill>
                        <w14:solidFill>
                          <w14:schemeClr w14:val="tx1"/>
                        </w14:solidFill>
                      </w14:textFill>
                    </w:rPr>
                    <w:t>排放满足《锅炉大气污染物排放标准》</w:t>
                  </w:r>
                  <w:r>
                    <w:rPr>
                      <w:rFonts w:hint="default"/>
                      <w:color w:val="000000" w:themeColor="text1"/>
                      <w:highlight w:val="none"/>
                      <w:lang w:val="en-US" w:eastAsia="zh-CN"/>
                      <w14:textFill>
                        <w14:solidFill>
                          <w14:schemeClr w14:val="tx1"/>
                        </w14:solidFill>
                      </w14:textFill>
                    </w:rPr>
                    <w:t>(GB13271-2014)</w:t>
                  </w:r>
                  <w:r>
                    <w:rPr>
                      <w:rFonts w:hint="eastAsia"/>
                      <w:color w:val="000000" w:themeColor="text1"/>
                      <w:highlight w:val="none"/>
                      <w:lang w:val="en-US" w:eastAsia="zh-CN"/>
                      <w14:textFill>
                        <w14:solidFill>
                          <w14:schemeClr w14:val="tx1"/>
                        </w14:solidFill>
                      </w14:textFill>
                    </w:rPr>
                    <w:t>特别排放限值；</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2"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337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强化噪声污染整治。全面排查工业生产、建筑施工、交通运输和社会生活等领域的重点噪声排放源，依法严厉查处噪声排放超标扰民行为。</w:t>
                  </w:r>
                </w:p>
              </w:tc>
              <w:tc>
                <w:tcPr>
                  <w:tcW w:w="222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本项目厂界噪声满足《工业企业厂界环境噪声排放标准》</w:t>
                  </w:r>
                  <w:r>
                    <w:rPr>
                      <w:rFonts w:hint="default"/>
                      <w:color w:val="000000" w:themeColor="text1"/>
                      <w:highlight w:val="none"/>
                      <w:lang w:val="en-US" w:eastAsia="zh-CN"/>
                      <w14:textFill>
                        <w14:solidFill>
                          <w14:schemeClr w14:val="tx1"/>
                        </w14:solidFill>
                      </w14:textFill>
                    </w:rPr>
                    <w:t>(GB12348-2008)</w:t>
                  </w:r>
                  <w:r>
                    <w:rPr>
                      <w:rFonts w:hint="eastAsia"/>
                      <w:color w:val="000000" w:themeColor="text1"/>
                      <w:highlight w:val="none"/>
                      <w:lang w:val="en-US" w:eastAsia="zh-CN"/>
                      <w14:textFill>
                        <w14:solidFill>
                          <w14:schemeClr w14:val="tx1"/>
                        </w14:solidFill>
                      </w14:textFill>
                    </w:rPr>
                    <w:t>中的</w:t>
                  </w:r>
                  <w:r>
                    <w:rPr>
                      <w:rFonts w:hint="default"/>
                      <w:color w:val="000000" w:themeColor="text1"/>
                      <w:highlight w:val="none"/>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类标准限值。</w:t>
                  </w:r>
                </w:p>
              </w:tc>
              <w:tc>
                <w:tcPr>
                  <w:tcW w:w="105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（7）与《鞍山市生态环境保护“十四五”规划》符合性分析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本项目符合《鞍山市生态环境保护“十四五”规划》要求，具体符合性分析见下表。</w:t>
            </w:r>
          </w:p>
          <w:p>
            <w:pPr>
              <w:pStyle w:val="45"/>
              <w:bidi w:val="0"/>
              <w:rPr>
                <w:b/>
                <w:bCs/>
                <w:color w:val="000000" w:themeColor="text1"/>
                <w:highlight w:val="none"/>
                <w14:textFill>
                  <w14:solidFill>
                    <w14:schemeClr w14:val="tx1"/>
                  </w14:solidFill>
                </w14:textFill>
              </w:rPr>
            </w:pPr>
            <w:r>
              <w:rPr>
                <w:b/>
                <w:bCs/>
                <w:color w:val="000000" w:themeColor="text1"/>
                <w:highlight w:val="none"/>
                <w:lang w:val="en-US" w:eastAsia="zh-CN"/>
                <w14:textFill>
                  <w14:solidFill>
                    <w14:schemeClr w14:val="tx1"/>
                  </w14:solidFill>
                </w14:textFill>
              </w:rPr>
              <w:t>表</w:t>
            </w:r>
            <w:r>
              <w:rPr>
                <w:rFonts w:hint="default"/>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9本项目与《鞍山市生态环境保护“十四五”规划》符合性分析</w:t>
            </w:r>
          </w:p>
          <w:tbl>
            <w:tblPr>
              <w:tblStyle w:val="21"/>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4090"/>
              <w:gridCol w:w="1663"/>
              <w:gridCol w:w="8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283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相关规定</w:t>
                  </w:r>
                </w:p>
              </w:tc>
              <w:tc>
                <w:tcPr>
                  <w:tcW w:w="1090"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本项目情况</w:t>
                  </w:r>
                </w:p>
              </w:tc>
              <w:tc>
                <w:tcPr>
                  <w:tcW w:w="590"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8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283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完善绿色发展体系。加快构建现代“两翼一体化”产业发展体系、生产体系、流通体系、消费体系的绿色低碳循环发展体系。强化“三线一单”引领和刚性约束作用，实施“三线一单”生态环境分区管控，推行环评审批和监督执法“两个正面清单”，实现重点产业园区规划环评全覆盖。实施煤炭消费总量和强度“双控”管理，严禁高耗煤、能效水平较低的项目建设，建成区内重污染企业全部改造或关闭。</w:t>
                  </w:r>
                </w:p>
              </w:tc>
              <w:tc>
                <w:tcPr>
                  <w:tcW w:w="109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本项目符合“三线一单”生态环境分区管控要求。本项目不属于“两高”项目。</w:t>
                  </w:r>
                </w:p>
              </w:tc>
              <w:tc>
                <w:tcPr>
                  <w:tcW w:w="590"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283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推进重点行业企业减排技术改造。推进钢铁、菱镁、化工、有色等重点行业一批重点环保改造项目，加快除尘、脱硫脱硝系统升级改造，挥发性有机物（</w:t>
                  </w:r>
                  <w:r>
                    <w:rPr>
                      <w:rFonts w:hint="default"/>
                      <w:color w:val="000000" w:themeColor="text1"/>
                      <w:highlight w:val="none"/>
                      <w:lang w:val="en-US" w:eastAsia="zh-CN"/>
                      <w14:textFill>
                        <w14:solidFill>
                          <w14:schemeClr w14:val="tx1"/>
                        </w14:solidFill>
                      </w14:textFill>
                    </w:rPr>
                    <w:t>VOCs</w:t>
                  </w:r>
                  <w:r>
                    <w:rPr>
                      <w:rFonts w:hint="eastAsia"/>
                      <w:color w:val="000000" w:themeColor="text1"/>
                      <w:highlight w:val="none"/>
                      <w:lang w:val="en-US" w:eastAsia="zh-CN"/>
                      <w14:textFill>
                        <w14:solidFill>
                          <w14:schemeClr w14:val="tx1"/>
                        </w14:solidFill>
                      </w14:textFill>
                    </w:rPr>
                    <w:t>）治理。持续开展“双超”“双有”企业、超能耗限额企业强制性清洁生产审核，鼓励其他企业开展自愿性清洁生产审核。到</w:t>
                  </w:r>
                  <w:r>
                    <w:rPr>
                      <w:rFonts w:hint="default"/>
                      <w:color w:val="000000" w:themeColor="text1"/>
                      <w:highlight w:val="none"/>
                      <w:lang w:val="en-US" w:eastAsia="zh-CN"/>
                      <w14:textFill>
                        <w14:solidFill>
                          <w14:schemeClr w14:val="tx1"/>
                        </w14:solidFill>
                      </w14:textFill>
                    </w:rPr>
                    <w:t>2023</w:t>
                  </w:r>
                  <w:r>
                    <w:rPr>
                      <w:rFonts w:hint="eastAsia"/>
                      <w:color w:val="000000" w:themeColor="text1"/>
                      <w:highlight w:val="none"/>
                      <w:lang w:val="en-US" w:eastAsia="zh-CN"/>
                      <w14:textFill>
                        <w14:solidFill>
                          <w14:schemeClr w14:val="tx1"/>
                        </w14:solidFill>
                      </w14:textFill>
                    </w:rPr>
                    <w:t>年底，进一步削减钢铁、菱镁、水泥、化工等重点行业企业二氧化硫、氮氧化物、颗粒物、挥发性有机物（</w:t>
                  </w:r>
                  <w:r>
                    <w:rPr>
                      <w:rFonts w:hint="default"/>
                      <w:color w:val="000000" w:themeColor="text1"/>
                      <w:highlight w:val="none"/>
                      <w:lang w:val="en-US" w:eastAsia="zh-CN"/>
                      <w14:textFill>
                        <w14:solidFill>
                          <w14:schemeClr w14:val="tx1"/>
                        </w14:solidFill>
                      </w14:textFill>
                    </w:rPr>
                    <w:t>VOCs</w:t>
                  </w:r>
                  <w:r>
                    <w:rPr>
                      <w:rFonts w:hint="eastAsia"/>
                      <w:color w:val="000000" w:themeColor="text1"/>
                      <w:highlight w:val="none"/>
                      <w:lang w:val="en-US" w:eastAsia="zh-CN"/>
                      <w14:textFill>
                        <w14:solidFill>
                          <w14:schemeClr w14:val="tx1"/>
                        </w14:solidFill>
                      </w14:textFill>
                    </w:rPr>
                    <w:t>）等污染物排放总量，提升企业清洁生产水平。</w:t>
                  </w:r>
                </w:p>
              </w:tc>
              <w:tc>
                <w:tcPr>
                  <w:tcW w:w="109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本项目不属于重点行业；本项目氮氧化物满足《锅炉大气污染物排放标准》</w:t>
                  </w:r>
                  <w:r>
                    <w:rPr>
                      <w:rFonts w:hint="default"/>
                      <w:color w:val="000000" w:themeColor="text1"/>
                      <w:highlight w:val="none"/>
                      <w:lang w:val="en-US" w:eastAsia="zh-CN"/>
                      <w14:textFill>
                        <w14:solidFill>
                          <w14:schemeClr w14:val="tx1"/>
                        </w14:solidFill>
                      </w14:textFill>
                    </w:rPr>
                    <w:t>(GB13271-2014)</w:t>
                  </w:r>
                  <w:r>
                    <w:rPr>
                      <w:rFonts w:hint="eastAsia"/>
                      <w:color w:val="000000" w:themeColor="text1"/>
                      <w:highlight w:val="none"/>
                      <w:lang w:val="en-US" w:eastAsia="zh-CN"/>
                      <w14:textFill>
                        <w14:solidFill>
                          <w14:schemeClr w14:val="tx1"/>
                        </w14:solidFill>
                      </w14:textFill>
                    </w:rPr>
                    <w:t>特别排放限值。</w:t>
                  </w:r>
                </w:p>
              </w:tc>
              <w:tc>
                <w:tcPr>
                  <w:tcW w:w="590"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8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283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强化燃煤锅炉整治与清洁取暖。开展城市建成区内</w:t>
                  </w:r>
                  <w:r>
                    <w:rPr>
                      <w:rFonts w:hint="default"/>
                      <w:color w:val="000000" w:themeColor="text1"/>
                      <w:highlight w:val="none"/>
                      <w:lang w:val="en-US" w:eastAsia="zh-CN"/>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蒸吨</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小时以上燃煤锅炉全面排查，逐步取消分散燃煤锅炉，严控新建燃煤锅炉，推动燃煤锅炉执行大气污染物特别排放限值。全面推进清洁供暖，坚持宜电则电、宜气则气、宜煤则煤、宜热则热原则，结合具体条件实施电能替代、天然气替代、集中供热替代、新能源替代及型煤替代等，加强供热热源和配套管网建设。</w:t>
                  </w:r>
                </w:p>
              </w:tc>
              <w:tc>
                <w:tcPr>
                  <w:tcW w:w="1090"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本项目以天然气为燃料，属于清洁能源。</w:t>
                  </w:r>
                </w:p>
              </w:tc>
              <w:tc>
                <w:tcPr>
                  <w:tcW w:w="590"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（8）本项目与《辽宁省防沙治沙条例》相符性分析</w:t>
            </w:r>
          </w:p>
          <w:p>
            <w:pPr>
              <w:pStyle w:val="45"/>
              <w:bidi w:val="0"/>
              <w:rPr>
                <w:b/>
                <w:bCs/>
                <w:color w:val="000000" w:themeColor="text1"/>
                <w:highlight w:val="none"/>
                <w14:textFill>
                  <w14:solidFill>
                    <w14:schemeClr w14:val="tx1"/>
                  </w14:solidFill>
                </w14:textFill>
              </w:rPr>
            </w:pPr>
            <w:r>
              <w:rPr>
                <w:b/>
                <w:bCs/>
                <w:color w:val="000000" w:themeColor="text1"/>
                <w:highlight w:val="none"/>
                <w:lang w:val="en-US" w:eastAsia="zh-CN"/>
                <w14:textFill>
                  <w14:solidFill>
                    <w14:schemeClr w14:val="tx1"/>
                  </w14:solidFill>
                </w14:textFill>
              </w:rPr>
              <w:t>表</w:t>
            </w:r>
            <w:r>
              <w:rPr>
                <w:rFonts w:hint="default"/>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10本项目与《辽宁省防沙治沙条例》符合性分析</w:t>
            </w:r>
          </w:p>
          <w:tbl>
            <w:tblPr>
              <w:tblStyle w:val="21"/>
              <w:tblW w:w="726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3767"/>
              <w:gridCol w:w="1967"/>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376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相关规定</w:t>
                  </w:r>
                </w:p>
              </w:tc>
              <w:tc>
                <w:tcPr>
                  <w:tcW w:w="196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本项目情况</w:t>
                  </w:r>
                </w:p>
              </w:tc>
              <w:tc>
                <w:tcPr>
                  <w:tcW w:w="86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376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在沙化土地范围内从事开发建设活动的，必须事先就该项目可能对当地及相关地区生态产生的影响进行环境影响评价，依法提交环境影响报告；环境影响报告应当包括有关防沙治沙的内容。</w:t>
                  </w:r>
                </w:p>
              </w:tc>
              <w:tc>
                <w:tcPr>
                  <w:tcW w:w="196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本项目编制环境影响报告表。厂区路面硬化、四周设置绿化带，不会造成土地沙化及水土流失。</w:t>
                  </w:r>
                </w:p>
              </w:tc>
              <w:tc>
                <w:tcPr>
                  <w:tcW w:w="86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376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在沙化土地封禁保护区范围内，禁止一切破坏植被的活动。禁止在沙化土地封禁保护区范围内安置移民。对沙化土地封禁保护区范围内的农牧民，县级以上地方人民政府应当有计划地组织迁出，并妥善安置。沙化土地封禁保护区范围内尚未迁出的农牧民的生产生活，由沙化土地封禁保护区主管部门妥善安排。</w:t>
                  </w:r>
                </w:p>
              </w:tc>
              <w:tc>
                <w:tcPr>
                  <w:tcW w:w="196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本项目无新增占地，运营期无破坏植被行为。</w:t>
                  </w:r>
                </w:p>
              </w:tc>
              <w:tc>
                <w:tcPr>
                  <w:tcW w:w="86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376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省及沙化土地所在地区的县以上人民政府应当采取有效措施，鼓励发展替代燃料，开发利用沼气、太阳能、风能等能源，推广节能技术，提高能源利用率。</w:t>
                  </w:r>
                </w:p>
              </w:tc>
              <w:tc>
                <w:tcPr>
                  <w:tcW w:w="196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本项目生产设备使用电能、天然气，为清洁能源。</w:t>
                  </w:r>
                </w:p>
              </w:tc>
              <w:tc>
                <w:tcPr>
                  <w:tcW w:w="869"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符合</w:t>
                  </w:r>
                </w:p>
              </w:tc>
            </w:tr>
          </w:tbl>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根据《防沙治沙政策法规要求》，鞍山市台安县属于省内沙化土地主要分布地区，当重点增加、恢复和保护林草植被，治理土地沙化和草原退化、沙化、碱化，本评价要求企业采取以下措施进行防沙治沙。</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①施工结束后及时有效地对占地区域土地进行平整压实，利于植被自然恢复；</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②施工时要特别注意保护原始地表与天然植被，划定施工活动范围，严格控制和管理车辆及重型机械的运行范围，所有车辆采用“一”字型作业法，避免并行开辟新路，以减少风蚀沙化活动的范围；</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③施工作业避免在大风天施工；</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④路基边坡采取种草措施护坡固土，维护路基稳定和道路安全运行；</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⑤根据当地际情况、环境特征及原生植被特点和生存种类，建立乔、灌、草结合，网、带、片结合的沙地植被防护体系。裸露沙地，以种植草本和灌木植物为主。</w:t>
            </w:r>
          </w:p>
          <w:p>
            <w:pPr>
              <w:pStyle w:val="44"/>
              <w:ind w:left="0" w:leftChars="0" w:firstLine="0" w:firstLineChars="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9</w:t>
            </w:r>
            <w:r>
              <w:rPr>
                <w:b/>
                <w:bCs/>
                <w:color w:val="000000" w:themeColor="text1"/>
                <w:highlight w:val="none"/>
                <w14:textFill>
                  <w14:solidFill>
                    <w14:schemeClr w14:val="tx1"/>
                  </w14:solidFill>
                </w14:textFill>
              </w:rPr>
              <w:t>）与“十四五”噪声污染防治行动计划符合性分析</w:t>
            </w:r>
          </w:p>
          <w:p>
            <w:pPr>
              <w:pStyle w:val="45"/>
              <w:spacing w:line="36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default"/>
                <w:b/>
                <w:bCs/>
                <w:color w:val="000000" w:themeColor="text1"/>
                <w:highlight w:val="none"/>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11</w:t>
            </w:r>
            <w:r>
              <w:rPr>
                <w:b/>
                <w:bCs/>
                <w:color w:val="000000" w:themeColor="text1"/>
                <w:highlight w:val="none"/>
                <w14:textFill>
                  <w14:solidFill>
                    <w14:schemeClr w14:val="tx1"/>
                  </w14:solidFill>
                </w14:textFill>
              </w:rPr>
              <w:t xml:space="preserve">  与“十四五”噪声污染防治行动计划相符性分析</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4128"/>
              <w:gridCol w:w="1316"/>
              <w:gridCol w:w="9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条文明细</w:t>
                  </w:r>
                </w:p>
              </w:tc>
              <w:tc>
                <w:tcPr>
                  <w:tcW w:w="2842"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相关内容</w:t>
                  </w:r>
                </w:p>
              </w:tc>
              <w:tc>
                <w:tcPr>
                  <w:tcW w:w="906"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本项目情况</w:t>
                  </w:r>
                </w:p>
              </w:tc>
              <w:tc>
                <w:tcPr>
                  <w:tcW w:w="632"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 w:type="pct"/>
                  <w:noWrap w:val="0"/>
                  <w:vAlign w:val="center"/>
                </w:tcPr>
                <w:p>
                  <w:pPr>
                    <w:pStyle w:val="45"/>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深化工业企业噪声污染防治，加强重点企业监管</w:t>
                  </w:r>
                </w:p>
              </w:tc>
              <w:tc>
                <w:tcPr>
                  <w:tcW w:w="2842" w:type="pct"/>
                  <w:noWrap w:val="0"/>
                  <w:vAlign w:val="center"/>
                </w:tcPr>
                <w:p>
                  <w:pPr>
                    <w:pStyle w:val="45"/>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树立工业噪声污染治理标杆。排放噪声的工业企业应切实采取减振降噪措施，加强厂区内固定设备、运输工具、货物装卸等噪声源管理，同时避免突发噪声扰民。鼓励企业采用先进治理技术，打造行业噪声污染治理示范典型。推进工业噪声实施排污许可和重点排污单位管理。发布工业噪声排污许可证申请与核发技术规范，依法核发排污许可证或进行排污登记，并加强监管；实行排污许可管理的单位依证排污，按照规定开展自行监测并向社会公开。依据《环境监管重点单位名录管理办法》，推进设区的市级以上生态环境主管部门编制本行政区域噪声重点排污单位名录，并按要求发布和更新；噪声重点排污单位应依法开展噪声自动监测，并及时与生态环境主管部门的监控设备联网。</w:t>
                  </w:r>
                </w:p>
              </w:tc>
              <w:tc>
                <w:tcPr>
                  <w:tcW w:w="906"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default"/>
                      <w:color w:val="000000" w:themeColor="text1"/>
                      <w:highlight w:val="none"/>
                      <w14:textFill>
                        <w14:solidFill>
                          <w14:schemeClr w14:val="tx1"/>
                        </w14:solidFill>
                      </w14:textFill>
                    </w:rPr>
                    <w:t>采取</w:t>
                  </w:r>
                  <w:r>
                    <w:rPr>
                      <w:color w:val="000000" w:themeColor="text1"/>
                      <w:highlight w:val="none"/>
                      <w14:textFill>
                        <w14:solidFill>
                          <w14:schemeClr w14:val="tx1"/>
                        </w14:solidFill>
                      </w14:textFill>
                    </w:rPr>
                    <w:t>减振</w:t>
                  </w:r>
                  <w:r>
                    <w:rPr>
                      <w:rFonts w:hint="default"/>
                      <w:color w:val="000000" w:themeColor="text1"/>
                      <w:highlight w:val="none"/>
                      <w14:textFill>
                        <w14:solidFill>
                          <w14:schemeClr w14:val="tx1"/>
                        </w14:solidFill>
                      </w14:textFill>
                    </w:rPr>
                    <w:t>、隔声等措施</w:t>
                  </w:r>
                  <w:r>
                    <w:rPr>
                      <w:color w:val="000000" w:themeColor="text1"/>
                      <w:highlight w:val="none"/>
                      <w14:textFill>
                        <w14:solidFill>
                          <w14:schemeClr w14:val="tx1"/>
                        </w14:solidFill>
                      </w14:textFill>
                    </w:rPr>
                    <w:t>。严格按照噪声监测计划定期进行噪声污染监测。</w:t>
                  </w:r>
                </w:p>
              </w:tc>
              <w:tc>
                <w:tcPr>
                  <w:tcW w:w="632" w:type="pct"/>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pStyle w:val="44"/>
              <w:bidi w:val="0"/>
              <w:ind w:left="0" w:leftChars="0" w:firstLine="0" w:firstLineChars="0"/>
              <w:rPr>
                <w:rFonts w:hint="default"/>
                <w:color w:val="000000" w:themeColor="text1"/>
                <w:highlight w:val="none"/>
                <w:lang w:val="en-US" w:eastAsia="zh-CN"/>
                <w14:textFill>
                  <w14:solidFill>
                    <w14:schemeClr w14:val="tx1"/>
                  </w14:solidFill>
                </w14:textFill>
              </w:rPr>
            </w:pPr>
          </w:p>
        </w:tc>
      </w:tr>
    </w:tbl>
    <w:p>
      <w:pPr>
        <w:spacing w:line="360" w:lineRule="auto"/>
        <w:outlineLvl w:val="0"/>
        <w:rPr>
          <w:rFonts w:eastAsia="黑体"/>
          <w:color w:val="000000" w:themeColor="text1"/>
          <w:sz w:val="30"/>
          <w:highlight w:val="none"/>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7"/>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二、建设项目工程分析</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84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7" w:hRule="atLeast"/>
          <w:jc w:val="center"/>
        </w:trPr>
        <w:tc>
          <w:tcPr>
            <w:tcW w:w="823" w:type="dxa"/>
            <w:noWrap w:val="0"/>
            <w:vAlign w:val="center"/>
          </w:tcPr>
          <w:p>
            <w:pPr>
              <w:pStyle w:val="17"/>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建设内容</w:t>
            </w:r>
          </w:p>
        </w:tc>
        <w:tc>
          <w:tcPr>
            <w:tcW w:w="8161" w:type="dxa"/>
            <w:noWrap w:val="0"/>
            <w:vAlign w:val="top"/>
          </w:tcPr>
          <w:p>
            <w:pPr>
              <w:pStyle w:val="44"/>
              <w:bidi w:val="0"/>
              <w:ind w:left="0" w:leftChars="0" w:firstLine="0" w:firstLineChars="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2.1项目建设内容及工程组成</w:t>
            </w:r>
          </w:p>
          <w:p>
            <w:pPr>
              <w:pStyle w:val="44"/>
              <w:bidi w:val="0"/>
              <w:rPr>
                <w:rFonts w:hint="eastAsia" w:eastAsia="宋体"/>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项目名称：台安县九股河农业发展有限公司年产50万吨无公害颗粒饲料项目</w:t>
            </w:r>
            <w:r>
              <w:rPr>
                <w:rFonts w:hint="eastAsia"/>
                <w:color w:val="000000" w:themeColor="text1"/>
                <w:highlight w:val="none"/>
                <w:lang w:eastAsia="zh-CN"/>
                <w14:textFill>
                  <w14:solidFill>
                    <w14:schemeClr w14:val="tx1"/>
                  </w14:solidFill>
                </w14:textFill>
              </w:rPr>
              <w:t>；</w:t>
            </w:r>
          </w:p>
          <w:p>
            <w:pPr>
              <w:pStyle w:val="44"/>
              <w:bidi w:val="0"/>
              <w:rPr>
                <w:rFonts w:hint="eastAsia" w:eastAsia="宋体"/>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建设单位：台安县九股河农业发展有限公司</w:t>
            </w:r>
            <w:r>
              <w:rPr>
                <w:rFonts w:hint="eastAsia"/>
                <w:color w:val="000000" w:themeColor="text1"/>
                <w:highlight w:val="none"/>
                <w:lang w:eastAsia="zh-CN"/>
                <w14:textFill>
                  <w14:solidFill>
                    <w14:schemeClr w14:val="tx1"/>
                  </w14:solidFill>
                </w14:textFill>
              </w:rPr>
              <w:t>；</w:t>
            </w:r>
          </w:p>
          <w:p>
            <w:pPr>
              <w:pStyle w:val="44"/>
              <w:bidi w:val="0"/>
              <w:rPr>
                <w:rFonts w:hint="eastAsia"/>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建设性质：</w:t>
            </w:r>
            <w:r>
              <w:rPr>
                <w:rFonts w:hint="eastAsia"/>
                <w:color w:val="000000" w:themeColor="text1"/>
                <w:highlight w:val="none"/>
                <w:lang w:eastAsia="zh-CN"/>
                <w14:textFill>
                  <w14:solidFill>
                    <w14:schemeClr w14:val="tx1"/>
                  </w14:solidFill>
                </w14:textFill>
              </w:rPr>
              <w:t>新建；</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总投资：</w:t>
            </w:r>
            <w:r>
              <w:rPr>
                <w:rFonts w:hint="eastAsia"/>
                <w:color w:val="000000" w:themeColor="text1"/>
                <w:highlight w:val="none"/>
                <w:lang w:val="en-US" w:eastAsia="zh-CN"/>
                <w14:textFill>
                  <w14:solidFill>
                    <w14:schemeClr w14:val="tx1"/>
                  </w14:solidFill>
                </w14:textFill>
              </w:rPr>
              <w:t>12000</w:t>
            </w:r>
            <w:r>
              <w:rPr>
                <w:color w:val="000000" w:themeColor="text1"/>
                <w:highlight w:val="none"/>
                <w14:textFill>
                  <w14:solidFill>
                    <w14:schemeClr w14:val="tx1"/>
                  </w14:solidFill>
                </w14:textFill>
              </w:rPr>
              <w:t>万元，其中环保投资为</w:t>
            </w:r>
            <w:r>
              <w:rPr>
                <w:rFonts w:hint="eastAsia"/>
                <w:color w:val="000000" w:themeColor="text1"/>
                <w:highlight w:val="none"/>
                <w:lang w:val="en-US" w:eastAsia="zh-CN"/>
                <w14:textFill>
                  <w14:solidFill>
                    <w14:schemeClr w14:val="tx1"/>
                  </w14:solidFill>
                </w14:textFill>
              </w:rPr>
              <w:t>71.5</w:t>
            </w:r>
            <w:r>
              <w:rPr>
                <w:color w:val="000000" w:themeColor="text1"/>
                <w:highlight w:val="none"/>
                <w14:textFill>
                  <w14:solidFill>
                    <w14:schemeClr w14:val="tx1"/>
                  </w14:solidFill>
                </w14:textFill>
              </w:rPr>
              <w:t>万元，环保投资占项目总投资</w:t>
            </w:r>
            <w:r>
              <w:rPr>
                <w:rFonts w:hint="eastAsia"/>
                <w:color w:val="000000" w:themeColor="text1"/>
                <w:highlight w:val="none"/>
                <w:lang w:val="en-US" w:eastAsia="zh-CN"/>
                <w14:textFill>
                  <w14:solidFill>
                    <w14:schemeClr w14:val="tx1"/>
                  </w14:solidFill>
                </w14:textFill>
              </w:rPr>
              <w:t>0.60%；</w:t>
            </w:r>
          </w:p>
          <w:p>
            <w:pPr>
              <w:pStyle w:val="4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占地</w:t>
            </w:r>
            <w:r>
              <w:rPr>
                <w:rFonts w:hint="default"/>
                <w:color w:val="000000" w:themeColor="text1"/>
                <w:highlight w:val="none"/>
                <w14:textFill>
                  <w14:solidFill>
                    <w14:schemeClr w14:val="tx1"/>
                  </w14:solidFill>
                </w14:textFill>
              </w:rPr>
              <w:t>面积：</w:t>
            </w:r>
            <w:r>
              <w:rPr>
                <w:rFonts w:hint="eastAsia"/>
                <w:color w:val="000000" w:themeColor="text1"/>
                <w:highlight w:val="none"/>
                <w:lang w:val="en-US" w:eastAsia="zh-CN"/>
                <w14:textFill>
                  <w14:solidFill>
                    <w14:schemeClr w14:val="tx1"/>
                  </w14:solidFill>
                </w14:textFill>
              </w:rPr>
              <w:t>58576.21m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建设地点：</w:t>
            </w:r>
            <w:r>
              <w:rPr>
                <w:rFonts w:hint="eastAsia"/>
                <w:color w:val="000000" w:themeColor="text1"/>
                <w:highlight w:val="none"/>
                <w:lang w:val="en-US" w:eastAsia="zh-CN"/>
                <w14:textFill>
                  <w14:solidFill>
                    <w14:schemeClr w14:val="tx1"/>
                  </w14:solidFill>
                </w14:textFill>
              </w:rPr>
              <w:t>辽宁省鞍山市台安县工业园区工业一路；</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建设内容：</w:t>
            </w:r>
            <w:r>
              <w:rPr>
                <w:rFonts w:hint="eastAsia"/>
                <w:color w:val="000000" w:themeColor="text1"/>
                <w:highlight w:val="none"/>
                <w:lang w:eastAsia="zh-CN"/>
                <w14:textFill>
                  <w14:solidFill>
                    <w14:schemeClr w14:val="tx1"/>
                  </w14:solidFill>
                </w14:textFill>
              </w:rPr>
              <w:t>本项目一期建设内容为玉米库、门卫、消防水池及泵房、料仓及消防控制室，为环评豁免内容，现已建设完毕，本次环评仅对二期建设内容评价，主要</w:t>
            </w:r>
            <w:r>
              <w:rPr>
                <w:rFonts w:hint="eastAsia"/>
                <w:color w:val="000000" w:themeColor="text1"/>
                <w:highlight w:val="none"/>
                <w:lang w:val="en-US" w:eastAsia="zh-CN"/>
                <w14:textFill>
                  <w14:solidFill>
                    <w14:schemeClr w14:val="tx1"/>
                  </w14:solidFill>
                </w14:textFill>
              </w:rPr>
              <w:t>建设一条</w:t>
            </w:r>
            <w:r>
              <w:rPr>
                <w:rFonts w:hint="eastAsia"/>
                <w:color w:val="000000" w:themeColor="text1"/>
                <w:highlight w:val="none"/>
                <w:lang w:eastAsia="zh-CN"/>
                <w14:textFill>
                  <w14:solidFill>
                    <w14:schemeClr w14:val="tx1"/>
                  </w14:solidFill>
                </w14:textFill>
              </w:rPr>
              <w:t>年产</w:t>
            </w:r>
            <w:r>
              <w:rPr>
                <w:rFonts w:hint="eastAsia"/>
                <w:color w:val="000000" w:themeColor="text1"/>
                <w:highlight w:val="none"/>
                <w:lang w:val="en-US" w:eastAsia="zh-CN"/>
                <w14:textFill>
                  <w14:solidFill>
                    <w14:schemeClr w14:val="tx1"/>
                  </w14:solidFill>
                </w14:textFill>
              </w:rPr>
              <w:t>50万吨肉鸡</w:t>
            </w:r>
            <w:r>
              <w:rPr>
                <w:rFonts w:hint="eastAsia"/>
                <w:color w:val="000000" w:themeColor="text1"/>
                <w:highlight w:val="none"/>
                <w:lang w:eastAsia="zh-CN"/>
                <w14:textFill>
                  <w14:solidFill>
                    <w14:schemeClr w14:val="tx1"/>
                  </w14:solidFill>
                </w14:textFill>
              </w:rPr>
              <w:t>饲料</w:t>
            </w:r>
            <w:r>
              <w:rPr>
                <w:rFonts w:hint="eastAsia"/>
                <w:color w:val="000000" w:themeColor="text1"/>
                <w:highlight w:val="none"/>
                <w:lang w:val="en-US" w:eastAsia="zh-CN"/>
                <w14:textFill>
                  <w14:solidFill>
                    <w14:schemeClr w14:val="tx1"/>
                  </w14:solidFill>
                </w14:textFill>
              </w:rPr>
              <w:t>生产线；</w:t>
            </w:r>
          </w:p>
          <w:p>
            <w:pPr>
              <w:pStyle w:val="4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由于项目备案较早，备案时企业尚未进行具体设计，导致项目工程内容与立项有所偏差，由于立项时，企业上报占地面积取整数60000平方米，导致与土地证占地面积不符，实际以土地证面积为准。辽宁华兴钛业有限公司于2022年8月将资产转让企业，故土地证存在项目名称为辽宁华兴钛业有限公司相关内容。</w:t>
            </w:r>
          </w:p>
          <w:p>
            <w:pPr>
              <w:pStyle w:val="44"/>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本项目组成及工程内容见表2-1。</w:t>
            </w:r>
          </w:p>
          <w:p>
            <w:pPr>
              <w:tabs>
                <w:tab w:val="center" w:pos="4153"/>
                <w:tab w:val="right" w:pos="8306"/>
              </w:tabs>
              <w:ind w:firstLine="422"/>
              <w:jc w:val="center"/>
              <w:rPr>
                <w:rFonts w:hint="default"/>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表2-1项目组成及工程内容表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487"/>
              <w:gridCol w:w="2025"/>
              <w:gridCol w:w="2359"/>
              <w:gridCol w:w="2450"/>
              <w:gridCol w:w="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类别</w:t>
                  </w: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名称</w:t>
                  </w:r>
                </w:p>
              </w:tc>
              <w:tc>
                <w:tcPr>
                  <w:tcW w:w="1223"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一期</w:t>
                  </w:r>
                  <w:r>
                    <w:rPr>
                      <w:rFonts w:hint="eastAsia"/>
                      <w:color w:val="000000" w:themeColor="text1"/>
                      <w:highlight w:val="none"/>
                      <w14:textFill>
                        <w14:solidFill>
                          <w14:schemeClr w14:val="tx1"/>
                        </w14:solidFill>
                      </w14:textFill>
                    </w:rPr>
                    <w:t>工程内容</w:t>
                  </w:r>
                </w:p>
              </w:tc>
              <w:tc>
                <w:tcPr>
                  <w:tcW w:w="1425"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（二期）工程内容</w:t>
                  </w:r>
                </w:p>
              </w:tc>
              <w:tc>
                <w:tcPr>
                  <w:tcW w:w="1480"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本项目完工后全厂工程内容</w:t>
                  </w:r>
                </w:p>
              </w:tc>
              <w:tc>
                <w:tcPr>
                  <w:tcW w:w="28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主体工程</w:t>
                  </w: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主车间</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占地面积4418.1m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，长75.9m，宽54.0m，高41.9m、7层，用于生产，建设一条年产50万吨肉鸡饲料生产线</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占地面积4418.1m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，长75.9m，宽54.0m，高41.9m、7层，用于生产，建设一条年产50万吨肉鸡饲料生产线</w:t>
                  </w:r>
                </w:p>
              </w:tc>
              <w:tc>
                <w:tcPr>
                  <w:tcW w:w="28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储运</w:t>
                  </w:r>
                  <w:r>
                    <w:rPr>
                      <w:rFonts w:hint="eastAsia"/>
                      <w:color w:val="000000" w:themeColor="text1"/>
                      <w:highlight w:val="none"/>
                      <w14:textFill>
                        <w14:solidFill>
                          <w14:schemeClr w14:val="tx1"/>
                        </w14:solidFill>
                      </w14:textFill>
                    </w:rPr>
                    <w:t>工程</w:t>
                  </w:r>
                </w:p>
              </w:tc>
              <w:tc>
                <w:tcPr>
                  <w:tcW w:w="294"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立筒仓</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302.12m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21.58m，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14m，高30m、1层、仓筒共6个，用于储存</w:t>
                  </w:r>
                  <w:r>
                    <w:rPr>
                      <w:rFonts w:hint="eastAsia"/>
                      <w:color w:val="000000" w:themeColor="text1"/>
                      <w:highlight w:val="none"/>
                      <w:lang w:eastAsia="zh-CN"/>
                      <w14:textFill>
                        <w14:solidFill>
                          <w14:schemeClr w14:val="tx1"/>
                        </w14:solidFill>
                      </w14:textFill>
                    </w:rPr>
                    <w:t>豆粕</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302.12m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21.58m，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14m，高30m、1层、仓筒共6个，用于储存</w:t>
                  </w:r>
                  <w:r>
                    <w:rPr>
                      <w:rFonts w:hint="eastAsia"/>
                      <w:color w:val="000000" w:themeColor="text1"/>
                      <w:highlight w:val="none"/>
                      <w:lang w:eastAsia="zh-CN"/>
                      <w14:textFill>
                        <w14:solidFill>
                          <w14:schemeClr w14:val="tx1"/>
                        </w14:solidFill>
                      </w14:textFill>
                    </w:rPr>
                    <w:t>豆粕</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料</w:t>
                  </w:r>
                  <w:r>
                    <w:rPr>
                      <w:color w:val="000000" w:themeColor="text1"/>
                      <w:highlight w:val="none"/>
                      <w14:textFill>
                        <w14:solidFill>
                          <w14:schemeClr w14:val="tx1"/>
                        </w14:solidFill>
                      </w14:textFill>
                    </w:rPr>
                    <w:t>仓</w:t>
                  </w:r>
                </w:p>
              </w:tc>
              <w:tc>
                <w:tcPr>
                  <w:tcW w:w="2025" w:type="dxa"/>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1106.3m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85.1m，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13m，高30m、1层、仓筒共6个，用于储存</w:t>
                  </w:r>
                  <w:r>
                    <w:rPr>
                      <w:rFonts w:hint="eastAsia"/>
                      <w:color w:val="000000" w:themeColor="text1"/>
                      <w:highlight w:val="none"/>
                      <w:lang w:eastAsia="zh-CN"/>
                      <w14:textFill>
                        <w14:solidFill>
                          <w14:schemeClr w14:val="tx1"/>
                        </w14:solidFill>
                      </w14:textFill>
                    </w:rPr>
                    <w:t>豆粕</w:t>
                  </w:r>
                </w:p>
              </w:tc>
              <w:tc>
                <w:tcPr>
                  <w:tcW w:w="2359" w:type="dxa"/>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2450" w:type="dxa"/>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1106.3m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85.1m，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13m，高30m、1层、仓筒共6个，用于储存</w:t>
                  </w:r>
                  <w:r>
                    <w:rPr>
                      <w:rFonts w:hint="eastAsia"/>
                      <w:color w:val="000000" w:themeColor="text1"/>
                      <w:highlight w:val="none"/>
                      <w:lang w:eastAsia="zh-CN"/>
                      <w14:textFill>
                        <w14:solidFill>
                          <w14:schemeClr w14:val="tx1"/>
                        </w14:solidFill>
                      </w14:textFill>
                    </w:rPr>
                    <w:t>豆粕</w:t>
                  </w:r>
                </w:p>
              </w:tc>
              <w:tc>
                <w:tcPr>
                  <w:tcW w:w="288"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一期已建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玉米库</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占地面积11980.6m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、长208m，宽57.6m、高9.3m、1层，为饲料生产原料仓，用于储存产品原料玉米</w:t>
                  </w:r>
                </w:p>
              </w:tc>
              <w:tc>
                <w:tcPr>
                  <w:tcW w:w="1425"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占地面积11980.6m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、长208m，宽57.6m、高9.3m、1层，为饲料生产原料仓，用于储存产品原料玉米</w:t>
                  </w:r>
                </w:p>
              </w:tc>
              <w:tc>
                <w:tcPr>
                  <w:tcW w:w="288"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一期已建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油罐区</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占地面积312</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长26</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宽12</w:t>
                  </w:r>
                  <w:r>
                    <w:rPr>
                      <w:rFonts w:hint="eastAsia"/>
                      <w:color w:val="000000" w:themeColor="text1"/>
                      <w:highlight w:val="none"/>
                      <w:lang w:val="en-US" w:eastAsia="zh-CN"/>
                      <w14:textFill>
                        <w14:solidFill>
                          <w14:schemeClr w14:val="tx1"/>
                        </w14:solidFill>
                      </w14:textFill>
                    </w:rPr>
                    <w:t>m、高2.5m，</w:t>
                  </w:r>
                  <w:r>
                    <w:rPr>
                      <w:rFonts w:hint="eastAsia"/>
                      <w:color w:val="000000" w:themeColor="text1"/>
                      <w:highlight w:val="none"/>
                      <w:lang w:eastAsia="zh-CN"/>
                      <w14:textFill>
                        <w14:solidFill>
                          <w14:schemeClr w14:val="tx1"/>
                        </w14:solidFill>
                      </w14:textFill>
                    </w:rPr>
                    <w:t>共</w:t>
                  </w:r>
                  <w:r>
                    <w:rPr>
                      <w:rFonts w:hint="eastAsia"/>
                      <w:color w:val="000000" w:themeColor="text1"/>
                      <w:highlight w:val="none"/>
                      <w:lang w:val="en-US" w:eastAsia="zh-CN"/>
                      <w14:textFill>
                        <w14:solidFill>
                          <w14:schemeClr w14:val="tx1"/>
                        </w14:solidFill>
                      </w14:textFill>
                    </w:rPr>
                    <w:t>8个，</w:t>
                  </w:r>
                  <w:r>
                    <w:rPr>
                      <w:rFonts w:hint="eastAsia"/>
                      <w:color w:val="000000" w:themeColor="text1"/>
                      <w:highlight w:val="none"/>
                      <w:lang w:eastAsia="zh-CN"/>
                      <w14:textFill>
                        <w14:solidFill>
                          <w14:schemeClr w14:val="tx1"/>
                        </w14:solidFill>
                      </w14:textFill>
                    </w:rPr>
                    <w:t>用于储存</w:t>
                  </w:r>
                  <w:r>
                    <w:rPr>
                      <w:rFonts w:hint="eastAsia"/>
                      <w:color w:val="000000" w:themeColor="text1"/>
                      <w:highlight w:val="none"/>
                      <w:lang w:val="en-US" w:eastAsia="zh-CN"/>
                      <w14:textFill>
                        <w14:solidFill>
                          <w14:schemeClr w14:val="tx1"/>
                        </w14:solidFill>
                      </w14:textFill>
                    </w:rPr>
                    <w:t>鸭油、米糠油、豆油</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占地面积312</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长26</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宽12</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共</w:t>
                  </w:r>
                  <w:r>
                    <w:rPr>
                      <w:rFonts w:hint="eastAsia"/>
                      <w:color w:val="000000" w:themeColor="text1"/>
                      <w:highlight w:val="none"/>
                      <w:lang w:val="en-US" w:eastAsia="zh-CN"/>
                      <w14:textFill>
                        <w14:solidFill>
                          <w14:schemeClr w14:val="tx1"/>
                        </w14:solidFill>
                      </w14:textFill>
                    </w:rPr>
                    <w:t>8个，高2.5m，</w:t>
                  </w:r>
                  <w:r>
                    <w:rPr>
                      <w:rFonts w:hint="eastAsia"/>
                      <w:color w:val="000000" w:themeColor="text1"/>
                      <w:highlight w:val="none"/>
                      <w:lang w:eastAsia="zh-CN"/>
                      <w14:textFill>
                        <w14:solidFill>
                          <w14:schemeClr w14:val="tx1"/>
                        </w14:solidFill>
                      </w14:textFill>
                    </w:rPr>
                    <w:t>用于储存</w:t>
                  </w:r>
                  <w:r>
                    <w:rPr>
                      <w:rFonts w:hint="eastAsia"/>
                      <w:color w:val="000000" w:themeColor="text1"/>
                      <w:highlight w:val="none"/>
                      <w:lang w:val="en-US" w:eastAsia="zh-CN"/>
                      <w14:textFill>
                        <w14:solidFill>
                          <w14:schemeClr w14:val="tx1"/>
                        </w14:solidFill>
                      </w14:textFill>
                    </w:rPr>
                    <w:t>鸭油、米糠油、豆油</w:t>
                  </w:r>
                </w:p>
              </w:tc>
              <w:tc>
                <w:tcPr>
                  <w:tcW w:w="288"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物料输送</w:t>
                  </w:r>
                </w:p>
              </w:tc>
              <w:tc>
                <w:tcPr>
                  <w:tcW w:w="1223" w:type="pct"/>
                  <w:tcBorders>
                    <w:tl2br w:val="nil"/>
                    <w:tr2bl w:val="nil"/>
                  </w:tcBorders>
                  <w:noWrap w:val="0"/>
                  <w:vAlign w:val="center"/>
                </w:tcPr>
                <w:p>
                  <w:pPr>
                    <w:pStyle w:val="45"/>
                    <w:bidi w:val="0"/>
                    <w:rPr>
                      <w:rFonts w:hint="default"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油罐区的油脂通过管路输送至主车间进行配料，玉米和豆粕通过刮板机和提升机输送至主车间配料</w:t>
                  </w:r>
                </w:p>
              </w:tc>
              <w:tc>
                <w:tcPr>
                  <w:tcW w:w="148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油罐区的油脂通过管路输送至主车间进行配料，玉米和豆粕通过刮板机和提升机输送至主车间配料</w:t>
                  </w:r>
                </w:p>
              </w:tc>
              <w:tc>
                <w:tcPr>
                  <w:tcW w:w="288"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辅助</w:t>
                  </w:r>
                  <w:r>
                    <w:rPr>
                      <w:rFonts w:hint="eastAsia"/>
                      <w:color w:val="000000" w:themeColor="text1"/>
                      <w:highlight w:val="none"/>
                      <w14:textFill>
                        <w14:solidFill>
                          <w14:schemeClr w14:val="tx1"/>
                        </w14:solidFill>
                      </w14:textFill>
                    </w:rPr>
                    <w:t>工程</w:t>
                  </w:r>
                </w:p>
              </w:tc>
              <w:tc>
                <w:tcPr>
                  <w:tcW w:w="29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办公楼</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201.13m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13.59m，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14.8m，高15.79m、5层、用于办公</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201.13m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13.59m，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14.8m，高15.79m、5层、用于办公</w:t>
                  </w:r>
                </w:p>
              </w:tc>
              <w:tc>
                <w:tcPr>
                  <w:tcW w:w="288"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附属房</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bidi="ar-SA"/>
                      <w14:textFill>
                        <w14:solidFill>
                          <w14:schemeClr w14:val="tx1"/>
                        </w14:solidFill>
                      </w14:textFill>
                    </w:rPr>
                    <w:t>占地面积293.4m</w:t>
                  </w:r>
                  <w:r>
                    <w:rPr>
                      <w:rFonts w:hint="eastAsia"/>
                      <w:color w:val="000000" w:themeColor="text1"/>
                      <w:highlight w:val="none"/>
                      <w:vertAlign w:val="superscript"/>
                      <w:lang w:val="en-US" w:eastAsia="zh-CN" w:bidi="ar-SA"/>
                      <w14:textFill>
                        <w14:solidFill>
                          <w14:schemeClr w14:val="tx1"/>
                        </w14:solidFill>
                      </w14:textFill>
                    </w:rPr>
                    <w:t>2</w:t>
                  </w:r>
                  <w:r>
                    <w:rPr>
                      <w:rFonts w:hint="eastAsia"/>
                      <w:color w:val="000000" w:themeColor="text1"/>
                      <w:highlight w:val="none"/>
                      <w:lang w:val="en-US" w:eastAsia="zh-CN" w:bidi="ar-SA"/>
                      <w14:textFill>
                        <w14:solidFill>
                          <w14:schemeClr w14:val="tx1"/>
                        </w14:solidFill>
                      </w14:textFill>
                    </w:rPr>
                    <w:t>、长32.6m，宽9m，高6m、2层、</w:t>
                  </w:r>
                  <w:r>
                    <w:rPr>
                      <w:rFonts w:hint="eastAsia"/>
                      <w:color w:val="000000" w:themeColor="text1"/>
                      <w:highlight w:val="none"/>
                      <w:lang w:val="en-US" w:eastAsia="zh-CN"/>
                      <w14:textFill>
                        <w14:solidFill>
                          <w14:schemeClr w14:val="tx1"/>
                        </w14:solidFill>
                      </w14:textFill>
                    </w:rPr>
                    <w:t>一楼为食堂，两个灶头，使用天然气，</w:t>
                  </w:r>
                  <w:r>
                    <w:rPr>
                      <w:rFonts w:hint="eastAsia"/>
                      <w:color w:val="000000" w:themeColor="text1"/>
                      <w:highlight w:val="none"/>
                      <w:lang w:val="en-US" w:eastAsia="zh-CN" w:bidi="ar-SA"/>
                      <w14:textFill>
                        <w14:solidFill>
                          <w14:schemeClr w14:val="tx1"/>
                        </w14:solidFill>
                      </w14:textFill>
                    </w:rPr>
                    <w:t>二层为宿舍</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bidi="ar-SA"/>
                      <w14:textFill>
                        <w14:solidFill>
                          <w14:schemeClr w14:val="tx1"/>
                        </w14:solidFill>
                      </w14:textFill>
                    </w:rPr>
                    <w:t>占地面积293.4m</w:t>
                  </w:r>
                  <w:r>
                    <w:rPr>
                      <w:rFonts w:hint="eastAsia"/>
                      <w:color w:val="000000" w:themeColor="text1"/>
                      <w:highlight w:val="none"/>
                      <w:vertAlign w:val="superscript"/>
                      <w:lang w:val="en-US" w:eastAsia="zh-CN" w:bidi="ar-SA"/>
                      <w14:textFill>
                        <w14:solidFill>
                          <w14:schemeClr w14:val="tx1"/>
                        </w14:solidFill>
                      </w14:textFill>
                    </w:rPr>
                    <w:t>2</w:t>
                  </w:r>
                  <w:r>
                    <w:rPr>
                      <w:rFonts w:hint="eastAsia"/>
                      <w:color w:val="000000" w:themeColor="text1"/>
                      <w:highlight w:val="none"/>
                      <w:lang w:val="en-US" w:eastAsia="zh-CN" w:bidi="ar-SA"/>
                      <w14:textFill>
                        <w14:solidFill>
                          <w14:schemeClr w14:val="tx1"/>
                        </w14:solidFill>
                      </w14:textFill>
                    </w:rPr>
                    <w:t>、长32.6m，宽9m，高6m、2层、</w:t>
                  </w:r>
                  <w:r>
                    <w:rPr>
                      <w:rFonts w:hint="eastAsia"/>
                      <w:color w:val="000000" w:themeColor="text1"/>
                      <w:highlight w:val="none"/>
                      <w:lang w:val="en-US" w:eastAsia="zh-CN"/>
                      <w14:textFill>
                        <w14:solidFill>
                          <w14:schemeClr w14:val="tx1"/>
                        </w14:solidFill>
                      </w14:textFill>
                    </w:rPr>
                    <w:t>一楼为食堂，两个灶头，使用天然气，</w:t>
                  </w:r>
                  <w:r>
                    <w:rPr>
                      <w:rFonts w:hint="eastAsia"/>
                      <w:color w:val="000000" w:themeColor="text1"/>
                      <w:highlight w:val="none"/>
                      <w:lang w:val="en-US" w:eastAsia="zh-CN" w:bidi="ar-SA"/>
                      <w14:textFill>
                        <w14:solidFill>
                          <w14:schemeClr w14:val="tx1"/>
                        </w14:solidFill>
                      </w14:textFill>
                    </w:rPr>
                    <w:t>二层为宿舍</w:t>
                  </w:r>
                </w:p>
              </w:tc>
              <w:tc>
                <w:tcPr>
                  <w:tcW w:w="288"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实验室</w:t>
                  </w:r>
                </w:p>
              </w:tc>
              <w:tc>
                <w:tcPr>
                  <w:tcW w:w="1223" w:type="pct"/>
                  <w:tcBorders>
                    <w:tl2br w:val="nil"/>
                    <w:tr2bl w:val="nil"/>
                  </w:tcBorders>
                  <w:noWrap w:val="0"/>
                  <w:vAlign w:val="center"/>
                </w:tcPr>
                <w:p>
                  <w:pPr>
                    <w:pStyle w:val="45"/>
                    <w:bidi w:val="0"/>
                    <w:rPr>
                      <w:rFonts w:hint="default"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default"/>
                      <w:color w:val="000000" w:themeColor="text1"/>
                      <w:highlight w:val="none"/>
                      <w:lang w:val="en-US" w:eastAsia="zh-CN" w:bidi="ar-SA"/>
                      <w14:textFill>
                        <w14:solidFill>
                          <w14:schemeClr w14:val="tx1"/>
                        </w14:solidFill>
                      </w14:textFill>
                    </w:rPr>
                  </w:pPr>
                  <w:r>
                    <w:rPr>
                      <w:rFonts w:hint="eastAsia"/>
                      <w:color w:val="000000" w:themeColor="text1"/>
                      <w:highlight w:val="none"/>
                      <w:lang w:val="en-US" w:eastAsia="zh-CN" w:bidi="ar-SA"/>
                      <w14:textFill>
                        <w14:solidFill>
                          <w14:schemeClr w14:val="tx1"/>
                        </w14:solidFill>
                      </w14:textFill>
                    </w:rPr>
                    <w:t>占地面积64.8</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10.8，</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6m，高3.9m、1层、用于检验，位于办公楼一层东北侧</w:t>
                  </w:r>
                </w:p>
              </w:tc>
              <w:tc>
                <w:tcPr>
                  <w:tcW w:w="1480" w:type="pct"/>
                  <w:tcBorders>
                    <w:tl2br w:val="nil"/>
                    <w:tr2bl w:val="nil"/>
                  </w:tcBorders>
                  <w:noWrap w:val="0"/>
                  <w:vAlign w:val="center"/>
                </w:tcPr>
                <w:p>
                  <w:pPr>
                    <w:pStyle w:val="45"/>
                    <w:bidi w:val="0"/>
                    <w:rPr>
                      <w:rFonts w:hint="eastAsia"/>
                      <w:color w:val="000000" w:themeColor="text1"/>
                      <w:highlight w:val="none"/>
                      <w:lang w:val="en-US" w:eastAsia="zh-CN" w:bidi="ar-SA"/>
                      <w14:textFill>
                        <w14:solidFill>
                          <w14:schemeClr w14:val="tx1"/>
                        </w14:solidFill>
                      </w14:textFill>
                    </w:rPr>
                  </w:pPr>
                  <w:r>
                    <w:rPr>
                      <w:rFonts w:hint="eastAsia"/>
                      <w:color w:val="000000" w:themeColor="text1"/>
                      <w:highlight w:val="none"/>
                      <w:lang w:val="en-US" w:eastAsia="zh-CN" w:bidi="ar-SA"/>
                      <w14:textFill>
                        <w14:solidFill>
                          <w14:schemeClr w14:val="tx1"/>
                        </w14:solidFill>
                      </w14:textFill>
                    </w:rPr>
                    <w:t>占地面积64.8</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10.8，</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6m，高3.9m、1层、用于检验，位于办公楼一层东北侧</w:t>
                  </w:r>
                </w:p>
              </w:tc>
              <w:tc>
                <w:tcPr>
                  <w:tcW w:w="288"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配电室</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108m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12m，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9m，高8m、1层</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108m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12m，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9m，高8m、1层</w:t>
                  </w:r>
                </w:p>
              </w:tc>
              <w:tc>
                <w:tcPr>
                  <w:tcW w:w="28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门卫室</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235.2m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19.6m，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12m，高3.45m、1层</w:t>
                  </w:r>
                </w:p>
              </w:tc>
              <w:tc>
                <w:tcPr>
                  <w:tcW w:w="1425"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235.2m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19.6m，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12m，高3.45m、1层</w:t>
                  </w:r>
                </w:p>
              </w:tc>
              <w:tc>
                <w:tcPr>
                  <w:tcW w:w="288"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2"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锅炉房</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195.52m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20.8m，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9.4m，高7.1m、1层、用于蒸汽供热</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占地面积</w:t>
                  </w:r>
                  <w:r>
                    <w:rPr>
                      <w:rFonts w:hint="eastAsia"/>
                      <w:color w:val="000000" w:themeColor="text1"/>
                      <w:highlight w:val="none"/>
                      <w:lang w:val="en-US" w:eastAsia="zh-CN"/>
                      <w14:textFill>
                        <w14:solidFill>
                          <w14:schemeClr w14:val="tx1"/>
                        </w14:solidFill>
                      </w14:textFill>
                    </w:rPr>
                    <w:t>195.52m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长</w:t>
                  </w:r>
                  <w:r>
                    <w:rPr>
                      <w:rFonts w:hint="eastAsia"/>
                      <w:color w:val="000000" w:themeColor="text1"/>
                      <w:highlight w:val="none"/>
                      <w:lang w:val="en-US" w:eastAsia="zh-CN"/>
                      <w14:textFill>
                        <w14:solidFill>
                          <w14:schemeClr w14:val="tx1"/>
                        </w14:solidFill>
                      </w14:textFill>
                    </w:rPr>
                    <w:t>20.8m，</w:t>
                  </w:r>
                  <w:r>
                    <w:rPr>
                      <w:rFonts w:hint="eastAsia"/>
                      <w:color w:val="000000" w:themeColor="text1"/>
                      <w:highlight w:val="none"/>
                      <w:lang w:eastAsia="zh-CN"/>
                      <w14:textFill>
                        <w14:solidFill>
                          <w14:schemeClr w14:val="tx1"/>
                        </w14:solidFill>
                      </w14:textFill>
                    </w:rPr>
                    <w:t>宽</w:t>
                  </w:r>
                  <w:r>
                    <w:rPr>
                      <w:rFonts w:hint="eastAsia"/>
                      <w:color w:val="000000" w:themeColor="text1"/>
                      <w:highlight w:val="none"/>
                      <w:lang w:val="en-US" w:eastAsia="zh-CN"/>
                      <w14:textFill>
                        <w14:solidFill>
                          <w14:schemeClr w14:val="tx1"/>
                        </w14:solidFill>
                      </w14:textFill>
                    </w:rPr>
                    <w:t>9.4m，高7.1m、1层、用于蒸汽供热</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公用工程</w:t>
                  </w: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给水</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市政供水</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市政供水</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排水</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通过化粪池处理后排放至园区污水处理厂处理。隔油池容积为5m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，化粪池容积为20m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通过化粪池处理后排放至园区污水处理厂处理。隔油池容积为5m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，化粪池容积为20m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288"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供电</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市政供电</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市政供电</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供暖</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采用锅炉供暖</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采用锅炉供暖</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供气</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市政管网供气，厂区内天然气管道管径</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08</w:t>
                  </w:r>
                  <w:r>
                    <w:rPr>
                      <w:rFonts w:hint="eastAsia"/>
                      <w:color w:val="000000" w:themeColor="text1"/>
                      <w:highlight w:val="none"/>
                      <w:lang w:val="en-US" w:eastAsia="zh-CN"/>
                      <w14:textFill>
                        <w14:solidFill>
                          <w14:schemeClr w14:val="tx1"/>
                        </w14:solidFill>
                      </w14:textFill>
                    </w:rPr>
                    <w:t>mm</w:t>
                  </w:r>
                  <w:r>
                    <w:rPr>
                      <w:rFonts w:hint="eastAsia"/>
                      <w:color w:val="000000" w:themeColor="text1"/>
                      <w:highlight w:val="none"/>
                      <w:lang w:eastAsia="zh-CN"/>
                      <w14:textFill>
                        <w14:solidFill>
                          <w14:schemeClr w14:val="tx1"/>
                        </w14:solidFill>
                      </w14:textFill>
                    </w:rPr>
                    <w:t xml:space="preserve">，长度80 </w:t>
                  </w:r>
                  <w:r>
                    <w:rPr>
                      <w:rFonts w:hint="eastAsia"/>
                      <w:color w:val="000000" w:themeColor="text1"/>
                      <w:highlight w:val="none"/>
                      <w:lang w:val="en-US" w:eastAsia="zh-CN"/>
                      <w14:textFill>
                        <w14:solidFill>
                          <w14:schemeClr w14:val="tx1"/>
                        </w14:solidFill>
                      </w14:textFill>
                    </w:rPr>
                    <w:t>m</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市政管网供气，厂区内天然气管道管径</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08</w:t>
                  </w:r>
                  <w:r>
                    <w:rPr>
                      <w:rFonts w:hint="eastAsia"/>
                      <w:color w:val="000000" w:themeColor="text1"/>
                      <w:highlight w:val="none"/>
                      <w:lang w:val="en-US" w:eastAsia="zh-CN"/>
                      <w14:textFill>
                        <w14:solidFill>
                          <w14:schemeClr w14:val="tx1"/>
                        </w14:solidFill>
                      </w14:textFill>
                    </w:rPr>
                    <w:t>mm</w:t>
                  </w:r>
                  <w:r>
                    <w:rPr>
                      <w:rFonts w:hint="eastAsia"/>
                      <w:color w:val="000000" w:themeColor="text1"/>
                      <w:highlight w:val="none"/>
                      <w:lang w:eastAsia="zh-CN"/>
                      <w14:textFill>
                        <w14:solidFill>
                          <w14:schemeClr w14:val="tx1"/>
                        </w14:solidFill>
                      </w14:textFill>
                    </w:rPr>
                    <w:t xml:space="preserve">，长度80 </w:t>
                  </w:r>
                  <w:r>
                    <w:rPr>
                      <w:rFonts w:hint="eastAsia"/>
                      <w:color w:val="000000" w:themeColor="text1"/>
                      <w:highlight w:val="none"/>
                      <w:lang w:val="en-US" w:eastAsia="zh-CN"/>
                      <w14:textFill>
                        <w14:solidFill>
                          <w14:schemeClr w14:val="tx1"/>
                        </w14:solidFill>
                      </w14:textFill>
                    </w:rPr>
                    <w:t>m</w:t>
                  </w:r>
                </w:p>
              </w:tc>
              <w:tc>
                <w:tcPr>
                  <w:tcW w:w="288"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环保工程</w:t>
                  </w:r>
                </w:p>
              </w:tc>
              <w:tc>
                <w:tcPr>
                  <w:tcW w:w="294"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废气</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生产废气经脉冲式布袋除尘器处理后通过15m高排气筒排放</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生产废气经脉冲式布袋除尘器处理后通过15m高排气筒排放</w:t>
                  </w:r>
                </w:p>
              </w:tc>
              <w:tc>
                <w:tcPr>
                  <w:tcW w:w="288" w:type="pct"/>
                  <w:tcBorders>
                    <w:tl2br w:val="nil"/>
                    <w:tr2bl w:val="nil"/>
                  </w:tcBorders>
                  <w:noWrap w:val="0"/>
                  <w:vAlign w:val="center"/>
                </w:tcPr>
                <w:p>
                  <w:pPr>
                    <w:pStyle w:val="45"/>
                    <w:bidi w:val="0"/>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燃气锅炉废气采取低氮燃烧器后通过8m高排气筒排放</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燃气锅炉废气采取低氮燃烧器后通过8m高排气筒排放</w:t>
                  </w:r>
                </w:p>
              </w:tc>
              <w:tc>
                <w:tcPr>
                  <w:tcW w:w="288"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食堂油烟经油烟净化器处理后引至楼顶排放</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食堂油烟经油烟净化器处理后引至楼顶排放</w:t>
                  </w:r>
                </w:p>
              </w:tc>
              <w:tc>
                <w:tcPr>
                  <w:tcW w:w="288"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废水</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通过化粪池处理后排放至园区污水处理厂处理。隔油池容积为5m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，化粪池容积为20m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食堂污水先经隔油池处理后同生活污水、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及</w:t>
                  </w:r>
                  <w:r>
                    <w:rPr>
                      <w:color w:val="000000" w:themeColor="text1"/>
                      <w:highlight w:val="none"/>
                      <w14:textFill>
                        <w14:solidFill>
                          <w14:schemeClr w14:val="tx1"/>
                        </w14:solidFill>
                      </w14:textFill>
                    </w:rPr>
                    <w:t>软化处理废水</w:t>
                  </w:r>
                  <w:r>
                    <w:rPr>
                      <w:rFonts w:hint="eastAsia"/>
                      <w:color w:val="000000" w:themeColor="text1"/>
                      <w:highlight w:val="none"/>
                      <w:lang w:val="en-US" w:eastAsia="zh-CN"/>
                      <w14:textFill>
                        <w14:solidFill>
                          <w14:schemeClr w14:val="tx1"/>
                        </w14:solidFill>
                      </w14:textFill>
                    </w:rPr>
                    <w:t>通过化粪池处理后排放至园区污水处理厂处理。隔油池容积为5m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，化粪池容积为20m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288"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噪声</w:t>
                  </w: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选用低噪声设备，基础减振，厂房隔声，风机</w:t>
                  </w:r>
                  <w:r>
                    <w:rPr>
                      <w:rFonts w:hint="eastAsia"/>
                      <w:color w:val="000000" w:themeColor="text1"/>
                      <w:highlight w:val="none"/>
                      <w:lang w:eastAsia="zh-CN"/>
                      <w14:textFill>
                        <w14:solidFill>
                          <w14:schemeClr w14:val="tx1"/>
                        </w14:solidFill>
                      </w14:textFill>
                    </w:rPr>
                    <w:t>消声</w:t>
                  </w:r>
                  <w:r>
                    <w:rPr>
                      <w:color w:val="000000" w:themeColor="text1"/>
                      <w:highlight w:val="none"/>
                      <w14:textFill>
                        <w14:solidFill>
                          <w14:schemeClr w14:val="tx1"/>
                        </w14:solidFill>
                      </w14:textFill>
                    </w:rPr>
                    <w:t>。</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选用低噪声设备，基础减振，厂房隔声，风机</w:t>
                  </w:r>
                  <w:r>
                    <w:rPr>
                      <w:rFonts w:hint="eastAsia"/>
                      <w:color w:val="000000" w:themeColor="text1"/>
                      <w:highlight w:val="none"/>
                      <w:lang w:eastAsia="zh-CN"/>
                      <w14:textFill>
                        <w14:solidFill>
                          <w14:schemeClr w14:val="tx1"/>
                        </w14:solidFill>
                      </w14:textFill>
                    </w:rPr>
                    <w:t>消声</w:t>
                  </w:r>
                  <w:r>
                    <w:rPr>
                      <w:color w:val="000000" w:themeColor="text1"/>
                      <w:highlight w:val="none"/>
                      <w14:textFill>
                        <w14:solidFill>
                          <w14:schemeClr w14:val="tx1"/>
                        </w14:solidFill>
                      </w14:textFill>
                    </w:rPr>
                    <w:t>。</w:t>
                  </w:r>
                </w:p>
              </w:tc>
              <w:tc>
                <w:tcPr>
                  <w:tcW w:w="28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restar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固废</w:t>
                  </w: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生活垃圾暂存于生活垃圾桶，委托环卫部门清运</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生活垃圾暂存于生活垃圾桶，委托环卫部门清运</w:t>
                  </w:r>
                </w:p>
              </w:tc>
              <w:tc>
                <w:tcPr>
                  <w:tcW w:w="288"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筛分杂质、金属杂质、废</w:t>
                  </w:r>
                  <w:r>
                    <w:rPr>
                      <w:rFonts w:hint="eastAsia"/>
                      <w:color w:val="000000" w:themeColor="text1"/>
                      <w:highlight w:val="none"/>
                      <w:lang w:val="en-US" w:eastAsia="zh-CN"/>
                      <w14:textFill>
                        <w14:solidFill>
                          <w14:schemeClr w14:val="tx1"/>
                        </w14:solidFill>
                      </w14:textFill>
                    </w:rPr>
                    <w:t>包装袋集中收集后存放于</w:t>
                  </w:r>
                  <w:r>
                    <w:rPr>
                      <w:rFonts w:hint="eastAsia"/>
                      <w:color w:val="000000" w:themeColor="text1"/>
                      <w:highlight w:val="none"/>
                      <w:lang w:eastAsia="zh-CN"/>
                      <w14:textFill>
                        <w14:solidFill>
                          <w14:schemeClr w14:val="tx1"/>
                        </w14:solidFill>
                      </w14:textFill>
                    </w:rPr>
                    <w:t>一般工业固体废物暂存间（</w:t>
                  </w:r>
                  <w:r>
                    <w:rPr>
                      <w:rFonts w:hint="eastAsia"/>
                      <w:color w:val="000000" w:themeColor="text1"/>
                      <w:highlight w:val="none"/>
                      <w:lang w:val="en-US" w:eastAsia="zh-CN"/>
                      <w14:textFill>
                        <w14:solidFill>
                          <w14:schemeClr w14:val="tx1"/>
                        </w14:solidFill>
                      </w14:textFill>
                    </w:rPr>
                    <w:t>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内定期外售</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筛分杂质、金属杂质、废</w:t>
                  </w:r>
                  <w:r>
                    <w:rPr>
                      <w:rFonts w:hint="eastAsia"/>
                      <w:color w:val="000000" w:themeColor="text1"/>
                      <w:highlight w:val="none"/>
                      <w:lang w:val="en-US" w:eastAsia="zh-CN"/>
                      <w14:textFill>
                        <w14:solidFill>
                          <w14:schemeClr w14:val="tx1"/>
                        </w14:solidFill>
                      </w14:textFill>
                    </w:rPr>
                    <w:t>包装袋集中收集后存放于</w:t>
                  </w:r>
                  <w:r>
                    <w:rPr>
                      <w:rFonts w:hint="eastAsia"/>
                      <w:color w:val="000000" w:themeColor="text1"/>
                      <w:highlight w:val="none"/>
                      <w:lang w:eastAsia="zh-CN"/>
                      <w14:textFill>
                        <w14:solidFill>
                          <w14:schemeClr w14:val="tx1"/>
                        </w14:solidFill>
                      </w14:textFill>
                    </w:rPr>
                    <w:t>一般工业固体废物暂存间（</w:t>
                  </w:r>
                  <w:r>
                    <w:rPr>
                      <w:rFonts w:hint="eastAsia"/>
                      <w:color w:val="000000" w:themeColor="text1"/>
                      <w:highlight w:val="none"/>
                      <w:lang w:val="en-US" w:eastAsia="zh-CN"/>
                      <w14:textFill>
                        <w14:solidFill>
                          <w14:schemeClr w14:val="tx1"/>
                        </w14:solidFill>
                      </w14:textFill>
                    </w:rPr>
                    <w:t>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内定期外售</w:t>
                  </w:r>
                </w:p>
              </w:tc>
              <w:tc>
                <w:tcPr>
                  <w:tcW w:w="28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废布袋、废离子交换树脂由厂家定期回收更换，厂区内不存储</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废布袋、废离子交换树脂由厂家定期回收更换，厂区内不存储</w:t>
                  </w:r>
                </w:p>
              </w:tc>
              <w:tc>
                <w:tcPr>
                  <w:tcW w:w="28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除尘器收尘灰</w:t>
                  </w:r>
                  <w:r>
                    <w:rPr>
                      <w:rFonts w:hint="eastAsia"/>
                      <w:color w:val="000000" w:themeColor="text1"/>
                      <w:highlight w:val="none"/>
                      <w:lang w:val="en-US" w:eastAsia="zh-CN"/>
                      <w14:textFill>
                        <w14:solidFill>
                          <w14:schemeClr w14:val="tx1"/>
                        </w14:solidFill>
                      </w14:textFill>
                    </w:rPr>
                    <w:t>集中收集后存放于</w:t>
                  </w:r>
                  <w:r>
                    <w:rPr>
                      <w:rFonts w:hint="eastAsia"/>
                      <w:color w:val="000000" w:themeColor="text1"/>
                      <w:highlight w:val="none"/>
                      <w:lang w:eastAsia="zh-CN"/>
                      <w14:textFill>
                        <w14:solidFill>
                          <w14:schemeClr w14:val="tx1"/>
                        </w14:solidFill>
                      </w14:textFill>
                    </w:rPr>
                    <w:t>一般工业固体废物暂存间（</w:t>
                  </w:r>
                  <w:r>
                    <w:rPr>
                      <w:rFonts w:hint="eastAsia"/>
                      <w:color w:val="000000" w:themeColor="text1"/>
                      <w:highlight w:val="none"/>
                      <w:lang w:val="en-US" w:eastAsia="zh-CN"/>
                      <w14:textFill>
                        <w14:solidFill>
                          <w14:schemeClr w14:val="tx1"/>
                        </w14:solidFill>
                      </w14:textFill>
                    </w:rPr>
                    <w:t>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内回用于生产</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除尘器收尘灰</w:t>
                  </w:r>
                  <w:r>
                    <w:rPr>
                      <w:rFonts w:hint="eastAsia"/>
                      <w:color w:val="000000" w:themeColor="text1"/>
                      <w:highlight w:val="none"/>
                      <w:lang w:val="en-US" w:eastAsia="zh-CN"/>
                      <w14:textFill>
                        <w14:solidFill>
                          <w14:schemeClr w14:val="tx1"/>
                        </w14:solidFill>
                      </w14:textFill>
                    </w:rPr>
                    <w:t>集中收集后存放于</w:t>
                  </w:r>
                  <w:r>
                    <w:rPr>
                      <w:rFonts w:hint="eastAsia"/>
                      <w:color w:val="000000" w:themeColor="text1"/>
                      <w:highlight w:val="none"/>
                      <w:lang w:eastAsia="zh-CN"/>
                      <w14:textFill>
                        <w14:solidFill>
                          <w14:schemeClr w14:val="tx1"/>
                        </w14:solidFill>
                      </w14:textFill>
                    </w:rPr>
                    <w:t>一般工业固体废物暂存间（</w:t>
                  </w:r>
                  <w:r>
                    <w:rPr>
                      <w:rFonts w:hint="eastAsia"/>
                      <w:color w:val="000000" w:themeColor="text1"/>
                      <w:highlight w:val="none"/>
                      <w:lang w:val="en-US" w:eastAsia="zh-CN"/>
                      <w14:textFill>
                        <w14:solidFill>
                          <w14:schemeClr w14:val="tx1"/>
                        </w14:solidFill>
                      </w14:textFill>
                    </w:rPr>
                    <w:t>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内回用于生产</w:t>
                  </w:r>
                </w:p>
              </w:tc>
              <w:tc>
                <w:tcPr>
                  <w:tcW w:w="288"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实验室废液收集后暂存于危险废物贮存点（10m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），委托有资质单位处理</w:t>
                  </w:r>
                </w:p>
              </w:tc>
              <w:tc>
                <w:tcPr>
                  <w:tcW w:w="148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实验室废液收集后暂存于危险废物贮存点（10m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），委托有资质单位处理</w:t>
                  </w:r>
                </w:p>
              </w:tc>
              <w:tc>
                <w:tcPr>
                  <w:tcW w:w="288"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2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425"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废机油、废液压油、废齿轮油及废油桶由设备厂家统一到厂维修，厂家回收带走，不在厂区内贮存。</w:t>
                  </w:r>
                </w:p>
              </w:tc>
              <w:tc>
                <w:tcPr>
                  <w:tcW w:w="1480"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废机油、废液压油、废齿轮油及废油桶由</w:t>
                  </w:r>
                  <w:r>
                    <w:rPr>
                      <w:rFonts w:hint="default"/>
                      <w:color w:val="000000" w:themeColor="text1"/>
                      <w:highlight w:val="none"/>
                      <w:lang w:val="en-US" w:eastAsia="zh-CN"/>
                      <w14:textFill>
                        <w14:solidFill>
                          <w14:schemeClr w14:val="tx1"/>
                        </w14:solidFill>
                      </w14:textFill>
                    </w:rPr>
                    <w:t>设备厂家统一到厂维修，厂家回收带走，不在厂区内贮存。</w:t>
                  </w:r>
                </w:p>
              </w:tc>
              <w:tc>
                <w:tcPr>
                  <w:tcW w:w="288"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294"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防渗</w:t>
                  </w:r>
                </w:p>
              </w:tc>
              <w:tc>
                <w:tcPr>
                  <w:tcW w:w="122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42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油罐区、危险废物贮存点设为重点防渗区，化粪池、隔油池、一般工业固体废物暂存间设为一般防渗区，主车间、锅炉房均为简单防渗</w:t>
                  </w:r>
                </w:p>
              </w:tc>
              <w:tc>
                <w:tcPr>
                  <w:tcW w:w="1480"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油罐区、危险废物贮存点设为重点防渗区，化粪池、隔油池、一般工业固体废物暂存间设为一般防渗区，主车间、锅炉房均为简单防渗</w:t>
                  </w:r>
                </w:p>
              </w:tc>
              <w:tc>
                <w:tcPr>
                  <w:tcW w:w="288" w:type="pc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新建</w:t>
                  </w:r>
                </w:p>
              </w:tc>
            </w:tr>
          </w:tbl>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依托一期工程可行性：一期项目建设饲料生产原料仓（玉米仓、料仓），用于储存产品原料玉米、豆粕，本项目利用一期建设的原料仓（玉米仓、料仓）储存的玉米、豆粕用于生产50万吨/年肉鸡饲料，依托可行。</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一期项目主要建、构筑物一览见下表。</w:t>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表2-2 一期项目建、构筑物一览表</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036"/>
              <w:gridCol w:w="2092"/>
              <w:gridCol w:w="2092"/>
              <w:gridCol w:w="1495"/>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名称</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建筑面积（m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高度（m）</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料</w:t>
                  </w:r>
                  <w:r>
                    <w:rPr>
                      <w:color w:val="000000" w:themeColor="text1"/>
                      <w:highlight w:val="none"/>
                      <w14:textFill>
                        <w14:solidFill>
                          <w14:schemeClr w14:val="tx1"/>
                        </w14:solidFill>
                      </w14:textFill>
                    </w:rPr>
                    <w:t>仓</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1106.3</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1106.3</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玉米库</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11980.6</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11980.6</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9.6</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门卫室</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235.2</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235.2</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3.45</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bl>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二期项目主要建、构筑物一览见下表。</w:t>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表2-3 二期项目建、构筑物一览表</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036"/>
              <w:gridCol w:w="2092"/>
              <w:gridCol w:w="2092"/>
              <w:gridCol w:w="1495"/>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名称</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占地面积（m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建筑面积（m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高度（m）</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4418.1</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9370.08</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41.9</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62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立筒仓</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302.1</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302.1</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油罐区</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312</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312</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办公楼</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201.13</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1005.65</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15.79</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附属房</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293.4</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586.8</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64.8</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64.8</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3.9</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配电室</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108</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108</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62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锅炉房</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195.52</w:t>
                  </w:r>
                </w:p>
              </w:tc>
              <w:tc>
                <w:tcPr>
                  <w:tcW w:w="1264"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195.52</w:t>
                  </w:r>
                </w:p>
              </w:tc>
              <w:tc>
                <w:tcPr>
                  <w:tcW w:w="903"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7.1</w:t>
                  </w:r>
                </w:p>
              </w:tc>
              <w:tc>
                <w:tcPr>
                  <w:tcW w:w="47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bl>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2.2产品方案</w:t>
            </w:r>
          </w:p>
          <w:p>
            <w:pPr>
              <w:pStyle w:val="44"/>
              <w:bidi w:val="0"/>
              <w:rPr>
                <w:rFonts w:hint="eastAsia"/>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本项目主要进行肉鸡饲料生产</w:t>
            </w:r>
            <w:r>
              <w:rPr>
                <w:rFonts w:hint="eastAsia"/>
                <w:color w:val="000000" w:themeColor="text1"/>
                <w:highlight w:val="none"/>
                <w:lang w:eastAsia="zh-CN"/>
                <w14:textFill>
                  <w14:solidFill>
                    <w14:schemeClr w14:val="tx1"/>
                  </w14:solidFill>
                </w14:textFill>
              </w:rPr>
              <w:t>，设计年产饲料</w:t>
            </w:r>
            <w:r>
              <w:rPr>
                <w:rFonts w:hint="eastAsia"/>
                <w:color w:val="000000" w:themeColor="text1"/>
                <w:highlight w:val="none"/>
                <w:lang w:val="en-US" w:eastAsia="zh-CN"/>
                <w14:textFill>
                  <w14:solidFill>
                    <w14:schemeClr w14:val="tx1"/>
                  </w14:solidFill>
                </w14:textFill>
              </w:rPr>
              <w:t>50万吨，</w:t>
            </w:r>
            <w:r>
              <w:rPr>
                <w:color w:val="000000" w:themeColor="text1"/>
                <w:highlight w:val="none"/>
                <w14:textFill>
                  <w14:solidFill>
                    <w14:schemeClr w14:val="tx1"/>
                  </w14:solidFill>
                </w14:textFill>
              </w:rPr>
              <w:t>具体产品方案见</w:t>
            </w:r>
            <w:r>
              <w:rPr>
                <w:rFonts w:hint="eastAsia"/>
                <w:color w:val="000000" w:themeColor="text1"/>
                <w:highlight w:val="none"/>
                <w:lang w:eastAsia="zh-CN"/>
                <w14:textFill>
                  <w14:solidFill>
                    <w14:schemeClr w14:val="tx1"/>
                  </w14:solidFill>
                </w14:textFill>
              </w:rPr>
              <w:t>下</w:t>
            </w:r>
            <w:r>
              <w:rPr>
                <w:color w:val="000000" w:themeColor="text1"/>
                <w:highlight w:val="none"/>
                <w14:textFill>
                  <w14:solidFill>
                    <w14:schemeClr w14:val="tx1"/>
                  </w14:solidFill>
                </w14:textFill>
              </w:rPr>
              <w:t>表</w:t>
            </w:r>
            <w:r>
              <w:rPr>
                <w:rFonts w:hint="eastAsia"/>
                <w:color w:val="000000" w:themeColor="text1"/>
                <w:highlight w:val="none"/>
                <w:lang w:eastAsia="zh-CN"/>
                <w14:textFill>
                  <w14:solidFill>
                    <w14:schemeClr w14:val="tx1"/>
                  </w14:solidFill>
                </w14:textFill>
              </w:rPr>
              <w:t>。</w:t>
            </w:r>
          </w:p>
          <w:p>
            <w:pPr>
              <w:pStyle w:val="45"/>
              <w:bidi w:val="0"/>
              <w:rPr>
                <w:rFonts w:hint="eastAsia"/>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表 2</w:t>
            </w:r>
            <w:r>
              <w:rPr>
                <w:rFonts w:hint="eastAsia"/>
                <w:b/>
                <w:bCs/>
                <w:color w:val="000000" w:themeColor="text1"/>
                <w:highlight w:val="none"/>
                <w:lang w:val="en-US" w:eastAsia="zh-CN"/>
                <w14:textFill>
                  <w14:solidFill>
                    <w14:schemeClr w14:val="tx1"/>
                  </w14:solidFill>
                </w14:textFill>
              </w:rPr>
              <w:t>-4</w:t>
            </w:r>
            <w:r>
              <w:rPr>
                <w:b/>
                <w:bCs/>
                <w:color w:val="000000" w:themeColor="text1"/>
                <w:highlight w:val="none"/>
                <w14:textFill>
                  <w14:solidFill>
                    <w14:schemeClr w14:val="tx1"/>
                  </w14:solidFill>
                </w14:textFill>
              </w:rPr>
              <w:t xml:space="preserve"> 本项目产品方案一览表</w:t>
            </w:r>
          </w:p>
          <w:tbl>
            <w:tblPr>
              <w:tblStyle w:val="2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117"/>
              <w:gridCol w:w="1113"/>
              <w:gridCol w:w="1118"/>
              <w:gridCol w:w="1118"/>
              <w:gridCol w:w="1118"/>
              <w:gridCol w:w="1118"/>
              <w:gridCol w:w="8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0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序号</w:t>
                  </w:r>
                </w:p>
              </w:tc>
              <w:tc>
                <w:tcPr>
                  <w:tcW w:w="675"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产品</w:t>
                  </w:r>
                  <w:r>
                    <w:rPr>
                      <w:rFonts w:hint="default"/>
                      <w:color w:val="000000" w:themeColor="text1"/>
                      <w:highlight w:val="none"/>
                      <w14:textFill>
                        <w14:solidFill>
                          <w14:schemeClr w14:val="tx1"/>
                        </w14:solidFill>
                      </w14:textFill>
                    </w:rPr>
                    <w:t>名称</w:t>
                  </w:r>
                </w:p>
              </w:tc>
              <w:tc>
                <w:tcPr>
                  <w:tcW w:w="672"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年产量</w:t>
                  </w:r>
                </w:p>
              </w:tc>
              <w:tc>
                <w:tcPr>
                  <w:tcW w:w="675"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产品规格</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存储周期</w:t>
                  </w:r>
                </w:p>
              </w:tc>
              <w:tc>
                <w:tcPr>
                  <w:tcW w:w="675"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存放位置</w:t>
                  </w:r>
                </w:p>
              </w:tc>
              <w:tc>
                <w:tcPr>
                  <w:tcW w:w="675" w:type="pct"/>
                  <w:tcBorders>
                    <w:tl2br w:val="nil"/>
                    <w:tr2bl w:val="nil"/>
                  </w:tcBorders>
                  <w:noWrap w:val="0"/>
                  <w:vAlign w:val="center"/>
                </w:tcPr>
                <w:p>
                  <w:pPr>
                    <w:pStyle w:val="45"/>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包装方式</w:t>
                  </w:r>
                </w:p>
              </w:tc>
              <w:tc>
                <w:tcPr>
                  <w:tcW w:w="541"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40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肉鸡饲料</w:t>
                  </w:r>
                </w:p>
              </w:tc>
              <w:tc>
                <w:tcPr>
                  <w:tcW w:w="672"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50万吨</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50kg/袋</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10天</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库房</w:t>
                  </w:r>
                </w:p>
              </w:tc>
              <w:tc>
                <w:tcPr>
                  <w:tcW w:w="67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54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养殖户</w:t>
                  </w:r>
                </w:p>
              </w:tc>
            </w:tr>
          </w:tbl>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产品卫生执行《饲料卫生标准》（GB13078-2017），产品质量执行台安县九股河农业发展有限公司企业标准，编号Q/TJGH003-2024，台安县九股河农业发展有限公司企业标准已在企业标准信息公共服务平台（https://www.qybz.org.cn/）进行公开备案，产品质量执行标准合规。</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2.3原辅材料及主要能源消耗情况</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本项目原辅材料及主要能源消耗情况见表2-5。</w:t>
            </w:r>
          </w:p>
          <w:p>
            <w:pPr>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表2-5原辅材料及主要能源消耗表</w:t>
            </w:r>
          </w:p>
          <w:tbl>
            <w:tblPr>
              <w:tblStyle w:val="2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449"/>
              <w:gridCol w:w="309"/>
              <w:gridCol w:w="862"/>
              <w:gridCol w:w="766"/>
              <w:gridCol w:w="46"/>
              <w:gridCol w:w="761"/>
              <w:gridCol w:w="820"/>
              <w:gridCol w:w="779"/>
              <w:gridCol w:w="991"/>
              <w:gridCol w:w="986"/>
              <w:gridCol w:w="9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序号</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原料名称</w:t>
                  </w:r>
                </w:p>
              </w:tc>
              <w:tc>
                <w:tcPr>
                  <w:tcW w:w="52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消耗量</w:t>
                  </w:r>
                  <w:r>
                    <w:rPr>
                      <w:rFonts w:hint="eastAsia"/>
                      <w:color w:val="000000" w:themeColor="text1"/>
                      <w:highlight w:val="none"/>
                      <w:lang w:val="en-US" w:eastAsia="zh-CN"/>
                      <w14:textFill>
                        <w14:solidFill>
                          <w14:schemeClr w14:val="tx1"/>
                        </w14:solidFill>
                      </w14:textFill>
                    </w:rPr>
                    <w:t>（吨/年）</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规格</w:t>
                  </w:r>
                </w:p>
              </w:tc>
              <w:tc>
                <w:tcPr>
                  <w:tcW w:w="488"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状态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包装</w:t>
                  </w:r>
                </w:p>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方式</w:t>
                  </w:r>
                </w:p>
              </w:tc>
              <w:tc>
                <w:tcPr>
                  <w:tcW w:w="47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存储</w:t>
                  </w:r>
                </w:p>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周期</w:t>
                  </w:r>
                </w:p>
              </w:tc>
              <w:tc>
                <w:tcPr>
                  <w:tcW w:w="59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最大储存量（吨/年）</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存储位置</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玉米</w:t>
                  </w:r>
                </w:p>
              </w:tc>
              <w:tc>
                <w:tcPr>
                  <w:tcW w:w="52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275000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488" w:type="pct"/>
                  <w:gridSpan w:val="2"/>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散集</w:t>
                  </w:r>
                </w:p>
              </w:tc>
              <w:tc>
                <w:tcPr>
                  <w:tcW w:w="471" w:type="pct"/>
                  <w:tcBorders>
                    <w:tl2br w:val="nil"/>
                    <w:tr2bl w:val="nil"/>
                  </w:tcBorders>
                  <w:noWrap w:val="0"/>
                  <w:vAlign w:val="center"/>
                </w:tcPr>
                <w:p>
                  <w:pPr>
                    <w:pStyle w:val="45"/>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20天</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15000</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玉米库</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玉米公司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棉粕</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3000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10天</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山东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花生粕</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40000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7天</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1000</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鲁花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豆粕</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125000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散集</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5天</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2100</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立筒仓和料仓</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九三集团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磷酸氢</w:t>
                  </w:r>
                  <w:r>
                    <w:rPr>
                      <w:rFonts w:hint="default"/>
                      <w:color w:val="000000" w:themeColor="text1"/>
                      <w:highlight w:val="none"/>
                      <w:lang w:val="en-US" w:eastAsia="zh-CN"/>
                      <w14:textFill>
                        <w14:solidFill>
                          <w14:schemeClr w14:val="tx1"/>
                        </w14:solidFill>
                      </w14:textFill>
                    </w:rPr>
                    <w:t>钙</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2000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1个月</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180</w:t>
                  </w:r>
                </w:p>
              </w:tc>
              <w:tc>
                <w:tcPr>
                  <w:tcW w:w="596"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包头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石粉</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2000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1个月</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180</w:t>
                  </w:r>
                </w:p>
              </w:tc>
              <w:tc>
                <w:tcPr>
                  <w:tcW w:w="596"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岫岩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面粉</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3000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10天</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100</w:t>
                  </w:r>
                </w:p>
              </w:tc>
              <w:tc>
                <w:tcPr>
                  <w:tcW w:w="596"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山东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34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添加剂</w:t>
                  </w:r>
                </w:p>
              </w:tc>
              <w:tc>
                <w:tcPr>
                  <w:tcW w:w="521" w:type="pct"/>
                  <w:tcBorders>
                    <w:tl2br w:val="nil"/>
                    <w:tr2bl w:val="nil"/>
                  </w:tcBorders>
                  <w:noWrap w:val="0"/>
                  <w:vAlign w:val="center"/>
                </w:tcPr>
                <w:p>
                  <w:pPr>
                    <w:pStyle w:val="4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1个月</w:t>
                  </w:r>
                </w:p>
              </w:tc>
              <w:tc>
                <w:tcPr>
                  <w:tcW w:w="59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400</w:t>
                  </w:r>
                </w:p>
              </w:tc>
              <w:tc>
                <w:tcPr>
                  <w:tcW w:w="596"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禾丰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鸭油</w:t>
                  </w:r>
                </w:p>
              </w:tc>
              <w:tc>
                <w:tcPr>
                  <w:tcW w:w="521" w:type="pct"/>
                  <w:tcBorders>
                    <w:tl2br w:val="nil"/>
                    <w:tr2bl w:val="nil"/>
                  </w:tcBorders>
                  <w:noWrap w:val="0"/>
                  <w:vAlign w:val="center"/>
                </w:tcPr>
                <w:p>
                  <w:pPr>
                    <w:pStyle w:val="45"/>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5000</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罐装</w:t>
                  </w:r>
                </w:p>
              </w:tc>
              <w:tc>
                <w:tcPr>
                  <w:tcW w:w="471" w:type="pct"/>
                  <w:tcBorders>
                    <w:tl2br w:val="nil"/>
                    <w:tr2bl w:val="nil"/>
                  </w:tcBorders>
                  <w:noWrap w:val="0"/>
                  <w:vAlign w:val="center"/>
                </w:tcPr>
                <w:p>
                  <w:pPr>
                    <w:pStyle w:val="45"/>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5天</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500</w:t>
                  </w:r>
                </w:p>
              </w:tc>
              <w:tc>
                <w:tcPr>
                  <w:tcW w:w="596" w:type="pct"/>
                  <w:vMerge w:val="restar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油罐区（单个储罐容积为100t/罐）</w:t>
                  </w:r>
                </w:p>
              </w:tc>
              <w:tc>
                <w:tcPr>
                  <w:tcW w:w="559" w:type="pct"/>
                  <w:vMerge w:val="restar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九三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豆油</w:t>
                  </w:r>
                </w:p>
              </w:tc>
              <w:tc>
                <w:tcPr>
                  <w:tcW w:w="521" w:type="pct"/>
                  <w:tcBorders>
                    <w:tl2br w:val="nil"/>
                    <w:tr2bl w:val="nil"/>
                  </w:tcBorders>
                  <w:noWrap w:val="0"/>
                  <w:vAlign w:val="center"/>
                </w:tcPr>
                <w:p>
                  <w:pPr>
                    <w:pStyle w:val="45"/>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25000</w:t>
                  </w:r>
                </w:p>
              </w:tc>
              <w:tc>
                <w:tcPr>
                  <w:tcW w:w="46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罐装</w:t>
                  </w:r>
                </w:p>
              </w:tc>
              <w:tc>
                <w:tcPr>
                  <w:tcW w:w="47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kern w:val="2"/>
                      <w:highlight w:val="none"/>
                      <w14:textFill>
                        <w14:solidFill>
                          <w14:schemeClr w14:val="tx1"/>
                        </w14:solidFill>
                      </w14:textFill>
                    </w:rPr>
                    <w:t>5天</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500</w:t>
                  </w:r>
                </w:p>
              </w:tc>
              <w:tc>
                <w:tcPr>
                  <w:tcW w:w="596" w:type="pct"/>
                  <w:vMerge w:val="continue"/>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p>
              </w:tc>
              <w:tc>
                <w:tcPr>
                  <w:tcW w:w="559" w:type="pct"/>
                  <w:vMerge w:val="continue"/>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米糠油</w:t>
                  </w:r>
                </w:p>
              </w:tc>
              <w:tc>
                <w:tcPr>
                  <w:tcW w:w="521" w:type="pct"/>
                  <w:tcBorders>
                    <w:tl2br w:val="nil"/>
                    <w:tr2bl w:val="nil"/>
                  </w:tcBorders>
                  <w:noWrap w:val="0"/>
                  <w:vAlign w:val="center"/>
                </w:tcPr>
                <w:p>
                  <w:pPr>
                    <w:pStyle w:val="45"/>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15000</w:t>
                  </w:r>
                </w:p>
              </w:tc>
              <w:tc>
                <w:tcPr>
                  <w:tcW w:w="46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罐装</w:t>
                  </w:r>
                </w:p>
              </w:tc>
              <w:tc>
                <w:tcPr>
                  <w:tcW w:w="47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kern w:val="2"/>
                      <w:highlight w:val="none"/>
                      <w14:textFill>
                        <w14:solidFill>
                          <w14:schemeClr w14:val="tx1"/>
                        </w14:solidFill>
                      </w14:textFill>
                    </w:rPr>
                    <w:t>5天</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500</w:t>
                  </w:r>
                </w:p>
              </w:tc>
              <w:tc>
                <w:tcPr>
                  <w:tcW w:w="596" w:type="pct"/>
                  <w:vMerge w:val="continue"/>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p>
              </w:tc>
              <w:tc>
                <w:tcPr>
                  <w:tcW w:w="559" w:type="pct"/>
                  <w:vMerge w:val="continue"/>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机油</w:t>
                  </w:r>
                </w:p>
              </w:tc>
              <w:tc>
                <w:tcPr>
                  <w:tcW w:w="52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桶装</w:t>
                  </w:r>
                </w:p>
              </w:tc>
              <w:tc>
                <w:tcPr>
                  <w:tcW w:w="471" w:type="pct"/>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596" w:type="pct"/>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344"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液压油</w:t>
                  </w:r>
                </w:p>
              </w:tc>
              <w:tc>
                <w:tcPr>
                  <w:tcW w:w="521"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0.5</w:t>
                  </w:r>
                </w:p>
              </w:tc>
              <w:tc>
                <w:tcPr>
                  <w:tcW w:w="46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桶装</w:t>
                  </w:r>
                </w:p>
              </w:tc>
              <w:tc>
                <w:tcPr>
                  <w:tcW w:w="471" w:type="pct"/>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0.25</w:t>
                  </w:r>
                </w:p>
              </w:tc>
              <w:tc>
                <w:tcPr>
                  <w:tcW w:w="596" w:type="pct"/>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齿轮油</w:t>
                  </w:r>
                </w:p>
              </w:tc>
              <w:tc>
                <w:tcPr>
                  <w:tcW w:w="52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0.8</w:t>
                  </w:r>
                </w:p>
              </w:tc>
              <w:tc>
                <w:tcPr>
                  <w:tcW w:w="463"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20公斤</w:t>
                  </w:r>
                </w:p>
              </w:tc>
              <w:tc>
                <w:tcPr>
                  <w:tcW w:w="488" w:type="pct"/>
                  <w:gridSpan w:val="2"/>
                  <w:tcBorders>
                    <w:tl2br w:val="nil"/>
                    <w:tr2bl w:val="nil"/>
                  </w:tcBorders>
                  <w:noWrap w:val="0"/>
                  <w:vAlign w:val="center"/>
                </w:tcPr>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桶装</w:t>
                  </w:r>
                </w:p>
              </w:tc>
              <w:tc>
                <w:tcPr>
                  <w:tcW w:w="471" w:type="pct"/>
                  <w:tcBorders>
                    <w:tl2br w:val="nil"/>
                    <w:tr2bl w:val="nil"/>
                  </w:tcBorders>
                  <w:noWrap w:val="0"/>
                  <w:vAlign w:val="center"/>
                </w:tcPr>
                <w:p>
                  <w:pPr>
                    <w:pStyle w:val="45"/>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3个月</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596" w:type="pct"/>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主车间</w:t>
                  </w:r>
                </w:p>
              </w:tc>
              <w:tc>
                <w:tcPr>
                  <w:tcW w:w="559"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44"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离子交换树脂</w:t>
                  </w:r>
                </w:p>
              </w:tc>
              <w:tc>
                <w:tcPr>
                  <w:tcW w:w="52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0.5</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20公斤</w:t>
                  </w:r>
                </w:p>
              </w:tc>
              <w:tc>
                <w:tcPr>
                  <w:tcW w:w="488"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0.25</w:t>
                  </w:r>
                </w:p>
              </w:tc>
              <w:tc>
                <w:tcPr>
                  <w:tcW w:w="596"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锅炉房</w:t>
                  </w:r>
                </w:p>
              </w:tc>
              <w:tc>
                <w:tcPr>
                  <w:tcW w:w="55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16</w:t>
                  </w:r>
                </w:p>
              </w:tc>
              <w:tc>
                <w:tcPr>
                  <w:tcW w:w="459"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氯化钠</w:t>
                  </w:r>
                </w:p>
              </w:tc>
              <w:tc>
                <w:tcPr>
                  <w:tcW w:w="521"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0.5</w:t>
                  </w:r>
                </w:p>
              </w:tc>
              <w:tc>
                <w:tcPr>
                  <w:tcW w:w="46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10公斤</w:t>
                  </w:r>
                </w:p>
              </w:tc>
              <w:tc>
                <w:tcPr>
                  <w:tcW w:w="488" w:type="pct"/>
                  <w:gridSpan w:val="2"/>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固态</w:t>
                  </w:r>
                </w:p>
              </w:tc>
              <w:tc>
                <w:tcPr>
                  <w:tcW w:w="495"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袋装</w:t>
                  </w:r>
                </w:p>
              </w:tc>
              <w:tc>
                <w:tcPr>
                  <w:tcW w:w="471" w:type="pct"/>
                  <w:tcBorders>
                    <w:tl2br w:val="nil"/>
                    <w:tr2bl w:val="nil"/>
                  </w:tcBorders>
                  <w:noWrap w:val="0"/>
                  <w:vAlign w:val="center"/>
                </w:tcPr>
                <w:p>
                  <w:pPr>
                    <w:pStyle w:val="45"/>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0.25</w:t>
                  </w:r>
                </w:p>
              </w:tc>
              <w:tc>
                <w:tcPr>
                  <w:tcW w:w="596"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锅炉房</w:t>
                  </w:r>
                </w:p>
              </w:tc>
              <w:tc>
                <w:tcPr>
                  <w:tcW w:w="559"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17</w:t>
                  </w:r>
                </w:p>
              </w:tc>
              <w:tc>
                <w:tcPr>
                  <w:tcW w:w="459" w:type="pct"/>
                  <w:gridSpan w:val="2"/>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石油醚</w:t>
                  </w:r>
                </w:p>
              </w:tc>
              <w:tc>
                <w:tcPr>
                  <w:tcW w:w="52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0.08</w:t>
                  </w:r>
                </w:p>
              </w:tc>
              <w:tc>
                <w:tcPr>
                  <w:tcW w:w="463"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500毫升/瓶</w:t>
                  </w:r>
                </w:p>
              </w:tc>
              <w:tc>
                <w:tcPr>
                  <w:tcW w:w="488" w:type="pct"/>
                  <w:gridSpan w:val="2"/>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瓶装</w:t>
                  </w:r>
                </w:p>
              </w:tc>
              <w:tc>
                <w:tcPr>
                  <w:tcW w:w="47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pStyle w:val="45"/>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0.04</w:t>
                  </w:r>
                </w:p>
              </w:tc>
              <w:tc>
                <w:tcPr>
                  <w:tcW w:w="596"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实验室</w:t>
                  </w:r>
                </w:p>
              </w:tc>
              <w:tc>
                <w:tcPr>
                  <w:tcW w:w="55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18</w:t>
                  </w:r>
                </w:p>
              </w:tc>
              <w:tc>
                <w:tcPr>
                  <w:tcW w:w="459" w:type="pct"/>
                  <w:gridSpan w:val="2"/>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95%乙醇</w:t>
                  </w:r>
                </w:p>
              </w:tc>
              <w:tc>
                <w:tcPr>
                  <w:tcW w:w="52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0.03</w:t>
                  </w:r>
                </w:p>
              </w:tc>
              <w:tc>
                <w:tcPr>
                  <w:tcW w:w="463"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500毫升/瓶</w:t>
                  </w:r>
                </w:p>
              </w:tc>
              <w:tc>
                <w:tcPr>
                  <w:tcW w:w="488" w:type="pct"/>
                  <w:gridSpan w:val="2"/>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瓶装</w:t>
                  </w:r>
                </w:p>
              </w:tc>
              <w:tc>
                <w:tcPr>
                  <w:tcW w:w="471"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596"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eastAsia="zh-CN"/>
                      <w14:textFill>
                        <w14:solidFill>
                          <w14:schemeClr w14:val="tx1"/>
                        </w14:solidFill>
                      </w14:textFill>
                    </w:rPr>
                    <w:t>实验室</w:t>
                  </w:r>
                  <w:r>
                    <w:rPr>
                      <w:color w:val="000000" w:themeColor="text1"/>
                      <w:highlight w:val="none"/>
                      <w14:textFill>
                        <w14:solidFill>
                          <w14:schemeClr w14:val="tx1"/>
                        </w14:solidFill>
                      </w14:textFill>
                    </w:rPr>
                    <w:t xml:space="preserve"> </w:t>
                  </w:r>
                </w:p>
              </w:tc>
              <w:tc>
                <w:tcPr>
                  <w:tcW w:w="55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w:t>
                  </w:r>
                </w:p>
              </w:tc>
              <w:tc>
                <w:tcPr>
                  <w:tcW w:w="459" w:type="pct"/>
                  <w:gridSpan w:val="2"/>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无水乙醇</w:t>
                  </w:r>
                </w:p>
              </w:tc>
              <w:tc>
                <w:tcPr>
                  <w:tcW w:w="52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0.03</w:t>
                  </w:r>
                </w:p>
              </w:tc>
              <w:tc>
                <w:tcPr>
                  <w:tcW w:w="463"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500毫升/瓶</w:t>
                  </w:r>
                </w:p>
              </w:tc>
              <w:tc>
                <w:tcPr>
                  <w:tcW w:w="488" w:type="pct"/>
                  <w:gridSpan w:val="2"/>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瓶装</w:t>
                  </w:r>
                </w:p>
              </w:tc>
              <w:tc>
                <w:tcPr>
                  <w:tcW w:w="471"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596"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实验室</w:t>
                  </w:r>
                </w:p>
              </w:tc>
              <w:tc>
                <w:tcPr>
                  <w:tcW w:w="55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c>
                <w:tcPr>
                  <w:tcW w:w="459" w:type="pct"/>
                  <w:gridSpan w:val="2"/>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氢氧化钠</w:t>
                  </w:r>
                </w:p>
              </w:tc>
              <w:tc>
                <w:tcPr>
                  <w:tcW w:w="521"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0.03</w:t>
                  </w:r>
                </w:p>
              </w:tc>
              <w:tc>
                <w:tcPr>
                  <w:tcW w:w="463"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500克/瓶</w:t>
                  </w:r>
                </w:p>
              </w:tc>
              <w:tc>
                <w:tcPr>
                  <w:tcW w:w="488" w:type="pct"/>
                  <w:gridSpan w:val="2"/>
                  <w:tcBorders>
                    <w:tl2br w:val="nil"/>
                    <w:tr2bl w:val="nil"/>
                  </w:tcBorders>
                  <w:noWrap w:val="0"/>
                  <w:vAlign w:val="center"/>
                </w:tcPr>
                <w:p>
                  <w:pPr>
                    <w:bidi w:val="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液态</w:t>
                  </w:r>
                </w:p>
              </w:tc>
              <w:tc>
                <w:tcPr>
                  <w:tcW w:w="495"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highlight w:val="none"/>
                      <w14:textFill>
                        <w14:solidFill>
                          <w14:schemeClr w14:val="tx1"/>
                        </w14:solidFill>
                      </w14:textFill>
                    </w:rPr>
                    <w:t>瓶装</w:t>
                  </w:r>
                </w:p>
              </w:tc>
              <w:tc>
                <w:tcPr>
                  <w:tcW w:w="471"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6个月</w:t>
                  </w:r>
                </w:p>
              </w:tc>
              <w:tc>
                <w:tcPr>
                  <w:tcW w:w="599" w:type="pct"/>
                  <w:tcBorders>
                    <w:tl2br w:val="nil"/>
                    <w:tr2bl w:val="nil"/>
                  </w:tcBorders>
                  <w:noWrap w:val="0"/>
                  <w:vAlign w:val="center"/>
                </w:tcPr>
                <w:p>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w:t>
                  </w:r>
                </w:p>
              </w:tc>
              <w:tc>
                <w:tcPr>
                  <w:tcW w:w="596" w:type="pct"/>
                  <w:tcBorders>
                    <w:tl2br w:val="nil"/>
                    <w:tr2bl w:val="nil"/>
                  </w:tcBorders>
                  <w:noWrap w:val="0"/>
                  <w:vAlign w:val="center"/>
                </w:tcPr>
                <w:p>
                  <w:pPr>
                    <w:pStyle w:val="45"/>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实验室</w:t>
                  </w:r>
                </w:p>
              </w:tc>
              <w:tc>
                <w:tcPr>
                  <w:tcW w:w="55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000" w:type="pct"/>
                  <w:gridSpan w:val="12"/>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能源消耗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16" w:type="pct"/>
                  <w:gridSpan w:val="2"/>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序号</w:t>
                  </w:r>
                </w:p>
              </w:tc>
              <w:tc>
                <w:tcPr>
                  <w:tcW w:w="1199" w:type="pct"/>
                  <w:gridSpan w:val="4"/>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能源名称</w:t>
                  </w:r>
                </w:p>
              </w:tc>
              <w:tc>
                <w:tcPr>
                  <w:tcW w:w="956" w:type="pct"/>
                  <w:gridSpan w:val="2"/>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年消耗量</w:t>
                  </w:r>
                </w:p>
              </w:tc>
              <w:tc>
                <w:tcPr>
                  <w:tcW w:w="1070" w:type="pct"/>
                  <w:gridSpan w:val="2"/>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单位</w:t>
                  </w:r>
                </w:p>
              </w:tc>
              <w:tc>
                <w:tcPr>
                  <w:tcW w:w="1156" w:type="pct"/>
                  <w:gridSpan w:val="2"/>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1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w:t>
                  </w:r>
                </w:p>
              </w:tc>
              <w:tc>
                <w:tcPr>
                  <w:tcW w:w="1199" w:type="pct"/>
                  <w:gridSpan w:val="4"/>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电</w:t>
                  </w:r>
                </w:p>
              </w:tc>
              <w:tc>
                <w:tcPr>
                  <w:tcW w:w="956" w:type="pct"/>
                  <w:gridSpan w:val="2"/>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1200</w:t>
                  </w:r>
                </w:p>
              </w:tc>
              <w:tc>
                <w:tcPr>
                  <w:tcW w:w="1070"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万kWh/a</w:t>
                  </w:r>
                </w:p>
              </w:tc>
              <w:tc>
                <w:tcPr>
                  <w:tcW w:w="115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市政供电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1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w:t>
                  </w:r>
                </w:p>
              </w:tc>
              <w:tc>
                <w:tcPr>
                  <w:tcW w:w="1199" w:type="pct"/>
                  <w:gridSpan w:val="4"/>
                  <w:vAlign w:val="center"/>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水</w:t>
                  </w:r>
                </w:p>
              </w:tc>
              <w:tc>
                <w:tcPr>
                  <w:tcW w:w="956" w:type="pct"/>
                  <w:gridSpan w:val="2"/>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5881.04</w:t>
                  </w:r>
                </w:p>
              </w:tc>
              <w:tc>
                <w:tcPr>
                  <w:tcW w:w="1070"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t/a</w:t>
                  </w:r>
                </w:p>
              </w:tc>
              <w:tc>
                <w:tcPr>
                  <w:tcW w:w="115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市政供</w:t>
                  </w:r>
                  <w:r>
                    <w:rPr>
                      <w:rFonts w:hint="default"/>
                      <w:color w:val="000000" w:themeColor="text1"/>
                      <w:highlight w:val="none"/>
                      <w:lang w:val="en-US" w:eastAsia="zh-CN"/>
                      <w14:textFill>
                        <w14:solidFill>
                          <w14:schemeClr w14:val="tx1"/>
                        </w14:solidFill>
                      </w14:textFill>
                    </w:rPr>
                    <w:t>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1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1199" w:type="pct"/>
                  <w:gridSpan w:val="4"/>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天然气</w:t>
                  </w:r>
                </w:p>
              </w:tc>
              <w:tc>
                <w:tcPr>
                  <w:tcW w:w="956" w:type="pct"/>
                  <w:gridSpan w:val="2"/>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90万</w:t>
                  </w:r>
                </w:p>
              </w:tc>
              <w:tc>
                <w:tcPr>
                  <w:tcW w:w="1070"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立方米</w:t>
                  </w:r>
                </w:p>
              </w:tc>
              <w:tc>
                <w:tcPr>
                  <w:tcW w:w="1156" w:type="pct"/>
                  <w:gridSpan w:val="2"/>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德源燃气</w:t>
                  </w:r>
                </w:p>
              </w:tc>
            </w:tr>
          </w:tbl>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辅料性质：</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①添加剂：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本项目使用的添加剂为肉中大鸡0.2%复合预混料S7212，主要原料为亚硒酸钠、维生素A乙酸酯、维生素B2、维生素D3、植酸酶、脱酚棉籽蛋白、二丁基羟基甲苯等。</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②磷酸氢</w:t>
            </w:r>
            <w:r>
              <w:rPr>
                <w:rFonts w:hint="default"/>
                <w:color w:val="000000" w:themeColor="text1"/>
                <w:highlight w:val="none"/>
                <w:lang w:val="en-US" w:eastAsia="zh-CN"/>
                <w14:textFill>
                  <w14:solidFill>
                    <w14:schemeClr w14:val="tx1"/>
                  </w14:solidFill>
                </w14:textFill>
              </w:rPr>
              <w:t>钙</w:t>
            </w:r>
            <w:r>
              <w:rPr>
                <w:rFonts w:hint="eastAsia"/>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磷酸氢钙是一种无机化合物，化学式为CaHPO</w:t>
            </w:r>
            <w:r>
              <w:rPr>
                <w:rFonts w:hint="eastAsia"/>
                <w:color w:val="000000" w:themeColor="text1"/>
                <w:highlight w:val="none"/>
                <w:vertAlign w:val="subscript"/>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，为白色结晶性粉末，易溶于稀盐酸、稀硝酸、醋酸，微溶于水，不溶于乙醇，主要用作食品添加剂。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本项目使用的天然气成分如下：</w:t>
            </w:r>
          </w:p>
          <w:p>
            <w:pPr>
              <w:pStyle w:val="45"/>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表2-6 天然气成分表</w:t>
            </w:r>
          </w:p>
          <w:tbl>
            <w:tblPr>
              <w:tblStyle w:val="21"/>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4"/>
              <w:gridCol w:w="4280"/>
              <w:gridCol w:w="27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检验项目</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检验值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甲烷（摩尔分数）/%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乙烷（摩尔分数）/%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丙烷（摩尔分数）/%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正丁烷（摩尔分数）/%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异丁烷（摩尔分数）/%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正戊烷（摩尔分数）/%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异戊烷（摩尔分数）/%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C6（摩尔分数）/%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氧气（摩尔分数）/%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258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氮气（摩尔分数）/%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二氧化碳（摩尔分数）/%</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未检出（&lt;0.01）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c>
                <w:tcPr>
                  <w:tcW w:w="258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低位发热量/（MJ/m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c>
                <w:tcPr>
                  <w:tcW w:w="2586"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硫化氢（mg/m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1667"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&lt;0.01</w:t>
                  </w:r>
                </w:p>
              </w:tc>
            </w:tr>
          </w:tbl>
          <w:p>
            <w:pPr>
              <w:pStyle w:val="44"/>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2.5实验室检验内容</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主要对理化性质进行物理检测，</w:t>
            </w:r>
            <w:r>
              <w:rPr>
                <w:rFonts w:hint="eastAsia"/>
                <w:color w:val="000000" w:themeColor="text1"/>
                <w:highlight w:val="none"/>
                <w:lang w:eastAsia="zh-CN"/>
                <w14:textFill>
                  <w14:solidFill>
                    <w14:schemeClr w14:val="tx1"/>
                  </w14:solidFill>
                </w14:textFill>
              </w:rPr>
              <w:t>包括</w:t>
            </w:r>
            <w:r>
              <w:rPr>
                <w:rFonts w:hint="eastAsia"/>
                <w:color w:val="000000" w:themeColor="text1"/>
                <w:highlight w:val="none"/>
                <w14:textFill>
                  <w14:solidFill>
                    <w14:schemeClr w14:val="tx1"/>
                  </w14:solidFill>
                </w14:textFill>
              </w:rPr>
              <w:t>粗蛋白、水分、脂肪等</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同步</w:t>
            </w:r>
            <w:r>
              <w:rPr>
                <w:rFonts w:hint="eastAsia"/>
                <w:color w:val="000000" w:themeColor="text1"/>
                <w:highlight w:val="none"/>
                <w:lang w:eastAsia="zh-CN"/>
                <w14:textFill>
                  <w14:solidFill>
                    <w14:schemeClr w14:val="tx1"/>
                  </w14:solidFill>
                </w14:textFill>
              </w:rPr>
              <w:t>贮存化验药剂。</w:t>
            </w:r>
          </w:p>
          <w:p>
            <w:pPr>
              <w:pStyle w:val="44"/>
              <w:bidi w:val="0"/>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2.5主要生产设备</w:t>
            </w:r>
          </w:p>
          <w:p>
            <w:pPr>
              <w:pStyle w:val="44"/>
              <w:bidi w:val="0"/>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本项目主要设备情况见下表。</w:t>
            </w:r>
          </w:p>
          <w:p>
            <w:pPr>
              <w:pStyle w:val="45"/>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表2-7 生产设备一览表</w:t>
            </w:r>
          </w:p>
          <w:tbl>
            <w:tblPr>
              <w:tblStyle w:val="2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43"/>
              <w:gridCol w:w="3225"/>
              <w:gridCol w:w="2760"/>
              <w:gridCol w:w="11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710" w:type="pct"/>
                  <w:tcBorders>
                    <w:top w:val="single" w:color="000000" w:sz="12" w:space="0"/>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序号</w:t>
                  </w:r>
                </w:p>
              </w:tc>
              <w:tc>
                <w:tcPr>
                  <w:tcW w:w="1968" w:type="pct"/>
                  <w:tcBorders>
                    <w:top w:val="single" w:color="000000" w:sz="12" w:space="0"/>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设备名称</w:t>
                  </w:r>
                </w:p>
              </w:tc>
              <w:tc>
                <w:tcPr>
                  <w:tcW w:w="1609" w:type="pct"/>
                  <w:tcBorders>
                    <w:top w:val="single" w:color="000000" w:sz="12" w:space="0"/>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规格型号</w:t>
                  </w:r>
                </w:p>
              </w:tc>
              <w:tc>
                <w:tcPr>
                  <w:tcW w:w="711" w:type="pct"/>
                  <w:tcBorders>
                    <w:top w:val="single" w:color="000000" w:sz="12" w:space="0"/>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投料工段</w:t>
                  </w:r>
                </w:p>
              </w:tc>
              <w:tc>
                <w:tcPr>
                  <w:tcW w:w="1609"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711" w:type="pct"/>
                  <w:tcBorders>
                    <w:top w:val="nil"/>
                    <w:left w:val="nil"/>
                    <w:bottom w:val="single" w:color="000000" w:sz="8" w:space="0"/>
                    <w:right w:val="nil"/>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风机</w:t>
                  </w:r>
                </w:p>
              </w:tc>
              <w:tc>
                <w:tcPr>
                  <w:tcW w:w="1609"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4-72-3.6A-2-3kW</w:t>
                  </w:r>
                </w:p>
              </w:tc>
              <w:tc>
                <w:tcPr>
                  <w:tcW w:w="711" w:type="pct"/>
                  <w:tcBorders>
                    <w:top w:val="nil"/>
                    <w:left w:val="nil"/>
                    <w:bottom w:val="single" w:color="000000" w:sz="8" w:space="0"/>
                    <w:right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XSQF200</w:t>
                  </w:r>
                </w:p>
              </w:tc>
              <w:tc>
                <w:tcPr>
                  <w:tcW w:w="711" w:type="pct"/>
                  <w:tcBorders>
                    <w:top w:val="nil"/>
                    <w:left w:val="nil"/>
                    <w:bottom w:val="single" w:color="000000" w:sz="8" w:space="0"/>
                    <w:right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脉冲式布袋除尘器</w:t>
                  </w:r>
                </w:p>
              </w:tc>
              <w:tc>
                <w:tcPr>
                  <w:tcW w:w="1609"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LNGM18</w:t>
                  </w:r>
                </w:p>
              </w:tc>
              <w:tc>
                <w:tcPr>
                  <w:tcW w:w="711" w:type="pct"/>
                  <w:tcBorders>
                    <w:top w:val="nil"/>
                    <w:left w:val="nil"/>
                    <w:bottom w:val="single" w:color="000000" w:sz="8" w:space="0"/>
                    <w:right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人工投料斗</w:t>
                  </w:r>
                </w:p>
              </w:tc>
              <w:tc>
                <w:tcPr>
                  <w:tcW w:w="1609"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P_TGSSp25-18</w:t>
                  </w:r>
                </w:p>
              </w:tc>
              <w:tc>
                <w:tcPr>
                  <w:tcW w:w="711" w:type="pct"/>
                  <w:tcBorders>
                    <w:top w:val="nil"/>
                    <w:left w:val="nil"/>
                    <w:bottom w:val="single" w:color="000000" w:sz="8" w:space="0"/>
                    <w:right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刮板输送机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TGSP25_C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TDTG40/29_T_C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螺旋输送机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LSUS40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圆筒初清筛</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TCQY100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永磁筒</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TCXT30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旋转分配器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TFPX6-300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气动方形正三通</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BDQY30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30/30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流量秤</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LCS-80T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粉碎工段</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待粉碎仓</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共</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料位器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SE130BGMA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粉碎喂料斗</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TWLY100S</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叶轮喂料器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TWLY100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粉碎机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脉冲式布袋除尘器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TDTG36/22_T_C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旋转分配器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TFPX6-300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缓冲斗</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TWLY100S</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组合回转筛</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FJHD150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刮板输送机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TGSP16</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小料添加工段</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XSQF250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脉冲式布袋除尘器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BLMB6</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小料添加斗</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P_TBLMB6A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TDTG30/19_T_A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分配器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TFPXy4-250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配料仓</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座</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料位器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SE130BGMA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配料秤</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PLDY250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配料混合工段</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配料仓</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共约</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640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料位器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SE130BGMA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螺旋输送机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LSUW25</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螺旋出仓机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TLSUW20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XSQF250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脉冲式布袋除尘器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BLMB4</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小料添加斗</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P_TBLMB4A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TDTG30/19_T_A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双轴桨叶式高效混合机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SLHS7_ZL</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刮板输送机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TGSP32</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永磁筒</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TCXT40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旋转分配器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TFPX8-350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配料秤</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PLDY3000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自动校秤</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制粒工段</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待制粒仓</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共</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料位器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SE130BGMA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喂料器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TWLL25_A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双轴差速调质器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SCTZ39</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国产通用离心通风机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SFJ506-3.6C-45kW</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XSQF700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刹克龙</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SKLX55-2000_A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GF</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系列关风器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GFWZY-12-1.1kW</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TDTG36/22_T_C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刮板输送机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TGSP20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制粒机自动控制系统</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JB-MPMA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叶轮关风器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SGFY68</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翻板式逆流冷却器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SLNF28</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成品散装、包装工段</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成品仓</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共约</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1680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料位器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SE130BGMA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皮带进料双秤斗</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PSC50A</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包装袋输送机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PDSS3500TS</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移动式缝包机组</w:t>
                  </w:r>
                </w:p>
              </w:tc>
              <w:tc>
                <w:tcPr>
                  <w:tcW w:w="1609"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SZ-1_GK35-7</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国产通用离心通风机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5-36-4A-2-3kW</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消音器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XSQF200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脉冲式布袋除尘器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BLMY8</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斗式提升机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TDTG36/22_T_C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刮板输送机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TGSP16_C</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旋转分配器</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TFPX4-200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辅助设备</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空压机</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GA45+</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储气罐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立方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储油罐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吨米糠油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泵送系统</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MSBS160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油罐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MSYG3</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秤式液体添加系统</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SYTC300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工作油罐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MSYG3</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81</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油泵</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MSBS160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82</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储油罐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吨豆油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83</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储油罐</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吨鸭油</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锅炉设备</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84</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锅炉</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卧式冷凝一体</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WNS3--1.25Q</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85</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软化水装置</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86</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i w:val="0"/>
                      <w:iCs w:val="0"/>
                      <w:color w:val="000000" w:themeColor="text1"/>
                      <w:kern w:val="0"/>
                      <w:sz w:val="21"/>
                      <w:szCs w:val="21"/>
                      <w:highlight w:val="none"/>
                      <w:u w:val="none"/>
                      <w:lang w:val="en-US" w:eastAsia="zh-CN" w:bidi="ar"/>
                      <w14:textFill>
                        <w14:solidFill>
                          <w14:schemeClr w14:val="tx1"/>
                        </w14:solidFill>
                      </w14:textFill>
                    </w:rPr>
                    <w:t>循环泵</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88"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实验室设备</w:t>
                  </w:r>
                </w:p>
              </w:tc>
              <w:tc>
                <w:tcPr>
                  <w:tcW w:w="1609" w:type="pct"/>
                  <w:tcBorders>
                    <w:top w:val="single" w:color="000000" w:sz="8" w:space="0"/>
                    <w:left w:val="nil"/>
                    <w:bottom w:val="single" w:color="000000" w:sz="8" w:space="0"/>
                    <w:right w:val="single" w:color="000000" w:sz="8" w:space="0"/>
                  </w:tcBorders>
                  <w:shd w:val="clear" w:color="auto" w:fill="auto"/>
                  <w:noWrap/>
                  <w:vAlign w:val="center"/>
                </w:tcPr>
                <w:p>
                  <w:pPr>
                    <w:jc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p>
              </w:tc>
              <w:tc>
                <w:tcPr>
                  <w:tcW w:w="711" w:type="pct"/>
                  <w:tcBorders>
                    <w:top w:val="single" w:color="000000" w:sz="8" w:space="0"/>
                    <w:left w:val="nil"/>
                    <w:bottom w:val="single" w:color="000000" w:sz="8" w:space="0"/>
                    <w:right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87</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Style w:val="64"/>
                      <w:rFonts w:ascii="Times New Roman" w:hAnsi="Times New Roman" w:eastAsia="宋体"/>
                      <w:color w:val="000000" w:themeColor="text1"/>
                      <w:sz w:val="21"/>
                      <w:szCs w:val="21"/>
                      <w:highlight w:val="none"/>
                      <w:lang w:val="en-US" w:eastAsia="zh-CN" w:bidi="ar"/>
                      <w14:textFill>
                        <w14:solidFill>
                          <w14:schemeClr w14:val="tx1"/>
                        </w14:solidFill>
                      </w14:textFill>
                    </w:rPr>
                    <w:t>电热鼓风干燥箱</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65"/>
                      <w:rFonts w:ascii="Times New Roman" w:hAnsi="Times New Roman" w:eastAsia="宋体"/>
                      <w:color w:val="000000" w:themeColor="text1"/>
                      <w:sz w:val="21"/>
                      <w:szCs w:val="21"/>
                      <w:highlight w:val="none"/>
                      <w:lang w:val="en-US" w:eastAsia="zh-CN" w:bidi="ar"/>
                      <w14:textFill>
                        <w14:solidFill>
                          <w14:schemeClr w14:val="tx1"/>
                        </w14:solidFill>
                      </w14:textFill>
                    </w:rPr>
                    <w:t>101-ES</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88</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Style w:val="64"/>
                      <w:rFonts w:ascii="Times New Roman" w:hAnsi="Times New Roman" w:eastAsia="宋体"/>
                      <w:color w:val="000000" w:themeColor="text1"/>
                      <w:sz w:val="21"/>
                      <w:szCs w:val="21"/>
                      <w:highlight w:val="none"/>
                      <w:lang w:val="en-US" w:eastAsia="zh-CN" w:bidi="ar"/>
                      <w14:textFill>
                        <w14:solidFill>
                          <w14:schemeClr w14:val="tx1"/>
                        </w14:solidFill>
                      </w14:textFill>
                    </w:rPr>
                    <w:t>电子天平</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65"/>
                      <w:rFonts w:ascii="Times New Roman" w:hAnsi="Times New Roman" w:eastAsia="宋体"/>
                      <w:color w:val="000000" w:themeColor="text1"/>
                      <w:sz w:val="21"/>
                      <w:szCs w:val="21"/>
                      <w:highlight w:val="none"/>
                      <w:lang w:val="en-US" w:eastAsia="zh-CN" w:bidi="ar"/>
                      <w14:textFill>
                        <w14:solidFill>
                          <w14:schemeClr w14:val="tx1"/>
                        </w14:solidFill>
                      </w14:textFill>
                    </w:rPr>
                    <w:t>BSA124S</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89</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Style w:val="64"/>
                      <w:rFonts w:ascii="Times New Roman" w:hAnsi="Times New Roman" w:eastAsia="宋体"/>
                      <w:color w:val="000000" w:themeColor="text1"/>
                      <w:sz w:val="21"/>
                      <w:szCs w:val="21"/>
                      <w:highlight w:val="none"/>
                      <w:lang w:val="en-US" w:eastAsia="zh-CN" w:bidi="ar"/>
                      <w14:textFill>
                        <w14:solidFill>
                          <w14:schemeClr w14:val="tx1"/>
                        </w14:solidFill>
                      </w14:textFill>
                    </w:rPr>
                    <w:t>箱式电阻炉</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65"/>
                      <w:rFonts w:ascii="Times New Roman" w:hAnsi="Times New Roman" w:eastAsia="宋体"/>
                      <w:color w:val="000000" w:themeColor="text1"/>
                      <w:sz w:val="21"/>
                      <w:szCs w:val="21"/>
                      <w:highlight w:val="none"/>
                      <w:lang w:val="en-US" w:eastAsia="zh-CN" w:bidi="ar"/>
                      <w14:textFill>
                        <w14:solidFill>
                          <w14:schemeClr w14:val="tx1"/>
                        </w14:solidFill>
                      </w14:textFill>
                    </w:rPr>
                    <w:t>SX-4-10</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0"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c>
                <w:tcPr>
                  <w:tcW w:w="1968"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i w:val="0"/>
                      <w:iCs w:val="0"/>
                      <w:color w:val="000000" w:themeColor="text1"/>
                      <w:sz w:val="21"/>
                      <w:szCs w:val="21"/>
                      <w:highlight w:val="none"/>
                      <w:u w:val="none"/>
                      <w14:textFill>
                        <w14:solidFill>
                          <w14:schemeClr w14:val="tx1"/>
                        </w14:solidFill>
                      </w14:textFill>
                    </w:rPr>
                  </w:pPr>
                  <w:r>
                    <w:rPr>
                      <w:rStyle w:val="64"/>
                      <w:rFonts w:ascii="Times New Roman" w:hAnsi="Times New Roman" w:eastAsia="宋体"/>
                      <w:color w:val="000000" w:themeColor="text1"/>
                      <w:sz w:val="21"/>
                      <w:szCs w:val="21"/>
                      <w:highlight w:val="none"/>
                      <w:lang w:val="en-US" w:eastAsia="zh-CN" w:bidi="ar"/>
                      <w14:textFill>
                        <w14:solidFill>
                          <w14:schemeClr w14:val="tx1"/>
                        </w14:solidFill>
                      </w14:textFill>
                    </w:rPr>
                    <w:t>近红外分析仪</w:t>
                  </w:r>
                </w:p>
              </w:tc>
              <w:tc>
                <w:tcPr>
                  <w:tcW w:w="1609"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65"/>
                      <w:rFonts w:ascii="Times New Roman" w:hAnsi="Times New Roman" w:eastAsia="宋体"/>
                      <w:color w:val="000000" w:themeColor="text1"/>
                      <w:sz w:val="21"/>
                      <w:szCs w:val="21"/>
                      <w:highlight w:val="none"/>
                      <w:lang w:val="en-US" w:eastAsia="zh-CN" w:bidi="ar"/>
                      <w14:textFill>
                        <w14:solidFill>
                          <w14:schemeClr w14:val="tx1"/>
                        </w14:solidFill>
                      </w14:textFill>
                    </w:rPr>
                    <w:t>DS2500F</w:t>
                  </w:r>
                </w:p>
              </w:tc>
              <w:tc>
                <w:tcPr>
                  <w:tcW w:w="711" w:type="pct"/>
                  <w:tcBorders>
                    <w:top w:val="nil"/>
                    <w:left w:val="nil"/>
                    <w:bottom w:val="single" w:color="000000" w:sz="8"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4288" w:type="pct"/>
                  <w:gridSpan w:val="3"/>
                  <w:tcBorders>
                    <w:top w:val="nil"/>
                    <w:left w:val="nil"/>
                    <w:bottom w:val="single" w:color="000000" w:sz="12"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宋体"/>
                      <w:b/>
                      <w:bCs/>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宋体"/>
                      <w:b/>
                      <w:bCs/>
                      <w:i w:val="0"/>
                      <w:iCs w:val="0"/>
                      <w:color w:val="000000" w:themeColor="text1"/>
                      <w:kern w:val="0"/>
                      <w:sz w:val="21"/>
                      <w:szCs w:val="21"/>
                      <w:highlight w:val="none"/>
                      <w:u w:val="none"/>
                      <w:lang w:val="en-US" w:eastAsia="zh-CN" w:bidi="ar"/>
                      <w14:textFill>
                        <w14:solidFill>
                          <w14:schemeClr w14:val="tx1"/>
                        </w14:solidFill>
                      </w14:textFill>
                    </w:rPr>
                    <w:t>小计</w:t>
                  </w:r>
                </w:p>
              </w:tc>
              <w:tc>
                <w:tcPr>
                  <w:tcW w:w="711" w:type="pct"/>
                  <w:tcBorders>
                    <w:top w:val="nil"/>
                    <w:left w:val="nil"/>
                    <w:bottom w:val="single" w:color="000000" w:sz="12"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r>
          </w:tbl>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2.6劳动定员及工作制度</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本项目运营后劳动定员100人，年工作300d，每天工作12h，提供住宿及淋浴。</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2.7公用工程</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供水</w:t>
            </w:r>
          </w:p>
          <w:p>
            <w:pPr>
              <w:pStyle w:val="4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①生活用水及食堂用水</w:t>
            </w:r>
          </w:p>
          <w:p>
            <w:pPr>
              <w:pStyle w:val="44"/>
              <w:bidi w:val="0"/>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职工生活用水参照《辽宁省行业用水定额》（DB21/T1237-2020），人均用水量按照</w:t>
            </w:r>
            <w:r>
              <w:rPr>
                <w:rFonts w:hint="eastAsia"/>
                <w:color w:val="000000" w:themeColor="text1"/>
                <w:highlight w:val="none"/>
                <w:lang w:val="en-US" w:eastAsia="zh-CN"/>
                <w14:textFill>
                  <w14:solidFill>
                    <w14:schemeClr w14:val="tx1"/>
                  </w14:solidFill>
                </w14:textFill>
              </w:rPr>
              <w:t>115L/人•d计算（</w:t>
            </w:r>
            <w:r>
              <w:rPr>
                <w:rFonts w:hint="eastAsia"/>
                <w:color w:val="000000" w:themeColor="text1"/>
                <w:highlight w:val="none"/>
                <w:lang w:eastAsia="zh-CN"/>
                <w14:textFill>
                  <w14:solidFill>
                    <w14:schemeClr w14:val="tx1"/>
                  </w14:solidFill>
                </w14:textFill>
              </w:rPr>
              <w:t>城镇居民生活中室内有给排水、卫生设施、淋浴</w:t>
            </w:r>
            <w:r>
              <w:rPr>
                <w:rFonts w:hint="eastAsia"/>
                <w:color w:val="000000" w:themeColor="text1"/>
                <w:highlight w:val="none"/>
                <w:lang w:val="en-US" w:eastAsia="zh-CN"/>
                <w14:textFill>
                  <w14:solidFill>
                    <w14:schemeClr w14:val="tx1"/>
                  </w14:solidFill>
                </w14:textFill>
              </w:rPr>
              <w:t>），项目劳动定员100人，则日用水量为11.5t/d，年用水量为3450t/a。</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食堂用水：根据《辽宁省行业用水定额》（DB21/T 1237-2020），食堂用水按11L/（人·餐）计算，本项目食堂提供三餐，食堂就餐的人数为100，经计算可知，食堂用水为3.3t/d，990t/a。</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②锅炉用水</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本项目锅炉蒸汽供应能力为</w:t>
            </w: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t/h，</w:t>
            </w:r>
            <w:r>
              <w:rPr>
                <w:rFonts w:hint="eastAsia"/>
                <w:color w:val="000000" w:themeColor="text1"/>
                <w:highlight w:val="none"/>
                <w:lang w:val="en-US" w:eastAsia="zh-CN"/>
                <w14:textFill>
                  <w14:solidFill>
                    <w14:schemeClr w14:val="tx1"/>
                  </w14:solidFill>
                </w14:textFill>
              </w:rPr>
              <w:t>全年运行300d，每天运行24h，</w:t>
            </w:r>
            <w:r>
              <w:rPr>
                <w:rFonts w:hint="default"/>
                <w:color w:val="000000" w:themeColor="text1"/>
                <w:highlight w:val="none"/>
                <w:lang w:val="en-US" w:eastAsia="zh-CN"/>
                <w14:textFill>
                  <w14:solidFill>
                    <w14:schemeClr w14:val="tx1"/>
                  </w14:solidFill>
                </w14:textFill>
              </w:rPr>
              <w:t>蒸汽循环使用，锅炉及管道为密闭循环</w:t>
            </w:r>
            <w:r>
              <w:rPr>
                <w:rFonts w:hint="eastAsia"/>
                <w:color w:val="000000" w:themeColor="text1"/>
                <w:highlight w:val="none"/>
                <w:lang w:val="en-US" w:eastAsia="zh-CN"/>
                <w14:textFill>
                  <w14:solidFill>
                    <w14:schemeClr w14:val="tx1"/>
                  </w14:solidFill>
                </w14:textFill>
              </w:rPr>
              <w:t>。循环用水量为3t/h，则项目循环水量为72t/d，21600t/a</w:t>
            </w:r>
            <w:r>
              <w:rPr>
                <w:rFonts w:hint="default"/>
                <w:color w:val="000000" w:themeColor="text1"/>
                <w:highlight w:val="none"/>
                <w:lang w:val="en-US" w:eastAsia="zh-CN"/>
                <w14:textFill>
                  <w14:solidFill>
                    <w14:schemeClr w14:val="tx1"/>
                  </w14:solidFill>
                </w14:textFill>
              </w:rPr>
              <w:t>。循环水损耗率按循环水量的5%计</w:t>
            </w:r>
            <w:r>
              <w:rPr>
                <w:rFonts w:hint="eastAsia"/>
                <w:color w:val="000000" w:themeColor="text1"/>
                <w:highlight w:val="none"/>
                <w:lang w:val="en-US" w:eastAsia="zh-CN"/>
                <w14:textFill>
                  <w14:solidFill>
                    <w14:schemeClr w14:val="tx1"/>
                  </w14:solidFill>
                </w14:textFill>
              </w:rPr>
              <w:t>（其中管道损失3%，锅炉排污损失2%），则循环损失水量（补充水量）为3.6t/d，1080t/a。离子交换树脂法制纯水率约为75%，则锅炉所需新鲜水量为4.8t/d，1440t/a。</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③实验室用水</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本项目化验室溶剂配置废液中涉及酸、碱等具有危险特性的残留样品，属于《危险废物贮存污染控制标准》（GB 18597—2023）、《危险废物收集贮存运输技术规范》（HJ 2025-2012）中明确禁止混合收集、贮存、运输、处置性质不相容而未经安全性处置的危险废物。根据企业提供资料，本项目实验次数为一周2次，单次用水量为0.01吨，则实验用水量为0.0035t/d，1.04t/a。化验室溶剂配置废液按危废处置，不计入水平衡。</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排水</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本项目排水系统采用雨污分流制。</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①生活污水及食堂污水</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生活污水按生活用水的</w:t>
            </w:r>
            <w:r>
              <w:rPr>
                <w:rFonts w:hint="eastAsia"/>
                <w:color w:val="000000" w:themeColor="text1"/>
                <w:highlight w:val="none"/>
                <w:lang w:val="en-US" w:eastAsia="zh-CN"/>
                <w14:textFill>
                  <w14:solidFill>
                    <w14:schemeClr w14:val="tx1"/>
                  </w14:solidFill>
                </w14:textFill>
              </w:rPr>
              <w:t>80%计，则本项目生活污水日产生量为9.2t/d，年产生量为2760t/a。</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食堂污水按食堂用水的80%计，则本项目食堂污水产生量为2.64t/d，792t/a。</w:t>
            </w:r>
          </w:p>
          <w:p>
            <w:pPr>
              <w:pStyle w:val="4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②</w:t>
            </w:r>
            <w:r>
              <w:rPr>
                <w:color w:val="000000" w:themeColor="text1"/>
                <w:highlight w:val="none"/>
                <w14:textFill>
                  <w14:solidFill>
                    <w14:schemeClr w14:val="tx1"/>
                  </w14:solidFill>
                </w14:textFill>
              </w:rPr>
              <w:t>软化处理废水</w:t>
            </w:r>
            <w:r>
              <w:rPr>
                <w:rFonts w:hint="eastAsia"/>
                <w:color w:val="000000" w:themeColor="text1"/>
                <w:highlight w:val="none"/>
                <w:lang w:eastAsia="zh-CN"/>
                <w14:textFill>
                  <w14:solidFill>
                    <w14:schemeClr w14:val="tx1"/>
                  </w14:solidFill>
                </w14:textFill>
              </w:rPr>
              <w:t>、锅炉排污水</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项目锅炉蒸汽冷凝水全部回用于锅炉，生产废水为软化水装置排水，软化水装置反冲洗排水率为25%，则软化水装置排水量为1.2t/d，360t/a。锅炉排污水为1.44t/d，432t/a，</w:t>
            </w:r>
            <w:r>
              <w:rPr>
                <w:color w:val="000000" w:themeColor="text1"/>
                <w:highlight w:val="none"/>
                <w14:textFill>
                  <w14:solidFill>
                    <w14:schemeClr w14:val="tx1"/>
                  </w14:solidFill>
                </w14:textFill>
              </w:rPr>
              <w:t>软化处理废水</w:t>
            </w:r>
            <w:r>
              <w:rPr>
                <w:rFonts w:hint="eastAsia"/>
                <w:color w:val="000000" w:themeColor="text1"/>
                <w:highlight w:val="none"/>
                <w:lang w:eastAsia="zh-CN"/>
                <w14:textFill>
                  <w14:solidFill>
                    <w14:schemeClr w14:val="tx1"/>
                  </w14:solidFill>
                </w14:textFill>
              </w:rPr>
              <w:t>、锅炉排污水</w:t>
            </w:r>
            <w:r>
              <w:rPr>
                <w:rFonts w:hint="eastAsia"/>
                <w:color w:val="000000" w:themeColor="text1"/>
                <w:highlight w:val="none"/>
                <w:lang w:val="en-US" w:eastAsia="zh-CN"/>
                <w14:textFill>
                  <w14:solidFill>
                    <w14:schemeClr w14:val="tx1"/>
                  </w14:solidFill>
                </w14:textFill>
              </w:rPr>
              <w:t>总排水量为2.64t/d，792t/a。</w:t>
            </w:r>
          </w:p>
          <w:p>
            <w:pPr>
              <w:pStyle w:val="44"/>
              <w:bidi w:val="0"/>
              <w:ind w:left="0" w:leftChars="0" w:firstLine="0" w:firstLineChars="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255260" cy="1974850"/>
                  <wp:effectExtent l="0" t="0" r="0" b="6350"/>
                  <wp:docPr id="20" name="ECB019B1-382A-4266-B25C-5B523AA43C14-1" descr="C:/Users/Administrator/AppData/Local/Temp/wps.bdUFo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B019B1-382A-4266-B25C-5B523AA43C14-1" descr="C:/Users/Administrator/AppData/Local/Temp/wps.bdUFoPwps"/>
                          <pic:cNvPicPr>
                            <a:picLocks noChangeAspect="1"/>
                          </pic:cNvPicPr>
                        </pic:nvPicPr>
                        <pic:blipFill>
                          <a:blip r:embed="rId14"/>
                          <a:srcRect l="1783" t="4728" r="1399" b="4699"/>
                          <a:stretch>
                            <a:fillRect/>
                          </a:stretch>
                        </pic:blipFill>
                        <pic:spPr>
                          <a:xfrm>
                            <a:off x="0" y="0"/>
                            <a:ext cx="5255260" cy="1974850"/>
                          </a:xfrm>
                          <a:prstGeom prst="rect">
                            <a:avLst/>
                          </a:prstGeom>
                        </pic:spPr>
                      </pic:pic>
                    </a:graphicData>
                  </a:graphic>
                </wp:inline>
              </w:drawing>
            </w:r>
          </w:p>
          <w:p>
            <w:pPr>
              <w:pStyle w:val="45"/>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图2-1本项目水平衡图</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供电</w:t>
            </w:r>
          </w:p>
          <w:p>
            <w:pPr>
              <w:pStyle w:val="44"/>
              <w:numPr>
                <w:ilvl w:val="0"/>
                <w:numId w:val="0"/>
              </w:numPr>
              <w:bidi w:val="0"/>
              <w:ind w:firstLine="480" w:firstLineChars="20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市政供电，项目年用电量为1200</w:t>
            </w:r>
            <w:r>
              <w:rPr>
                <w:rFonts w:hint="default"/>
                <w:color w:val="000000" w:themeColor="text1"/>
                <w:highlight w:val="none"/>
                <w14:textFill>
                  <w14:solidFill>
                    <w14:schemeClr w14:val="tx1"/>
                  </w14:solidFill>
                </w14:textFill>
              </w:rPr>
              <w:t>万kWh/a</w:t>
            </w:r>
            <w:r>
              <w:rPr>
                <w:rFonts w:hint="eastAsia"/>
                <w:color w:val="000000" w:themeColor="text1"/>
                <w:highlight w:val="none"/>
                <w:lang w:eastAsia="zh-CN"/>
                <w14:textFill>
                  <w14:solidFill>
                    <w14:schemeClr w14:val="tx1"/>
                  </w14:solidFill>
                </w14:textFill>
              </w:rPr>
              <w:t>。</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（4）</w:t>
            </w:r>
            <w:r>
              <w:rPr>
                <w:rFonts w:hint="eastAsia"/>
                <w:color w:val="000000" w:themeColor="text1"/>
                <w:highlight w:val="none"/>
                <w:lang w:val="en-US" w:eastAsia="zh-CN"/>
                <w14:textFill>
                  <w14:solidFill>
                    <w14:schemeClr w14:val="tx1"/>
                  </w14:solidFill>
                </w14:textFill>
              </w:rPr>
              <w:t>供暖</w:t>
            </w:r>
          </w:p>
          <w:p>
            <w:pPr>
              <w:pStyle w:val="4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项目生产用热及</w:t>
            </w:r>
            <w:r>
              <w:rPr>
                <w:color w:val="000000" w:themeColor="text1"/>
                <w:highlight w:val="none"/>
                <w14:textFill>
                  <w14:solidFill>
                    <w14:schemeClr w14:val="tx1"/>
                  </w14:solidFill>
                </w14:textFill>
              </w:rPr>
              <w:t>冬季供暖由</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t/h燃气蒸汽锅炉提供</w:t>
            </w:r>
            <w:r>
              <w:rPr>
                <w:rFonts w:hint="eastAsia"/>
                <w:color w:val="000000" w:themeColor="text1"/>
                <w:highlight w:val="none"/>
                <w:lang w:eastAsia="zh-CN"/>
                <w14:textFill>
                  <w14:solidFill>
                    <w14:schemeClr w14:val="tx1"/>
                  </w14:solidFill>
                </w14:textFill>
              </w:rPr>
              <w:t>。</w:t>
            </w:r>
          </w:p>
          <w:p>
            <w:pPr>
              <w:pStyle w:val="44"/>
              <w:bidi w:val="0"/>
              <w:ind w:left="0" w:leftChars="0" w:firstLine="0" w:firstLineChars="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2.8 建设周期</w:t>
            </w:r>
          </w:p>
          <w:p>
            <w:pPr>
              <w:pStyle w:val="44"/>
              <w:bidi w:val="0"/>
              <w:rPr>
                <w:rFonts w:hint="default"/>
                <w:b w:val="0"/>
                <w:bCs w:val="0"/>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建设周期预计6个月，计划开工时间2024年4月，计划竣工时间2024年10月。</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2.9总平面布置</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本项目生产建设地点位于</w:t>
            </w:r>
            <w:r>
              <w:rPr>
                <w:rFonts w:hint="default"/>
                <w:color w:val="000000" w:themeColor="text1"/>
                <w:highlight w:val="none"/>
                <w14:textFill>
                  <w14:solidFill>
                    <w14:schemeClr w14:val="tx1"/>
                  </w14:solidFill>
                </w14:textFill>
              </w:rPr>
              <w:t>辽宁</w:t>
            </w:r>
            <w:r>
              <w:rPr>
                <w:rFonts w:hint="eastAsia"/>
                <w:color w:val="000000" w:themeColor="text1"/>
                <w:highlight w:val="none"/>
                <w14:textFill>
                  <w14:solidFill>
                    <w14:schemeClr w14:val="tx1"/>
                  </w14:solidFill>
                </w14:textFill>
              </w:rPr>
              <w:t>省</w:t>
            </w:r>
            <w:r>
              <w:rPr>
                <w:rFonts w:hint="eastAsia"/>
                <w:color w:val="000000" w:themeColor="text1"/>
                <w:highlight w:val="none"/>
                <w:lang w:val="en-US" w:eastAsia="zh-CN"/>
                <w14:textFill>
                  <w14:solidFill>
                    <w14:schemeClr w14:val="tx1"/>
                  </w14:solidFill>
                </w14:textFill>
              </w:rPr>
              <w:t>鞍山</w:t>
            </w:r>
            <w:r>
              <w:rPr>
                <w:rFonts w:hint="eastAsia"/>
                <w:color w:val="000000" w:themeColor="text1"/>
                <w:highlight w:val="none"/>
                <w14:textFill>
                  <w14:solidFill>
                    <w14:schemeClr w14:val="tx1"/>
                  </w14:solidFill>
                </w14:textFill>
              </w:rPr>
              <w:t>市</w:t>
            </w:r>
            <w:r>
              <w:rPr>
                <w:rFonts w:hint="eastAsia"/>
                <w:color w:val="000000" w:themeColor="text1"/>
                <w:highlight w:val="none"/>
                <w:lang w:val="en-US" w:eastAsia="zh-CN"/>
                <w14:textFill>
                  <w14:solidFill>
                    <w14:schemeClr w14:val="tx1"/>
                  </w14:solidFill>
                </w14:textFill>
              </w:rPr>
              <w:t>台安</w:t>
            </w:r>
            <w:r>
              <w:rPr>
                <w:rFonts w:hint="eastAsia"/>
                <w:color w:val="000000" w:themeColor="text1"/>
                <w:highlight w:val="none"/>
                <w14:textFill>
                  <w14:solidFill>
                    <w14:schemeClr w14:val="tx1"/>
                  </w14:solidFill>
                </w14:textFill>
              </w:rPr>
              <w:t>县</w:t>
            </w:r>
            <w:r>
              <w:rPr>
                <w:rFonts w:hint="eastAsia"/>
                <w:color w:val="000000" w:themeColor="text1"/>
                <w:highlight w:val="none"/>
                <w:lang w:val="en-US" w:eastAsia="zh-CN"/>
                <w14:textFill>
                  <w14:solidFill>
                    <w14:schemeClr w14:val="tx1"/>
                  </w14:solidFill>
                </w14:textFill>
              </w:rPr>
              <w:t>工业园区内。原料储存与生产工序密切配合，便于物料运输周转以及生产。生产区与生活区分隔开，且项目周围无居民区、学校等敏感点。各功能区内设施布置紧凑，符合工艺操作流程。厂区布局合理，厂区平面布置见附图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noWrap w:val="0"/>
            <w:vAlign w:val="center"/>
          </w:tcPr>
          <w:p>
            <w:pPr>
              <w:pStyle w:val="17"/>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工艺流程和产排污环节</w:t>
            </w:r>
          </w:p>
        </w:tc>
        <w:tc>
          <w:tcPr>
            <w:tcW w:w="8161" w:type="dxa"/>
            <w:noWrap w:val="0"/>
            <w:vAlign w:val="top"/>
          </w:tcPr>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2.10施工期工程分析</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2.10.1工艺流程简述</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建设单位提供资料，计划施工期为6个月（冬季不施工）。本项目属于新建项目，施工期建设内容包括施工期建设内容包括平整场地、主体工程、内部装饰工程、设备安装调试等。施工期期间会产生扬尘、废水、噪声、固体废弃物等污染物。施工期施工流程及排污节点图详见图2-1。</w:t>
            </w:r>
          </w:p>
          <w:p>
            <w:pPr>
              <w:pStyle w:val="44"/>
              <w:bidi w:val="0"/>
              <w:ind w:left="0" w:leftChars="0" w:firstLine="0" w:firstLineChars="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4984750" cy="1422400"/>
                  <wp:effectExtent l="0" t="0" r="0" b="0"/>
                  <wp:docPr id="12" name="ECB019B1-382A-4266-B25C-5B523AA43C14-2" descr="C:/Users/Administrator/AppData/Local/Temp/wps.eSocq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CB019B1-382A-4266-B25C-5B523AA43C14-2" descr="C:/Users/Administrator/AppData/Local/Temp/wps.eSocqFwps"/>
                          <pic:cNvPicPr>
                            <a:picLocks noChangeAspect="1"/>
                          </pic:cNvPicPr>
                        </pic:nvPicPr>
                        <pic:blipFill>
                          <a:blip r:embed="rId15"/>
                          <a:stretch>
                            <a:fillRect/>
                          </a:stretch>
                        </pic:blipFill>
                        <pic:spPr>
                          <a:xfrm>
                            <a:off x="0" y="0"/>
                            <a:ext cx="4984750" cy="1422400"/>
                          </a:xfrm>
                          <a:prstGeom prst="rect">
                            <a:avLst/>
                          </a:prstGeom>
                          <a:noFill/>
                          <a:ln>
                            <a:noFill/>
                          </a:ln>
                        </pic:spPr>
                      </pic:pic>
                    </a:graphicData>
                  </a:graphic>
                </wp:inline>
              </w:drawing>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图2-2施工期工艺流程和产污环节示意图</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①基础工程 </w:t>
            </w:r>
          </w:p>
          <w:p>
            <w:pPr>
              <w:pStyle w:val="44"/>
              <w:bidi w:val="0"/>
              <w:rPr>
                <w:rFonts w:hint="eastAsia"/>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建设项目基础工程主要为场地的平整、地基开挖和回填。建筑工人利用推土机、挖掘机、装载机等设备将对地块进行</w:t>
            </w:r>
            <w:r>
              <w:rPr>
                <w:rFonts w:hint="eastAsia"/>
                <w:color w:val="000000" w:themeColor="text1"/>
                <w:highlight w:val="none"/>
                <w:lang w:eastAsia="zh-CN"/>
                <w14:textFill>
                  <w14:solidFill>
                    <w14:schemeClr w14:val="tx1"/>
                  </w14:solidFill>
                </w14:textFill>
              </w:rPr>
              <w:t>建设</w:t>
            </w:r>
            <w:r>
              <w:rPr>
                <w:color w:val="000000" w:themeColor="text1"/>
                <w:highlight w:val="none"/>
                <w14:textFill>
                  <w14:solidFill>
                    <w14:schemeClr w14:val="tx1"/>
                  </w14:solidFill>
                </w14:textFill>
              </w:rPr>
              <w:t>，使地块内坡度减缓，基础阶段产生的碎石、砂土、</w:t>
            </w:r>
            <w:r>
              <w:rPr>
                <w:rFonts w:hint="eastAsia"/>
                <w:color w:val="000000" w:themeColor="text1"/>
                <w:highlight w:val="none"/>
                <w14:textFill>
                  <w14:solidFill>
                    <w14:schemeClr w14:val="tx1"/>
                  </w14:solidFill>
                </w14:textFill>
              </w:rPr>
              <w:t>黏土</w:t>
            </w:r>
            <w:r>
              <w:rPr>
                <w:color w:val="000000" w:themeColor="text1"/>
                <w:highlight w:val="none"/>
                <w14:textFill>
                  <w14:solidFill>
                    <w14:schemeClr w14:val="tx1"/>
                  </w14:solidFill>
                </w14:textFill>
              </w:rPr>
              <w:t>等可用作填土材料。该项目地块较为平坦，水土流失量很小，该工段主要污染物为施工机械产生的噪声、粉尘</w:t>
            </w:r>
            <w:r>
              <w:rPr>
                <w:rFonts w:hint="eastAsia"/>
                <w:color w:val="000000" w:themeColor="text1"/>
                <w:highlight w:val="none"/>
                <w:lang w:eastAsia="zh-CN"/>
                <w14:textFill>
                  <w14:solidFill>
                    <w14:schemeClr w14:val="tx1"/>
                  </w14:solidFill>
                </w14:textFill>
              </w:rPr>
              <w:t>。</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②主体工程 </w:t>
            </w:r>
          </w:p>
          <w:p>
            <w:pPr>
              <w:pStyle w:val="44"/>
              <w:bidi w:val="0"/>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建设项目主体工程主要为现浇钢筋混凝土柱、梁，砖墙砌筑。基础施工完毕后，根据施工图先放样，然后绑扎钢筋，再支模，最后浇筑混凝土。拟建项目混凝土全部采用商品混凝土，浇筑时注入预先拌制均匀的混凝土，随浇随振，振捣均匀，防止混凝土出现孔洞或素浆上浮。整体框架完工后，再进行填充墙施工，建设项目在砖墙砌筑时，首先进行放样，然后再挂线砌筑。该工段工期较长，主要污染物为搅拌机制拌砂浆产生的噪声、扬尘，碎砖和废砂等固废。</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③装饰工程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利用各种加工机械对木材、塑钢等按图进行加工，同时进行屋面制作，然后采用浅色环保型高级涂料和浅灰色仿石涂料喷刷，最后对外露的铁件进行油漆施工，本工段时间较短，且使用的涂料和油漆量较少，有少量的有机废气挥发。</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④设备安装</w:t>
            </w:r>
          </w:p>
          <w:p>
            <w:pPr>
              <w:pStyle w:val="44"/>
              <w:bidi w:val="0"/>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根据生产需要，将购买的设备进行安装。</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2.10.2主要产排污环节</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 xml:space="preserve">废气 </w:t>
            </w:r>
          </w:p>
          <w:p>
            <w:pPr>
              <w:pStyle w:val="44"/>
              <w:bidi w:val="0"/>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施工期间使用的挖掘机、推土机等重型机车在运行时排放的燃烧废气和扬尘会对周 围环境造成影响。其中施工期对周围环境影响最大的是扬尘。 建筑施工工地扬尘主要包括工地道路扬尘、材料的搬运和装卸扬尘、土方黄</w:t>
            </w:r>
            <w:r>
              <w:rPr>
                <w:rFonts w:hint="eastAsia"/>
                <w:color w:val="000000" w:themeColor="text1"/>
                <w:highlight w:val="none"/>
                <w:lang w:eastAsia="zh-CN"/>
                <w14:textFill>
                  <w14:solidFill>
                    <w14:schemeClr w14:val="tx1"/>
                  </w14:solidFill>
                </w14:textFill>
              </w:rPr>
              <w:t>沙</w:t>
            </w:r>
            <w:r>
              <w:rPr>
                <w:color w:val="000000" w:themeColor="text1"/>
                <w:highlight w:val="none"/>
                <w14:textFill>
                  <w14:solidFill>
                    <w14:schemeClr w14:val="tx1"/>
                  </w14:solidFill>
                </w14:textFill>
              </w:rPr>
              <w:t>的堆放扬尘、施工作业场地扬尘等。 由于项目施工中，施工场地周围均设有围墙，厂房外围时设有防尘网，再采取洒水、覆盖等防尘措施，施工现场产生的粉尘对施工现场外的空气质量及主要环境保护目标不 会造成大的影响，并且这种影响将随工程量的逐步减少而减小，至施工结束而完全消失。</w:t>
            </w:r>
          </w:p>
          <w:p>
            <w:pPr>
              <w:pStyle w:val="44"/>
              <w:bidi w:val="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 xml:space="preserve">废水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施工期废水主要为施工人员的生活污水及建筑废水。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①建筑废水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施工期产生的施工建筑废水主要为工地开挖、钻孔等产生的泥浆水、各种施工机械 运转的冷却和洗涤水、施工现场清洗水、混凝土养护产生的废水。废水中主要污染物为泥沙，</w:t>
            </w:r>
            <w:r>
              <w:rPr>
                <w:rFonts w:hint="eastAsia"/>
                <w:color w:val="000000" w:themeColor="text1"/>
                <w:highlight w:val="none"/>
                <w:lang w:val="en-US" w:eastAsia="zh-CN"/>
                <w14:textFill>
                  <w14:solidFill>
                    <w14:schemeClr w14:val="tx1"/>
                  </w14:solidFill>
                </w14:textFill>
              </w:rPr>
              <w:t>经收集、沉淀处理后回用作施工场地降尘用水</w:t>
            </w:r>
            <w:r>
              <w:rPr>
                <w:color w:val="000000" w:themeColor="text1"/>
                <w:highlight w:val="none"/>
                <w14:textFill>
                  <w14:solidFill>
                    <w14:schemeClr w14:val="tx1"/>
                  </w14:solidFill>
                </w14:textFill>
              </w:rPr>
              <w:t xml:space="preserve">，不外排。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②生活污水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施工人员高峰时约有</w:t>
            </w:r>
            <w:r>
              <w:rPr>
                <w:rFonts w:hint="eastAsia"/>
                <w:color w:val="000000" w:themeColor="text1"/>
                <w:highlight w:val="none"/>
                <w:lang w:val="en-US" w:eastAsia="zh-CN"/>
                <w14:textFill>
                  <w14:solidFill>
                    <w14:schemeClr w14:val="tx1"/>
                  </w14:solidFill>
                </w14:textFill>
              </w:rPr>
              <w:t>30</w:t>
            </w:r>
            <w:r>
              <w:rPr>
                <w:color w:val="000000" w:themeColor="text1"/>
                <w:highlight w:val="none"/>
                <w14:textFill>
                  <w14:solidFill>
                    <w14:schemeClr w14:val="tx1"/>
                  </w14:solidFill>
                </w14:textFill>
              </w:rPr>
              <w:t>人，</w:t>
            </w:r>
            <w:r>
              <w:rPr>
                <w:rFonts w:hint="eastAsia"/>
                <w:color w:val="000000" w:themeColor="text1"/>
                <w:highlight w:val="none"/>
                <w:lang w:val="en-US" w:eastAsia="zh-CN"/>
                <w14:textFill>
                  <w14:solidFill>
                    <w14:schemeClr w14:val="tx1"/>
                  </w14:solidFill>
                </w14:textFill>
              </w:rPr>
              <w:t xml:space="preserve">由于生活污水中污染物较简单，主要是 </w:t>
            </w:r>
            <w:r>
              <w:rPr>
                <w:rFonts w:hint="default"/>
                <w:color w:val="000000" w:themeColor="text1"/>
                <w:highlight w:val="none"/>
                <w:lang w:val="en-US" w:eastAsia="zh-CN"/>
                <w14:textFill>
                  <w14:solidFill>
                    <w14:schemeClr w14:val="tx1"/>
                  </w14:solidFill>
                </w14:textFill>
              </w:rPr>
              <w:t xml:space="preserve">CODcr </w:t>
            </w:r>
            <w:r>
              <w:rPr>
                <w:rFonts w:hint="eastAsia"/>
                <w:color w:val="000000" w:themeColor="text1"/>
                <w:highlight w:val="none"/>
                <w:lang w:val="en-US" w:eastAsia="zh-CN"/>
                <w14:textFill>
                  <w14:solidFill>
                    <w14:schemeClr w14:val="tx1"/>
                  </w14:solidFill>
                </w14:textFill>
              </w:rPr>
              <w:t xml:space="preserve">和 </w:t>
            </w:r>
            <w:r>
              <w:rPr>
                <w:rFonts w:hint="default"/>
                <w:color w:val="000000" w:themeColor="text1"/>
                <w:highlight w:val="none"/>
                <w:lang w:val="en-US" w:eastAsia="zh-CN"/>
                <w14:textFill>
                  <w14:solidFill>
                    <w14:schemeClr w14:val="tx1"/>
                  </w14:solidFill>
                </w14:textFill>
              </w:rPr>
              <w:t>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w:t>
            </w:r>
            <w:r>
              <w:rPr>
                <w:rFonts w:hint="eastAsia"/>
                <w:color w:val="000000" w:themeColor="text1"/>
                <w:highlight w:val="none"/>
                <w:lang w:val="en-US" w:eastAsia="zh-CN"/>
                <w14:textFill>
                  <w14:solidFill>
                    <w14:schemeClr w14:val="tx1"/>
                  </w14:solidFill>
                </w14:textFill>
              </w:rPr>
              <w:t>，且污染物浓度较低，一般</w:t>
            </w:r>
            <w:r>
              <w:rPr>
                <w:rFonts w:hint="default"/>
                <w:color w:val="000000" w:themeColor="text1"/>
                <w:highlight w:val="none"/>
                <w:lang w:val="en-US" w:eastAsia="zh-CN"/>
                <w14:textFill>
                  <w14:solidFill>
                    <w14:schemeClr w14:val="tx1"/>
                  </w14:solidFill>
                </w14:textFill>
              </w:rPr>
              <w:t>COD</w:t>
            </w:r>
            <w:r>
              <w:rPr>
                <w:rFonts w:hint="eastAsia"/>
                <w:color w:val="000000" w:themeColor="text1"/>
                <w:highlight w:val="none"/>
                <w:lang w:val="en-US" w:eastAsia="zh-CN"/>
                <w14:textFill>
                  <w14:solidFill>
                    <w14:schemeClr w14:val="tx1"/>
                  </w14:solidFill>
                </w14:textFill>
              </w:rPr>
              <w:t xml:space="preserve">约为 </w:t>
            </w:r>
            <w:r>
              <w:rPr>
                <w:rFonts w:hint="default"/>
                <w:color w:val="000000" w:themeColor="text1"/>
                <w:highlight w:val="none"/>
                <w:lang w:val="en-US" w:eastAsia="zh-CN"/>
                <w14:textFill>
                  <w14:solidFill>
                    <w14:schemeClr w14:val="tx1"/>
                  </w14:solidFill>
                </w14:textFill>
              </w:rPr>
              <w:t>300mg/L</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w:t>
            </w:r>
            <w:r>
              <w:rPr>
                <w:rFonts w:hint="eastAsia"/>
                <w:color w:val="000000" w:themeColor="text1"/>
                <w:highlight w:val="none"/>
                <w:lang w:val="en-US" w:eastAsia="zh-CN"/>
                <w14:textFill>
                  <w14:solidFill>
                    <w14:schemeClr w14:val="tx1"/>
                  </w14:solidFill>
                </w14:textFill>
              </w:rPr>
              <w:t xml:space="preserve">约为 </w:t>
            </w:r>
            <w:r>
              <w:rPr>
                <w:rFonts w:hint="default"/>
                <w:color w:val="000000" w:themeColor="text1"/>
                <w:highlight w:val="none"/>
                <w:lang w:val="en-US" w:eastAsia="zh-CN"/>
                <w14:textFill>
                  <w14:solidFill>
                    <w14:schemeClr w14:val="tx1"/>
                  </w14:solidFill>
                </w14:textFill>
              </w:rPr>
              <w:t>25m/L</w:t>
            </w:r>
            <w:r>
              <w:rPr>
                <w:rFonts w:hint="eastAsia"/>
                <w:color w:val="000000" w:themeColor="text1"/>
                <w:highlight w:val="none"/>
                <w:lang w:val="en-US" w:eastAsia="zh-CN"/>
                <w14:textFill>
                  <w14:solidFill>
                    <w14:schemeClr w14:val="tx1"/>
                  </w14:solidFill>
                </w14:textFill>
              </w:rPr>
              <w:t>。</w:t>
            </w:r>
          </w:p>
          <w:p>
            <w:pPr>
              <w:pStyle w:val="44"/>
              <w:bidi w:val="0"/>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 xml:space="preserve">噪声 </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施工机械噪声由各类机械设备所造成，如施工时的推土机、装载机</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吊车、</w:t>
            </w:r>
            <w:r>
              <w:rPr>
                <w:rFonts w:hint="eastAsia"/>
                <w:color w:val="000000" w:themeColor="text1"/>
                <w:highlight w:val="none"/>
                <w:lang w:eastAsia="zh-CN"/>
                <w14:textFill>
                  <w14:solidFill>
                    <w14:schemeClr w14:val="tx1"/>
                  </w14:solidFill>
                </w14:textFill>
              </w:rPr>
              <w:t>挖掘机等</w:t>
            </w:r>
            <w:r>
              <w:rPr>
                <w:color w:val="000000" w:themeColor="text1"/>
                <w:highlight w:val="none"/>
                <w14:textFill>
                  <w14:solidFill>
                    <w14:schemeClr w14:val="tx1"/>
                  </w14:solidFill>
                </w14:textFill>
              </w:rPr>
              <w:t>，都为点声源。由于施工机械种类繁多，不同的施工阶段需要不同的机械设备。 因此，随着施工进入不同阶段，施工机械噪声对周围环境的影响程度也有所不同。根据类比调查，主要施工机械作业期间产生的噪声源强见下表。</w:t>
            </w:r>
          </w:p>
          <w:p>
            <w:pPr>
              <w:pStyle w:val="45"/>
              <w:bidi w:val="0"/>
              <w:rPr>
                <w:rFonts w:hint="eastAsia"/>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2-8</w:t>
            </w:r>
            <w:r>
              <w:rPr>
                <w:rFonts w:hint="eastAsia"/>
                <w:b/>
                <w:bCs/>
                <w:color w:val="000000" w:themeColor="text1"/>
                <w:highlight w:val="none"/>
                <w:lang w:eastAsia="zh-CN"/>
                <w14:textFill>
                  <w14:solidFill>
                    <w14:schemeClr w14:val="tx1"/>
                  </w14:solidFill>
                </w14:textFill>
              </w:rPr>
              <w:t>主要施工机械噪声源强一览表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9"/>
              <w:gridCol w:w="3744"/>
              <w:gridCol w:w="27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序号</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声源</w:t>
                  </w:r>
                </w:p>
              </w:tc>
              <w:tc>
                <w:tcPr>
                  <w:tcW w:w="1667"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声级（dB（A））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推土机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挖掘机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吊车</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搅拌机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切割机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装载机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2262" w:type="pct"/>
                  <w:tcBorders>
                    <w:tl2br w:val="nil"/>
                    <w:tr2bl w:val="nil"/>
                  </w:tcBorders>
                  <w:vAlign w:val="top"/>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电钻</w:t>
                  </w:r>
                </w:p>
              </w:tc>
              <w:tc>
                <w:tcPr>
                  <w:tcW w:w="1667" w:type="pct"/>
                  <w:tcBorders>
                    <w:tl2br w:val="nil"/>
                    <w:tr2bl w:val="nil"/>
                  </w:tcBorders>
                  <w:vAlign w:val="top"/>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p>
              </w:tc>
              <w:tc>
                <w:tcPr>
                  <w:tcW w:w="2262" w:type="pct"/>
                  <w:tcBorders>
                    <w:tl2br w:val="nil"/>
                    <w:tr2bl w:val="nil"/>
                  </w:tcBorders>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电焊机</w:t>
                  </w:r>
                </w:p>
              </w:tc>
              <w:tc>
                <w:tcPr>
                  <w:tcW w:w="1667" w:type="pct"/>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r>
          </w:tbl>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）固体废物</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施工期固体废物主要有建筑施工产生的砖块、混凝土碎块、废钢筋等建筑垃圾，以及施工人员产生的生活垃圾。</w:t>
            </w:r>
          </w:p>
          <w:p>
            <w:pPr>
              <w:pStyle w:val="4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w:t>
            </w:r>
            <w:r>
              <w:rPr>
                <w:rFonts w:hint="eastAsia"/>
                <w:color w:val="000000" w:themeColor="text1"/>
                <w:highlight w:val="none"/>
                <w:lang w:val="en-US" w:eastAsia="zh-CN"/>
                <w14:textFill>
                  <w14:solidFill>
                    <w14:schemeClr w14:val="tx1"/>
                  </w14:solidFill>
                </w14:textFill>
              </w:rPr>
              <w:t xml:space="preserve">建筑垃圾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项目用地地势较平坦，无需进行大面积的开挖、回填，地基开挖产生的弃土用于较低地面的回填或场地绿化，可在用地范围内平衡，基本无弃土产生。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施工过程中会产生一定量的建筑垃圾，主要是一些废弃的水泥、装修废物及废弃砖头等。建筑垃圾应集中收集后，委托有建筑垃圾运输许可证的单位按照指定的路线运至指定的地点堆放。</w:t>
            </w:r>
          </w:p>
          <w:p>
            <w:pPr>
              <w:pStyle w:val="4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w:t>
            </w:r>
            <w:r>
              <w:rPr>
                <w:rFonts w:hint="eastAsia"/>
                <w:color w:val="000000" w:themeColor="text1"/>
                <w:highlight w:val="none"/>
                <w:lang w:val="en-US" w:eastAsia="zh-CN"/>
                <w14:textFill>
                  <w14:solidFill>
                    <w14:schemeClr w14:val="tx1"/>
                  </w14:solidFill>
                </w14:textFill>
              </w:rPr>
              <w:t xml:space="preserve">生活垃圾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施工场地施工人员约为 30人，在此期间生活垃圾按 </w:t>
            </w:r>
            <w:r>
              <w:rPr>
                <w:rFonts w:hint="default"/>
                <w:color w:val="000000" w:themeColor="text1"/>
                <w:highlight w:val="none"/>
                <w:lang w:val="en-US" w:eastAsia="zh-CN"/>
                <w14:textFill>
                  <w14:solidFill>
                    <w14:schemeClr w14:val="tx1"/>
                  </w14:solidFill>
                </w14:textFill>
              </w:rPr>
              <w:t>0.5kg/</w:t>
            </w:r>
            <w:r>
              <w:rPr>
                <w:rFonts w:hint="eastAsia"/>
                <w:color w:val="000000" w:themeColor="text1"/>
                <w:highlight w:val="none"/>
                <w:lang w:val="en-US" w:eastAsia="zh-CN"/>
                <w14:textFill>
                  <w14:solidFill>
                    <w14:schemeClr w14:val="tx1"/>
                  </w14:solidFill>
                </w14:textFill>
              </w:rPr>
              <w:t>（人•</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）计，则生活垃圾产生量为15</w:t>
            </w:r>
            <w:r>
              <w:rPr>
                <w:rFonts w:hint="default"/>
                <w:color w:val="000000" w:themeColor="text1"/>
                <w:highlight w:val="none"/>
                <w:lang w:val="en-US" w:eastAsia="zh-CN"/>
                <w14:textFill>
                  <w14:solidFill>
                    <w14:schemeClr w14:val="tx1"/>
                  </w14:solidFill>
                </w14:textFill>
              </w:rPr>
              <w:t>kg/d</w:t>
            </w:r>
            <w:r>
              <w:rPr>
                <w:rFonts w:hint="eastAsia"/>
                <w:color w:val="000000" w:themeColor="text1"/>
                <w:highlight w:val="none"/>
                <w:lang w:val="en-US" w:eastAsia="zh-CN"/>
                <w14:textFill>
                  <w14:solidFill>
                    <w14:schemeClr w14:val="tx1"/>
                  </w14:solidFill>
                </w14:textFill>
              </w:rPr>
              <w:t>，施工期6个月，故施工期生活垃圾产生量为2.7</w:t>
            </w:r>
            <w:r>
              <w:rPr>
                <w:rFonts w:hint="default"/>
                <w:color w:val="000000" w:themeColor="text1"/>
                <w:highlight w:val="none"/>
                <w:lang w:val="en-US" w:eastAsia="zh-CN"/>
                <w14:textFill>
                  <w14:solidFill>
                    <w14:schemeClr w14:val="tx1"/>
                  </w14:solidFill>
                </w14:textFill>
              </w:rPr>
              <w:t>t</w:t>
            </w:r>
            <w:r>
              <w:rPr>
                <w:rFonts w:hint="eastAsia"/>
                <w:color w:val="000000" w:themeColor="text1"/>
                <w:highlight w:val="none"/>
                <w:lang w:val="en-US" w:eastAsia="zh-CN"/>
                <w14:textFill>
                  <w14:solidFill>
                    <w14:schemeClr w14:val="tx1"/>
                  </w14:solidFill>
                </w14:textFill>
              </w:rPr>
              <w:t>。集中收集后由环卫部门负责清运处置。</w:t>
            </w:r>
          </w:p>
          <w:p>
            <w:pPr>
              <w:pStyle w:val="44"/>
              <w:bidi w:val="0"/>
              <w:ind w:left="0" w:leftChars="0" w:firstLine="0" w:firstLineChars="0"/>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2.11运营期工程分析</w:t>
            </w:r>
          </w:p>
          <w:p>
            <w:pPr>
              <w:pStyle w:val="44"/>
              <w:bidi w:val="0"/>
              <w:ind w:left="0" w:leftChars="0" w:firstLine="0" w:firstLineChars="0"/>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2.11.1运营期工艺流程</w:t>
            </w:r>
          </w:p>
          <w:p>
            <w:pPr>
              <w:pStyle w:val="44"/>
              <w:bidi w:val="0"/>
              <w:ind w:left="0" w:leftChars="0" w:firstLine="0" w:firstLineChars="0"/>
              <w:jc w:val="both"/>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172075" cy="5418455"/>
                  <wp:effectExtent l="0" t="0" r="0" b="0"/>
                  <wp:docPr id="19" name="ECB019B1-382A-4266-B25C-5B523AA43C14-3" descr="C:/Users/Administrator/AppData/Local/Temp/wps.jORkZ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B019B1-382A-4266-B25C-5B523AA43C14-3" descr="C:/Users/Administrator/AppData/Local/Temp/wps.jORkZHwps"/>
                          <pic:cNvPicPr>
                            <a:picLocks noChangeAspect="1"/>
                          </pic:cNvPicPr>
                        </pic:nvPicPr>
                        <pic:blipFill>
                          <a:blip r:embed="rId16"/>
                          <a:srcRect t="3311" b="2507"/>
                          <a:stretch>
                            <a:fillRect/>
                          </a:stretch>
                        </pic:blipFill>
                        <pic:spPr>
                          <a:xfrm>
                            <a:off x="0" y="0"/>
                            <a:ext cx="5172075" cy="5418455"/>
                          </a:xfrm>
                          <a:prstGeom prst="rect">
                            <a:avLst/>
                          </a:prstGeom>
                        </pic:spPr>
                      </pic:pic>
                    </a:graphicData>
                  </a:graphic>
                </wp:inline>
              </w:drawing>
            </w:r>
          </w:p>
          <w:p>
            <w:pPr>
              <w:pStyle w:val="44"/>
              <w:bidi w:val="0"/>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图2-3 工艺流程图</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（1）原料接收</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袋装原料通过汽车运输到厂区，自卸汽车经地磅称量后将袋装原料卸到</w:t>
            </w:r>
            <w:r>
              <w:rPr>
                <w:rFonts w:hint="eastAsia"/>
                <w:color w:val="000000" w:themeColor="text1"/>
                <w:highlight w:val="none"/>
                <w:lang w:val="en-US" w:eastAsia="zh-CN"/>
                <w14:textFill>
                  <w14:solidFill>
                    <w14:schemeClr w14:val="tx1"/>
                  </w14:solidFill>
                </w14:textFill>
              </w:rPr>
              <w:t>主车间</w:t>
            </w:r>
            <w:r>
              <w:rPr>
                <w:rFonts w:hint="default"/>
                <w:color w:val="000000" w:themeColor="text1"/>
                <w:highlight w:val="none"/>
                <w:lang w:val="en-US" w:eastAsia="zh-CN"/>
                <w14:textFill>
                  <w14:solidFill>
                    <w14:schemeClr w14:val="tx1"/>
                  </w14:solidFill>
                </w14:textFill>
              </w:rPr>
              <w:t>原料堆场</w:t>
            </w:r>
            <w:r>
              <w:rPr>
                <w:rFonts w:hint="eastAsia"/>
                <w:color w:val="000000" w:themeColor="text1"/>
                <w:highlight w:val="none"/>
                <w:lang w:val="en-US" w:eastAsia="zh-CN"/>
                <w14:textFill>
                  <w14:solidFill>
                    <w14:schemeClr w14:val="tx1"/>
                  </w14:solidFill>
                </w14:textFill>
              </w:rPr>
              <w:t>。主车间保持密闭，</w:t>
            </w:r>
            <w:r>
              <w:rPr>
                <w:rFonts w:hint="default"/>
                <w:color w:val="000000" w:themeColor="text1"/>
                <w:highlight w:val="none"/>
                <w:lang w:val="en-US" w:eastAsia="zh-CN"/>
                <w14:textFill>
                  <w14:solidFill>
                    <w14:schemeClr w14:val="tx1"/>
                  </w14:solidFill>
                </w14:textFill>
              </w:rPr>
              <w:t>故不会产生粉尘。</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散装原料（玉米</w:t>
            </w:r>
            <w:r>
              <w:rPr>
                <w:rFonts w:hint="eastAsia"/>
                <w:color w:val="000000" w:themeColor="text1"/>
                <w:highlight w:val="none"/>
                <w:lang w:val="en-US" w:eastAsia="zh-CN"/>
                <w14:textFill>
                  <w14:solidFill>
                    <w14:schemeClr w14:val="tx1"/>
                  </w14:solidFill>
                </w14:textFill>
              </w:rPr>
              <w:t>、豆粕</w:t>
            </w:r>
            <w:r>
              <w:rPr>
                <w:rFonts w:hint="default"/>
                <w:color w:val="000000" w:themeColor="text1"/>
                <w:highlight w:val="none"/>
                <w:lang w:val="en-US" w:eastAsia="zh-CN"/>
                <w14:textFill>
                  <w14:solidFill>
                    <w14:schemeClr w14:val="tx1"/>
                  </w14:solidFill>
                </w14:textFill>
              </w:rPr>
              <w:t>）通过汽车运输到厂区，自卸汽车经地磅称量后</w:t>
            </w:r>
            <w:r>
              <w:rPr>
                <w:rFonts w:hint="eastAsia"/>
                <w:color w:val="000000" w:themeColor="text1"/>
                <w:highlight w:val="none"/>
                <w:lang w:val="en-US" w:eastAsia="zh-CN"/>
                <w14:textFill>
                  <w14:solidFill>
                    <w14:schemeClr w14:val="tx1"/>
                  </w14:solidFill>
                </w14:textFill>
              </w:rPr>
              <w:t>分别</w:t>
            </w:r>
            <w:r>
              <w:rPr>
                <w:rFonts w:hint="default"/>
                <w:color w:val="000000" w:themeColor="text1"/>
                <w:highlight w:val="none"/>
                <w:lang w:val="en-US" w:eastAsia="zh-CN"/>
                <w14:textFill>
                  <w14:solidFill>
                    <w14:schemeClr w14:val="tx1"/>
                  </w14:solidFill>
                </w14:textFill>
              </w:rPr>
              <w:t>将散装原料（玉米</w:t>
            </w:r>
            <w:r>
              <w:rPr>
                <w:rFonts w:hint="eastAsia"/>
                <w:color w:val="000000" w:themeColor="text1"/>
                <w:highlight w:val="none"/>
                <w:lang w:val="en-US" w:eastAsia="zh-CN"/>
                <w14:textFill>
                  <w14:solidFill>
                    <w14:schemeClr w14:val="tx1"/>
                  </w14:solidFill>
                </w14:textFill>
              </w:rPr>
              <w:t>、豆粕</w:t>
            </w:r>
            <w:r>
              <w:rPr>
                <w:rFonts w:hint="default"/>
                <w:color w:val="000000" w:themeColor="text1"/>
                <w:highlight w:val="none"/>
                <w:lang w:val="en-US" w:eastAsia="zh-CN"/>
                <w14:textFill>
                  <w14:solidFill>
                    <w14:schemeClr w14:val="tx1"/>
                  </w14:solidFill>
                </w14:textFill>
              </w:rPr>
              <w:t>）卸到卸料</w:t>
            </w:r>
            <w:r>
              <w:rPr>
                <w:rFonts w:hint="eastAsia"/>
                <w:color w:val="000000" w:themeColor="text1"/>
                <w:highlight w:val="none"/>
                <w:lang w:val="en-US" w:eastAsia="zh-CN"/>
                <w14:textFill>
                  <w14:solidFill>
                    <w14:schemeClr w14:val="tx1"/>
                  </w14:solidFill>
                </w14:textFill>
              </w:rPr>
              <w:t>棚内</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卸料棚保持密闭，</w:t>
            </w:r>
            <w:r>
              <w:rPr>
                <w:rFonts w:hint="default"/>
                <w:color w:val="000000" w:themeColor="text1"/>
                <w:highlight w:val="none"/>
                <w:lang w:val="en-US" w:eastAsia="zh-CN"/>
                <w14:textFill>
                  <w14:solidFill>
                    <w14:schemeClr w14:val="tx1"/>
                  </w14:solidFill>
                </w14:textFill>
              </w:rPr>
              <w:t>再经斗式提升机</w:t>
            </w:r>
            <w:r>
              <w:rPr>
                <w:rFonts w:hint="eastAsia"/>
                <w:color w:val="000000" w:themeColor="text1"/>
                <w:highlight w:val="none"/>
                <w:lang w:val="en-US" w:eastAsia="zh-CN"/>
                <w14:textFill>
                  <w14:solidFill>
                    <w14:schemeClr w14:val="tx1"/>
                  </w14:solidFill>
                </w14:textFill>
              </w:rPr>
              <w:t>分别将玉米</w:t>
            </w:r>
            <w:r>
              <w:rPr>
                <w:rFonts w:hint="default"/>
                <w:color w:val="000000" w:themeColor="text1"/>
                <w:highlight w:val="none"/>
                <w:lang w:val="en-US" w:eastAsia="zh-CN"/>
                <w14:textFill>
                  <w14:solidFill>
                    <w14:schemeClr w14:val="tx1"/>
                  </w14:solidFill>
                </w14:textFill>
              </w:rPr>
              <w:t>提升入</w:t>
            </w:r>
            <w:r>
              <w:rPr>
                <w:rFonts w:hint="eastAsia"/>
                <w:color w:val="000000" w:themeColor="text1"/>
                <w:highlight w:val="none"/>
                <w:lang w:val="en-US" w:eastAsia="zh-CN"/>
                <w14:textFill>
                  <w14:solidFill>
                    <w14:schemeClr w14:val="tx1"/>
                  </w14:solidFill>
                </w14:textFill>
              </w:rPr>
              <w:t>玉米库</w:t>
            </w:r>
            <w:r>
              <w:rPr>
                <w:rFonts w:hint="default"/>
                <w:color w:val="000000" w:themeColor="text1"/>
                <w:highlight w:val="none"/>
                <w:lang w:val="en-US" w:eastAsia="zh-CN"/>
                <w14:textFill>
                  <w14:solidFill>
                    <w14:schemeClr w14:val="tx1"/>
                  </w14:solidFill>
                </w14:textFill>
              </w:rPr>
              <w:t>贮存</w:t>
            </w:r>
            <w:r>
              <w:rPr>
                <w:rFonts w:hint="eastAsia"/>
                <w:color w:val="000000" w:themeColor="text1"/>
                <w:highlight w:val="none"/>
                <w:lang w:val="en-US" w:eastAsia="zh-CN"/>
                <w14:textFill>
                  <w14:solidFill>
                    <w14:schemeClr w14:val="tx1"/>
                  </w14:solidFill>
                </w14:textFill>
              </w:rPr>
              <w:t>，将豆粕</w:t>
            </w:r>
            <w:r>
              <w:rPr>
                <w:rFonts w:hint="default"/>
                <w:color w:val="000000" w:themeColor="text1"/>
                <w:highlight w:val="none"/>
                <w:lang w:val="en-US" w:eastAsia="zh-CN"/>
                <w14:textFill>
                  <w14:solidFill>
                    <w14:schemeClr w14:val="tx1"/>
                  </w14:solidFill>
                </w14:textFill>
              </w:rPr>
              <w:t>提升入</w:t>
            </w:r>
            <w:r>
              <w:rPr>
                <w:rFonts w:hint="eastAsia"/>
                <w:color w:val="000000" w:themeColor="text1"/>
                <w:highlight w:val="none"/>
                <w:lang w:val="en-US" w:eastAsia="zh-CN"/>
                <w14:textFill>
                  <w14:solidFill>
                    <w14:schemeClr w14:val="tx1"/>
                  </w14:solidFill>
                </w14:textFill>
              </w:rPr>
              <w:t>立筒仓、料仓</w:t>
            </w:r>
            <w:r>
              <w:rPr>
                <w:rFonts w:hint="default"/>
                <w:color w:val="000000" w:themeColor="text1"/>
                <w:highlight w:val="none"/>
                <w:lang w:val="en-US" w:eastAsia="zh-CN"/>
                <w14:textFill>
                  <w14:solidFill>
                    <w14:schemeClr w14:val="tx1"/>
                  </w14:solidFill>
                </w14:textFill>
              </w:rPr>
              <w:t>贮存</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该过程中将产生机械噪声</w:t>
            </w:r>
            <w:r>
              <w:rPr>
                <w:rFonts w:hint="eastAsia"/>
                <w:color w:val="000000" w:themeColor="text1"/>
                <w:highlight w:val="none"/>
                <w:lang w:val="en-US" w:eastAsia="zh-CN"/>
                <w14:textFill>
                  <w14:solidFill>
                    <w14:schemeClr w14:val="tx1"/>
                  </w14:solidFill>
                </w14:textFill>
              </w:rPr>
              <w:t>、卸料</w:t>
            </w:r>
            <w:r>
              <w:rPr>
                <w:rFonts w:hint="default"/>
                <w:color w:val="000000" w:themeColor="text1"/>
                <w:highlight w:val="none"/>
                <w:lang w:val="en-US" w:eastAsia="zh-CN"/>
                <w14:textFill>
                  <w14:solidFill>
                    <w14:schemeClr w14:val="tx1"/>
                  </w14:solidFill>
                </w14:textFill>
              </w:rPr>
              <w:t>粉尘（G1）</w:t>
            </w:r>
            <w:r>
              <w:rPr>
                <w:rFonts w:hint="eastAsia"/>
                <w:color w:val="000000" w:themeColor="text1"/>
                <w:highlight w:val="none"/>
                <w:lang w:val="en-US" w:eastAsia="zh-CN"/>
                <w14:textFill>
                  <w14:solidFill>
                    <w14:schemeClr w14:val="tx1"/>
                  </w14:solidFill>
                </w14:textFill>
              </w:rPr>
              <w:t>以及收尘灰（S1）</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在卸料口上方设置集气罩</w:t>
            </w:r>
            <w:r>
              <w:rPr>
                <w:rFonts w:hint="default"/>
                <w:color w:val="000000" w:themeColor="text1"/>
                <w:highlight w:val="none"/>
                <w:lang w:val="en-US" w:eastAsia="zh-CN"/>
                <w14:textFill>
                  <w14:solidFill>
                    <w14:schemeClr w14:val="tx1"/>
                  </w14:solidFill>
                </w14:textFill>
              </w:rPr>
              <w:t>+脉冲</w:t>
            </w:r>
            <w:r>
              <w:rPr>
                <w:rFonts w:hint="eastAsia"/>
                <w:color w:val="000000" w:themeColor="text1"/>
                <w:highlight w:val="none"/>
                <w:lang w:val="en-US" w:eastAsia="zh-CN"/>
                <w14:textFill>
                  <w14:solidFill>
                    <w14:schemeClr w14:val="tx1"/>
                  </w14:solidFill>
                </w14:textFill>
              </w:rPr>
              <w:t>式</w:t>
            </w:r>
            <w:r>
              <w:rPr>
                <w:rFonts w:hint="default"/>
                <w:color w:val="000000" w:themeColor="text1"/>
                <w:highlight w:val="none"/>
                <w:lang w:val="en-US" w:eastAsia="zh-CN"/>
                <w14:textFill>
                  <w14:solidFill>
                    <w14:schemeClr w14:val="tx1"/>
                  </w14:solidFill>
                </w14:textFill>
              </w:rPr>
              <w:t>布袋除尘器进行除尘</w:t>
            </w:r>
            <w:r>
              <w:rPr>
                <w:rFonts w:hint="eastAsia"/>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外购油料（</w:t>
            </w:r>
            <w:r>
              <w:rPr>
                <w:rFonts w:hint="eastAsia"/>
                <w:color w:val="000000" w:themeColor="text1"/>
                <w:highlight w:val="none"/>
                <w:lang w:val="en-US" w:eastAsia="zh-CN"/>
                <w14:textFill>
                  <w14:solidFill>
                    <w14:schemeClr w14:val="tx1"/>
                  </w14:solidFill>
                </w14:textFill>
              </w:rPr>
              <w:t>鸭</w:t>
            </w:r>
            <w:r>
              <w:rPr>
                <w:rFonts w:hint="default"/>
                <w:color w:val="000000" w:themeColor="text1"/>
                <w:highlight w:val="none"/>
                <w:lang w:val="en-US" w:eastAsia="zh-CN"/>
                <w14:textFill>
                  <w14:solidFill>
                    <w14:schemeClr w14:val="tx1"/>
                  </w14:solidFill>
                </w14:textFill>
              </w:rPr>
              <w:t>油、米糠油和豆油）通过罐车运输到厂区，罐车经地磅称量后将油料泵入油罐常温保存。储存过程中油料均未达到发烟点，该过程中无挥发性有机物产生。</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（2）投料</w:t>
            </w:r>
            <w:r>
              <w:rPr>
                <w:rFonts w:hint="eastAsia"/>
                <w:color w:val="000000" w:themeColor="text1"/>
                <w:highlight w:val="none"/>
                <w:lang w:val="en-US" w:eastAsia="zh-CN"/>
                <w14:textFill>
                  <w14:solidFill>
                    <w14:schemeClr w14:val="tx1"/>
                  </w14:solidFill>
                </w14:textFill>
              </w:rPr>
              <w:t>、筛分、磁选</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项目采用投料系统分别给料，需要粉碎的粒状原料（玉米</w:t>
            </w:r>
            <w:r>
              <w:rPr>
                <w:rFonts w:hint="eastAsia"/>
                <w:color w:val="000000" w:themeColor="text1"/>
                <w:highlight w:val="none"/>
                <w:lang w:val="en-US" w:eastAsia="zh-CN"/>
                <w14:textFill>
                  <w14:solidFill>
                    <w14:schemeClr w14:val="tx1"/>
                  </w14:solidFill>
                </w14:textFill>
              </w:rPr>
              <w:t>、豆粕</w:t>
            </w:r>
            <w:r>
              <w:rPr>
                <w:rFonts w:hint="default"/>
                <w:color w:val="000000" w:themeColor="text1"/>
                <w:highlight w:val="none"/>
                <w:lang w:val="en-US" w:eastAsia="zh-CN"/>
                <w14:textFill>
                  <w14:solidFill>
                    <w14:schemeClr w14:val="tx1"/>
                  </w14:solidFill>
                </w14:textFill>
              </w:rPr>
              <w:t>）从</w:t>
            </w:r>
            <w:r>
              <w:rPr>
                <w:rFonts w:hint="eastAsia"/>
                <w:color w:val="000000" w:themeColor="text1"/>
                <w:highlight w:val="none"/>
                <w:lang w:val="en-US" w:eastAsia="zh-CN"/>
                <w14:textFill>
                  <w14:solidFill>
                    <w14:schemeClr w14:val="tx1"/>
                  </w14:solidFill>
                </w14:textFill>
              </w:rPr>
              <w:t>各自</w:t>
            </w:r>
            <w:r>
              <w:rPr>
                <w:rFonts w:hint="default"/>
                <w:color w:val="000000" w:themeColor="text1"/>
                <w:highlight w:val="none"/>
                <w:lang w:val="en-US" w:eastAsia="zh-CN"/>
                <w14:textFill>
                  <w14:solidFill>
                    <w14:schemeClr w14:val="tx1"/>
                  </w14:solidFill>
                </w14:textFill>
              </w:rPr>
              <w:t>原料仓经刮板输送机送入斗式提升机提升到</w:t>
            </w:r>
            <w:r>
              <w:rPr>
                <w:rFonts w:hint="eastAsia"/>
                <w:color w:val="000000" w:themeColor="text1"/>
                <w:highlight w:val="none"/>
                <w:lang w:val="en-US" w:eastAsia="zh-CN"/>
                <w14:textFill>
                  <w14:solidFill>
                    <w14:schemeClr w14:val="tx1"/>
                  </w14:solidFill>
                </w14:textFill>
              </w:rPr>
              <w:t>主车间</w:t>
            </w:r>
            <w:r>
              <w:rPr>
                <w:rFonts w:hint="default"/>
                <w:color w:val="000000" w:themeColor="text1"/>
                <w:highlight w:val="none"/>
                <w:lang w:val="en-US" w:eastAsia="zh-CN"/>
                <w14:textFill>
                  <w14:solidFill>
                    <w14:schemeClr w14:val="tx1"/>
                  </w14:solidFill>
                </w14:textFill>
              </w:rPr>
              <w:t>，经封闭式双层圆筒初清筛去除掺杂的绳头、纸片、木屑等杂质，再经封闭式永磁筒去除铁性杂质后进入待粉碎仓。该过程中将产生</w:t>
            </w:r>
            <w:r>
              <w:rPr>
                <w:rFonts w:hint="eastAsia"/>
                <w:color w:val="000000" w:themeColor="text1"/>
                <w:highlight w:val="none"/>
                <w:lang w:val="en-US" w:eastAsia="zh-CN"/>
                <w14:textFill>
                  <w14:solidFill>
                    <w14:schemeClr w14:val="tx1"/>
                  </w14:solidFill>
                </w14:textFill>
              </w:rPr>
              <w:t>筛分杂质</w:t>
            </w:r>
            <w:r>
              <w:rPr>
                <w:rFonts w:hint="default"/>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）、铁质杂质（</w:t>
            </w:r>
            <w:r>
              <w:rPr>
                <w:rFonts w:hint="eastAsia"/>
                <w:color w:val="000000" w:themeColor="text1"/>
                <w:highlight w:val="none"/>
                <w:lang w:val="en-US" w:eastAsia="zh-CN"/>
                <w14:textFill>
                  <w14:solidFill>
                    <w14:schemeClr w14:val="tx1"/>
                  </w14:solidFill>
                </w14:textFill>
              </w:rPr>
              <w:t>S3</w:t>
            </w:r>
            <w:r>
              <w:rPr>
                <w:rFonts w:hint="default"/>
                <w:color w:val="000000" w:themeColor="text1"/>
                <w:highlight w:val="none"/>
                <w:lang w:val="en-US" w:eastAsia="zh-CN"/>
                <w14:textFill>
                  <w14:solidFill>
                    <w14:schemeClr w14:val="tx1"/>
                  </w14:solidFill>
                </w14:textFill>
              </w:rPr>
              <w:t>）以及产生机械噪声</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由于初清筛为全封闭设备，所以不产生</w:t>
            </w:r>
            <w:r>
              <w:rPr>
                <w:rFonts w:hint="eastAsia"/>
                <w:color w:val="000000" w:themeColor="text1"/>
                <w:highlight w:val="none"/>
                <w:lang w:val="en-US" w:eastAsia="zh-CN"/>
                <w14:textFill>
                  <w14:solidFill>
                    <w14:schemeClr w14:val="tx1"/>
                  </w14:solidFill>
                </w14:textFill>
              </w:rPr>
              <w:t>筛分</w:t>
            </w:r>
            <w:r>
              <w:rPr>
                <w:rFonts w:hint="default"/>
                <w:color w:val="000000" w:themeColor="text1"/>
                <w:highlight w:val="none"/>
                <w:lang w:val="en-US" w:eastAsia="zh-CN"/>
                <w14:textFill>
                  <w14:solidFill>
                    <w14:schemeClr w14:val="tx1"/>
                  </w14:solidFill>
                </w14:textFill>
              </w:rPr>
              <w:t>粉尘。</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不需要粉碎的</w:t>
            </w:r>
            <w:r>
              <w:rPr>
                <w:rFonts w:hint="eastAsia"/>
                <w:color w:val="000000" w:themeColor="text1"/>
                <w:highlight w:val="none"/>
                <w:lang w:val="en-US" w:eastAsia="zh-CN"/>
                <w14:textFill>
                  <w14:solidFill>
                    <w14:schemeClr w14:val="tx1"/>
                  </w14:solidFill>
                </w14:textFill>
              </w:rPr>
              <w:t>袋装</w:t>
            </w:r>
            <w:r>
              <w:rPr>
                <w:rFonts w:hint="default"/>
                <w:color w:val="000000" w:themeColor="text1"/>
                <w:highlight w:val="none"/>
                <w:lang w:val="en-US" w:eastAsia="zh-CN"/>
                <w14:textFill>
                  <w14:solidFill>
                    <w14:schemeClr w14:val="tx1"/>
                  </w14:solidFill>
                </w14:textFill>
              </w:rPr>
              <w:t>原料从人工投料口投入，经过</w:t>
            </w:r>
            <w:r>
              <w:rPr>
                <w:rFonts w:hint="eastAsia"/>
                <w:color w:val="000000" w:themeColor="text1"/>
                <w:highlight w:val="none"/>
                <w:lang w:val="en-US" w:eastAsia="zh-CN"/>
                <w14:textFill>
                  <w14:solidFill>
                    <w14:schemeClr w14:val="tx1"/>
                  </w14:solidFill>
                </w14:textFill>
              </w:rPr>
              <w:t>栅栏及</w:t>
            </w:r>
            <w:r>
              <w:rPr>
                <w:rFonts w:hint="default"/>
                <w:color w:val="000000" w:themeColor="text1"/>
                <w:highlight w:val="none"/>
                <w:lang w:val="en-US" w:eastAsia="zh-CN"/>
                <w14:textFill>
                  <w14:solidFill>
                    <w14:schemeClr w14:val="tx1"/>
                  </w14:solidFill>
                </w14:textFill>
              </w:rPr>
              <w:t>永磁筒去除杂物及铁性杂质后经过输送机、输送机、提升机输送至待配料仓等待配料。</w:t>
            </w:r>
            <w:r>
              <w:rPr>
                <w:rFonts w:hint="eastAsia"/>
                <w:color w:val="000000" w:themeColor="text1"/>
                <w:highlight w:val="none"/>
                <w:lang w:val="en-US" w:eastAsia="zh-CN"/>
                <w14:textFill>
                  <w14:solidFill>
                    <w14:schemeClr w14:val="tx1"/>
                  </w14:solidFill>
                </w14:textFill>
              </w:rPr>
              <w:t>在投料口设置集气罩+脉冲式布袋除尘器进行除尘。</w:t>
            </w:r>
            <w:r>
              <w:rPr>
                <w:rFonts w:hint="default"/>
                <w:color w:val="000000" w:themeColor="text1"/>
                <w:highlight w:val="none"/>
                <w:lang w:val="en-US" w:eastAsia="zh-CN"/>
                <w14:textFill>
                  <w14:solidFill>
                    <w14:schemeClr w14:val="tx1"/>
                  </w14:solidFill>
                </w14:textFill>
              </w:rPr>
              <w:t>该过程中将产生</w:t>
            </w:r>
            <w:r>
              <w:rPr>
                <w:rFonts w:hint="eastAsia"/>
                <w:color w:val="000000" w:themeColor="text1"/>
                <w:highlight w:val="none"/>
                <w:lang w:val="en-US" w:eastAsia="zh-CN"/>
                <w14:textFill>
                  <w14:solidFill>
                    <w14:schemeClr w14:val="tx1"/>
                  </w14:solidFill>
                </w14:textFill>
              </w:rPr>
              <w:t>投料</w:t>
            </w:r>
            <w:r>
              <w:rPr>
                <w:rFonts w:hint="default"/>
                <w:color w:val="000000" w:themeColor="text1"/>
                <w:highlight w:val="none"/>
                <w:lang w:val="en-US" w:eastAsia="zh-CN"/>
                <w14:textFill>
                  <w14:solidFill>
                    <w14:schemeClr w14:val="tx1"/>
                  </w14:solidFill>
                </w14:textFill>
              </w:rPr>
              <w:t>粉尘（G</w:t>
            </w: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）、铁质杂质（</w:t>
            </w:r>
            <w:r>
              <w:rPr>
                <w:rFonts w:hint="eastAsia"/>
                <w:color w:val="000000" w:themeColor="text1"/>
                <w:highlight w:val="none"/>
                <w:lang w:val="en-US" w:eastAsia="zh-CN"/>
                <w14:textFill>
                  <w14:solidFill>
                    <w14:schemeClr w14:val="tx1"/>
                  </w14:solidFill>
                </w14:textFill>
              </w:rPr>
              <w:t>S3</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、收尘灰（S5）、废包装袋</w:t>
            </w:r>
            <w:r>
              <w:rPr>
                <w:rFonts w:hint="default"/>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）以及机械噪声</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项目在各个人工投料口分别设置集气罩+脉冲</w:t>
            </w:r>
            <w:r>
              <w:rPr>
                <w:rFonts w:hint="eastAsia"/>
                <w:color w:val="000000" w:themeColor="text1"/>
                <w:highlight w:val="none"/>
                <w:lang w:val="en-US" w:eastAsia="zh-CN"/>
                <w14:textFill>
                  <w14:solidFill>
                    <w14:schemeClr w14:val="tx1"/>
                  </w14:solidFill>
                </w14:textFill>
              </w:rPr>
              <w:t>式</w:t>
            </w:r>
            <w:r>
              <w:rPr>
                <w:rFonts w:hint="default"/>
                <w:color w:val="000000" w:themeColor="text1"/>
                <w:highlight w:val="none"/>
                <w:lang w:val="en-US" w:eastAsia="zh-CN"/>
                <w14:textFill>
                  <w14:solidFill>
                    <w14:schemeClr w14:val="tx1"/>
                  </w14:solidFill>
                </w14:textFill>
              </w:rPr>
              <w:t>布袋除尘器进行除尘，同时对风机安装消声器以减小噪声污染。</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（3）原料粉碎</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粉碎机是饲料加工过程中减小原料粒度的加工设备。需粉碎的玉米及豆粕经</w:t>
            </w:r>
            <w:r>
              <w:rPr>
                <w:rFonts w:hint="eastAsia"/>
                <w:color w:val="000000" w:themeColor="text1"/>
                <w:highlight w:val="none"/>
                <w:lang w:val="en-US" w:eastAsia="zh-CN"/>
                <w14:textFill>
                  <w14:solidFill>
                    <w14:schemeClr w14:val="tx1"/>
                  </w14:solidFill>
                </w14:textFill>
              </w:rPr>
              <w:t>筛分</w:t>
            </w:r>
            <w:r>
              <w:rPr>
                <w:rFonts w:hint="default"/>
                <w:color w:val="000000" w:themeColor="text1"/>
                <w:highlight w:val="none"/>
                <w:lang w:val="en-US" w:eastAsia="zh-CN"/>
                <w14:textFill>
                  <w14:solidFill>
                    <w14:schemeClr w14:val="tx1"/>
                  </w14:solidFill>
                </w14:textFill>
              </w:rPr>
              <w:t>、磁选后进入待粉碎仓，通过喂料器顶部进料口喂入，再由喂料器将物料输送到粉碎机进行粉碎，粉碎后的物料粒径一般小于 1.5mm，由螺旋输送机输送至提升机，提升后经分配器引入待配料仓。</w:t>
            </w:r>
            <w:r>
              <w:rPr>
                <w:rFonts w:hint="eastAsia"/>
                <w:color w:val="000000" w:themeColor="text1"/>
                <w:highlight w:val="none"/>
                <w:lang w:val="en-US" w:eastAsia="zh-CN"/>
                <w14:textFill>
                  <w14:solidFill>
                    <w14:schemeClr w14:val="tx1"/>
                  </w14:solidFill>
                </w14:textFill>
              </w:rPr>
              <w:t>本项目设有4台粉碎机，其中3台为豆粕粉碎机，1台为玉米粉碎机，每台粉碎机连接一套脉冲式布袋除尘器。</w:t>
            </w:r>
            <w:r>
              <w:rPr>
                <w:rFonts w:hint="default"/>
                <w:color w:val="000000" w:themeColor="text1"/>
                <w:highlight w:val="none"/>
                <w:lang w:val="en-US" w:eastAsia="zh-CN"/>
                <w14:textFill>
                  <w14:solidFill>
                    <w14:schemeClr w14:val="tx1"/>
                  </w14:solidFill>
                </w14:textFill>
              </w:rPr>
              <w:t>该过程中将产生</w:t>
            </w:r>
            <w:r>
              <w:rPr>
                <w:rFonts w:hint="eastAsia"/>
                <w:color w:val="000000" w:themeColor="text1"/>
                <w:highlight w:val="none"/>
                <w:lang w:val="en-US" w:eastAsia="zh-CN"/>
                <w14:textFill>
                  <w14:solidFill>
                    <w14:schemeClr w14:val="tx1"/>
                  </w14:solidFill>
                </w14:textFill>
              </w:rPr>
              <w:t>粉碎粉尘（G3），收尘灰（S4）、</w:t>
            </w:r>
            <w:r>
              <w:rPr>
                <w:rFonts w:hint="default"/>
                <w:color w:val="000000" w:themeColor="text1"/>
                <w:highlight w:val="none"/>
                <w:lang w:val="en-US" w:eastAsia="zh-CN"/>
                <w14:textFill>
                  <w14:solidFill>
                    <w14:schemeClr w14:val="tx1"/>
                  </w14:solidFill>
                </w14:textFill>
              </w:rPr>
              <w:t>以及产生机械噪声</w:t>
            </w:r>
            <w:r>
              <w:rPr>
                <w:rFonts w:hint="eastAsia"/>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（4）配料混合</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油罐区的油脂</w:t>
            </w:r>
            <w:r>
              <w:rPr>
                <w:rFonts w:hint="eastAsia"/>
                <w:color w:val="000000" w:themeColor="text1"/>
                <w:highlight w:val="none"/>
                <w:lang w:val="en-US" w:eastAsia="zh-CN"/>
                <w14:textFill>
                  <w14:solidFill>
                    <w14:schemeClr w14:val="tx1"/>
                  </w14:solidFill>
                </w14:textFill>
              </w:rPr>
              <w:t>直接</w:t>
            </w:r>
            <w:r>
              <w:rPr>
                <w:rFonts w:hint="default"/>
                <w:color w:val="000000" w:themeColor="text1"/>
                <w:highlight w:val="none"/>
                <w:lang w:val="en-US" w:eastAsia="zh-CN"/>
                <w14:textFill>
                  <w14:solidFill>
                    <w14:schemeClr w14:val="tx1"/>
                  </w14:solidFill>
                </w14:textFill>
              </w:rPr>
              <w:t>通过管路输送至</w:t>
            </w:r>
            <w:r>
              <w:rPr>
                <w:rFonts w:hint="eastAsia"/>
                <w:color w:val="000000" w:themeColor="text1"/>
                <w:highlight w:val="none"/>
                <w:lang w:val="en-US" w:eastAsia="zh-CN"/>
                <w14:textFill>
                  <w14:solidFill>
                    <w14:schemeClr w14:val="tx1"/>
                  </w14:solidFill>
                </w14:textFill>
              </w:rPr>
              <w:t>主</w:t>
            </w:r>
            <w:r>
              <w:rPr>
                <w:rFonts w:hint="default"/>
                <w:color w:val="000000" w:themeColor="text1"/>
                <w:highlight w:val="none"/>
                <w:lang w:val="en-US" w:eastAsia="zh-CN"/>
                <w14:textFill>
                  <w14:solidFill>
                    <w14:schemeClr w14:val="tx1"/>
                  </w14:solidFill>
                </w14:textFill>
              </w:rPr>
              <w:t>车间混合机中</w:t>
            </w:r>
            <w:r>
              <w:rPr>
                <w:rFonts w:hint="eastAsia"/>
                <w:color w:val="000000" w:themeColor="text1"/>
                <w:highlight w:val="none"/>
                <w:lang w:val="en-US" w:eastAsia="zh-CN"/>
                <w14:textFill>
                  <w14:solidFill>
                    <w14:schemeClr w14:val="tx1"/>
                  </w14:solidFill>
                </w14:textFill>
              </w:rPr>
              <w:t>进行配料</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其余物料</w:t>
            </w:r>
            <w:r>
              <w:rPr>
                <w:rFonts w:hint="default"/>
                <w:color w:val="000000" w:themeColor="text1"/>
                <w:highlight w:val="none"/>
                <w:lang w:val="en-US" w:eastAsia="zh-CN"/>
                <w14:textFill>
                  <w14:solidFill>
                    <w14:schemeClr w14:val="tx1"/>
                  </w14:solidFill>
                </w14:textFill>
              </w:rPr>
              <w:t>通过刮板机和提升机输送至</w:t>
            </w:r>
            <w:r>
              <w:rPr>
                <w:rFonts w:hint="eastAsia"/>
                <w:color w:val="000000" w:themeColor="text1"/>
                <w:highlight w:val="none"/>
                <w:lang w:val="en-US" w:eastAsia="zh-CN"/>
                <w14:textFill>
                  <w14:solidFill>
                    <w14:schemeClr w14:val="tx1"/>
                  </w14:solidFill>
                </w14:textFill>
              </w:rPr>
              <w:t>主</w:t>
            </w:r>
            <w:r>
              <w:rPr>
                <w:rFonts w:hint="default"/>
                <w:color w:val="000000" w:themeColor="text1"/>
                <w:highlight w:val="none"/>
                <w:lang w:val="en-US" w:eastAsia="zh-CN"/>
                <w14:textFill>
                  <w14:solidFill>
                    <w14:schemeClr w14:val="tx1"/>
                  </w14:solidFill>
                </w14:textFill>
              </w:rPr>
              <w:t>车间混合机</w:t>
            </w:r>
            <w:r>
              <w:rPr>
                <w:rFonts w:hint="eastAsia"/>
                <w:color w:val="000000" w:themeColor="text1"/>
                <w:highlight w:val="none"/>
                <w:lang w:val="en-US" w:eastAsia="zh-CN"/>
                <w14:textFill>
                  <w14:solidFill>
                    <w14:schemeClr w14:val="tx1"/>
                  </w14:solidFill>
                </w14:textFill>
              </w:rPr>
              <w:t>进行</w:t>
            </w:r>
            <w:r>
              <w:rPr>
                <w:rFonts w:hint="default"/>
                <w:color w:val="000000" w:themeColor="text1"/>
                <w:highlight w:val="none"/>
                <w:lang w:val="en-US" w:eastAsia="zh-CN"/>
                <w14:textFill>
                  <w14:solidFill>
                    <w14:schemeClr w14:val="tx1"/>
                  </w14:solidFill>
                </w14:textFill>
              </w:rPr>
              <w:t>配料</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项目配料混合工段共设置 2 套配料秤及混合机，配料仓内的原料采用自动化控制系统按照配比进行精度配料，以中央控制系统对称重传感器信号等进行监测，通过配料秤斗进行配料至双轴桨叶混合机中；各种原辅料按照配比投加至双轴桨叶混合机中进行充分混合后通过刮板输送机、提升机及分配器送至制粒工段待制粒仓中</w:t>
            </w:r>
            <w:r>
              <w:rPr>
                <w:rFonts w:hint="eastAsia"/>
                <w:color w:val="000000" w:themeColor="text1"/>
                <w:highlight w:val="none"/>
                <w:lang w:val="en-US" w:eastAsia="zh-CN"/>
                <w14:textFill>
                  <w14:solidFill>
                    <w14:schemeClr w14:val="tx1"/>
                  </w14:solidFill>
                </w14:textFill>
              </w:rPr>
              <w:t>，每台</w:t>
            </w:r>
            <w:r>
              <w:rPr>
                <w:rFonts w:hint="default"/>
                <w:color w:val="000000" w:themeColor="text1"/>
                <w:highlight w:val="none"/>
                <w:lang w:val="en-US" w:eastAsia="zh-CN"/>
                <w14:textFill>
                  <w14:solidFill>
                    <w14:schemeClr w14:val="tx1"/>
                  </w14:solidFill>
                </w14:textFill>
              </w:rPr>
              <w:t>混合机</w:t>
            </w:r>
            <w:r>
              <w:rPr>
                <w:rFonts w:hint="eastAsia"/>
                <w:color w:val="000000" w:themeColor="text1"/>
                <w:highlight w:val="none"/>
                <w:lang w:val="en-US" w:eastAsia="zh-CN"/>
                <w14:textFill>
                  <w14:solidFill>
                    <w14:schemeClr w14:val="tx1"/>
                  </w14:solidFill>
                </w14:textFill>
              </w:rPr>
              <w:t>连接一套脉冲式布袋除尘器</w:t>
            </w:r>
            <w:r>
              <w:rPr>
                <w:rFonts w:hint="default"/>
                <w:color w:val="000000" w:themeColor="text1"/>
                <w:highlight w:val="none"/>
                <w:lang w:val="en-US" w:eastAsia="zh-CN"/>
                <w14:textFill>
                  <w14:solidFill>
                    <w14:schemeClr w14:val="tx1"/>
                  </w14:solidFill>
                </w14:textFill>
              </w:rPr>
              <w:t>进行除尘</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该过程中将产生</w:t>
            </w:r>
            <w:r>
              <w:rPr>
                <w:rFonts w:hint="eastAsia"/>
                <w:color w:val="000000" w:themeColor="text1"/>
                <w:highlight w:val="none"/>
                <w:lang w:val="en-US" w:eastAsia="zh-CN"/>
                <w14:textFill>
                  <w14:solidFill>
                    <w14:schemeClr w14:val="tx1"/>
                  </w14:solidFill>
                </w14:textFill>
              </w:rPr>
              <w:t>混合粉尘（G4）、收尘灰（S7）</w:t>
            </w:r>
            <w:r>
              <w:rPr>
                <w:rFonts w:hint="default"/>
                <w:color w:val="000000" w:themeColor="text1"/>
                <w:highlight w:val="none"/>
                <w:lang w:val="en-US" w:eastAsia="zh-CN"/>
                <w14:textFill>
                  <w14:solidFill>
                    <w14:schemeClr w14:val="tx1"/>
                  </w14:solidFill>
                </w14:textFill>
              </w:rPr>
              <w:t>以及产生机械噪声</w:t>
            </w:r>
            <w:r>
              <w:rPr>
                <w:rFonts w:hint="eastAsia"/>
                <w:color w:val="000000" w:themeColor="text1"/>
                <w:highlight w:val="none"/>
                <w:lang w:val="en-US" w:eastAsia="zh-CN"/>
                <w14:textFill>
                  <w14:solidFill>
                    <w14:schemeClr w14:val="tx1"/>
                  </w14:solidFill>
                </w14:textFill>
              </w:rPr>
              <w:t>。</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）调质、制粒</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调质目的即将配合好的干粉料调质成为具有一定水分、一定湿度利于制粒的粉状饲料。调质过程使用蒸汽调制，项目使用1台</w:t>
            </w: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t/h 生物质锅炉提供制粒所需蒸汽。来自配料混合工段的物料通过调质器进行调质，然后用高温蒸汽直接加热物料至80℃熟化，熟化过程约一分半钟后，直接进入制粒机缓冲仓。</w:t>
            </w:r>
            <w:r>
              <w:rPr>
                <w:rFonts w:hint="eastAsia"/>
                <w:color w:val="000000" w:themeColor="text1"/>
                <w:highlight w:val="none"/>
                <w:lang w:val="en-US" w:eastAsia="zh-CN"/>
                <w14:textFill>
                  <w14:solidFill>
                    <w14:schemeClr w14:val="tx1"/>
                  </w14:solidFill>
                </w14:textFill>
              </w:rPr>
              <w:t>此过程会产生锅炉废气（G5）、</w:t>
            </w:r>
            <w:r>
              <w:rPr>
                <w:color w:val="000000" w:themeColor="text1"/>
                <w:highlight w:val="none"/>
                <w14:textFill>
                  <w14:solidFill>
                    <w14:schemeClr w14:val="tx1"/>
                  </w14:solidFill>
                </w14:textFill>
              </w:rPr>
              <w:t>锅炉排污水+软化处理废水</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W1</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以及产生机械噪声</w:t>
            </w:r>
            <w:r>
              <w:rPr>
                <w:rFonts w:hint="eastAsia"/>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调质均匀的物料被均匀地分布在制粒机中的压辊和压模之间，这样物料由供料区压紧进入挤压区，被压辊钳入模孔连续挤压开分，形成柱状的饲料，随着压 模回转，被固定在压模外面的切刀切成颗料状饲料，本项目饲料造粒粒径在 5</w:t>
            </w:r>
            <w:r>
              <w:rPr>
                <w:rFonts w:hint="eastAsia"/>
                <w:color w:val="000000" w:themeColor="text1"/>
                <w:highlight w:val="none"/>
                <w:lang w:val="en-US" w:eastAsia="zh-CN"/>
                <w14:textFill>
                  <w14:solidFill>
                    <w14:schemeClr w14:val="tx1"/>
                  </w14:solidFill>
                </w14:textFill>
              </w:rPr>
              <w:t>mm</w:t>
            </w:r>
            <w:r>
              <w:rPr>
                <w:rFonts w:hint="default"/>
                <w:color w:val="000000" w:themeColor="text1"/>
                <w:highlight w:val="none"/>
                <w:lang w:val="en-US" w:eastAsia="zh-CN"/>
                <w14:textFill>
                  <w14:solidFill>
                    <w14:schemeClr w14:val="tx1"/>
                  </w14:solidFill>
                </w14:textFill>
              </w:rPr>
              <w:t>-14mm之间。调质制粒过程中将产生机械噪声</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由于制粒机为全封闭设备，所以不产生粉尘。</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（6）冷却 、分级</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制成的饲料进入逆流冷却塔进行抽风冷却，冷却将加入物料的热量由空气带走的一个物理过程。冷却后的颗粒料通过提升机进入平面回转分级筛中，分级筛与管道间使用软管全密闭连接，合格物料进入成品仓中，过细颗粒或过粗颗粒重新进入制粒机中，未成形粉料进入制粒机缓冲仓中。该过程中产生的主要污染为机械设备噪声和冷却过程产生的</w:t>
            </w:r>
            <w:r>
              <w:rPr>
                <w:rFonts w:hint="eastAsia"/>
                <w:color w:val="000000" w:themeColor="text1"/>
                <w:highlight w:val="none"/>
                <w:lang w:val="en-US" w:eastAsia="zh-CN"/>
                <w14:textFill>
                  <w14:solidFill>
                    <w14:schemeClr w14:val="tx1"/>
                  </w14:solidFill>
                </w14:textFill>
              </w:rPr>
              <w:t>冷却</w:t>
            </w:r>
            <w:r>
              <w:rPr>
                <w:rFonts w:hint="default"/>
                <w:color w:val="000000" w:themeColor="text1"/>
                <w:highlight w:val="none"/>
                <w:lang w:val="en-US" w:eastAsia="zh-CN"/>
                <w14:textFill>
                  <w14:solidFill>
                    <w14:schemeClr w14:val="tx1"/>
                  </w14:solidFill>
                </w14:textFill>
              </w:rPr>
              <w:t>粉尘（G</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、异味（G7）及收尘灰（S8）</w:t>
            </w:r>
            <w:r>
              <w:rPr>
                <w:rFonts w:hint="default"/>
                <w:color w:val="000000" w:themeColor="text1"/>
                <w:highlight w:val="none"/>
                <w:lang w:val="en-US" w:eastAsia="zh-CN"/>
                <w14:textFill>
                  <w14:solidFill>
                    <w14:schemeClr w14:val="tx1"/>
                  </w14:solidFill>
                </w14:textFill>
              </w:rPr>
              <w:t>。冷却</w:t>
            </w:r>
            <w:r>
              <w:rPr>
                <w:rFonts w:hint="eastAsia"/>
                <w:color w:val="000000" w:themeColor="text1"/>
                <w:highlight w:val="none"/>
                <w:lang w:val="en-US" w:eastAsia="zh-CN"/>
                <w14:textFill>
                  <w14:solidFill>
                    <w14:schemeClr w14:val="tx1"/>
                  </w14:solidFill>
                </w14:textFill>
              </w:rPr>
              <w:t>系统</w:t>
            </w:r>
            <w:r>
              <w:rPr>
                <w:rFonts w:hint="default"/>
                <w:color w:val="000000" w:themeColor="text1"/>
                <w:highlight w:val="none"/>
                <w:lang w:val="en-US" w:eastAsia="zh-CN"/>
                <w14:textFill>
                  <w14:solidFill>
                    <w14:schemeClr w14:val="tx1"/>
                  </w14:solidFill>
                </w14:textFill>
              </w:rPr>
              <w:t>连接一套</w:t>
            </w:r>
            <w:r>
              <w:rPr>
                <w:rFonts w:hint="eastAsia"/>
                <w:color w:val="000000" w:themeColor="text1"/>
                <w:highlight w:val="none"/>
                <w:lang w:val="en-US" w:eastAsia="zh-CN"/>
                <w14:textFill>
                  <w14:solidFill>
                    <w14:schemeClr w14:val="tx1"/>
                  </w14:solidFill>
                </w14:textFill>
              </w:rPr>
              <w:t>旋风刹</w:t>
            </w:r>
            <w:r>
              <w:rPr>
                <w:rFonts w:hint="default"/>
                <w:color w:val="000000" w:themeColor="text1"/>
                <w:highlight w:val="none"/>
                <w:lang w:val="en-US" w:eastAsia="zh-CN"/>
                <w14:textFill>
                  <w14:solidFill>
                    <w14:schemeClr w14:val="tx1"/>
                  </w14:solidFill>
                </w14:textFill>
              </w:rPr>
              <w:t>克龙除尘器进行除尘。</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（7）成品打包</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成品打包是饲料加工的最后一道工序。成品仓下安装有打包称，打包称根据调试设定好的量，自动定量包装，然后由缝包机缝合袋口，完成加工过程。打包过程会产生</w:t>
            </w:r>
            <w:r>
              <w:rPr>
                <w:rFonts w:hint="eastAsia"/>
                <w:color w:val="000000" w:themeColor="text1"/>
                <w:highlight w:val="none"/>
                <w:lang w:val="en-US" w:eastAsia="zh-CN"/>
                <w14:textFill>
                  <w14:solidFill>
                    <w14:schemeClr w14:val="tx1"/>
                  </w14:solidFill>
                </w14:textFill>
              </w:rPr>
              <w:t>包装</w:t>
            </w:r>
            <w:r>
              <w:rPr>
                <w:rFonts w:hint="default"/>
                <w:color w:val="000000" w:themeColor="text1"/>
                <w:highlight w:val="none"/>
                <w:lang w:val="en-US" w:eastAsia="zh-CN"/>
                <w14:textFill>
                  <w14:solidFill>
                    <w14:schemeClr w14:val="tx1"/>
                  </w14:solidFill>
                </w14:textFill>
              </w:rPr>
              <w:t>粉尘（G</w:t>
            </w:r>
            <w:r>
              <w:rPr>
                <w:rFonts w:hint="eastAsia"/>
                <w:color w:val="000000" w:themeColor="text1"/>
                <w:highlight w:val="none"/>
                <w:lang w:val="en-US" w:eastAsia="zh-CN"/>
                <w14:textFill>
                  <w14:solidFill>
                    <w14:schemeClr w14:val="tx1"/>
                  </w14:solidFill>
                </w14:textFill>
              </w:rPr>
              <w:t>8</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、收尘灰（</w:t>
            </w:r>
            <w:r>
              <w:rPr>
                <w:rFonts w:hint="eastAsia"/>
                <w:color w:val="000000" w:themeColor="text1"/>
                <w:highlight w:val="none"/>
                <w:lang w:val="en-US" w:eastAsia="zh-CN"/>
                <w14:textFill>
                  <w14:solidFill>
                    <w14:schemeClr w14:val="tx1"/>
                  </w14:solidFill>
                </w14:textFill>
              </w:rPr>
              <w:t>S9</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及设备噪声</w:t>
            </w:r>
            <w:r>
              <w:rPr>
                <w:rFonts w:hint="eastAsia"/>
                <w:color w:val="000000" w:themeColor="text1"/>
                <w:highlight w:val="none"/>
                <w:lang w:val="en-US" w:eastAsia="zh-CN"/>
                <w14:textFill>
                  <w14:solidFill>
                    <w14:schemeClr w14:val="tx1"/>
                  </w14:solidFill>
                </w14:textFill>
              </w:rPr>
              <w:t>。打包机上方设置集气罩+脉冲式布袋除尘器处理废气。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建设项目生产过程中主要产污环节和排污特征见下表。</w:t>
            </w:r>
          </w:p>
          <w:p>
            <w:pPr>
              <w:pStyle w:val="50"/>
              <w:bidi w:val="0"/>
              <w:ind w:left="0" w:leftChars="0" w:firstLine="0" w:firstLineChars="0"/>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表</w:t>
            </w:r>
            <w:r>
              <w:rPr>
                <w:rFonts w:hint="eastAsia"/>
                <w:b/>
                <w:bCs/>
                <w:color w:val="000000" w:themeColor="text1"/>
                <w:sz w:val="21"/>
                <w:szCs w:val="21"/>
                <w:highlight w:val="none"/>
                <w:lang w:val="en-US" w:eastAsia="zh-CN"/>
                <w14:textFill>
                  <w14:solidFill>
                    <w14:schemeClr w14:val="tx1"/>
                  </w14:solidFill>
                </w14:textFill>
              </w:rPr>
              <w:t>2-9 主要产污环节和排污特征</w:t>
            </w:r>
          </w:p>
          <w:tbl>
            <w:tblPr>
              <w:tblStyle w:val="2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1313"/>
              <w:gridCol w:w="1678"/>
              <w:gridCol w:w="2128"/>
              <w:gridCol w:w="2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类别</w:t>
                  </w: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编号</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产生点</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污染物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废气</w:t>
                  </w: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G1</w:t>
                  </w:r>
                </w:p>
              </w:tc>
              <w:tc>
                <w:tcPr>
                  <w:tcW w:w="1013" w:type="pct"/>
                  <w:tcBorders>
                    <w:tl2br w:val="nil"/>
                    <w:tr2bl w:val="nil"/>
                  </w:tcBorders>
                  <w:vAlign w:val="center"/>
                </w:tcPr>
                <w:p>
                  <w:pPr>
                    <w:keepNext w:val="0"/>
                    <w:keepLines w:val="0"/>
                    <w:widowControl/>
                    <w:suppressLineNumbers w:val="0"/>
                    <w:jc w:val="center"/>
                    <w:textAlignment w:val="center"/>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卸料工序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集气罩+脉冲式布袋除尘器+15m高排气筒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G2</w:t>
                  </w:r>
                </w:p>
              </w:tc>
              <w:tc>
                <w:tcPr>
                  <w:tcW w:w="101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投料工序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集气罩+脉冲式布袋除尘器+15m高排气筒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G3</w:t>
                  </w:r>
                </w:p>
              </w:tc>
              <w:tc>
                <w:tcPr>
                  <w:tcW w:w="101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粉碎工序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集气罩+脉冲式布袋除尘器+15m高排气筒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G4</w:t>
                  </w:r>
                </w:p>
              </w:tc>
              <w:tc>
                <w:tcPr>
                  <w:tcW w:w="1013" w:type="pct"/>
                  <w:tcBorders>
                    <w:tl2br w:val="nil"/>
                    <w:tr2bl w:val="nil"/>
                  </w:tcBorders>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混合工序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集气罩+脉冲式布袋除尘器+15m高排气筒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G5</w:t>
                  </w:r>
                </w:p>
              </w:tc>
              <w:tc>
                <w:tcPr>
                  <w:tcW w:w="101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燃气锅炉</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颗粒物、二氧化硫、氮氧化物</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低氮燃烧</w:t>
                  </w:r>
                  <w:r>
                    <w:rPr>
                      <w:rFonts w:hint="eastAsia"/>
                      <w:color w:val="000000" w:themeColor="text1"/>
                      <w:sz w:val="21"/>
                      <w:szCs w:val="21"/>
                      <w:highlight w:val="none"/>
                      <w:lang w:val="en-US" w:eastAsia="zh-CN"/>
                      <w14:textFill>
                        <w14:solidFill>
                          <w14:schemeClr w14:val="tx1"/>
                        </w14:solidFill>
                      </w14:textFill>
                    </w:rPr>
                    <w:t>+8m高排气筒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G6</w:t>
                  </w:r>
                </w:p>
              </w:tc>
              <w:tc>
                <w:tcPr>
                  <w:tcW w:w="1013"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冷却工序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w:t>
                  </w:r>
                  <w:r>
                    <w:rPr>
                      <w:rFonts w:hint="eastAsia"/>
                      <w:color w:val="000000" w:themeColor="text1"/>
                      <w:highlight w:val="none"/>
                      <w:lang w:val="en-US" w:eastAsia="zh-CN"/>
                      <w14:textFill>
                        <w14:solidFill>
                          <w14:schemeClr w14:val="tx1"/>
                        </w14:solidFill>
                      </w14:textFill>
                    </w:rPr>
                    <w:t>旋风刹</w:t>
                  </w:r>
                  <w:r>
                    <w:rPr>
                      <w:rFonts w:hint="default"/>
                      <w:color w:val="000000" w:themeColor="text1"/>
                      <w:highlight w:val="none"/>
                      <w:lang w:val="en-US" w:eastAsia="zh-CN"/>
                      <w14:textFill>
                        <w14:solidFill>
                          <w14:schemeClr w14:val="tx1"/>
                        </w14:solidFill>
                      </w14:textFill>
                    </w:rPr>
                    <w:t>克龙除尘器</w:t>
                  </w:r>
                  <w:r>
                    <w:rPr>
                      <w:rFonts w:hint="eastAsia"/>
                      <w:color w:val="000000" w:themeColor="text1"/>
                      <w:sz w:val="21"/>
                      <w:szCs w:val="21"/>
                      <w:highlight w:val="none"/>
                      <w:vertAlign w:val="baseline"/>
                      <w:lang w:val="en-US" w:eastAsia="zh-CN"/>
                      <w14:textFill>
                        <w14:solidFill>
                          <w14:schemeClr w14:val="tx1"/>
                        </w14:solidFill>
                      </w14:textFill>
                    </w:rPr>
                    <w:t>+15m高排气筒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G7</w:t>
                  </w:r>
                </w:p>
              </w:tc>
              <w:tc>
                <w:tcPr>
                  <w:tcW w:w="1013"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异味</w:t>
                  </w:r>
                </w:p>
              </w:tc>
              <w:tc>
                <w:tcPr>
                  <w:tcW w:w="1504"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车间密闭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G8</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包装工序</w:t>
                  </w:r>
                </w:p>
              </w:tc>
              <w:tc>
                <w:tcPr>
                  <w:tcW w:w="1285"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颗粒物</w:t>
                  </w:r>
                </w:p>
              </w:tc>
              <w:tc>
                <w:tcPr>
                  <w:tcW w:w="1504" w:type="pct"/>
                  <w:tcBorders>
                    <w:tl2br w:val="nil"/>
                    <w:tr2bl w:val="nil"/>
                  </w:tcBorders>
                  <w:vAlign w:val="center"/>
                </w:tcPr>
                <w:p>
                  <w:pPr>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集气罩+脉冲式布袋除尘器+15m高排气筒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G9</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食堂</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油烟</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油烟净化器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废水</w:t>
                  </w: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W1</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燃气锅炉</w:t>
                  </w:r>
                </w:p>
              </w:tc>
              <w:tc>
                <w:tcPr>
                  <w:tcW w:w="128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COD、SS、氨氮、BOD</w:t>
                  </w:r>
                  <w:r>
                    <w:rPr>
                      <w:rFonts w:hint="eastAsia"/>
                      <w:color w:val="000000" w:themeColor="text1"/>
                      <w:sz w:val="21"/>
                      <w:szCs w:val="21"/>
                      <w:highlight w:val="none"/>
                      <w:vertAlign w:val="subscript"/>
                      <w:lang w:val="en-US" w:eastAsia="zh-CN"/>
                      <w14:textFill>
                        <w14:solidFill>
                          <w14:schemeClr w14:val="tx1"/>
                        </w14:solidFill>
                      </w14:textFill>
                    </w:rPr>
                    <w:t>5</w:t>
                  </w:r>
                </w:p>
              </w:tc>
              <w:tc>
                <w:tcPr>
                  <w:tcW w:w="1504"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经化粪池处理后排入园区污水处理厂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W2</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生活办公</w:t>
                  </w:r>
                </w:p>
              </w:tc>
              <w:tc>
                <w:tcPr>
                  <w:tcW w:w="128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COD、SS、氨氮、BOD</w:t>
                  </w:r>
                  <w:r>
                    <w:rPr>
                      <w:rFonts w:hint="eastAsia"/>
                      <w:color w:val="000000" w:themeColor="text1"/>
                      <w:sz w:val="21"/>
                      <w:szCs w:val="21"/>
                      <w:highlight w:val="none"/>
                      <w:vertAlign w:val="subscript"/>
                      <w:lang w:val="en-US" w:eastAsia="zh-CN"/>
                      <w14:textFill>
                        <w14:solidFill>
                          <w14:schemeClr w14:val="tx1"/>
                        </w14:solidFill>
                      </w14:textFill>
                    </w:rPr>
                    <w:t>5</w:t>
                  </w:r>
                </w:p>
              </w:tc>
              <w:tc>
                <w:tcPr>
                  <w:tcW w:w="1504"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W3</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食堂</w:t>
                  </w:r>
                </w:p>
              </w:tc>
              <w:tc>
                <w:tcPr>
                  <w:tcW w:w="128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COD、SS、氨氮、BOD</w:t>
                  </w:r>
                  <w:r>
                    <w:rPr>
                      <w:rFonts w:hint="eastAsia"/>
                      <w:color w:val="000000" w:themeColor="text1"/>
                      <w:sz w:val="21"/>
                      <w:szCs w:val="21"/>
                      <w:highlight w:val="none"/>
                      <w:vertAlign w:val="subscript"/>
                      <w:lang w:val="en-US" w:eastAsia="zh-CN"/>
                      <w14:textFill>
                        <w14:solidFill>
                          <w14:schemeClr w14:val="tx1"/>
                        </w14:solidFill>
                      </w14:textFill>
                    </w:rPr>
                    <w:t>5</w:t>
                  </w:r>
                  <w:r>
                    <w:rPr>
                      <w:rFonts w:hint="eastAsia"/>
                      <w:color w:val="000000" w:themeColor="text1"/>
                      <w:sz w:val="21"/>
                      <w:szCs w:val="21"/>
                      <w:highlight w:val="none"/>
                      <w:vertAlign w:val="baseline"/>
                      <w:lang w:val="en-US" w:eastAsia="zh-CN"/>
                      <w14:textFill>
                        <w14:solidFill>
                          <w14:schemeClr w14:val="tx1"/>
                        </w14:solidFill>
                      </w14:textFill>
                    </w:rPr>
                    <w:t>、动植物油</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经隔油池处理后通过化粪池处理后排入园区污水处理厂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固体废物</w:t>
                  </w: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S1、S4、S5、S7、S8、S9</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废气处理</w:t>
                  </w:r>
                </w:p>
              </w:tc>
              <w:tc>
                <w:tcPr>
                  <w:tcW w:w="12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除尘器除尘灰</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集中收集存放于仓库内，回用与生产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S2</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初清筛</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筛分杂质</w:t>
                  </w:r>
                </w:p>
              </w:tc>
              <w:tc>
                <w:tcPr>
                  <w:tcW w:w="1504"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集中收集存放于一般固体废物暂存间内，定期外售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S3</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磁选</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金属杂质</w:t>
                  </w:r>
                </w:p>
              </w:tc>
              <w:tc>
                <w:tcPr>
                  <w:tcW w:w="1504"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S6</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袋装辅料投料</w:t>
                  </w:r>
                </w:p>
              </w:tc>
              <w:tc>
                <w:tcPr>
                  <w:tcW w:w="1285" w:type="pct"/>
                  <w:tcBorders>
                    <w:tl2br w:val="nil"/>
                    <w:tr2bl w:val="nil"/>
                  </w:tcBorders>
                  <w:vAlign w:val="center"/>
                </w:tcPr>
                <w:p>
                  <w:pPr>
                    <w:keepNext w:val="0"/>
                    <w:keepLines w:val="0"/>
                    <w:widowControl/>
                    <w:suppressLineNumbers w:val="0"/>
                    <w:jc w:val="center"/>
                    <w:textAlignment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废包装袋</w:t>
                  </w:r>
                </w:p>
              </w:tc>
              <w:tc>
                <w:tcPr>
                  <w:tcW w:w="1504"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S9</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生活办公</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生活垃圾</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统一收集后由环卫部门定期清运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S10</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废气处理</w:t>
                  </w:r>
                </w:p>
              </w:tc>
              <w:tc>
                <w:tcPr>
                  <w:tcW w:w="12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废布袋</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由厂家定期回收更换，厂区内不存储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S11</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实验室</w:t>
                  </w:r>
                </w:p>
              </w:tc>
              <w:tc>
                <w:tcPr>
                  <w:tcW w:w="1285" w:type="pct"/>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实验室废液</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集中收集存放于危险废物暂存间内，委托有资质单位处理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S12</w:t>
                  </w:r>
                </w:p>
              </w:tc>
              <w:tc>
                <w:tcPr>
                  <w:tcW w:w="1013"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设备维修</w:t>
                  </w:r>
                </w:p>
              </w:tc>
              <w:tc>
                <w:tcPr>
                  <w:tcW w:w="1285" w:type="pct"/>
                  <w:tcBorders>
                    <w:tl2br w:val="nil"/>
                    <w:tr2bl w:val="nil"/>
                  </w:tcBorders>
                  <w:vAlign w:val="center"/>
                </w:tcPr>
                <w:p>
                  <w:pPr>
                    <w:keepNext w:val="0"/>
                    <w:keepLines w:val="0"/>
                    <w:widowControl/>
                    <w:suppressLineNumbers w:val="0"/>
                    <w:jc w:val="center"/>
                    <w:textAlignment w:val="cente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废机油、废液压油、废</w:t>
                  </w:r>
                  <w:r>
                    <w:rPr>
                      <w:rFonts w:hint="eastAsia"/>
                      <w:color w:val="000000" w:themeColor="text1"/>
                      <w:sz w:val="21"/>
                      <w:szCs w:val="21"/>
                      <w:highlight w:val="none"/>
                      <w14:textFill>
                        <w14:solidFill>
                          <w14:schemeClr w14:val="tx1"/>
                        </w14:solidFill>
                      </w14:textFill>
                    </w:rPr>
                    <w:t>齿轮油</w:t>
                  </w:r>
                </w:p>
              </w:tc>
              <w:tc>
                <w:tcPr>
                  <w:tcW w:w="1504" w:type="pct"/>
                  <w:vMerge w:val="restar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由设备厂家定期维修，厂区内不存储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S13</w:t>
                  </w:r>
                </w:p>
              </w:tc>
              <w:tc>
                <w:tcPr>
                  <w:tcW w:w="1013"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1285" w:type="pct"/>
                  <w:tcBorders>
                    <w:tl2br w:val="nil"/>
                    <w:tr2bl w:val="nil"/>
                  </w:tcBorders>
                  <w:vAlign w:val="center"/>
                </w:tcPr>
                <w:p>
                  <w:pPr>
                    <w:keepNext w:val="0"/>
                    <w:keepLines w:val="0"/>
                    <w:widowControl/>
                    <w:suppressLineNumbers w:val="0"/>
                    <w:jc w:val="center"/>
                    <w:textAlignment w:val="cente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废油桶</w:t>
                  </w:r>
                </w:p>
              </w:tc>
              <w:tc>
                <w:tcPr>
                  <w:tcW w:w="1504" w:type="pct"/>
                  <w:vMerge w:val="continue"/>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ind w:left="0" w:lef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噪声</w:t>
                  </w:r>
                </w:p>
              </w:tc>
              <w:tc>
                <w:tcPr>
                  <w:tcW w:w="79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N</w:t>
                  </w:r>
                </w:p>
              </w:tc>
              <w:tc>
                <w:tcPr>
                  <w:tcW w:w="1013"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生产设备</w:t>
                  </w:r>
                </w:p>
              </w:tc>
              <w:tc>
                <w:tcPr>
                  <w:tcW w:w="1285"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噪声</w:t>
                  </w:r>
                </w:p>
              </w:tc>
              <w:tc>
                <w:tcPr>
                  <w:tcW w:w="1504" w:type="pct"/>
                  <w:tcBorders>
                    <w:tl2br w:val="nil"/>
                    <w:tr2bl w:val="nil"/>
                  </w:tcBorders>
                  <w:vAlign w:val="center"/>
                </w:tcPr>
                <w:p>
                  <w:pPr>
                    <w:pStyle w:val="50"/>
                    <w:keepNext w:val="0"/>
                    <w:keepLines w:val="0"/>
                    <w:pageBreakBefore w:val="0"/>
                    <w:numPr>
                      <w:ilvl w:val="0"/>
                      <w:numId w:val="0"/>
                    </w:numPr>
                    <w:kinsoku/>
                    <w:wordWrap/>
                    <w:overflowPunct/>
                    <w:topLinePunct w:val="0"/>
                    <w:autoSpaceDE/>
                    <w:autoSpaceDN/>
                    <w:bidi w:val="0"/>
                    <w:adjustRightInd/>
                    <w:spacing w:line="240" w:lineRule="auto"/>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w:t>
                  </w:r>
                </w:p>
              </w:tc>
            </w:tr>
          </w:tbl>
          <w:p>
            <w:pPr>
              <w:pStyle w:val="44"/>
              <w:bidi w:val="0"/>
              <w:rPr>
                <w:rFonts w:hint="default"/>
                <w:color w:val="000000" w:themeColor="text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pPr>
              <w:pStyle w:val="17"/>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与项目有关的原有环境污染问题</w:t>
            </w:r>
          </w:p>
        </w:tc>
        <w:tc>
          <w:tcPr>
            <w:tcW w:w="8161" w:type="dxa"/>
            <w:noWrap w:val="0"/>
            <w:vAlign w:val="center"/>
          </w:tcPr>
          <w:p>
            <w:pPr>
              <w:pStyle w:val="44"/>
              <w:bidi w:val="0"/>
              <w:jc w:val="both"/>
              <w:rPr>
                <w:rFonts w:hint="eastAsia" w:ascii="宋体" w:hAnsi="宋体" w:eastAsia="宋体"/>
                <w:bCs/>
                <w:color w:val="000000" w:themeColor="text1"/>
                <w:szCs w:val="21"/>
                <w:highlight w:val="none"/>
                <w:lang w:eastAsia="zh-CN"/>
                <w14:textFill>
                  <w14:solidFill>
                    <w14:schemeClr w14:val="tx1"/>
                  </w14:solidFill>
                </w14:textFill>
              </w:rPr>
            </w:pPr>
            <w:r>
              <w:rPr>
                <w:rFonts w:hint="eastAsia" w:ascii="宋体" w:hAnsi="宋体" w:eastAsia="宋体"/>
                <w:bCs/>
                <w:color w:val="000000" w:themeColor="text1"/>
                <w:szCs w:val="21"/>
                <w:highlight w:val="none"/>
                <w:lang w:eastAsia="zh-CN"/>
                <w14:textFill>
                  <w14:solidFill>
                    <w14:schemeClr w14:val="tx1"/>
                  </w14:solidFill>
                </w14:textFill>
              </w:rPr>
              <w:t>本项目建设前所在地为闲置工业用地，地块内裸露土壤无明显颜色异常、油渍等污染或化学腐蚀痕迹情况，土壤正常无异味。无工业废水排放沟渠、水塘、水井；无工业废水地下输送管线、储存池；无产品、原辅材料、油品的地下储罐、输送管线；无危险化学品、危险废物等有毒有害物质储存或堆放。</w:t>
            </w:r>
            <w:r>
              <w:rPr>
                <w:rFonts w:hint="eastAsia" w:ascii="宋体" w:hAnsi="宋体"/>
                <w:bCs/>
                <w:color w:val="000000" w:themeColor="text1"/>
                <w:szCs w:val="21"/>
                <w:highlight w:val="none"/>
                <w:lang w:eastAsia="zh-CN"/>
                <w14:textFill>
                  <w14:solidFill>
                    <w14:schemeClr w14:val="tx1"/>
                  </w14:solidFill>
                </w14:textFill>
              </w:rPr>
              <w:t>本项目一期建设内容主要为仓储类构筑物建设，主要包括</w:t>
            </w:r>
            <w:r>
              <w:rPr>
                <w:rFonts w:hint="eastAsia"/>
                <w:color w:val="000000" w:themeColor="text1"/>
                <w:highlight w:val="none"/>
                <w:lang w:eastAsia="zh-CN"/>
                <w14:textFill>
                  <w14:solidFill>
                    <w14:schemeClr w14:val="tx1"/>
                  </w14:solidFill>
                </w14:textFill>
              </w:rPr>
              <w:t>玉米库、门卫、消防水池及泵房、料仓及消防控制室，现已建设完毕，并未生产，</w:t>
            </w:r>
            <w:r>
              <w:rPr>
                <w:rFonts w:hint="eastAsia" w:ascii="宋体" w:hAnsi="宋体"/>
                <w:bCs/>
                <w:color w:val="000000" w:themeColor="text1"/>
                <w:szCs w:val="21"/>
                <w:highlight w:val="none"/>
                <w:lang w:eastAsia="zh-CN"/>
                <w14:textFill>
                  <w14:solidFill>
                    <w14:schemeClr w14:val="tx1"/>
                  </w14:solidFill>
                </w14:textFill>
              </w:rPr>
              <w:t>不涉及污染物排放。</w:t>
            </w:r>
          </w:p>
          <w:p>
            <w:pPr>
              <w:pStyle w:val="44"/>
              <w:bidi w:val="0"/>
              <w:jc w:val="both"/>
              <w:rPr>
                <w:rFonts w:hint="eastAsia" w:ascii="宋体" w:hAnsi="宋体" w:eastAsia="宋体"/>
                <w:bCs/>
                <w:color w:val="000000" w:themeColor="text1"/>
                <w:szCs w:val="21"/>
                <w:highlight w:val="none"/>
                <w:lang w:eastAsia="zh-CN"/>
                <w14:textFill>
                  <w14:solidFill>
                    <w14:schemeClr w14:val="tx1"/>
                  </w14:solidFill>
                </w14:textFill>
              </w:rPr>
            </w:pPr>
            <w:r>
              <w:rPr>
                <w:rFonts w:hint="eastAsia" w:ascii="宋体" w:hAnsi="宋体" w:eastAsia="宋体"/>
                <w:bCs/>
                <w:color w:val="000000" w:themeColor="text1"/>
                <w:szCs w:val="21"/>
                <w:highlight w:val="none"/>
                <w:lang w:eastAsia="zh-CN"/>
                <w14:textFill>
                  <w14:solidFill>
                    <w14:schemeClr w14:val="tx1"/>
                  </w14:solidFill>
                </w14:textFill>
              </w:rPr>
              <w:t>因此无现有污染问题，无现有污染问题。</w:t>
            </w:r>
          </w:p>
        </w:tc>
      </w:tr>
    </w:tbl>
    <w:p>
      <w:pPr>
        <w:pStyle w:val="17"/>
        <w:jc w:val="center"/>
        <w:rPr>
          <w:rFonts w:ascii="黑体" w:hAnsi="黑体" w:eastAsia="黑体"/>
          <w:snapToGrid w:val="0"/>
          <w:color w:val="000000" w:themeColor="text1"/>
          <w:sz w:val="36"/>
          <w:szCs w:val="36"/>
          <w:highlight w:val="none"/>
          <w14:textFill>
            <w14:solidFill>
              <w14:schemeClr w14:val="tx1"/>
            </w14:solidFill>
          </w14:textFill>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14" w:lineRule="auto"/>
        <w:jc w:val="center"/>
        <w:outlineLvl w:val="9"/>
        <w:rPr>
          <w:rFonts w:hint="eastAsia" w:ascii="黑体" w:hAnsi="黑体" w:eastAsia="黑体"/>
          <w:snapToGrid w:val="0"/>
          <w:color w:val="000000" w:themeColor="text1"/>
          <w:sz w:val="30"/>
          <w:szCs w:val="30"/>
          <w:highlight w:val="none"/>
          <w14:textFill>
            <w14:solidFill>
              <w14:schemeClr w14:val="tx1"/>
            </w14:solidFill>
          </w14:textFill>
        </w:rPr>
      </w:pPr>
    </w:p>
    <w:p>
      <w:pPr>
        <w:pStyle w:val="17"/>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00" w:type="dxa"/>
            <w:noWrap w:val="0"/>
            <w:vAlign w:val="center"/>
          </w:tcPr>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区域</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质量</w:t>
            </w:r>
          </w:p>
          <w:p>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现状</w:t>
            </w:r>
          </w:p>
        </w:tc>
        <w:tc>
          <w:tcPr>
            <w:tcW w:w="8190" w:type="dxa"/>
            <w:noWrap w:val="0"/>
            <w:vAlign w:val="center"/>
          </w:tcPr>
          <w:p>
            <w:pPr>
              <w:pStyle w:val="44"/>
              <w:bidi w:val="0"/>
              <w:ind w:left="0" w:leftChars="0" w:firstLine="0" w:firstLineChars="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3.1环境质量现状</w:t>
            </w:r>
          </w:p>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3.1.1大气环境质量现状</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（1）区域环境空气质量</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根据《鞍山市生态环境质量</w:t>
            </w:r>
            <w:r>
              <w:rPr>
                <w:rFonts w:hint="eastAsia"/>
                <w:color w:val="000000" w:themeColor="text1"/>
                <w:highlight w:val="none"/>
                <w:lang w:eastAsia="zh-CN"/>
                <w14:textFill>
                  <w14:solidFill>
                    <w14:schemeClr w14:val="tx1"/>
                  </w14:solidFill>
                </w14:textFill>
              </w:rPr>
              <w:t>公</w:t>
            </w:r>
            <w:r>
              <w:rPr>
                <w:color w:val="000000" w:themeColor="text1"/>
                <w:highlight w:val="none"/>
                <w14:textFill>
                  <w14:solidFill>
                    <w14:schemeClr w14:val="tx1"/>
                  </w14:solidFill>
                </w14:textFill>
              </w:rPr>
              <w:t>报（2022年）》，项目所在区域空气质量达标区判定情况如下表所示。</w:t>
            </w:r>
          </w:p>
          <w:p>
            <w:pPr>
              <w:pStyle w:val="45"/>
              <w:bidi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表3-1区域空气质量现状评价表</w:t>
            </w:r>
          </w:p>
          <w:tbl>
            <w:tblPr>
              <w:tblStyle w:val="21"/>
              <w:tblW w:w="79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1900"/>
              <w:gridCol w:w="1433"/>
              <w:gridCol w:w="1433"/>
              <w:gridCol w:w="1134"/>
              <w:gridCol w:w="11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污染物</w:t>
                  </w:r>
                </w:p>
              </w:tc>
              <w:tc>
                <w:tcPr>
                  <w:tcW w:w="1900"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年评价指标</w:t>
                  </w:r>
                </w:p>
              </w:tc>
              <w:tc>
                <w:tcPr>
                  <w:tcW w:w="1433"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现状浓度</w:t>
                  </w:r>
                </w:p>
              </w:tc>
              <w:tc>
                <w:tcPr>
                  <w:tcW w:w="1433"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标准值</w:t>
                  </w:r>
                </w:p>
              </w:tc>
              <w:tc>
                <w:tcPr>
                  <w:tcW w:w="1134"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占标率</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SO</w:t>
                  </w:r>
                  <w:r>
                    <w:rPr>
                      <w:rFonts w:hint="eastAsia"/>
                      <w:color w:val="000000" w:themeColor="text1"/>
                      <w:highlight w:val="none"/>
                      <w:vertAlign w:val="subscript"/>
                      <w:lang w:val="en-US" w:eastAsia="zh-CN"/>
                      <w14:textFill>
                        <w14:solidFill>
                          <w14:schemeClr w14:val="tx1"/>
                        </w14:solidFill>
                      </w14:textFill>
                    </w:rPr>
                    <w:t>2</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年平均质量浓度</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23.33%</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NO</w:t>
                  </w:r>
                  <w:r>
                    <w:rPr>
                      <w:rFonts w:hint="eastAsia"/>
                      <w:color w:val="000000" w:themeColor="text1"/>
                      <w:highlight w:val="none"/>
                      <w:vertAlign w:val="subscript"/>
                      <w:lang w:val="en-US" w:eastAsia="zh-CN"/>
                      <w14:textFill>
                        <w14:solidFill>
                          <w14:schemeClr w14:val="tx1"/>
                        </w14:solidFill>
                      </w14:textFill>
                    </w:rPr>
                    <w:t>2</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年平均质量浓度</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65.00%</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PM</w:t>
                  </w:r>
                  <w:r>
                    <w:rPr>
                      <w:rFonts w:hint="eastAsia"/>
                      <w:color w:val="000000" w:themeColor="text1"/>
                      <w:highlight w:val="none"/>
                      <w:vertAlign w:val="subscript"/>
                      <w:lang w:val="en-US" w:eastAsia="zh-CN"/>
                      <w14:textFill>
                        <w14:solidFill>
                          <w14:schemeClr w14:val="tx1"/>
                        </w14:solidFill>
                      </w14:textFill>
                    </w:rPr>
                    <w:t>2.5</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年平均质量浓度</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91.43%</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PM</w:t>
                  </w:r>
                  <w:r>
                    <w:rPr>
                      <w:rFonts w:hint="eastAsia"/>
                      <w:color w:val="000000" w:themeColor="text1"/>
                      <w:highlight w:val="none"/>
                      <w:vertAlign w:val="subscript"/>
                      <w:lang w:val="en-US" w:eastAsia="zh-CN"/>
                      <w14:textFill>
                        <w14:solidFill>
                          <w14:schemeClr w14:val="tx1"/>
                        </w14:solidFill>
                      </w14:textFill>
                    </w:rPr>
                    <w:t>10</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年平均质量浓度</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82.86%</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CO</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24h平均第95百分位数</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1.6mg/m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4mg/m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40.00%</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O</w:t>
                  </w:r>
                  <w:r>
                    <w:rPr>
                      <w:rFonts w:hint="eastAsia"/>
                      <w:color w:val="000000" w:themeColor="text1"/>
                      <w:highlight w:val="none"/>
                      <w:vertAlign w:val="subscript"/>
                      <w:lang w:val="en-US" w:eastAsia="zh-CN"/>
                      <w14:textFill>
                        <w14:solidFill>
                          <w14:schemeClr w14:val="tx1"/>
                        </w14:solidFill>
                      </w14:textFill>
                    </w:rPr>
                    <w:t>3</w:t>
                  </w:r>
                </w:p>
              </w:tc>
              <w:tc>
                <w:tcPr>
                  <w:tcW w:w="1900"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日最大8h滑动平均值的第90百分位数</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141</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433"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w:t>
                  </w:r>
                  <w:r>
                    <w:rPr>
                      <w:rFonts w:hint="default" w:ascii="Times New Roman" w:hAnsi="Times New Roman" w:cs="Times New Roman"/>
                      <w:color w:val="000000" w:themeColor="text1"/>
                      <w:highlight w:val="none"/>
                      <w14:textFill>
                        <w14:solidFill>
                          <w14:schemeClr w14:val="tx1"/>
                        </w14:solidFill>
                      </w14:textFill>
                    </w:rPr>
                    <w:t>μ</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c>
              <w:tc>
                <w:tcPr>
                  <w:tcW w:w="113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88.13%</w:t>
                  </w:r>
                </w:p>
              </w:tc>
              <w:tc>
                <w:tcPr>
                  <w:tcW w:w="1118" w:type="dxa"/>
                  <w:tcBorders>
                    <w:tl2br w:val="nil"/>
                    <w:tr2bl w:val="nil"/>
                  </w:tcBorders>
                  <w:noWrap w:val="0"/>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达标</w:t>
                  </w:r>
                </w:p>
              </w:tc>
            </w:tr>
          </w:tbl>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综上，区域空气质量现状的SO2年平均质量浓度、NO2年平均质量浓度、PM2.5年平均质量浓度和PM10年平均质量浓度、CO95百分位数日平均浓度、O390百分位8h平均质量浓度能均可满足《环境空气质量标准》（GB3095-2012）及其修改单中二级标准的要求。因此判定项目所在区域为环境空气质量达标区。</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特征污染物</w:t>
            </w:r>
          </w:p>
          <w:p>
            <w:pPr>
              <w:pStyle w:val="44"/>
              <w:rPr>
                <w:rFonts w:hint="eastAsia"/>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为进一步了解项目所在区域大气环境质量现状，本项目</w:t>
            </w:r>
            <w:r>
              <w:rPr>
                <w:rFonts w:hint="eastAsia"/>
                <w:color w:val="000000" w:themeColor="text1"/>
                <w:highlight w:val="none"/>
                <w:lang w:eastAsia="zh-CN"/>
                <w14:textFill>
                  <w14:solidFill>
                    <w14:schemeClr w14:val="tx1"/>
                  </w14:solidFill>
                </w14:textFill>
              </w:rPr>
              <w:t>引用</w:t>
            </w:r>
            <w:r>
              <w:rPr>
                <w:rFonts w:hint="default" w:ascii="Times New Roman" w:hAnsi="Times New Roman" w:cs="Times New Roman"/>
                <w:color w:val="000000" w:themeColor="text1"/>
                <w:szCs w:val="24"/>
                <w:highlight w:val="none"/>
                <w:lang w:val="en-US" w:bidi="ar"/>
                <w14:textFill>
                  <w14:solidFill>
                    <w14:schemeClr w14:val="tx1"/>
                  </w14:solidFill>
                </w14:textFill>
              </w:rPr>
              <w:t>辽宁浩桐环保科技有限公司于202</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3</w:t>
            </w:r>
            <w:r>
              <w:rPr>
                <w:rFonts w:hint="default" w:ascii="Times New Roman" w:hAnsi="Times New Roman" w:cs="Times New Roman"/>
                <w:color w:val="000000" w:themeColor="text1"/>
                <w:szCs w:val="24"/>
                <w:highlight w:val="none"/>
                <w:lang w:val="en-US" w:bidi="ar"/>
                <w14:textFill>
                  <w14:solidFill>
                    <w14:schemeClr w14:val="tx1"/>
                  </w14:solidFill>
                </w14:textFill>
              </w:rPr>
              <w:t>年</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1</w:t>
            </w:r>
            <w:r>
              <w:rPr>
                <w:rFonts w:hint="default" w:ascii="Times New Roman" w:hAnsi="Times New Roman" w:cs="Times New Roman"/>
                <w:color w:val="000000" w:themeColor="text1"/>
                <w:szCs w:val="24"/>
                <w:highlight w:val="none"/>
                <w:lang w:val="en-US" w:bidi="ar"/>
                <w14:textFill>
                  <w14:solidFill>
                    <w14:schemeClr w14:val="tx1"/>
                  </w14:solidFill>
                </w14:textFill>
              </w:rPr>
              <w:t>月</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4</w:t>
            </w:r>
            <w:r>
              <w:rPr>
                <w:rFonts w:hint="default" w:ascii="Times New Roman" w:hAnsi="Times New Roman" w:cs="Times New Roman"/>
                <w:color w:val="000000" w:themeColor="text1"/>
                <w:szCs w:val="24"/>
                <w:highlight w:val="none"/>
                <w:lang w:val="en-US" w:bidi="ar"/>
                <w14:textFill>
                  <w14:solidFill>
                    <w14:schemeClr w14:val="tx1"/>
                  </w14:solidFill>
                </w14:textFill>
              </w:rPr>
              <w:t>日~202</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3</w:t>
            </w:r>
            <w:r>
              <w:rPr>
                <w:rFonts w:hint="default" w:ascii="Times New Roman" w:hAnsi="Times New Roman" w:cs="Times New Roman"/>
                <w:color w:val="000000" w:themeColor="text1"/>
                <w:szCs w:val="24"/>
                <w:highlight w:val="none"/>
                <w:lang w:val="en-US" w:bidi="ar"/>
                <w14:textFill>
                  <w14:solidFill>
                    <w14:schemeClr w14:val="tx1"/>
                  </w14:solidFill>
                </w14:textFill>
              </w:rPr>
              <w:t>年</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1</w:t>
            </w:r>
            <w:r>
              <w:rPr>
                <w:rFonts w:hint="default" w:ascii="Times New Roman" w:hAnsi="Times New Roman" w:cs="Times New Roman"/>
                <w:color w:val="000000" w:themeColor="text1"/>
                <w:szCs w:val="24"/>
                <w:highlight w:val="none"/>
                <w:lang w:val="en-US" w:bidi="ar"/>
                <w14:textFill>
                  <w14:solidFill>
                    <w14:schemeClr w14:val="tx1"/>
                  </w14:solidFill>
                </w14:textFill>
              </w:rPr>
              <w:t>月</w:t>
            </w:r>
            <w:r>
              <w:rPr>
                <w:rFonts w:hint="default" w:ascii="Times New Roman" w:hAnsi="Times New Roman" w:cs="Times New Roman"/>
                <w:color w:val="000000" w:themeColor="text1"/>
                <w:szCs w:val="24"/>
                <w:highlight w:val="none"/>
                <w:lang w:val="en-US" w:eastAsia="zh-CN" w:bidi="ar"/>
                <w14:textFill>
                  <w14:solidFill>
                    <w14:schemeClr w14:val="tx1"/>
                  </w14:solidFill>
                </w14:textFill>
              </w:rPr>
              <w:t>6</w:t>
            </w:r>
            <w:r>
              <w:rPr>
                <w:rFonts w:hint="default" w:ascii="Times New Roman" w:hAnsi="Times New Roman" w:cs="Times New Roman"/>
                <w:color w:val="000000" w:themeColor="text1"/>
                <w:szCs w:val="24"/>
                <w:highlight w:val="none"/>
                <w:lang w:val="en-US" w:bidi="ar"/>
                <w14:textFill>
                  <w14:solidFill>
                    <w14:schemeClr w14:val="tx1"/>
                  </w14:solidFill>
                </w14:textFill>
              </w:rPr>
              <w:t>日对所在</w:t>
            </w:r>
            <w:r>
              <w:rPr>
                <w:rFonts w:hint="eastAsia" w:ascii="Times New Roman" w:hAnsi="Times New Roman" w:cs="Times New Roman"/>
                <w:color w:val="000000" w:themeColor="text1"/>
                <w:szCs w:val="24"/>
                <w:highlight w:val="none"/>
                <w:lang w:val="en-US" w:eastAsia="zh-CN" w:bidi="ar"/>
                <w14:textFill>
                  <w14:solidFill>
                    <w14:schemeClr w14:val="tx1"/>
                  </w14:solidFill>
                </w14:textFill>
              </w:rPr>
              <w:t>区域</w:t>
            </w:r>
            <w:r>
              <w:rPr>
                <w:rFonts w:hint="default" w:ascii="Times New Roman" w:hAnsi="Times New Roman" w:cs="Times New Roman"/>
                <w:color w:val="000000" w:themeColor="text1"/>
                <w:szCs w:val="24"/>
                <w:highlight w:val="none"/>
                <w:lang w:val="en-US" w:bidi="ar"/>
                <w14:textFill>
                  <w14:solidFill>
                    <w14:schemeClr w14:val="tx1"/>
                  </w14:solidFill>
                </w14:textFill>
              </w:rPr>
              <w:t>空气环境质量现状监测</w:t>
            </w:r>
            <w:r>
              <w:rPr>
                <w:rFonts w:hint="eastAsia" w:ascii="Times New Roman" w:hAnsi="Times New Roman" w:cs="Times New Roman"/>
                <w:color w:val="000000" w:themeColor="text1"/>
                <w:szCs w:val="24"/>
                <w:highlight w:val="none"/>
                <w:lang w:val="en-US" w:eastAsia="zh-CN" w:bidi="ar"/>
                <w14:textFill>
                  <w14:solidFill>
                    <w14:schemeClr w14:val="tx1"/>
                  </w14:solidFill>
                </w14:textFill>
              </w:rPr>
              <w:t>数据，监测点位位于本项目南侧的1581m。</w:t>
            </w:r>
          </w:p>
          <w:p>
            <w:pPr>
              <w:pStyle w:val="44"/>
              <w:rPr>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①监测因子：</w:t>
            </w:r>
            <w:r>
              <w:rPr>
                <w:rFonts w:cs="宋体"/>
                <w:color w:val="000000" w:themeColor="text1"/>
                <w:highlight w:val="none"/>
                <w14:textFill>
                  <w14:solidFill>
                    <w14:schemeClr w14:val="tx1"/>
                  </w14:solidFill>
                </w14:textFill>
              </w:rPr>
              <w:t>总悬浮颗粒物</w:t>
            </w:r>
            <w:r>
              <w:rPr>
                <w:rFonts w:hAnsi="宋体"/>
                <w:color w:val="000000" w:themeColor="text1"/>
                <w:highlight w:val="none"/>
                <w14:textFill>
                  <w14:solidFill>
                    <w14:schemeClr w14:val="tx1"/>
                  </w14:solidFill>
                </w14:textFill>
              </w:rPr>
              <w:t>；</w:t>
            </w:r>
          </w:p>
          <w:p>
            <w:pPr>
              <w:pStyle w:val="44"/>
              <w:rPr>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③监测频率：</w:t>
            </w:r>
            <w:r>
              <w:rPr>
                <w:color w:val="000000" w:themeColor="text1"/>
                <w:highlight w:val="none"/>
                <w14:textFill>
                  <w14:solidFill>
                    <w14:schemeClr w14:val="tx1"/>
                  </w14:solidFill>
                </w14:textFill>
              </w:rPr>
              <w:t>连续监测3天，</w:t>
            </w:r>
            <w:r>
              <w:rPr>
                <w:rFonts w:hint="eastAsia"/>
                <w:color w:val="000000" w:themeColor="text1"/>
                <w:highlight w:val="none"/>
                <w:lang w:eastAsia="zh-CN"/>
                <w14:textFill>
                  <w14:solidFill>
                    <w14:schemeClr w14:val="tx1"/>
                  </w14:solidFill>
                </w14:textFill>
              </w:rPr>
              <w:t>总悬浮颗粒物监测日均值</w:t>
            </w:r>
            <w:r>
              <w:rPr>
                <w:color w:val="000000" w:themeColor="text1"/>
                <w:highlight w:val="none"/>
                <w14:textFill>
                  <w14:solidFill>
                    <w14:schemeClr w14:val="tx1"/>
                  </w14:solidFill>
                </w14:textFill>
              </w:rPr>
              <w:t>。</w:t>
            </w:r>
          </w:p>
          <w:p>
            <w:pPr>
              <w:pStyle w:val="44"/>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监测结果及评价见表3-</w:t>
            </w: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14:textFill>
                  <w14:solidFill>
                    <w14:schemeClr w14:val="tx1"/>
                  </w14:solidFill>
                </w14:textFill>
              </w:rPr>
              <w:t>。</w:t>
            </w:r>
          </w:p>
          <w:p>
            <w:pPr>
              <w:adjustRightInd w:val="0"/>
              <w:snapToGrid w:val="0"/>
              <w:spacing w:line="360" w:lineRule="auto"/>
              <w:jc w:val="center"/>
              <w:textAlignment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表3-</w:t>
            </w:r>
            <w:r>
              <w:rPr>
                <w:rFonts w:hint="eastAsia"/>
                <w:b/>
                <w:bCs/>
                <w:color w:val="000000" w:themeColor="text1"/>
                <w:szCs w:val="21"/>
                <w:highlight w:val="none"/>
                <w:lang w:val="en-US" w:eastAsia="zh-CN"/>
                <w14:textFill>
                  <w14:solidFill>
                    <w14:schemeClr w14:val="tx1"/>
                  </w14:solidFill>
                </w14:textFill>
              </w:rPr>
              <w:t>2</w:t>
            </w:r>
            <w:r>
              <w:rPr>
                <w:b/>
                <w:bCs/>
                <w:color w:val="000000" w:themeColor="text1"/>
                <w:szCs w:val="21"/>
                <w:highlight w:val="none"/>
                <w14:textFill>
                  <w14:solidFill>
                    <w14:schemeClr w14:val="tx1"/>
                  </w14:solidFill>
                </w14:textFill>
              </w:rPr>
              <w:t xml:space="preserve"> 环境</w:t>
            </w:r>
            <w:r>
              <w:rPr>
                <w:rFonts w:hint="eastAsia"/>
                <w:b/>
                <w:bCs/>
                <w:color w:val="000000" w:themeColor="text1"/>
                <w:szCs w:val="21"/>
                <w:highlight w:val="none"/>
                <w14:textFill>
                  <w14:solidFill>
                    <w14:schemeClr w14:val="tx1"/>
                  </w14:solidFill>
                </w14:textFill>
              </w:rPr>
              <w:t>空气</w:t>
            </w:r>
            <w:r>
              <w:rPr>
                <w:b/>
                <w:bCs/>
                <w:color w:val="000000" w:themeColor="text1"/>
                <w:szCs w:val="21"/>
                <w:highlight w:val="none"/>
                <w14:textFill>
                  <w14:solidFill>
                    <w14:schemeClr w14:val="tx1"/>
                  </w14:solidFill>
                </w14:textFill>
              </w:rPr>
              <w:t>质量现状监测结果表</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1440"/>
              <w:gridCol w:w="1173"/>
              <w:gridCol w:w="436"/>
              <w:gridCol w:w="491"/>
              <w:gridCol w:w="1307"/>
              <w:gridCol w:w="705"/>
              <w:gridCol w:w="436"/>
              <w:gridCol w:w="4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872" w:type="pct"/>
                  <w:gridSpan w:val="2"/>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坐标</w:t>
                  </w:r>
                </w:p>
              </w:tc>
              <w:tc>
                <w:tcPr>
                  <w:tcW w:w="735"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污染物</w:t>
                  </w:r>
                </w:p>
              </w:tc>
              <w:tc>
                <w:tcPr>
                  <w:tcW w:w="273"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采样时间</w:t>
                  </w:r>
                </w:p>
              </w:tc>
              <w:tc>
                <w:tcPr>
                  <w:tcW w:w="308"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评价标准</w:t>
                  </w:r>
                </w:p>
              </w:tc>
              <w:tc>
                <w:tcPr>
                  <w:tcW w:w="819"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监测浓度范围</w:t>
                  </w:r>
                </w:p>
              </w:tc>
              <w:tc>
                <w:tcPr>
                  <w:tcW w:w="442"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最大浓度占标率/%</w:t>
                  </w:r>
                </w:p>
              </w:tc>
              <w:tc>
                <w:tcPr>
                  <w:tcW w:w="273"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超标率</w:t>
                  </w:r>
                </w:p>
              </w:tc>
              <w:tc>
                <w:tcPr>
                  <w:tcW w:w="273" w:type="pct"/>
                  <w:vMerge w:val="restart"/>
                  <w:noWrap w:val="0"/>
                  <w:vAlign w:val="center"/>
                </w:tcPr>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p>
                  <w:pPr>
                    <w:pStyle w:val="54"/>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9" w:type="pct"/>
                  <w:noWrap w:val="0"/>
                  <w:vAlign w:val="center"/>
                </w:tcPr>
                <w:p>
                  <w:pPr>
                    <w:pStyle w:val="54"/>
                    <w:adjustRightInd w:val="0"/>
                    <w:snapToGrid w:val="0"/>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经度</w:t>
                  </w:r>
                </w:p>
              </w:tc>
              <w:tc>
                <w:tcPr>
                  <w:tcW w:w="902" w:type="pct"/>
                  <w:noWrap w:val="0"/>
                  <w:vAlign w:val="center"/>
                </w:tcPr>
                <w:p>
                  <w:pPr>
                    <w:pStyle w:val="54"/>
                    <w:adjustRightInd w:val="0"/>
                    <w:snapToGrid w:val="0"/>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纬度</w:t>
                  </w:r>
                </w:p>
              </w:tc>
              <w:tc>
                <w:tcPr>
                  <w:tcW w:w="735"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273"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308"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819"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442"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273"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c>
                <w:tcPr>
                  <w:tcW w:w="273" w:type="pct"/>
                  <w:vMerge w:val="continue"/>
                  <w:noWrap w:val="0"/>
                  <w:vAlign w:val="center"/>
                </w:tcPr>
                <w:p>
                  <w:pPr>
                    <w:pStyle w:val="54"/>
                    <w:adjustRightInd w:val="0"/>
                    <w:snapToGrid w:val="0"/>
                    <w:rPr>
                      <w:color w:val="000000" w:themeColor="text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9" w:type="pct"/>
                  <w:noWrap w:val="0"/>
                  <w:vAlign w:val="center"/>
                </w:tcPr>
                <w:p>
                  <w:pPr>
                    <w:pStyle w:val="54"/>
                    <w:adjustRightInd w:val="0"/>
                    <w:snapToGrid w:val="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122.38184838</w:t>
                  </w:r>
                  <w:r>
                    <w:rPr>
                      <w:color w:val="000000" w:themeColor="text1"/>
                      <w:szCs w:val="21"/>
                      <w:highlight w:val="none"/>
                      <w14:textFill>
                        <w14:solidFill>
                          <w14:schemeClr w14:val="tx1"/>
                        </w14:solidFill>
                      </w14:textFill>
                    </w:rPr>
                    <w:t>°</w:t>
                  </w:r>
                </w:p>
              </w:tc>
              <w:tc>
                <w:tcPr>
                  <w:tcW w:w="902" w:type="pct"/>
                  <w:noWrap w:val="0"/>
                  <w:vAlign w:val="center"/>
                </w:tcPr>
                <w:p>
                  <w:pPr>
                    <w:pStyle w:val="54"/>
                    <w:adjustRightInd w:val="0"/>
                    <w:snapToGrid w:val="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41.39163479</w:t>
                  </w:r>
                  <w:r>
                    <w:rPr>
                      <w:color w:val="000000" w:themeColor="text1"/>
                      <w:szCs w:val="21"/>
                      <w:highlight w:val="none"/>
                      <w14:textFill>
                        <w14:solidFill>
                          <w14:schemeClr w14:val="tx1"/>
                        </w14:solidFill>
                      </w14:textFill>
                    </w:rPr>
                    <w:t>°</w:t>
                  </w:r>
                </w:p>
              </w:tc>
              <w:tc>
                <w:tcPr>
                  <w:tcW w:w="735" w:type="pct"/>
                  <w:noWrap w:val="0"/>
                  <w:vAlign w:val="center"/>
                </w:tcPr>
                <w:p>
                  <w:pPr>
                    <w:pStyle w:val="54"/>
                    <w:adjustRightInd w:val="0"/>
                    <w:snapToGrid w:val="0"/>
                    <w:rPr>
                      <w:rFonts w:hint="eastAsia"/>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总悬浮颗粒物（</w:t>
                  </w:r>
                  <w:r>
                    <w:rPr>
                      <w:color w:val="000000" w:themeColor="text1"/>
                      <w:szCs w:val="21"/>
                      <w:highlight w:val="none"/>
                      <w14:textFill>
                        <w14:solidFill>
                          <w14:schemeClr w14:val="tx1"/>
                        </w14:solidFill>
                      </w14:textFill>
                    </w:rPr>
                    <w:t>μg/m</w:t>
                  </w:r>
                  <w:r>
                    <w:rPr>
                      <w:color w:val="000000" w:themeColor="text1"/>
                      <w:szCs w:val="21"/>
                      <w:highlight w:val="none"/>
                      <w:vertAlign w:val="superscript"/>
                      <w14:textFill>
                        <w14:solidFill>
                          <w14:schemeClr w14:val="tx1"/>
                        </w14:solidFill>
                      </w14:textFill>
                    </w:rPr>
                    <w:t>3</w:t>
                  </w:r>
                  <w:r>
                    <w:rPr>
                      <w:rFonts w:hint="eastAsia" w:ascii="宋体" w:hAnsi="宋体" w:cs="宋体"/>
                      <w:bCs/>
                      <w:color w:val="000000" w:themeColor="text1"/>
                      <w:szCs w:val="21"/>
                      <w:highlight w:val="none"/>
                      <w14:textFill>
                        <w14:solidFill>
                          <w14:schemeClr w14:val="tx1"/>
                        </w14:solidFill>
                      </w14:textFill>
                    </w:rPr>
                    <w:t>）</w:t>
                  </w:r>
                </w:p>
              </w:tc>
              <w:tc>
                <w:tcPr>
                  <w:tcW w:w="273" w:type="pct"/>
                  <w:noWrap w:val="0"/>
                  <w:vAlign w:val="center"/>
                </w:tcPr>
                <w:p>
                  <w:pPr>
                    <w:pStyle w:val="54"/>
                    <w:adjustRightInd w:val="0"/>
                    <w:snapToGrid w:val="0"/>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日均值</w:t>
                  </w:r>
                </w:p>
              </w:tc>
              <w:tc>
                <w:tcPr>
                  <w:tcW w:w="308" w:type="pct"/>
                  <w:noWrap w:val="0"/>
                  <w:vAlign w:val="center"/>
                </w:tcPr>
                <w:p>
                  <w:pPr>
                    <w:pStyle w:val="54"/>
                    <w:adjustRightInd w:val="0"/>
                    <w:snapToGrid w:val="0"/>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w:t>
                  </w:r>
                  <w:r>
                    <w:rPr>
                      <w:rFonts w:hint="eastAsia"/>
                      <w:color w:val="000000" w:themeColor="text1"/>
                      <w:szCs w:val="21"/>
                      <w:highlight w:val="none"/>
                      <w14:textFill>
                        <w14:solidFill>
                          <w14:schemeClr w14:val="tx1"/>
                        </w14:solidFill>
                      </w14:textFill>
                    </w:rPr>
                    <w:t>3</w:t>
                  </w:r>
                </w:p>
              </w:tc>
              <w:tc>
                <w:tcPr>
                  <w:tcW w:w="819" w:type="pct"/>
                  <w:noWrap w:val="0"/>
                  <w:vAlign w:val="center"/>
                </w:tcPr>
                <w:p>
                  <w:pPr>
                    <w:pStyle w:val="54"/>
                    <w:adjustRightInd w:val="0"/>
                    <w:snapToGrid w:val="0"/>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0.035~0.038</w:t>
                  </w:r>
                </w:p>
              </w:tc>
              <w:tc>
                <w:tcPr>
                  <w:tcW w:w="442" w:type="pct"/>
                  <w:noWrap w:val="0"/>
                  <w:vAlign w:val="center"/>
                </w:tcPr>
                <w:p>
                  <w:pPr>
                    <w:widowControl/>
                    <w:jc w:val="center"/>
                    <w:textAlignment w:val="center"/>
                    <w:rPr>
                      <w:color w:val="000000" w:themeColor="text1"/>
                      <w:szCs w:val="21"/>
                      <w:highlight w:val="none"/>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12.57</w:t>
                  </w:r>
                  <w:r>
                    <w:rPr>
                      <w:color w:val="000000" w:themeColor="text1"/>
                      <w:kern w:val="0"/>
                      <w:szCs w:val="21"/>
                      <w:highlight w:val="none"/>
                      <w:lang w:bidi="ar"/>
                      <w14:textFill>
                        <w14:solidFill>
                          <w14:schemeClr w14:val="tx1"/>
                        </w14:solidFill>
                      </w14:textFill>
                    </w:rPr>
                    <w:t xml:space="preserve"> </w:t>
                  </w:r>
                </w:p>
              </w:tc>
              <w:tc>
                <w:tcPr>
                  <w:tcW w:w="273" w:type="pct"/>
                  <w:noWrap w:val="0"/>
                  <w:vAlign w:val="center"/>
                </w:tcPr>
                <w:p>
                  <w:pPr>
                    <w:pStyle w:val="54"/>
                    <w:adjustRightInd w:val="0"/>
                    <w:snapToGrid w:val="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w:t>
                  </w:r>
                </w:p>
              </w:tc>
              <w:tc>
                <w:tcPr>
                  <w:tcW w:w="273" w:type="pct"/>
                  <w:noWrap w:val="0"/>
                  <w:vAlign w:val="center"/>
                </w:tcPr>
                <w:p>
                  <w:pPr>
                    <w:pStyle w:val="54"/>
                    <w:adjustRightInd w:val="0"/>
                    <w:snapToGrid w:val="0"/>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w:t>
                  </w:r>
                </w:p>
              </w:tc>
            </w:tr>
          </w:tbl>
          <w:p>
            <w:pPr>
              <w:pStyle w:val="44"/>
              <w:bidi w:val="0"/>
              <w:ind w:left="0" w:leftChars="0" w:firstLine="480" w:firstLineChars="200"/>
              <w:rPr>
                <w:rFonts w:hint="eastAsia" w:eastAsia="宋体"/>
                <w:b/>
                <w:bCs/>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引用数据距离本项目</w:t>
            </w:r>
            <w:r>
              <w:rPr>
                <w:rFonts w:hint="eastAsia" w:eastAsia="宋体" w:cs="Times New Roman"/>
                <w:color w:val="000000" w:themeColor="text1"/>
                <w:sz w:val="24"/>
                <w:highlight w:val="none"/>
                <w:vertAlign w:val="baseline"/>
                <w:lang w:val="en-US" w:eastAsia="zh-CN"/>
                <w14:textFill>
                  <w14:solidFill>
                    <w14:schemeClr w14:val="tx1"/>
                  </w14:solidFill>
                </w14:textFill>
              </w:rPr>
              <w:t>1581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TSP</w:t>
            </w:r>
            <w:r>
              <w:rPr>
                <w:color w:val="000000" w:themeColor="text1"/>
                <w:highlight w:val="none"/>
                <w14:textFill>
                  <w14:solidFill>
                    <w14:schemeClr w14:val="tx1"/>
                  </w14:solidFill>
                </w14:textFill>
              </w:rPr>
              <w:t>满足《环境空气质量标准》（GB3095-2012）及其修改单中二级标准的要求</w:t>
            </w:r>
            <w:r>
              <w:rPr>
                <w:rFonts w:hint="eastAsia"/>
                <w:color w:val="000000" w:themeColor="text1"/>
                <w:highlight w:val="none"/>
                <w:lang w:eastAsia="zh-CN"/>
                <w14:textFill>
                  <w14:solidFill>
                    <w14:schemeClr w14:val="tx1"/>
                  </w14:solidFill>
                </w14:textFill>
              </w:rPr>
              <w:t>。</w:t>
            </w:r>
          </w:p>
          <w:p>
            <w:pPr>
              <w:pStyle w:val="44"/>
              <w:bidi w:val="0"/>
              <w:ind w:left="0" w:leftChars="0" w:firstLine="0" w:firstLineChars="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2地表水环境质量状况</w:t>
            </w:r>
          </w:p>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根据《鞍山市生态环境质量简报（2022年）》，本项目区域地表水小柳河丁家柳河桥断面水质数据如下表所示。</w:t>
            </w:r>
          </w:p>
          <w:p>
            <w:pPr>
              <w:pStyle w:val="45"/>
              <w:bidi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 xml:space="preserve">-3  </w:t>
            </w:r>
            <w:r>
              <w:rPr>
                <w:b/>
                <w:bCs/>
                <w:color w:val="000000" w:themeColor="text1"/>
                <w:highlight w:val="none"/>
                <w14:textFill>
                  <w14:solidFill>
                    <w14:schemeClr w14:val="tx1"/>
                  </w14:solidFill>
                </w14:textFill>
              </w:rPr>
              <w:t>2022年小柳河丁家柳河桥断面水质数据</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1992"/>
              <w:gridCol w:w="1993"/>
              <w:gridCol w:w="19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93" w:type="dxa"/>
                  <w:tcBorders>
                    <w:tl2br w:val="nil"/>
                    <w:tr2bl w:val="nil"/>
                  </w:tcBorders>
                  <w:noWrap w:val="0"/>
                  <w:vAlign w:val="top"/>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污染物</w:t>
                  </w:r>
                </w:p>
              </w:tc>
              <w:tc>
                <w:tcPr>
                  <w:tcW w:w="1993" w:type="dxa"/>
                  <w:tcBorders>
                    <w:tl2br w:val="nil"/>
                    <w:tr2bl w:val="nil"/>
                  </w:tcBorders>
                  <w:noWrap w:val="0"/>
                  <w:vAlign w:val="top"/>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COD</w:t>
                  </w:r>
                </w:p>
              </w:tc>
              <w:tc>
                <w:tcPr>
                  <w:tcW w:w="1994" w:type="dxa"/>
                  <w:tcBorders>
                    <w:tl2br w:val="nil"/>
                    <w:tr2bl w:val="nil"/>
                  </w:tcBorders>
                  <w:noWrap w:val="0"/>
                  <w:vAlign w:val="top"/>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高锰酸盐指数</w:t>
                  </w:r>
                </w:p>
              </w:tc>
              <w:tc>
                <w:tcPr>
                  <w:tcW w:w="1994" w:type="dxa"/>
                  <w:tcBorders>
                    <w:tl2br w:val="nil"/>
                    <w:tr2bl w:val="nil"/>
                  </w:tcBorders>
                  <w:noWrap w:val="0"/>
                  <w:vAlign w:val="top"/>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93" w:type="dxa"/>
                  <w:tcBorders>
                    <w:tl2br w:val="nil"/>
                    <w:tr2bl w:val="nil"/>
                  </w:tcBorders>
                  <w:noWrap w:val="0"/>
                  <w:vAlign w:val="top"/>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年均浓度</w:t>
                  </w:r>
                </w:p>
              </w:tc>
              <w:tc>
                <w:tcPr>
                  <w:tcW w:w="1993" w:type="dxa"/>
                  <w:tcBorders>
                    <w:tl2br w:val="nil"/>
                    <w:tr2bl w:val="nil"/>
                  </w:tcBorders>
                  <w:noWrap w:val="0"/>
                  <w:vAlign w:val="top"/>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25.9</w:t>
                  </w:r>
                </w:p>
              </w:tc>
              <w:tc>
                <w:tcPr>
                  <w:tcW w:w="1994" w:type="dxa"/>
                  <w:tcBorders>
                    <w:tl2br w:val="nil"/>
                    <w:tr2bl w:val="nil"/>
                  </w:tcBorders>
                  <w:noWrap w:val="0"/>
                  <w:vAlign w:val="top"/>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8.8</w:t>
                  </w:r>
                </w:p>
              </w:tc>
              <w:tc>
                <w:tcPr>
                  <w:tcW w:w="1994" w:type="dxa"/>
                  <w:tcBorders>
                    <w:tl2br w:val="nil"/>
                    <w:tr2bl w:val="nil"/>
                  </w:tcBorders>
                  <w:noWrap w:val="0"/>
                  <w:vAlign w:val="top"/>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0.282</w:t>
                  </w:r>
                </w:p>
              </w:tc>
            </w:tr>
          </w:tbl>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w:t>
            </w:r>
            <w:r>
              <w:rPr>
                <w:rFonts w:hint="eastAsia"/>
                <w:color w:val="000000" w:themeColor="text1"/>
                <w:highlight w:val="none"/>
                <w:lang w:eastAsia="zh-CN"/>
                <w14:textFill>
                  <w14:solidFill>
                    <w14:schemeClr w14:val="tx1"/>
                  </w14:solidFill>
                </w14:textFill>
              </w:rPr>
              <w:t>上</w:t>
            </w:r>
            <w:r>
              <w:rPr>
                <w:color w:val="000000" w:themeColor="text1"/>
                <w:highlight w:val="none"/>
                <w14:textFill>
                  <w14:solidFill>
                    <w14:schemeClr w14:val="tx1"/>
                  </w14:solidFill>
                </w14:textFill>
              </w:rPr>
              <w:t>表可知，小柳河丁家柳河桥断面水质类别符合《地表水环境质量标准》（GB3838-2002）IV类标准。</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3声环境质量状况</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本项目位于鞍山市台安县工业园区，属于工业园区，为声环境质量3类区。厂界外周边50米范围内不存在声环境保护目标，不需要进行现状监测。</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4生态环境</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本项目为污染影响类项目，</w:t>
            </w:r>
            <w:r>
              <w:rPr>
                <w:rFonts w:hint="eastAsia"/>
                <w:color w:val="000000" w:themeColor="text1"/>
                <w:highlight w:val="none"/>
                <w:lang w:val="en-US" w:eastAsia="zh-CN"/>
                <w14:textFill>
                  <w14:solidFill>
                    <w14:schemeClr w14:val="tx1"/>
                  </w14:solidFill>
                </w14:textFill>
              </w:rPr>
              <w:t>用地性质属于工业用地，本项目不属于产业园区外建设项目新增用地，且用地范围内不含有生态环境保护目标，</w:t>
            </w:r>
            <w:r>
              <w:rPr>
                <w:color w:val="000000" w:themeColor="text1"/>
                <w:highlight w:val="none"/>
                <w14:textFill>
                  <w14:solidFill>
                    <w14:schemeClr w14:val="tx1"/>
                  </w14:solidFill>
                </w14:textFill>
              </w:rPr>
              <w:t>故不需开展生态现状调查。</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1.5</w:t>
            </w:r>
            <w:r>
              <w:rPr>
                <w:b/>
                <w:bCs/>
                <w:color w:val="000000" w:themeColor="text1"/>
                <w:highlight w:val="none"/>
                <w14:textFill>
                  <w14:solidFill>
                    <w14:schemeClr w14:val="tx1"/>
                  </w14:solidFill>
                </w14:textFill>
              </w:rPr>
              <w:t>电磁辐射</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本项目不涉及电磁辐射，无需进行相关调查。</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1.</w:t>
            </w:r>
            <w:r>
              <w:rPr>
                <w:b/>
                <w:bCs/>
                <w:color w:val="000000" w:themeColor="text1"/>
                <w:highlight w:val="none"/>
                <w14:textFill>
                  <w14:solidFill>
                    <w14:schemeClr w14:val="tx1"/>
                  </w14:solidFill>
                </w14:textFill>
              </w:rPr>
              <w:t>6地下水、土壤环境</w:t>
            </w:r>
          </w:p>
          <w:p>
            <w:pPr>
              <w:pStyle w:val="44"/>
              <w:bidi w:val="0"/>
              <w:rPr>
                <w:rFonts w:ascii="宋体" w:hAnsi="宋体" w:eastAsia="宋体" w:cs="宋体"/>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t>本项目不存在土壤、地下水污染途径，无需开展地下水、土壤环境质量现状调查。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保护</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目标</w:t>
            </w:r>
          </w:p>
        </w:tc>
        <w:tc>
          <w:tcPr>
            <w:tcW w:w="8190" w:type="dxa"/>
            <w:noWrap w:val="0"/>
            <w:vAlign w:val="center"/>
          </w:tcPr>
          <w:p>
            <w:pPr>
              <w:pStyle w:val="44"/>
              <w:bidi w:val="0"/>
              <w:ind w:left="0" w:leftChars="0" w:firstLine="0" w:firstLineChars="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3.2环境保护目标</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3.2.1大气环境</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本项目厂界外500米范围内无自然保护区、风景名胜区、居住区等大气环境保护目标。</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3.2.2声环境</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本项目厂界外50米范围内无声环境保护目标。</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3.2.3地下水环境</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本项目厂界外500米范围内无地下水集中式饮用水水源和热水、矿泉水、温泉等特殊地下水资源，厂界外500米范围内无分散式地下水饮用水源。</w:t>
            </w:r>
          </w:p>
          <w:p>
            <w:pPr>
              <w:pStyle w:val="44"/>
              <w:bidi w:val="0"/>
              <w:ind w:left="0" w:leftChars="0" w:firstLine="0" w:firstLineChars="0"/>
              <w:rPr>
                <w:rFonts w:hint="eastAsia" w:eastAsia="宋体"/>
                <w:b/>
                <w:bCs/>
                <w:color w:val="000000" w:themeColor="text1"/>
                <w:highlight w:val="none"/>
                <w:lang w:eastAsia="zh-CN"/>
                <w14:textFill>
                  <w14:solidFill>
                    <w14:schemeClr w14:val="tx1"/>
                  </w14:solidFill>
                </w14:textFill>
              </w:rPr>
            </w:pPr>
            <w:r>
              <w:rPr>
                <w:b/>
                <w:bCs/>
                <w:color w:val="000000" w:themeColor="text1"/>
                <w:highlight w:val="none"/>
                <w14:textFill>
                  <w14:solidFill>
                    <w14:schemeClr w14:val="tx1"/>
                  </w14:solidFill>
                </w14:textFill>
              </w:rPr>
              <w:t>3.2.4生态环境</w:t>
            </w:r>
          </w:p>
          <w:p>
            <w:pPr>
              <w:pStyle w:val="44"/>
              <w:bidi w:val="0"/>
              <w:rPr>
                <w:rFonts w:ascii="宋体" w:hAnsi="宋体" w:cs="宋体"/>
                <w:color w:val="000000" w:themeColor="text1"/>
                <w:kern w:val="0"/>
                <w:szCs w:val="2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lang w:eastAsia="zh-CN"/>
                <w14:textFill>
                  <w14:solidFill>
                    <w14:schemeClr w14:val="tx1"/>
                  </w14:solidFill>
                </w14:textFill>
              </w:rPr>
              <w:t>为新建项目，在辽宁台安经济开发区</w:t>
            </w:r>
            <w:r>
              <w:rPr>
                <w:color w:val="000000" w:themeColor="text1"/>
                <w:highlight w:val="none"/>
                <w14:textFill>
                  <w14:solidFill>
                    <w14:schemeClr w14:val="tx1"/>
                  </w14:solidFill>
                </w14:textFill>
              </w:rPr>
              <w:t>内，不新增用地，无生态环境保护目标。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污染</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物排</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放控</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制标</w:t>
            </w:r>
          </w:p>
          <w:p>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准</w:t>
            </w:r>
          </w:p>
        </w:tc>
        <w:tc>
          <w:tcPr>
            <w:tcW w:w="8190" w:type="dxa"/>
            <w:noWrap w:val="0"/>
            <w:vAlign w:val="center"/>
          </w:tcPr>
          <w:p>
            <w:pPr>
              <w:pStyle w:val="44"/>
              <w:bidi w:val="0"/>
              <w:ind w:left="0" w:leftChars="0" w:firstLine="0" w:firstLineChars="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1.废气排放标准</w:t>
            </w:r>
          </w:p>
          <w:p>
            <w:pPr>
              <w:pStyle w:val="44"/>
              <w:bidi w:val="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w:t>
            </w:r>
            <w:r>
              <w:rPr>
                <w:rFonts w:hint="default"/>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）施工期废气</w:t>
            </w:r>
          </w:p>
          <w:p>
            <w:pPr>
              <w:pStyle w:val="44"/>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施工期大气污染物排放执行《施工及堆料场地扬尘排放标准》（</w:t>
            </w:r>
            <w:r>
              <w:rPr>
                <w:rFonts w:hint="default"/>
                <w:color w:val="000000" w:themeColor="text1"/>
                <w:highlight w:val="none"/>
                <w14:textFill>
                  <w14:solidFill>
                    <w14:schemeClr w14:val="tx1"/>
                  </w14:solidFill>
                </w14:textFill>
              </w:rPr>
              <w:t>DB21/2642-2016</w:t>
            </w:r>
            <w:r>
              <w:rPr>
                <w:color w:val="000000" w:themeColor="text1"/>
                <w:highlight w:val="none"/>
                <w14:textFill>
                  <w14:solidFill>
                    <w14:schemeClr w14:val="tx1"/>
                  </w14:solidFill>
                </w14:textFill>
              </w:rPr>
              <w:t>）表</w:t>
            </w:r>
            <w:r>
              <w:rPr>
                <w:rFonts w:hint="default"/>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扬尘排放监控浓度限值。</w:t>
            </w:r>
          </w:p>
          <w:p>
            <w:pPr>
              <w:pStyle w:val="45"/>
              <w:bidi w:val="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 xml:space="preserve">4  </w:t>
            </w:r>
            <w:r>
              <w:rPr>
                <w:b/>
                <w:bCs/>
                <w:color w:val="000000" w:themeColor="text1"/>
                <w:highlight w:val="none"/>
                <w14:textFill>
                  <w14:solidFill>
                    <w14:schemeClr w14:val="tx1"/>
                  </w14:solidFill>
                </w14:textFill>
              </w:rPr>
              <w:t>扬尘排放标准限值单位：</w:t>
            </w:r>
            <w:r>
              <w:rPr>
                <w:rFonts w:hint="default"/>
                <w:b/>
                <w:bCs/>
                <w:color w:val="000000" w:themeColor="text1"/>
                <w:highlight w:val="none"/>
                <w14:textFill>
                  <w14:solidFill>
                    <w14:schemeClr w14:val="tx1"/>
                  </w14:solidFill>
                </w14:textFill>
              </w:rPr>
              <w:t>mg/m</w:t>
            </w:r>
            <w:r>
              <w:rPr>
                <w:b/>
                <w:bCs/>
                <w:color w:val="000000" w:themeColor="text1"/>
                <w:highlight w:val="none"/>
                <w:vertAlign w:val="superscript"/>
                <w14:textFill>
                  <w14:solidFill>
                    <w14:schemeClr w14:val="tx1"/>
                  </w14:solidFill>
                </w14:textFill>
              </w:rPr>
              <w:t>3</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7"/>
              <w:gridCol w:w="1928"/>
              <w:gridCol w:w="33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pPr>
                    <w:pStyle w:val="45"/>
                    <w:bidi w:val="0"/>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污染物名称</w:t>
                  </w:r>
                </w:p>
              </w:tc>
              <w:tc>
                <w:tcPr>
                  <w:tcW w:w="1209" w:type="pct"/>
                  <w:tcBorders>
                    <w:tl2br w:val="nil"/>
                    <w:tr2bl w:val="nil"/>
                  </w:tcBorders>
                  <w:noWrap w:val="0"/>
                  <w:vAlign w:val="center"/>
                </w:tcPr>
                <w:p>
                  <w:pPr>
                    <w:pStyle w:val="45"/>
                    <w:bidi w:val="0"/>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区域</w:t>
                  </w:r>
                </w:p>
              </w:tc>
              <w:tc>
                <w:tcPr>
                  <w:tcW w:w="2123" w:type="pct"/>
                  <w:tcBorders>
                    <w:tl2br w:val="nil"/>
                    <w:tr2bl w:val="nil"/>
                  </w:tcBorders>
                  <w:noWrap w:val="0"/>
                  <w:vAlign w:val="center"/>
                </w:tcPr>
                <w:p>
                  <w:pPr>
                    <w:pStyle w:val="45"/>
                    <w:bidi w:val="0"/>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浓度限值（连续5min平均浓度）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45"/>
                    <w:bidi w:val="0"/>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颗粒物（TSP）</w:t>
                  </w:r>
                </w:p>
              </w:tc>
              <w:tc>
                <w:tcPr>
                  <w:tcW w:w="1209" w:type="pct"/>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城镇建成区</w:t>
                  </w:r>
                </w:p>
              </w:tc>
              <w:tc>
                <w:tcPr>
                  <w:tcW w:w="2123"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0.8</w:t>
                  </w:r>
                </w:p>
              </w:tc>
            </w:tr>
          </w:tbl>
          <w:p>
            <w:pPr>
              <w:pStyle w:val="44"/>
              <w:numPr>
                <w:ilvl w:val="0"/>
                <w:numId w:val="0"/>
              </w:numPr>
              <w:bidi w:val="0"/>
              <w:ind w:firstLine="480" w:firstLineChars="200"/>
              <w:rPr>
                <w:color w:val="000000" w:themeColor="text1"/>
                <w:highlight w:val="none"/>
                <w14:textFill>
                  <w14:solidFill>
                    <w14:schemeClr w14:val="tx1"/>
                  </w14:solidFill>
                </w14:textFill>
              </w:rPr>
            </w:pPr>
            <w:r>
              <w:rPr>
                <w:rFonts w:ascii="Times New Roman" w:hAnsi="Times New Roman" w:eastAsia="宋体"/>
                <w:color w:val="000000" w:themeColor="text1"/>
                <w:kern w:val="2"/>
                <w:sz w:val="24"/>
                <w:szCs w:val="24"/>
                <w:highlight w:val="none"/>
                <w:lang w:val="en-US" w:eastAsia="zh-CN" w:bidi="ar-SA"/>
                <w14:textFill>
                  <w14:solidFill>
                    <w14:schemeClr w14:val="tx1"/>
                  </w14:solidFill>
                </w14:textFill>
              </w:rPr>
              <w:t>（2）</w:t>
            </w:r>
            <w:r>
              <w:rPr>
                <w:color w:val="000000" w:themeColor="text1"/>
                <w:highlight w:val="none"/>
                <w14:textFill>
                  <w14:solidFill>
                    <w14:schemeClr w14:val="tx1"/>
                  </w14:solidFill>
                </w14:textFill>
              </w:rPr>
              <w:t>运营期废气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①锅炉废气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本项目所建燃气锅炉应执行《锅炉大气污染物排放标准》（</w:t>
            </w:r>
            <w:r>
              <w:rPr>
                <w:rFonts w:hint="default"/>
                <w:color w:val="000000" w:themeColor="text1"/>
                <w:highlight w:val="none"/>
                <w:lang w:val="en-US" w:eastAsia="zh-CN"/>
                <w14:textFill>
                  <w14:solidFill>
                    <w14:schemeClr w14:val="tx1"/>
                  </w14:solidFill>
                </w14:textFill>
              </w:rPr>
              <w:t>GB13271-2014</w:t>
            </w:r>
            <w:r>
              <w:rPr>
                <w:rFonts w:hint="eastAsia"/>
                <w:color w:val="000000" w:themeColor="text1"/>
                <w:highlight w:val="none"/>
                <w:lang w:val="en-US" w:eastAsia="zh-CN"/>
                <w14:textFill>
                  <w14:solidFill>
                    <w14:schemeClr w14:val="tx1"/>
                  </w14:solidFill>
                </w14:textFill>
              </w:rPr>
              <w:t xml:space="preserve">） 表 </w:t>
            </w:r>
            <w:r>
              <w:rPr>
                <w:rFonts w:hint="default"/>
                <w:color w:val="000000" w:themeColor="text1"/>
                <w:highlight w:val="none"/>
                <w:lang w:val="en-US" w:eastAsia="zh-CN"/>
                <w14:textFill>
                  <w14:solidFill>
                    <w14:schemeClr w14:val="tx1"/>
                  </w14:solidFill>
                </w14:textFill>
              </w:rPr>
              <w:t xml:space="preserve">3 </w:t>
            </w:r>
            <w:r>
              <w:rPr>
                <w:rFonts w:hint="eastAsia"/>
                <w:color w:val="000000" w:themeColor="text1"/>
                <w:highlight w:val="none"/>
                <w:lang w:val="en-US" w:eastAsia="zh-CN"/>
                <w14:textFill>
                  <w14:solidFill>
                    <w14:schemeClr w14:val="tx1"/>
                  </w14:solidFill>
                </w14:textFill>
              </w:rPr>
              <w:t>中燃气锅炉特别排放限值要求，具体标准值见下表。</w:t>
            </w:r>
          </w:p>
          <w:p>
            <w:pPr>
              <w:pStyle w:val="45"/>
              <w:bidi w:val="0"/>
              <w:rPr>
                <w:b/>
                <w:bCs/>
                <w:strike w:val="0"/>
                <w:dstrike w:val="0"/>
                <w:color w:val="000000" w:themeColor="text1"/>
                <w:highlight w:val="none"/>
                <w14:textFill>
                  <w14:solidFill>
                    <w14:schemeClr w14:val="tx1"/>
                  </w14:solidFill>
                </w14:textFill>
              </w:rPr>
            </w:pPr>
            <w:r>
              <w:rPr>
                <w:rFonts w:hint="eastAsia"/>
                <w:b/>
                <w:bCs/>
                <w:strike w:val="0"/>
                <w:dstrike w:val="0"/>
                <w:color w:val="000000" w:themeColor="text1"/>
                <w:highlight w:val="none"/>
                <w:lang w:val="en-US" w:eastAsia="zh-CN"/>
                <w14:textFill>
                  <w14:solidFill>
                    <w14:schemeClr w14:val="tx1"/>
                  </w14:solidFill>
                </w14:textFill>
              </w:rPr>
              <w:t xml:space="preserve">表 </w:t>
            </w:r>
            <w:r>
              <w:rPr>
                <w:rFonts w:hint="default"/>
                <w:b/>
                <w:bCs/>
                <w:strike w:val="0"/>
                <w:dstrike w:val="0"/>
                <w:color w:val="000000" w:themeColor="text1"/>
                <w:highlight w:val="none"/>
                <w:lang w:val="en-US" w:eastAsia="zh-CN"/>
                <w14:textFill>
                  <w14:solidFill>
                    <w14:schemeClr w14:val="tx1"/>
                  </w14:solidFill>
                </w14:textFill>
              </w:rPr>
              <w:t>3-</w:t>
            </w:r>
            <w:r>
              <w:rPr>
                <w:rFonts w:hint="eastAsia"/>
                <w:b/>
                <w:bCs/>
                <w:strike w:val="0"/>
                <w:dstrike w:val="0"/>
                <w:color w:val="000000" w:themeColor="text1"/>
                <w:highlight w:val="none"/>
                <w:lang w:val="en-US" w:eastAsia="zh-CN"/>
                <w14:textFill>
                  <w14:solidFill>
                    <w14:schemeClr w14:val="tx1"/>
                  </w14:solidFill>
                </w14:textFill>
              </w:rPr>
              <w:t>5</w:t>
            </w:r>
            <w:r>
              <w:rPr>
                <w:rFonts w:hint="default"/>
                <w:b/>
                <w:bCs/>
                <w:strike w:val="0"/>
                <w:dstrike w:val="0"/>
                <w:color w:val="000000" w:themeColor="text1"/>
                <w:highlight w:val="none"/>
                <w:lang w:val="en-US" w:eastAsia="zh-CN"/>
                <w14:textFill>
                  <w14:solidFill>
                    <w14:schemeClr w14:val="tx1"/>
                  </w14:solidFill>
                </w14:textFill>
              </w:rPr>
              <w:t xml:space="preserve"> </w:t>
            </w:r>
            <w:r>
              <w:rPr>
                <w:rFonts w:hint="eastAsia"/>
                <w:b/>
                <w:bCs/>
                <w:strike w:val="0"/>
                <w:dstrike w:val="0"/>
                <w:color w:val="000000" w:themeColor="text1"/>
                <w:highlight w:val="none"/>
                <w:lang w:val="en-US" w:eastAsia="zh-CN"/>
                <w14:textFill>
                  <w14:solidFill>
                    <w14:schemeClr w14:val="tx1"/>
                  </w14:solidFill>
                </w14:textFill>
              </w:rPr>
              <w:t>《锅炉大气污染物排放标准》（</w:t>
            </w:r>
            <w:r>
              <w:rPr>
                <w:rFonts w:hint="default"/>
                <w:b/>
                <w:bCs/>
                <w:strike w:val="0"/>
                <w:dstrike w:val="0"/>
                <w:color w:val="000000" w:themeColor="text1"/>
                <w:highlight w:val="none"/>
                <w:lang w:val="en-US" w:eastAsia="zh-CN"/>
                <w14:textFill>
                  <w14:solidFill>
                    <w14:schemeClr w14:val="tx1"/>
                  </w14:solidFill>
                </w14:textFill>
              </w:rPr>
              <w:t>GB13271-2014</w:t>
            </w:r>
            <w:r>
              <w:rPr>
                <w:rFonts w:hint="eastAsia"/>
                <w:b/>
                <w:bCs/>
                <w:strike w:val="0"/>
                <w:dstrike w:val="0"/>
                <w:color w:val="000000" w:themeColor="text1"/>
                <w:highlight w:val="none"/>
                <w:lang w:val="en-US" w:eastAsia="zh-CN"/>
                <w14:textFill>
                  <w14:solidFill>
                    <w14:schemeClr w14:val="tx1"/>
                  </w14:solidFill>
                </w14:textFill>
              </w:rPr>
              <w:t>）单位：</w:t>
            </w:r>
            <w:r>
              <w:rPr>
                <w:rFonts w:hint="default"/>
                <w:b/>
                <w:bCs/>
                <w:strike w:val="0"/>
                <w:dstrike w:val="0"/>
                <w:color w:val="000000" w:themeColor="text1"/>
                <w:highlight w:val="none"/>
                <w:lang w:val="en-US" w:eastAsia="zh-CN"/>
                <w14:textFill>
                  <w14:solidFill>
                    <w14:schemeClr w14:val="tx1"/>
                  </w14:solidFill>
                </w14:textFill>
              </w:rPr>
              <w:t>mg/m</w:t>
            </w:r>
            <w:r>
              <w:rPr>
                <w:rFonts w:hint="default"/>
                <w:b/>
                <w:bCs/>
                <w:strike w:val="0"/>
                <w:dstrike w:val="0"/>
                <w:color w:val="000000" w:themeColor="text1"/>
                <w:highlight w:val="none"/>
                <w:vertAlign w:val="superscript"/>
                <w:lang w:val="en-US" w:eastAsia="zh-CN"/>
                <w14:textFill>
                  <w14:solidFill>
                    <w14:schemeClr w14:val="tx1"/>
                  </w14:solidFill>
                </w14:textFill>
              </w:rPr>
              <w:t>3</w:t>
            </w:r>
          </w:p>
          <w:tbl>
            <w:tblPr>
              <w:tblStyle w:val="21"/>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1595"/>
              <w:gridCol w:w="1346"/>
              <w:gridCol w:w="1438"/>
              <w:gridCol w:w="1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w:t>
                  </w:r>
                </w:p>
              </w:tc>
              <w:tc>
                <w:tcPr>
                  <w:tcW w:w="1000" w:type="pc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颗粒物</w:t>
                  </w:r>
                </w:p>
              </w:tc>
              <w:tc>
                <w:tcPr>
                  <w:tcW w:w="844"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SO</w:t>
                  </w:r>
                  <w:r>
                    <w:rPr>
                      <w:rFonts w:hint="eastAsia"/>
                      <w:color w:val="000000" w:themeColor="text1"/>
                      <w:highlight w:val="none"/>
                      <w:vertAlign w:val="subscript"/>
                      <w:lang w:val="en-US" w:eastAsia="zh-CN"/>
                      <w14:textFill>
                        <w14:solidFill>
                          <w14:schemeClr w14:val="tx1"/>
                        </w14:solidFill>
                      </w14:textFill>
                    </w:rPr>
                    <w:t>2</w:t>
                  </w:r>
                </w:p>
              </w:tc>
              <w:tc>
                <w:tcPr>
                  <w:tcW w:w="902"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NOx</w:t>
                  </w:r>
                </w:p>
              </w:tc>
              <w:tc>
                <w:tcPr>
                  <w:tcW w:w="1252" w:type="pct"/>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烟气黑度（林格</w:t>
                  </w:r>
                </w:p>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曼黑度，级）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999" w:type="pc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标准值</w:t>
                  </w:r>
                </w:p>
              </w:tc>
              <w:tc>
                <w:tcPr>
                  <w:tcW w:w="1000"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c>
                <w:tcPr>
                  <w:tcW w:w="844"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w:t>
                  </w:r>
                </w:p>
              </w:tc>
              <w:tc>
                <w:tcPr>
                  <w:tcW w:w="902"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150</w:t>
                  </w:r>
                </w:p>
              </w:tc>
              <w:tc>
                <w:tcPr>
                  <w:tcW w:w="1252" w:type="pct"/>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r>
          </w:tbl>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根据《锅炉大气污染物排放标准》（GB 13271-2014）要求：“燃油、燃气锅炉烟囱不低于 8m，新建锅炉房的烟囱周围半径 200m 距离内有建筑物时，其烟囱应高出最高建筑物 3m”。本项目锅炉房高7.1m，故本项目锅炉设置排气筒高度为8m。</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②生产废气</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项目生产过程中产生的颗粒物（即粉尘）执行《大气污染物综合排放标准》（</w:t>
            </w:r>
            <w:r>
              <w:rPr>
                <w:rFonts w:hint="default"/>
                <w:color w:val="000000" w:themeColor="text1"/>
                <w:highlight w:val="none"/>
                <w:lang w:val="en-US" w:eastAsia="zh-CN"/>
                <w14:textFill>
                  <w14:solidFill>
                    <w14:schemeClr w14:val="tx1"/>
                  </w14:solidFill>
                </w14:textFill>
              </w:rPr>
              <w:t>GB16297-1996</w:t>
            </w:r>
            <w:r>
              <w:rPr>
                <w:rFonts w:hint="eastAsia"/>
                <w:color w:val="000000" w:themeColor="text1"/>
                <w:highlight w:val="none"/>
                <w:lang w:val="en-US" w:eastAsia="zh-CN"/>
                <w14:textFill>
                  <w14:solidFill>
                    <w14:schemeClr w14:val="tx1"/>
                  </w14:solidFill>
                </w14:textFill>
              </w:rPr>
              <w:t xml:space="preserve">）表 </w:t>
            </w:r>
            <w:r>
              <w:rPr>
                <w:rFonts w:hint="default"/>
                <w:color w:val="000000" w:themeColor="text1"/>
                <w:highlight w:val="none"/>
                <w:lang w:val="en-US" w:eastAsia="zh-CN"/>
                <w14:textFill>
                  <w14:solidFill>
                    <w14:schemeClr w14:val="tx1"/>
                  </w14:solidFill>
                </w14:textFill>
              </w:rPr>
              <w:t xml:space="preserve">2 </w:t>
            </w:r>
            <w:r>
              <w:rPr>
                <w:rFonts w:hint="eastAsia"/>
                <w:color w:val="000000" w:themeColor="text1"/>
                <w:highlight w:val="none"/>
                <w:lang w:val="en-US" w:eastAsia="zh-CN"/>
                <w14:textFill>
                  <w14:solidFill>
                    <w14:schemeClr w14:val="tx1"/>
                  </w14:solidFill>
                </w14:textFill>
              </w:rPr>
              <w:t>中二级排放标准。</w:t>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 xml:space="preserve">表 </w:t>
            </w:r>
            <w:r>
              <w:rPr>
                <w:rFonts w:hint="default"/>
                <w:b/>
                <w:bCs/>
                <w:color w:val="000000" w:themeColor="text1"/>
                <w:highlight w:val="none"/>
                <w:lang w:val="en-US" w:eastAsia="zh-CN"/>
                <w14:textFill>
                  <w14:solidFill>
                    <w14:schemeClr w14:val="tx1"/>
                  </w14:solidFill>
                </w14:textFill>
              </w:rPr>
              <w:t>3-</w:t>
            </w:r>
            <w:r>
              <w:rPr>
                <w:rFonts w:hint="eastAsia"/>
                <w:b/>
                <w:bCs/>
                <w:color w:val="000000" w:themeColor="text1"/>
                <w:highlight w:val="none"/>
                <w:lang w:val="en-US" w:eastAsia="zh-CN"/>
                <w14:textFill>
                  <w14:solidFill>
                    <w14:schemeClr w14:val="tx1"/>
                  </w14:solidFill>
                </w14:textFill>
              </w:rPr>
              <w:t>6</w:t>
            </w:r>
            <w:r>
              <w:rPr>
                <w:rFonts w:hint="default"/>
                <w:b/>
                <w:bCs/>
                <w:color w:val="000000" w:themeColor="text1"/>
                <w:highlight w:val="none"/>
                <w:lang w:val="en-US"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《大气污染物综合排放标准》（</w:t>
            </w:r>
            <w:r>
              <w:rPr>
                <w:rFonts w:hint="default"/>
                <w:b/>
                <w:bCs/>
                <w:color w:val="000000" w:themeColor="text1"/>
                <w:highlight w:val="none"/>
                <w:lang w:val="en-US" w:eastAsia="zh-CN"/>
                <w14:textFill>
                  <w14:solidFill>
                    <w14:schemeClr w14:val="tx1"/>
                  </w14:solidFill>
                </w14:textFill>
              </w:rPr>
              <w:t>GB16297-1996</w:t>
            </w:r>
            <w:r>
              <w:rPr>
                <w:rFonts w:hint="eastAsia"/>
                <w:b/>
                <w:bCs/>
                <w:color w:val="000000" w:themeColor="text1"/>
                <w:highlight w:val="none"/>
                <w:lang w:val="en-US" w:eastAsia="zh-CN"/>
                <w14:textFill>
                  <w14:solidFill>
                    <w14:schemeClr w14:val="tx1"/>
                  </w14:solidFill>
                </w14:textFill>
              </w:rPr>
              <w:t>）</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361"/>
              <w:gridCol w:w="1324"/>
              <w:gridCol w:w="1317"/>
              <w:gridCol w:w="1316"/>
              <w:gridCol w:w="1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23" w:type="dxa"/>
                  <w:vMerge w:val="restar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w:t>
                  </w:r>
                </w:p>
              </w:tc>
              <w:tc>
                <w:tcPr>
                  <w:tcW w:w="1361" w:type="dxa"/>
                  <w:vMerge w:val="restart"/>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最高允许排放浓度（</w:t>
                  </w:r>
                  <w:r>
                    <w:rPr>
                      <w:rFonts w:hint="default"/>
                      <w:color w:val="000000" w:themeColor="text1"/>
                      <w:highlight w:val="none"/>
                      <w:lang w:val="en-US" w:eastAsia="zh-CN"/>
                      <w14:textFill>
                        <w14:solidFill>
                          <w14:schemeClr w14:val="tx1"/>
                        </w14:solidFill>
                      </w14:textFill>
                    </w:rPr>
                    <w:t>mg/m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tc>
              <w:tc>
                <w:tcPr>
                  <w:tcW w:w="2641" w:type="dxa"/>
                  <w:gridSpan w:val="2"/>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最高允许排放速率（</w:t>
                  </w:r>
                  <w:r>
                    <w:rPr>
                      <w:rFonts w:hint="default"/>
                      <w:color w:val="000000" w:themeColor="text1"/>
                      <w:highlight w:val="none"/>
                      <w:lang w:val="en-US" w:eastAsia="zh-CN"/>
                      <w14:textFill>
                        <w14:solidFill>
                          <w14:schemeClr w14:val="tx1"/>
                        </w14:solidFill>
                      </w14:textFill>
                    </w:rPr>
                    <w:t>kg/h</w:t>
                  </w:r>
                  <w:r>
                    <w:rPr>
                      <w:rFonts w:hint="eastAsia"/>
                      <w:color w:val="000000" w:themeColor="text1"/>
                      <w:highlight w:val="none"/>
                      <w:lang w:val="en-US" w:eastAsia="zh-CN"/>
                      <w14:textFill>
                        <w14:solidFill>
                          <w14:schemeClr w14:val="tx1"/>
                        </w14:solidFill>
                      </w14:textFill>
                    </w:rPr>
                    <w:t>）</w:t>
                  </w:r>
                </w:p>
              </w:tc>
              <w:tc>
                <w:tcPr>
                  <w:tcW w:w="2639" w:type="dxa"/>
                  <w:gridSpan w:val="2"/>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23" w:type="dxa"/>
                  <w:vMerge w:val="continue"/>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361" w:type="dxa"/>
                  <w:vMerge w:val="continue"/>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324" w:type="dxa"/>
                  <w:tcBorders>
                    <w:tl2br w:val="nil"/>
                    <w:tr2bl w:val="nil"/>
                  </w:tcBorders>
                  <w:noWrap w:val="0"/>
                  <w:vAlign w:val="center"/>
                </w:tcPr>
                <w:p>
                  <w:pPr>
                    <w:pStyle w:val="45"/>
                    <w:bidi w:val="0"/>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排气筒高</w:t>
                  </w:r>
                </w:p>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度（</w:t>
                  </w:r>
                  <w:r>
                    <w:rPr>
                      <w:rFonts w:hint="default"/>
                      <w:color w:val="000000" w:themeColor="text1"/>
                      <w:highlight w:val="none"/>
                      <w:lang w:val="en-US" w:eastAsia="zh-CN"/>
                      <w14:textFill>
                        <w14:solidFill>
                          <w14:schemeClr w14:val="tx1"/>
                        </w14:solidFill>
                      </w14:textFill>
                    </w:rPr>
                    <w:t>m</w:t>
                  </w:r>
                  <w:r>
                    <w:rPr>
                      <w:rFonts w:hint="eastAsia"/>
                      <w:color w:val="000000" w:themeColor="text1"/>
                      <w:highlight w:val="none"/>
                      <w:lang w:val="en-US" w:eastAsia="zh-CN"/>
                      <w14:textFill>
                        <w14:solidFill>
                          <w14:schemeClr w14:val="tx1"/>
                        </w14:solidFill>
                      </w14:textFill>
                    </w:rPr>
                    <w:t>）</w:t>
                  </w:r>
                </w:p>
              </w:tc>
              <w:tc>
                <w:tcPr>
                  <w:tcW w:w="1317"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二级</w:t>
                  </w:r>
                </w:p>
              </w:tc>
              <w:tc>
                <w:tcPr>
                  <w:tcW w:w="1316"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监控点</w:t>
                  </w:r>
                </w:p>
              </w:tc>
              <w:tc>
                <w:tcPr>
                  <w:tcW w:w="1323"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23"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颗粒物</w:t>
                  </w:r>
                </w:p>
              </w:tc>
              <w:tc>
                <w:tcPr>
                  <w:tcW w:w="1361"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120</w:t>
                  </w:r>
                </w:p>
              </w:tc>
              <w:tc>
                <w:tcPr>
                  <w:tcW w:w="1324"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15</w:t>
                  </w:r>
                </w:p>
              </w:tc>
              <w:tc>
                <w:tcPr>
                  <w:tcW w:w="1317"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3.5</w:t>
                  </w:r>
                </w:p>
              </w:tc>
              <w:tc>
                <w:tcPr>
                  <w:tcW w:w="1316" w:type="dxa"/>
                  <w:tcBorders>
                    <w:tl2br w:val="nil"/>
                    <w:tr2bl w:val="nil"/>
                  </w:tcBorders>
                  <w:noWrap w:val="0"/>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周界外浓度最高点</w:t>
                  </w:r>
                </w:p>
              </w:tc>
              <w:tc>
                <w:tcPr>
                  <w:tcW w:w="1323" w:type="dxa"/>
                  <w:tcBorders>
                    <w:tl2br w:val="nil"/>
                    <w:tr2bl w:val="nil"/>
                  </w:tcBorders>
                  <w:noWrap w:val="0"/>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1.0mg/m</w:t>
                  </w:r>
                  <w:r>
                    <w:rPr>
                      <w:rFonts w:hint="eastAsia"/>
                      <w:color w:val="000000" w:themeColor="text1"/>
                      <w:highlight w:val="none"/>
                      <w:vertAlign w:val="superscript"/>
                      <w:lang w:val="en-US" w:eastAsia="zh-CN"/>
                      <w14:textFill>
                        <w14:solidFill>
                          <w14:schemeClr w14:val="tx1"/>
                        </w14:solidFill>
                      </w14:textFill>
                    </w:rPr>
                    <w:t>3</w:t>
                  </w:r>
                </w:p>
              </w:tc>
            </w:tr>
          </w:tbl>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根据《大气污染物综合排放标准》(GB16297-1996)中“7.1排气筒高度除须遵守表列排放速率标准值外，还应高出周围200m 半径范围的建筑 5m 以上，不能达到该要求的排气筒，应按其高度对应的表列排放速率标准值严格50%执行”，本项目生产线排气筒周围200m 半径范围的最高建筑物为主车间，高度</w:t>
            </w:r>
            <w:r>
              <w:rPr>
                <w:rFonts w:hint="eastAsia"/>
                <w:color w:val="000000" w:themeColor="text1"/>
                <w:highlight w:val="none"/>
                <w:lang w:val="en-US" w:eastAsia="zh-CN"/>
                <w14:textFill>
                  <w14:solidFill>
                    <w14:schemeClr w14:val="tx1"/>
                  </w14:solidFill>
                </w14:textFill>
              </w:rPr>
              <w:t>41</w:t>
            </w:r>
            <w:r>
              <w:rPr>
                <w:rFonts w:hint="eastAsia"/>
                <w:color w:val="000000" w:themeColor="text1"/>
                <w:highlight w:val="none"/>
                <w:lang w:eastAsia="zh-CN"/>
                <w14:textFill>
                  <w14:solidFill>
                    <w14:schemeClr w14:val="tx1"/>
                  </w14:solidFill>
                </w14:textFill>
              </w:rPr>
              <w:t>m，排气筒高度为15m，不能满足“高出周围 200m 半径范围的建筑5m以上”要求，故颗粒物排放速率按照标准值的50%执行，为1.75kg/h。</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③食堂油烟</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本项目食堂灶头共</w:t>
            </w:r>
            <w:r>
              <w:rPr>
                <w:rFonts w:hint="eastAsia"/>
                <w:color w:val="000000" w:themeColor="text1"/>
                <w:highlight w:val="none"/>
                <w:lang w:val="en-US" w:eastAsia="zh-CN"/>
                <w14:textFill>
                  <w14:solidFill>
                    <w14:schemeClr w14:val="tx1"/>
                  </w14:solidFill>
                </w14:textFill>
              </w:rPr>
              <w:t>2个，</w:t>
            </w:r>
            <w:r>
              <w:rPr>
                <w:rFonts w:hint="eastAsia"/>
                <w:color w:val="000000" w:themeColor="text1"/>
                <w:highlight w:val="none"/>
                <w:lang w:eastAsia="zh-CN"/>
                <w14:textFill>
                  <w14:solidFill>
                    <w14:schemeClr w14:val="tx1"/>
                  </w14:solidFill>
                </w14:textFill>
              </w:rPr>
              <w:t>食堂油烟排放执行《饮食业油烟排放标准（试行）》（</w:t>
            </w:r>
            <w:r>
              <w:rPr>
                <w:rFonts w:hint="eastAsia"/>
                <w:color w:val="000000" w:themeColor="text1"/>
                <w:highlight w:val="none"/>
                <w:lang w:val="en-US" w:eastAsia="zh-CN"/>
                <w14:textFill>
                  <w14:solidFill>
                    <w14:schemeClr w14:val="tx1"/>
                  </w14:solidFill>
                </w14:textFill>
              </w:rPr>
              <w:t>GB18483-2001</w:t>
            </w:r>
            <w:r>
              <w:rPr>
                <w:rFonts w:hint="eastAsia"/>
                <w:color w:val="000000" w:themeColor="text1"/>
                <w:highlight w:val="none"/>
                <w:lang w:eastAsia="zh-CN"/>
                <w14:textFill>
                  <w14:solidFill>
                    <w14:schemeClr w14:val="tx1"/>
                  </w14:solidFill>
                </w14:textFill>
              </w:rPr>
              <w:t>）中小型标准要求。</w:t>
            </w:r>
          </w:p>
          <w:p>
            <w:pPr>
              <w:pStyle w:val="45"/>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3-7 《饮食业油烟排放标准（试行）》（GB18483-2001）</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85"/>
              <w:gridCol w:w="3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规模</w:t>
                  </w:r>
                </w:p>
              </w:tc>
              <w:tc>
                <w:tcPr>
                  <w:tcW w:w="398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小型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最高允许排放浓度（</w:t>
                  </w:r>
                  <w:r>
                    <w:rPr>
                      <w:rFonts w:hint="default"/>
                      <w:color w:val="000000" w:themeColor="text1"/>
                      <w:highlight w:val="none"/>
                      <w:lang w:val="en-US" w:eastAsia="zh-CN"/>
                      <w14:textFill>
                        <w14:solidFill>
                          <w14:schemeClr w14:val="tx1"/>
                        </w14:solidFill>
                      </w14:textFill>
                    </w:rPr>
                    <w:t>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p>
              </w:tc>
              <w:tc>
                <w:tcPr>
                  <w:tcW w:w="3987"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净化设施最低去除效率（</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w:t>
                  </w:r>
                </w:p>
              </w:tc>
              <w:tc>
                <w:tcPr>
                  <w:tcW w:w="3987"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60</w:t>
                  </w:r>
                </w:p>
              </w:tc>
            </w:tr>
          </w:tbl>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④恶臭气体</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本项目制粒冷却过程中会有恶臭气体产生，执行《恶臭污染物排放标准》（</w:t>
            </w:r>
            <w:r>
              <w:rPr>
                <w:rFonts w:hint="eastAsia"/>
                <w:color w:val="000000" w:themeColor="text1"/>
                <w:highlight w:val="none"/>
                <w:lang w:val="en-US" w:eastAsia="zh-CN"/>
                <w14:textFill>
                  <w14:solidFill>
                    <w14:schemeClr w14:val="tx1"/>
                  </w14:solidFill>
                </w14:textFill>
              </w:rPr>
              <w:t>GB14554-93</w:t>
            </w:r>
            <w:r>
              <w:rPr>
                <w:rFonts w:hint="eastAsia"/>
                <w:color w:val="000000" w:themeColor="text1"/>
                <w:highlight w:val="none"/>
                <w:lang w:eastAsia="zh-CN"/>
                <w14:textFill>
                  <w14:solidFill>
                    <w14:schemeClr w14:val="tx1"/>
                  </w14:solidFill>
                </w14:textFill>
              </w:rPr>
              <w:t>）中表</w:t>
            </w:r>
            <w:r>
              <w:rPr>
                <w:rFonts w:hint="eastAsia"/>
                <w:color w:val="000000" w:themeColor="text1"/>
                <w:highlight w:val="none"/>
                <w:lang w:val="en-US" w:eastAsia="zh-CN"/>
                <w14:textFill>
                  <w14:solidFill>
                    <w14:schemeClr w14:val="tx1"/>
                  </w14:solidFill>
                </w14:textFill>
              </w:rPr>
              <w:t>1标准。</w:t>
            </w:r>
          </w:p>
          <w:p>
            <w:pPr>
              <w:pStyle w:val="45"/>
              <w:bidi w:val="0"/>
              <w:rPr>
                <w:rFonts w:hint="eastAsia"/>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3-8 《恶臭污染物排放标准》（GB14554-93）</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2235"/>
              <w:gridCol w:w="35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2186" w:type="dxa"/>
                  <w:vMerge w:val="restart"/>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污染物</w:t>
                  </w:r>
                </w:p>
              </w:tc>
              <w:tc>
                <w:tcPr>
                  <w:tcW w:w="2235" w:type="dxa"/>
                  <w:vMerge w:val="restart"/>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单位</w:t>
                  </w:r>
                </w:p>
              </w:tc>
              <w:tc>
                <w:tcPr>
                  <w:tcW w:w="354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2186" w:type="dxa"/>
                  <w:vMerge w:val="continue"/>
                  <w:tcBorders>
                    <w:tl2br w:val="nil"/>
                    <w:tr2bl w:val="nil"/>
                  </w:tcBorders>
                  <w:vAlign w:val="center"/>
                </w:tcPr>
                <w:p>
                  <w:pPr>
                    <w:pStyle w:val="45"/>
                    <w:bidi w:val="0"/>
                    <w:jc w:val="center"/>
                    <w:rPr>
                      <w:color w:val="000000" w:themeColor="text1"/>
                      <w:highlight w:val="none"/>
                      <w14:textFill>
                        <w14:solidFill>
                          <w14:schemeClr w14:val="tx1"/>
                        </w14:solidFill>
                      </w14:textFill>
                    </w:rPr>
                  </w:pPr>
                </w:p>
              </w:tc>
              <w:tc>
                <w:tcPr>
                  <w:tcW w:w="2235" w:type="dxa"/>
                  <w:vMerge w:val="continue"/>
                  <w:tcBorders>
                    <w:tl2br w:val="nil"/>
                    <w:tr2bl w:val="nil"/>
                  </w:tcBorders>
                  <w:vAlign w:val="center"/>
                </w:tcPr>
                <w:p>
                  <w:pPr>
                    <w:pStyle w:val="45"/>
                    <w:bidi w:val="0"/>
                    <w:jc w:val="center"/>
                    <w:rPr>
                      <w:color w:val="000000" w:themeColor="text1"/>
                      <w:highlight w:val="none"/>
                      <w14:textFill>
                        <w14:solidFill>
                          <w14:schemeClr w14:val="tx1"/>
                        </w14:solidFill>
                      </w14:textFill>
                    </w:rPr>
                  </w:pPr>
                </w:p>
              </w:tc>
              <w:tc>
                <w:tcPr>
                  <w:tcW w:w="3547"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新改扩建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6" w:type="dxa"/>
                  <w:tcBorders>
                    <w:tl2br w:val="nil"/>
                    <w:tr2bl w:val="nil"/>
                  </w:tcBorders>
                  <w:vAlign w:val="center"/>
                </w:tcPr>
                <w:p>
                  <w:pPr>
                    <w:pStyle w:val="45"/>
                    <w:bidi w:val="0"/>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臭气浓度</w:t>
                  </w:r>
                </w:p>
              </w:tc>
              <w:tc>
                <w:tcPr>
                  <w:tcW w:w="2235"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无量纲</w:t>
                  </w:r>
                </w:p>
              </w:tc>
              <w:tc>
                <w:tcPr>
                  <w:tcW w:w="3547"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r>
          </w:tbl>
          <w:p>
            <w:pPr>
              <w:tabs>
                <w:tab w:val="center" w:pos="4153"/>
                <w:tab w:val="right" w:pos="8306"/>
              </w:tabs>
              <w:ind w:firstLine="0" w:firstLineChars="0"/>
              <w:rPr>
                <w:rFonts w:hint="default"/>
                <w:b/>
                <w:bCs/>
                <w:color w:val="000000" w:themeColor="text1"/>
                <w:sz w:val="24"/>
                <w:szCs w:val="24"/>
                <w:highlight w:val="none"/>
                <w14:textFill>
                  <w14:solidFill>
                    <w14:schemeClr w14:val="tx1"/>
                  </w14:solidFill>
                </w14:textFill>
              </w:rPr>
            </w:pPr>
            <w:r>
              <w:rPr>
                <w:rFonts w:hint="default"/>
                <w:b/>
                <w:bCs/>
                <w:color w:val="000000" w:themeColor="text1"/>
                <w:sz w:val="24"/>
                <w:szCs w:val="24"/>
                <w:highlight w:val="none"/>
                <w14:textFill>
                  <w14:solidFill>
                    <w14:schemeClr w14:val="tx1"/>
                  </w14:solidFill>
                </w14:textFill>
              </w:rPr>
              <w:t>2.</w:t>
            </w:r>
            <w:r>
              <w:rPr>
                <w:b/>
                <w:bCs/>
                <w:color w:val="000000" w:themeColor="text1"/>
                <w:sz w:val="24"/>
                <w:szCs w:val="24"/>
                <w:highlight w:val="none"/>
                <w14:textFill>
                  <w14:solidFill>
                    <w14:schemeClr w14:val="tx1"/>
                  </w14:solidFill>
                </w14:textFill>
              </w:rPr>
              <w:t>废水污染物排放标准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生活污水、锅炉排污水及反冲洗废水经厂内化粪池处理后排入园区污水处理厂，废水中pH执行《污水综合排放标准》（GB8978-1996），其余污染物执行《辽宁省污水综合排放标准》（DB21/1627-2008）中排入污水处理厂标准，见下表。</w:t>
            </w:r>
          </w:p>
          <w:p>
            <w:pPr>
              <w:pStyle w:val="45"/>
              <w:bidi w:val="0"/>
              <w:rPr>
                <w:rFonts w:hint="eastAsia"/>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表</w:t>
            </w:r>
            <w:r>
              <w:rPr>
                <w:rFonts w:hint="eastAsia"/>
                <w:b/>
                <w:bCs/>
                <w:color w:val="000000" w:themeColor="text1"/>
                <w:highlight w:val="none"/>
                <w:lang w:val="en-US" w:eastAsia="zh-CN"/>
                <w14:textFill>
                  <w14:solidFill>
                    <w14:schemeClr w14:val="tx1"/>
                  </w14:solidFill>
                </w14:textFill>
              </w:rPr>
              <w:t>3-9 《辽宁省污水综合排放标准》（DB21/1627-2008）</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8"/>
              <w:gridCol w:w="2658"/>
              <w:gridCol w:w="26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污染物名称</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浓度限值</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pH（无量纲）</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6~9</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COD</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BOD</w:t>
                  </w:r>
                  <w:r>
                    <w:rPr>
                      <w:rFonts w:hint="eastAsia"/>
                      <w:color w:val="000000" w:themeColor="text1"/>
                      <w:highlight w:val="none"/>
                      <w:vertAlign w:val="subscript"/>
                      <w:lang w:val="en-US" w:eastAsia="zh-CN"/>
                      <w14:textFill>
                        <w14:solidFill>
                          <w14:schemeClr w14:val="tx1"/>
                        </w14:solidFill>
                      </w14:textFill>
                    </w:rPr>
                    <w:t>5</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SS</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300</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氨氮</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磷酸盐（以P计）</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5.0</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动植物油</w:t>
                  </w:r>
                </w:p>
              </w:tc>
              <w:tc>
                <w:tcPr>
                  <w:tcW w:w="2658" w:type="dxa"/>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w:t>
                  </w:r>
                </w:p>
              </w:tc>
              <w:tc>
                <w:tcPr>
                  <w:tcW w:w="2658" w:type="dxa"/>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mg/L</w:t>
                  </w:r>
                </w:p>
              </w:tc>
            </w:tr>
          </w:tbl>
          <w:p>
            <w:pPr>
              <w:keepNext w:val="0"/>
              <w:keepLines w:val="0"/>
              <w:pageBreakBefore w:val="0"/>
              <w:widowControl/>
              <w:kinsoku/>
              <w:wordWrap/>
              <w:overflowPunct/>
              <w:topLinePunct w:val="0"/>
              <w:autoSpaceDE/>
              <w:autoSpaceDN/>
              <w:bidi w:val="0"/>
              <w:adjustRightInd/>
              <w:spacing w:line="360" w:lineRule="auto"/>
              <w:jc w:val="left"/>
              <w:textAlignment w:val="auto"/>
              <w:rPr>
                <w:rFonts w:hint="eastAsia" w:eastAsia="宋体"/>
                <w:color w:val="000000" w:themeColor="text1"/>
                <w:highlight w:val="none"/>
                <w:lang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3.</w:t>
            </w:r>
            <w:r>
              <w:rPr>
                <w:rFonts w:hint="eastAsia" w:ascii="宋体" w:hAnsi="宋体" w:cs="宋体"/>
                <w:b/>
                <w:bCs/>
                <w:color w:val="000000" w:themeColor="text1"/>
                <w:kern w:val="0"/>
                <w:sz w:val="24"/>
                <w:szCs w:val="24"/>
                <w:highlight w:val="none"/>
                <w:lang w:bidi="ar"/>
                <w14:textFill>
                  <w14:solidFill>
                    <w14:schemeClr w14:val="tx1"/>
                  </w14:solidFill>
                </w14:textFill>
              </w:rPr>
              <w:t>噪</w:t>
            </w:r>
            <w:r>
              <w:rPr>
                <w:rFonts w:hint="eastAsia" w:ascii="宋体" w:hAnsi="宋体" w:cs="宋体"/>
                <w:b/>
                <w:bCs/>
                <w:color w:val="000000" w:themeColor="text1"/>
                <w:kern w:val="0"/>
                <w:sz w:val="24"/>
                <w:highlight w:val="none"/>
                <w:lang w:bidi="ar"/>
                <w14:textFill>
                  <w14:solidFill>
                    <w14:schemeClr w14:val="tx1"/>
                  </w14:solidFill>
                </w14:textFill>
              </w:rPr>
              <w:t>声排放标准</w:t>
            </w:r>
          </w:p>
          <w:p>
            <w:pPr>
              <w:pStyle w:val="44"/>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default"/>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）施工期噪声执行《建筑施工场界环境噪声排放标准》（</w:t>
            </w:r>
            <w:r>
              <w:rPr>
                <w:rFonts w:hint="default"/>
                <w:color w:val="000000" w:themeColor="text1"/>
                <w:highlight w:val="none"/>
                <w14:textFill>
                  <w14:solidFill>
                    <w14:schemeClr w14:val="tx1"/>
                  </w14:solidFill>
                </w14:textFill>
              </w:rPr>
              <w:t>GB12523-2011</w:t>
            </w:r>
            <w:r>
              <w:rPr>
                <w:color w:val="000000" w:themeColor="text1"/>
                <w:highlight w:val="none"/>
                <w14:textFill>
                  <w14:solidFill>
                    <w14:schemeClr w14:val="tx1"/>
                  </w14:solidFill>
                </w14:textFill>
              </w:rPr>
              <w:t>）。</w:t>
            </w:r>
          </w:p>
          <w:p>
            <w:pPr>
              <w:pStyle w:val="45"/>
              <w:bidi w:val="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10</w:t>
            </w:r>
            <w:r>
              <w:rPr>
                <w:b/>
                <w:bCs/>
                <w:color w:val="000000" w:themeColor="text1"/>
                <w:highlight w:val="none"/>
                <w14:textFill>
                  <w14:solidFill>
                    <w14:schemeClr w14:val="tx1"/>
                  </w14:solidFill>
                </w14:textFill>
              </w:rPr>
              <w:t>建筑施工厂界环境噪声排放标准</w:t>
            </w:r>
          </w:p>
          <w:tbl>
            <w:tblPr>
              <w:tblStyle w:val="2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86"/>
              <w:gridCol w:w="39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2500"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2500"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r>
          </w:tbl>
          <w:p>
            <w:pPr>
              <w:pStyle w:val="44"/>
              <w:bidi w:val="0"/>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（2）运营期厂界噪声执行《工业企业厂界环境噪声排放标准》</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GB12348-2008</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中</w:t>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类标准。</w:t>
            </w:r>
          </w:p>
          <w:p>
            <w:pPr>
              <w:pStyle w:val="45"/>
              <w:bidi w:val="0"/>
              <w:rPr>
                <w:rFonts w:hint="default"/>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11</w:t>
            </w:r>
            <w:r>
              <w:rPr>
                <w:b/>
                <w:bCs/>
                <w:color w:val="000000" w:themeColor="text1"/>
                <w:highlight w:val="none"/>
                <w14:textFill>
                  <w14:solidFill>
                    <w14:schemeClr w14:val="tx1"/>
                  </w14:solidFill>
                </w14:textFill>
              </w:rPr>
              <w:t>工业企业厂界环境噪声排放标准</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8"/>
              <w:gridCol w:w="2658"/>
              <w:gridCol w:w="26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类别</w:t>
                  </w:r>
                </w:p>
              </w:tc>
              <w:tc>
                <w:tcPr>
                  <w:tcW w:w="1666"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666"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类</w:t>
                  </w:r>
                </w:p>
              </w:tc>
              <w:tc>
                <w:tcPr>
                  <w:tcW w:w="1666" w:type="pct"/>
                  <w:tcBorders>
                    <w:tl2br w:val="nil"/>
                    <w:tr2bl w:val="nil"/>
                  </w:tcBorders>
                  <w:noWrap w:val="0"/>
                  <w:vAlign w:val="top"/>
                </w:tcPr>
                <w:p>
                  <w:pPr>
                    <w:pStyle w:val="47"/>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1666" w:type="pct"/>
                  <w:tcBorders>
                    <w:tl2br w:val="nil"/>
                    <w:tr2bl w:val="nil"/>
                  </w:tcBorders>
                  <w:noWrap w:val="0"/>
                  <w:vAlign w:val="top"/>
                </w:tcPr>
                <w:p>
                  <w:pPr>
                    <w:pStyle w:val="47"/>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5</w:t>
                  </w:r>
                </w:p>
              </w:tc>
            </w:tr>
          </w:tbl>
          <w:p>
            <w:pPr>
              <w:pStyle w:val="44"/>
              <w:bidi w:val="0"/>
              <w:ind w:left="0" w:leftChars="0" w:firstLine="0" w:firstLineChars="0"/>
              <w:rPr>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4.固体废物</w:t>
            </w:r>
            <w:r>
              <w:rPr>
                <w:rFonts w:hint="eastAsia"/>
                <w:color w:val="000000" w:themeColor="text1"/>
                <w:highlight w:val="none"/>
                <w:lang w:val="en-US" w:eastAsia="zh-CN"/>
                <w14:textFill>
                  <w14:solidFill>
                    <w14:schemeClr w14:val="tx1"/>
                  </w14:solidFill>
                </w14:textFill>
              </w:rPr>
              <w:t xml:space="preserve">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一般工业固体废物贮存、处置执行《一般工业固体废物贮存和填埋污染控制标准》（</w:t>
            </w:r>
            <w:r>
              <w:rPr>
                <w:rFonts w:hint="default"/>
                <w:color w:val="000000" w:themeColor="text1"/>
                <w:highlight w:val="none"/>
                <w:lang w:val="en-US" w:eastAsia="zh-CN"/>
                <w14:textFill>
                  <w14:solidFill>
                    <w14:schemeClr w14:val="tx1"/>
                  </w14:solidFill>
                </w14:textFill>
              </w:rPr>
              <w:t>GB18599-2020</w:t>
            </w:r>
            <w:r>
              <w:rPr>
                <w:rFonts w:hint="eastAsia"/>
                <w:color w:val="000000" w:themeColor="text1"/>
                <w:highlight w:val="none"/>
                <w:lang w:val="en-US" w:eastAsia="zh-CN"/>
                <w14:textFill>
                  <w14:solidFill>
                    <w14:schemeClr w14:val="tx1"/>
                  </w14:solidFill>
                </w14:textFill>
              </w:rPr>
              <w:t>），分类执行 《固体废物分类与代码目录》（2024年）。</w:t>
            </w:r>
            <w:r>
              <w:rPr>
                <w:rFonts w:hint="default"/>
                <w:color w:val="000000" w:themeColor="text1"/>
                <w:highlight w:val="none"/>
                <w14:textFill>
                  <w14:solidFill>
                    <w14:schemeClr w14:val="tx1"/>
                  </w14:solidFill>
                </w14:textFill>
              </w:rPr>
              <w:t>危险废物厂内暂存执行《危险废物贮存污染控制标准》</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GB18597-20</w:t>
            </w:r>
            <w:r>
              <w:rPr>
                <w:rFonts w:hint="eastAsia"/>
                <w:color w:val="000000" w:themeColor="text1"/>
                <w:highlight w:val="none"/>
                <w:lang w:val="en-US" w:eastAsia="zh-CN"/>
                <w14:textFill>
                  <w14:solidFill>
                    <w14:schemeClr w14:val="tx1"/>
                  </w14:solidFill>
                </w14:textFill>
              </w:rPr>
              <w:t>23</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总量</w:t>
            </w:r>
          </w:p>
          <w:p>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控制</w:t>
            </w:r>
          </w:p>
          <w:p>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指标</w:t>
            </w:r>
          </w:p>
        </w:tc>
        <w:tc>
          <w:tcPr>
            <w:tcW w:w="8190" w:type="dxa"/>
            <w:noWrap w:val="0"/>
            <w:vAlign w:val="center"/>
          </w:tcPr>
          <w:p>
            <w:pPr>
              <w:pStyle w:val="4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根据辽宁省环境保护厅《关于进一步加强建设项目主要污染物排放总量指标审核和管理的通知》（辽环综函〔2020〕380号）文件的要求，</w:t>
            </w:r>
            <w:r>
              <w:rPr>
                <w:rFonts w:hint="eastAsia"/>
                <w:color w:val="000000" w:themeColor="text1"/>
                <w:highlight w:val="none"/>
                <w:lang w:val="en-US" w:eastAsia="zh-CN"/>
                <w14:textFill>
                  <w14:solidFill>
                    <w14:schemeClr w14:val="tx1"/>
                  </w14:solidFill>
                </w14:textFill>
              </w:rPr>
              <w:t>生态环境部印发《关于做好</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十四五</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主要污染物总量减排工作的通知》（环办综合函〔</w:t>
            </w:r>
            <w:r>
              <w:rPr>
                <w:rFonts w:hint="default"/>
                <w:color w:val="000000" w:themeColor="text1"/>
                <w:highlight w:val="none"/>
                <w:lang w:val="en-US" w:eastAsia="zh-CN"/>
                <w14:textFill>
                  <w14:solidFill>
                    <w14:schemeClr w14:val="tx1"/>
                  </w14:solidFill>
                </w14:textFill>
              </w:rPr>
              <w:t>2021</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 xml:space="preserve">323 </w:t>
            </w:r>
            <w:r>
              <w:rPr>
                <w:rFonts w:hint="eastAsia"/>
                <w:color w:val="000000" w:themeColor="text1"/>
                <w:highlight w:val="none"/>
                <w:lang w:val="en-US" w:eastAsia="zh-CN"/>
                <w14:textFill>
                  <w14:solidFill>
                    <w14:schemeClr w14:val="tx1"/>
                  </w14:solidFill>
                </w14:textFill>
              </w:rPr>
              <w:t>号），</w:t>
            </w:r>
            <w:r>
              <w:rPr>
                <w:color w:val="000000" w:themeColor="text1"/>
                <w:highlight w:val="none"/>
                <w14:textFill>
                  <w14:solidFill>
                    <w14:schemeClr w14:val="tx1"/>
                  </w14:solidFill>
                </w14:textFill>
              </w:rPr>
              <w:t>并结合最新的管理部门要求，</w:t>
            </w:r>
            <w:r>
              <w:rPr>
                <w:rFonts w:hint="eastAsia"/>
                <w:color w:val="000000" w:themeColor="text1"/>
                <w:highlight w:val="none"/>
                <w:lang w:eastAsia="zh-CN"/>
                <w14:textFill>
                  <w14:solidFill>
                    <w14:schemeClr w14:val="tx1"/>
                  </w14:solidFill>
                </w14:textFill>
              </w:rPr>
              <w:t>确定</w:t>
            </w:r>
            <w:r>
              <w:rPr>
                <w:color w:val="000000" w:themeColor="text1"/>
                <w:highlight w:val="none"/>
                <w14:textFill>
                  <w14:solidFill>
                    <w14:schemeClr w14:val="tx1"/>
                  </w14:solidFill>
                </w14:textFill>
              </w:rPr>
              <w:t>总量控制类污染物为氮氧化物、化学需氧量、氨氮</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VOCs</w:t>
            </w:r>
            <w:r>
              <w:rPr>
                <w:color w:val="000000" w:themeColor="text1"/>
                <w:highlight w:val="none"/>
                <w14:textFill>
                  <w14:solidFill>
                    <w14:schemeClr w14:val="tx1"/>
                  </w14:solidFill>
                </w14:textFill>
              </w:rPr>
              <w:t>。</w:t>
            </w:r>
          </w:p>
          <w:p>
            <w:pPr>
              <w:pStyle w:val="44"/>
              <w:bidi w:val="0"/>
              <w:rPr>
                <w:color w:val="000000" w:themeColor="text1"/>
                <w:sz w:val="24"/>
                <w:highlight w:val="none"/>
                <w14:textFill>
                  <w14:solidFill>
                    <w14:schemeClr w14:val="tx1"/>
                  </w14:solidFill>
                </w14:textFill>
              </w:rPr>
            </w:pPr>
            <w:r>
              <w:rPr>
                <w:color w:val="000000" w:themeColor="text1"/>
                <w:highlight w:val="none"/>
                <w14:textFill>
                  <w14:solidFill>
                    <w14:schemeClr w14:val="tx1"/>
                  </w14:solidFill>
                </w14:textFill>
              </w:rPr>
              <w:t>结合本项目的排污特点，</w:t>
            </w:r>
            <w:r>
              <w:rPr>
                <w:color w:val="000000" w:themeColor="text1"/>
                <w:sz w:val="24"/>
                <w:highlight w:val="none"/>
                <w14:textFill>
                  <w14:solidFill>
                    <w14:schemeClr w14:val="tx1"/>
                  </w14:solidFill>
                </w14:textFill>
              </w:rPr>
              <w:t>本项总量控制指标为</w:t>
            </w:r>
            <w:r>
              <w:rPr>
                <w:rFonts w:hint="eastAsia"/>
                <w:color w:val="000000" w:themeColor="text1"/>
                <w:sz w:val="24"/>
                <w:highlight w:val="none"/>
                <w:lang w:eastAsia="zh-CN"/>
                <w14:textFill>
                  <w14:solidFill>
                    <w14:schemeClr w14:val="tx1"/>
                  </w14:solidFill>
                </w14:textFill>
              </w:rPr>
              <w:t>氮氧化物、</w:t>
            </w:r>
            <w:r>
              <w:rPr>
                <w:color w:val="000000" w:themeColor="text1"/>
                <w:sz w:val="24"/>
                <w:highlight w:val="none"/>
                <w14:textFill>
                  <w14:solidFill>
                    <w14:schemeClr w14:val="tx1"/>
                  </w14:solidFill>
                </w14:textFill>
              </w:rPr>
              <w:t>COD</w:t>
            </w:r>
            <w:r>
              <w:rPr>
                <w:color w:val="000000" w:themeColor="text1"/>
                <w:sz w:val="24"/>
                <w:highlight w:val="none"/>
                <w:vertAlign w:val="subscript"/>
                <w14:textFill>
                  <w14:solidFill>
                    <w14:schemeClr w14:val="tx1"/>
                  </w14:solidFill>
                </w14:textFill>
              </w:rPr>
              <w:t>Cr</w:t>
            </w:r>
            <w:r>
              <w:rPr>
                <w:color w:val="000000" w:themeColor="text1"/>
                <w:sz w:val="24"/>
                <w:highlight w:val="none"/>
                <w14:textFill>
                  <w14:solidFill>
                    <w14:schemeClr w14:val="tx1"/>
                  </w14:solidFill>
                </w14:textFill>
              </w:rPr>
              <w:t>、NH</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-N。</w:t>
            </w:r>
          </w:p>
          <w:p>
            <w:pPr>
              <w:pStyle w:val="44"/>
              <w:bidi w:val="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①氮氧化物：</w:t>
            </w:r>
          </w:p>
          <w:p>
            <w:pPr>
              <w:tabs>
                <w:tab w:val="left" w:pos="3315"/>
              </w:tabs>
              <w:spacing w:line="360" w:lineRule="auto"/>
              <w:ind w:firstLine="480" w:firstLineChars="200"/>
              <w:rPr>
                <w:bCs/>
                <w:color w:val="000000" w:themeColor="text1"/>
                <w:sz w:val="24"/>
                <w:highlight w:val="none"/>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本项目</w:t>
            </w:r>
            <w:r>
              <w:rPr>
                <w:color w:val="000000" w:themeColor="text1"/>
                <w:sz w:val="24"/>
                <w:highlight w:val="none"/>
                <w14:textFill>
                  <w14:solidFill>
                    <w14:schemeClr w14:val="tx1"/>
                  </w14:solidFill>
                </w14:textFill>
              </w:rPr>
              <w:t>氮氧化物排放量采用产污系数法计算：</w:t>
            </w:r>
          </w:p>
          <w:p>
            <w:pPr>
              <w:spacing w:line="360" w:lineRule="auto"/>
              <w:ind w:firstLine="2160" w:firstLineChars="900"/>
              <w:rPr>
                <w:bCs/>
                <w:color w:val="000000" w:themeColor="text1"/>
                <w:sz w:val="24"/>
                <w:highlight w:val="none"/>
                <w14:textFill>
                  <w14:solidFill>
                    <w14:schemeClr w14:val="tx1"/>
                  </w14:solidFill>
                </w14:textFill>
              </w:rPr>
            </w:pPr>
            <w:r>
              <w:rPr>
                <w:bCs/>
                <w:color w:val="000000" w:themeColor="text1"/>
                <w:position w:val="-28"/>
                <w:sz w:val="24"/>
                <w:highlight w:val="none"/>
                <w14:textFill>
                  <w14:solidFill>
                    <w14:schemeClr w14:val="tx1"/>
                  </w14:solidFill>
                </w14:textFill>
              </w:rPr>
              <w:object>
                <v:shape id="_x0000_i1025" o:spt="75" type="#_x0000_t75" style="height:34.5pt;width:139.5pt;" o:ole="t" filled="f" o:preferrelative="t" stroked="f" coordsize="21600,21600">
                  <v:path/>
                  <v:fill on="f" focussize="0,0"/>
                  <v:stroke on="f" joinstyle="miter"/>
                  <v:imagedata r:id="rId18" o:title=""/>
                  <o:lock v:ext="edit" aspectratio="t"/>
                  <w10:wrap type="none"/>
                  <w10:anchorlock/>
                </v:shape>
                <o:OLEObject Type="Embed" ProgID="Equation.KSEE3" ShapeID="_x0000_i1025" DrawAspect="Content" ObjectID="_1468075725" r:id="rId17">
                  <o:LockedField>false</o:LockedField>
                </o:OLEObject>
              </w:objec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式中：</w:t>
            </w:r>
            <w:r>
              <w:rPr>
                <w:bCs/>
                <w:color w:val="000000" w:themeColor="text1"/>
                <w:sz w:val="24"/>
                <w:highlight w:val="none"/>
                <w14:textFill>
                  <w14:solidFill>
                    <w14:schemeClr w14:val="tx1"/>
                  </w14:solidFill>
                </w14:textFill>
              </w:rPr>
              <w:t>E</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—核算时段内第j种污染物排放量，t；</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R—核算时段内燃料耗量，</w:t>
            </w:r>
            <w:r>
              <w:rPr>
                <w:color w:val="000000" w:themeColor="text1"/>
                <w:sz w:val="24"/>
                <w:szCs w:val="22"/>
                <w:highlight w:val="none"/>
                <w14:textFill>
                  <w14:solidFill>
                    <w14:schemeClr w14:val="tx1"/>
                  </w14:solidFill>
                </w14:textFill>
              </w:rPr>
              <w:t>万</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天然气年用量为90万m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szCs w:val="22"/>
                <w:highlight w:val="none"/>
                <w14:textFill>
                  <w14:solidFill>
                    <w14:schemeClr w14:val="tx1"/>
                  </w14:solidFill>
                </w14:textFill>
              </w:rPr>
              <w:t>。</w:t>
            </w:r>
          </w:p>
          <w:p>
            <w:pPr>
              <w:spacing w:line="360" w:lineRule="auto"/>
              <w:ind w:firstLine="480" w:firstLineChars="200"/>
              <w:rPr>
                <w:rFonts w:hint="eastAsia" w:eastAsia="宋体"/>
                <w:color w:val="000000" w:themeColor="text1"/>
                <w:sz w:val="24"/>
                <w:szCs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w:t xml:space="preserve">      </w:t>
            </w:r>
            <w:r>
              <w:rPr>
                <w:bCs/>
                <w:color w:val="000000" w:themeColor="text1"/>
                <w:sz w:val="24"/>
                <w:highlight w:val="none"/>
                <w14:textFill>
                  <w14:solidFill>
                    <w14:schemeClr w14:val="tx1"/>
                  </w14:solidFill>
                </w14:textFill>
              </w:rPr>
              <w:t>β</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—产污系数，kg/万m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根据</w:t>
            </w:r>
            <w:r>
              <w:rPr>
                <w:rFonts w:hint="eastAsia"/>
                <w:color w:val="000000" w:themeColor="text1"/>
                <w:sz w:val="24"/>
                <w:szCs w:val="24"/>
                <w:highlight w:val="none"/>
                <w14:textFill>
                  <w14:solidFill>
                    <w14:schemeClr w14:val="tx1"/>
                  </w14:solidFill>
                </w14:textFill>
              </w:rPr>
              <w:t>《排污许可证申请与核发技术规范锅炉》</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HJ953-2018</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，本项目取</w:t>
            </w:r>
            <w:r>
              <w:rPr>
                <w:rFonts w:hint="eastAsia"/>
                <w:color w:val="000000" w:themeColor="text1"/>
                <w:sz w:val="24"/>
                <w:szCs w:val="24"/>
                <w:highlight w:val="none"/>
                <w:lang w:val="en-US" w:eastAsia="zh-CN"/>
                <w14:textFill>
                  <w14:solidFill>
                    <w14:schemeClr w14:val="tx1"/>
                  </w14:solidFill>
                </w14:textFill>
              </w:rPr>
              <w:t>9.36</w:t>
            </w:r>
            <w:r>
              <w:rPr>
                <w:color w:val="000000" w:themeColor="text1"/>
                <w:sz w:val="24"/>
                <w:highlight w:val="none"/>
                <w14:textFill>
                  <w14:solidFill>
                    <w14:schemeClr w14:val="tx1"/>
                  </w14:solidFill>
                </w14:textFill>
              </w:rPr>
              <w:t>kg/万m</w:t>
            </w:r>
            <w:r>
              <w:rPr>
                <w:color w:val="000000" w:themeColor="text1"/>
                <w:sz w:val="24"/>
                <w:highlight w:val="none"/>
                <w:vertAlign w:val="superscript"/>
                <w14:textFill>
                  <w14:solidFill>
                    <w14:schemeClr w14:val="tx1"/>
                  </w14:solidFill>
                </w14:textFill>
              </w:rPr>
              <w:t>3</w:t>
            </w:r>
            <w:r>
              <w:rPr>
                <w:rFonts w:hint="eastAsia"/>
                <w:color w:val="000000" w:themeColor="text1"/>
                <w:sz w:val="24"/>
                <w:szCs w:val="24"/>
                <w:highlight w:val="none"/>
                <w:lang w:eastAsia="zh-CN"/>
                <w14:textFill>
                  <w14:solidFill>
                    <w14:schemeClr w14:val="tx1"/>
                  </w14:solidFill>
                </w14:textFill>
              </w:rPr>
              <w:t>（低氮燃烧）</w:t>
            </w:r>
          </w:p>
          <w:p>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color w:val="000000" w:themeColor="text1"/>
                <w:sz w:val="24"/>
                <w:szCs w:val="24"/>
                <w:highlight w:val="none"/>
                <w14:textFill>
                  <w14:solidFill>
                    <w14:schemeClr w14:val="tx1"/>
                  </w14:solidFill>
                </w14:textFill>
              </w:rPr>
              <w:t xml:space="preserve">      η—污染物的脱除效率。</w:t>
            </w:r>
            <w:r>
              <w:rPr>
                <w:rFonts w:hint="eastAsia"/>
                <w:color w:val="000000" w:themeColor="text1"/>
                <w:sz w:val="24"/>
                <w:szCs w:val="24"/>
                <w:highlight w:val="none"/>
                <w:lang w:val="en-US" w:eastAsia="zh-CN"/>
                <w14:textFill>
                  <w14:solidFill>
                    <w14:schemeClr w14:val="tx1"/>
                  </w14:solidFill>
                </w14:textFill>
              </w:rPr>
              <w:t>由于</w:t>
            </w:r>
            <w:r>
              <w:rPr>
                <w:rStyle w:val="24"/>
                <w:rFonts w:hint="eastAsia"/>
                <w:color w:val="000000" w:themeColor="text1"/>
                <w:kern w:val="0"/>
                <w:sz w:val="24"/>
                <w:szCs w:val="24"/>
                <w:highlight w:val="none"/>
                <w:lang w:eastAsia="zh-CN"/>
                <w14:textFill>
                  <w14:solidFill>
                    <w14:schemeClr w14:val="tx1"/>
                  </w14:solidFill>
                </w14:textFill>
              </w:rPr>
              <w:t>产污系数中已为低氮燃烧系数，故</w:t>
            </w:r>
            <w:r>
              <w:rPr>
                <w:rFonts w:hint="eastAsia"/>
                <w:color w:val="000000" w:themeColor="text1"/>
                <w:sz w:val="24"/>
                <w:szCs w:val="24"/>
                <w:highlight w:val="none"/>
                <w:lang w:eastAsia="zh-CN"/>
                <w14:textFill>
                  <w14:solidFill>
                    <w14:schemeClr w14:val="tx1"/>
                  </w14:solidFill>
                </w14:textFill>
              </w:rPr>
              <w:t>取</w:t>
            </w:r>
            <w:r>
              <w:rPr>
                <w:rFonts w:hint="eastAsia"/>
                <w:color w:val="000000" w:themeColor="text1"/>
                <w:sz w:val="24"/>
                <w:szCs w:val="24"/>
                <w:highlight w:val="none"/>
                <w:lang w:val="en-US" w:eastAsia="zh-CN"/>
                <w14:textFill>
                  <w14:solidFill>
                    <w14:schemeClr w14:val="tx1"/>
                  </w14:solidFill>
                </w14:textFill>
              </w:rPr>
              <w:t>0</w:t>
            </w:r>
            <w:r>
              <w:rPr>
                <w:rStyle w:val="24"/>
                <w:rFonts w:hint="eastAsia"/>
                <w:color w:val="000000" w:themeColor="text1"/>
                <w:kern w:val="0"/>
                <w:sz w:val="24"/>
                <w:szCs w:val="24"/>
                <w:highlight w:val="none"/>
                <w:lang w:val="en-US" w:eastAsia="zh-CN"/>
                <w14:textFill>
                  <w14:solidFill>
                    <w14:schemeClr w14:val="tx1"/>
                  </w14:solidFill>
                </w14:textFill>
              </w:rPr>
              <w:t>。</w:t>
            </w:r>
          </w:p>
          <w:p>
            <w:pPr>
              <w:pStyle w:val="50"/>
              <w:bidi w:val="0"/>
              <w:rPr>
                <w:rFonts w:hint="default"/>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w:t>经计算得，</w:t>
            </w:r>
            <w:r>
              <w:rPr>
                <w:rFonts w:hint="eastAsia"/>
                <w:color w:val="000000" w:themeColor="text1"/>
                <w:sz w:val="24"/>
                <w:highlight w:val="none"/>
                <w:lang w:val="en-US" w:eastAsia="zh-CN"/>
                <w14:textFill>
                  <w14:solidFill>
                    <w14:schemeClr w14:val="tx1"/>
                  </w14:solidFill>
                </w14:textFill>
              </w:rPr>
              <w:t>3</w:t>
            </w:r>
            <w:r>
              <w:rPr>
                <w:snapToGrid w:val="0"/>
                <w:color w:val="000000" w:themeColor="text1"/>
                <w:kern w:val="0"/>
                <w:sz w:val="24"/>
                <w:highlight w:val="none"/>
                <w14:textFill>
                  <w14:solidFill>
                    <w14:schemeClr w14:val="tx1"/>
                  </w14:solidFill>
                </w14:textFill>
              </w:rPr>
              <w:t>t/h</w:t>
            </w:r>
            <w:r>
              <w:rPr>
                <w:rFonts w:hint="eastAsia"/>
                <w:snapToGrid w:val="0"/>
                <w:color w:val="000000" w:themeColor="text1"/>
                <w:kern w:val="0"/>
                <w:sz w:val="24"/>
                <w:highlight w:val="none"/>
                <w14:textFill>
                  <w14:solidFill>
                    <w14:schemeClr w14:val="tx1"/>
                  </w14:solidFill>
                </w14:textFill>
              </w:rPr>
              <w:t>蒸汽锅炉</w:t>
            </w:r>
            <w:r>
              <w:rPr>
                <w:rFonts w:hint="eastAsia"/>
                <w:snapToGrid w:val="0"/>
                <w:color w:val="000000" w:themeColor="text1"/>
                <w:kern w:val="0"/>
                <w:sz w:val="24"/>
                <w:highlight w:val="none"/>
                <w:lang w:eastAsia="zh-CN"/>
                <w14:textFill>
                  <w14:solidFill>
                    <w14:schemeClr w14:val="tx1"/>
                  </w14:solidFill>
                </w14:textFill>
              </w:rPr>
              <w:t>氮氧化物排放</w:t>
            </w:r>
            <w:r>
              <w:rPr>
                <w:rFonts w:hint="eastAsia"/>
                <w:snapToGrid w:val="0"/>
                <w:color w:val="000000" w:themeColor="text1"/>
                <w:kern w:val="0"/>
                <w:sz w:val="24"/>
                <w:highlight w:val="none"/>
                <w14:textFill>
                  <w14:solidFill>
                    <w14:schemeClr w14:val="tx1"/>
                  </w14:solidFill>
                </w14:textFill>
              </w:rPr>
              <w:t>量为0.</w:t>
            </w:r>
            <w:r>
              <w:rPr>
                <w:rFonts w:hint="eastAsia"/>
                <w:snapToGrid w:val="0"/>
                <w:color w:val="000000" w:themeColor="text1"/>
                <w:kern w:val="0"/>
                <w:sz w:val="24"/>
                <w:highlight w:val="none"/>
                <w:lang w:val="en-US" w:eastAsia="zh-CN"/>
                <w14:textFill>
                  <w14:solidFill>
                    <w14:schemeClr w14:val="tx1"/>
                  </w14:solidFill>
                </w14:textFill>
              </w:rPr>
              <w:t>84</w:t>
            </w:r>
            <w:r>
              <w:rPr>
                <w:rFonts w:hint="eastAsia"/>
                <w:snapToGrid w:val="0"/>
                <w:color w:val="000000" w:themeColor="text1"/>
                <w:kern w:val="0"/>
                <w:sz w:val="24"/>
                <w:highlight w:val="none"/>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w:t>
            </w:r>
          </w:p>
          <w:p>
            <w:pPr>
              <w:pStyle w:val="50"/>
              <w:bidi w:val="0"/>
              <w:rPr>
                <w:rFonts w:hint="eastAsia"/>
                <w:color w:val="000000" w:themeColor="text1"/>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②</w:t>
            </w:r>
            <w:r>
              <w:rPr>
                <w:color w:val="000000" w:themeColor="text1"/>
                <w:sz w:val="24"/>
                <w:highlight w:val="none"/>
                <w14:textFill>
                  <w14:solidFill>
                    <w14:schemeClr w14:val="tx1"/>
                  </w14:solidFill>
                </w14:textFill>
              </w:rPr>
              <w:t>COD</w:t>
            </w:r>
            <w:r>
              <w:rPr>
                <w:color w:val="000000" w:themeColor="text1"/>
                <w:sz w:val="24"/>
                <w:highlight w:val="none"/>
                <w:vertAlign w:val="subscript"/>
                <w14:textFill>
                  <w14:solidFill>
                    <w14:schemeClr w14:val="tx1"/>
                  </w14:solidFill>
                </w14:textFill>
              </w:rPr>
              <w:t>Cr</w:t>
            </w:r>
            <w:r>
              <w:rPr>
                <w:color w:val="000000" w:themeColor="text1"/>
                <w:sz w:val="24"/>
                <w:highlight w:val="none"/>
                <w14:textFill>
                  <w14:solidFill>
                    <w14:schemeClr w14:val="tx1"/>
                  </w14:solidFill>
                </w14:textFill>
              </w:rPr>
              <w:t>、NH</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-N</w:t>
            </w:r>
            <w:r>
              <w:rPr>
                <w:rFonts w:hint="eastAsia"/>
                <w:color w:val="000000" w:themeColor="text1"/>
                <w:highlight w:val="none"/>
                <w:lang w:val="en-US" w:eastAsia="zh-CN"/>
                <w14:textFill>
                  <w14:solidFill>
                    <w14:schemeClr w14:val="tx1"/>
                  </w14:solidFill>
                </w14:textFill>
              </w:rPr>
              <w:t xml:space="preserve">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本项目排水口：</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CODcr</w:t>
            </w:r>
            <w:r>
              <w:rPr>
                <w:rFonts w:hint="eastAsia"/>
                <w:color w:val="000000" w:themeColor="text1"/>
                <w:highlight w:val="none"/>
                <w:lang w:val="en-US" w:eastAsia="zh-CN"/>
                <w14:textFill>
                  <w14:solidFill>
                    <w14:schemeClr w14:val="tx1"/>
                  </w14:solidFill>
                </w14:textFill>
              </w:rPr>
              <w:t>总排放量</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4344/a×255</w:t>
            </w:r>
            <w:r>
              <w:rPr>
                <w:rFonts w:hint="default"/>
                <w:color w:val="000000" w:themeColor="text1"/>
                <w:highlight w:val="none"/>
                <w:lang w:val="en-US" w:eastAsia="zh-CN"/>
                <w14:textFill>
                  <w14:solidFill>
                    <w14:schemeClr w14:val="tx1"/>
                  </w14:solidFill>
                </w14:textFill>
              </w:rPr>
              <w:t>mg/L</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1.11t/a</w:t>
            </w:r>
          </w:p>
          <w:p>
            <w:pPr>
              <w:pStyle w:val="44"/>
              <w:bidi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氨氮</w:t>
            </w:r>
            <w:r>
              <w:rPr>
                <w:rFonts w:hint="eastAsia"/>
                <w:color w:val="000000" w:themeColor="text1"/>
                <w:highlight w:val="none"/>
                <w:lang w:eastAsia="zh-CN"/>
                <w14:textFill>
                  <w14:solidFill>
                    <w14:schemeClr w14:val="tx1"/>
                  </w14:solidFill>
                </w14:textFill>
              </w:rPr>
              <w:t>总</w:t>
            </w:r>
            <w:r>
              <w:rPr>
                <w:rFonts w:hint="eastAsia"/>
                <w:color w:val="000000" w:themeColor="text1"/>
                <w:highlight w:val="none"/>
                <w:lang w:val="en-US" w:eastAsia="zh-CN"/>
                <w14:textFill>
                  <w14:solidFill>
                    <w14:schemeClr w14:val="tx1"/>
                  </w14:solidFill>
                </w14:textFill>
              </w:rPr>
              <w:t>排放量</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953.8</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×28.5</w:t>
            </w:r>
            <w:r>
              <w:rPr>
                <w:rFonts w:hint="default"/>
                <w:color w:val="000000" w:themeColor="text1"/>
                <w:highlight w:val="none"/>
                <w:lang w:val="en-US" w:eastAsia="zh-CN"/>
                <w14:textFill>
                  <w14:solidFill>
                    <w14:schemeClr w14:val="tx1"/>
                  </w14:solidFill>
                </w14:textFill>
              </w:rPr>
              <w:t>mg/L</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0.12t/a</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由园区污水处理厂排水口处理后</w:t>
            </w:r>
            <w:r>
              <w:rPr>
                <w:rFonts w:hint="default"/>
                <w:color w:val="000000" w:themeColor="text1"/>
                <w:highlight w:val="none"/>
                <w:lang w:val="en-US" w:eastAsia="zh-CN"/>
                <w14:textFill>
                  <w14:solidFill>
                    <w14:schemeClr w14:val="tx1"/>
                  </w14:solidFill>
                </w14:textFill>
              </w:rPr>
              <w:t xml:space="preserve">CODcr </w:t>
            </w:r>
            <w:r>
              <w:rPr>
                <w:rFonts w:hint="eastAsia"/>
                <w:color w:val="000000" w:themeColor="text1"/>
                <w:highlight w:val="none"/>
                <w:lang w:val="en-US" w:eastAsia="zh-CN"/>
                <w14:textFill>
                  <w14:solidFill>
                    <w14:schemeClr w14:val="tx1"/>
                  </w14:solidFill>
                </w14:textFill>
              </w:rPr>
              <w:t>排放浓度为5</w:t>
            </w:r>
            <w:r>
              <w:rPr>
                <w:rFonts w:hint="default"/>
                <w:color w:val="000000" w:themeColor="text1"/>
                <w:highlight w:val="none"/>
                <w:lang w:val="en-US" w:eastAsia="zh-CN"/>
                <w14:textFill>
                  <w14:solidFill>
                    <w14:schemeClr w14:val="tx1"/>
                  </w14:solidFill>
                </w14:textFill>
              </w:rPr>
              <w:t>0mg/L</w:t>
            </w:r>
            <w:r>
              <w:rPr>
                <w:rFonts w:hint="eastAsia"/>
                <w:color w:val="000000" w:themeColor="text1"/>
                <w:highlight w:val="none"/>
                <w:lang w:val="en-US" w:eastAsia="zh-CN"/>
                <w14:textFill>
                  <w14:solidFill>
                    <w14:schemeClr w14:val="tx1"/>
                  </w14:solidFill>
                </w14:textFill>
              </w:rPr>
              <w:t>，氨氮排放浓度为</w:t>
            </w:r>
            <w:r>
              <w:rPr>
                <w:rFonts w:hint="default"/>
                <w:color w:val="000000" w:themeColor="text1"/>
                <w:highlight w:val="none"/>
                <w:lang w:val="en-US" w:eastAsia="zh-CN"/>
                <w14:textFill>
                  <w14:solidFill>
                    <w14:schemeClr w14:val="tx1"/>
                  </w14:solidFill>
                </w14:textFill>
              </w:rPr>
              <w:t>5mg/L</w:t>
            </w:r>
            <w:r>
              <w:rPr>
                <w:rFonts w:hint="eastAsia"/>
                <w:color w:val="000000" w:themeColor="text1"/>
                <w:highlight w:val="none"/>
                <w:lang w:val="en-US" w:eastAsia="zh-CN"/>
                <w14:textFill>
                  <w14:solidFill>
                    <w14:schemeClr w14:val="tx1"/>
                  </w14:solidFill>
                </w14:textFill>
              </w:rPr>
              <w:t>，由园区污水处理厂排入环境量：</w:t>
            </w:r>
          </w:p>
          <w:p>
            <w:pPr>
              <w:pStyle w:val="44"/>
              <w:bidi w:val="0"/>
              <w:rPr>
                <w:rFonts w:hint="default"/>
                <w:color w:val="000000" w:themeColor="text1"/>
                <w:highlight w:val="none"/>
                <w:lang w:val="en-US"/>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CODcr </w:t>
            </w:r>
            <w:r>
              <w:rPr>
                <w:rFonts w:hint="eastAsia"/>
                <w:color w:val="000000" w:themeColor="text1"/>
                <w:highlight w:val="none"/>
                <w:lang w:val="en-US" w:eastAsia="zh-CN"/>
                <w14:textFill>
                  <w14:solidFill>
                    <w14:schemeClr w14:val="tx1"/>
                  </w14:solidFill>
                </w14:textFill>
              </w:rPr>
              <w:t>总量控制指标</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4344t/a×</w:t>
            </w:r>
            <w:r>
              <w:rPr>
                <w:rFonts w:hint="default"/>
                <w:color w:val="000000" w:themeColor="text1"/>
                <w:highlight w:val="none"/>
                <w:lang w:val="en-US" w:eastAsia="zh-CN"/>
                <w14:textFill>
                  <w14:solidFill>
                    <w14:schemeClr w14:val="tx1"/>
                  </w14:solidFill>
                </w14:textFill>
              </w:rPr>
              <w:t>50mg/L</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0.22t/a</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氨氮总量控制指标</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4344</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5mg/L</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0.02t/a</w:t>
            </w:r>
          </w:p>
          <w:p>
            <w:pPr>
              <w:pStyle w:val="44"/>
              <w:bidi w:val="0"/>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综上分析，本项目废水排放总量控制指标为</w:t>
            </w:r>
            <w:r>
              <w:rPr>
                <w:rFonts w:hint="default"/>
                <w:color w:val="000000" w:themeColor="text1"/>
                <w:highlight w:val="none"/>
                <w:lang w:val="en-US" w:eastAsia="zh-CN"/>
                <w14:textFill>
                  <w14:solidFill>
                    <w14:schemeClr w14:val="tx1"/>
                  </w14:solidFill>
                </w14:textFill>
              </w:rPr>
              <w:t xml:space="preserve">CODcr </w:t>
            </w:r>
            <w:r>
              <w:rPr>
                <w:rFonts w:hint="eastAsia"/>
                <w:color w:val="000000" w:themeColor="text1"/>
                <w:highlight w:val="none"/>
                <w:lang w:val="en-US" w:eastAsia="zh-CN"/>
                <w14:textFill>
                  <w14:solidFill>
                    <w14:schemeClr w14:val="tx1"/>
                  </w14:solidFill>
                </w14:textFill>
              </w:rPr>
              <w:t>：0.22t/a，氨氮：0.02t/a。</w:t>
            </w:r>
          </w:p>
        </w:tc>
      </w:tr>
    </w:tbl>
    <w:p>
      <w:pPr>
        <w:pStyle w:val="17"/>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ascii="黑体" w:hAnsi="黑体" w:eastAsia="黑体"/>
          <w:snapToGrid w:val="0"/>
          <w:color w:val="000000" w:themeColor="text1"/>
          <w:sz w:val="36"/>
          <w:szCs w:val="36"/>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四、主要环境影响和保护措施</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30"/>
        <w:gridCol w:w="87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noWrap w:val="0"/>
            <w:tcMar>
              <w:left w:w="28" w:type="dxa"/>
              <w:right w:w="28" w:type="dxa"/>
            </w:tcMar>
            <w:vAlign w:val="center"/>
          </w:tcPr>
          <w:p>
            <w:pPr>
              <w:pStyle w:val="17"/>
              <w:adjustRightInd w:val="0"/>
              <w:snapToGrid w:val="0"/>
              <w:spacing w:before="0" w:beforeAutospacing="0" w:after="0" w:afterAutospacing="0"/>
              <w:jc w:val="center"/>
              <w:rPr>
                <w:rFonts w:hint="eastAsia"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施工</w:t>
            </w:r>
          </w:p>
          <w:p>
            <w:pPr>
              <w:pStyle w:val="17"/>
              <w:adjustRightInd w:val="0"/>
              <w:snapToGrid w:val="0"/>
              <w:spacing w:before="0" w:beforeAutospacing="0" w:after="0" w:afterAutospacing="0"/>
              <w:jc w:val="center"/>
              <w:rPr>
                <w:rFonts w:hint="eastAsia"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期环</w:t>
            </w:r>
          </w:p>
          <w:p>
            <w:pPr>
              <w:pStyle w:val="17"/>
              <w:adjustRightInd w:val="0"/>
              <w:snapToGrid w:val="0"/>
              <w:spacing w:before="0" w:beforeAutospacing="0" w:after="0" w:afterAutospacing="0"/>
              <w:jc w:val="center"/>
              <w:rPr>
                <w:rFonts w:hint="eastAsia"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境保</w:t>
            </w:r>
          </w:p>
          <w:p>
            <w:pPr>
              <w:pStyle w:val="17"/>
              <w:adjustRightInd w:val="0"/>
              <w:snapToGrid w:val="0"/>
              <w:spacing w:before="0" w:beforeAutospacing="0" w:after="0" w:afterAutospacing="0"/>
              <w:jc w:val="center"/>
              <w:rPr>
                <w:rFonts w:hint="eastAsia"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护措</w:t>
            </w:r>
          </w:p>
          <w:p>
            <w:pPr>
              <w:pStyle w:val="17"/>
              <w:adjustRightInd w:val="0"/>
              <w:snapToGrid w:val="0"/>
              <w:spacing w:before="0" w:beforeAutospacing="0" w:after="0" w:afterAutospacing="0"/>
              <w:jc w:val="center"/>
              <w:rPr>
                <w:rFonts w:hint="eastAsia" w:cs="宋体"/>
                <w:bCs/>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施</w:t>
            </w:r>
          </w:p>
        </w:tc>
        <w:tc>
          <w:tcPr>
            <w:tcW w:w="8162" w:type="dxa"/>
            <w:noWrap w:val="0"/>
            <w:vAlign w:val="center"/>
          </w:tcPr>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4.1施工期环境影响简要分析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施工期主要包括工程用地范围内的场地平整、基础工程，主要建筑设施修建、车间装修、设备安装和工程验收等，从污染程度和范围分析，工程施工废气和噪声对环境污染相对较突出，但施工期为短期行为，随着工程竣工影响基本消除。施工期的具体环境影响分析如下。</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本项目施工期产生的污染主要为场地平整、基础工程、主体工程建设过程中产生的噪声、扬尘、固体废物、施工机械尾气，以及辅助工程建设过程中产生的噪声和固体废物。</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大气污染防治措施</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在本项目施工过程中，由于地面平整、设备安装、材料装卸以及材料设备运输等过程产生的施工扬尘和汽车尾气，主要污染因子为粉尘。根据《辽宁省施工及堆料场地扬尘排放标准》（</w:t>
            </w:r>
            <w:r>
              <w:rPr>
                <w:rFonts w:hint="default"/>
                <w:color w:val="000000" w:themeColor="text1"/>
                <w:highlight w:val="none"/>
                <w:lang w:val="en-US" w:eastAsia="zh-CN"/>
                <w14:textFill>
                  <w14:solidFill>
                    <w14:schemeClr w14:val="tx1"/>
                  </w14:solidFill>
                </w14:textFill>
              </w:rPr>
              <w:t>DB21/2642-2016</w:t>
            </w:r>
            <w:r>
              <w:rPr>
                <w:rFonts w:hint="eastAsia"/>
                <w:color w:val="000000" w:themeColor="text1"/>
                <w:highlight w:val="none"/>
                <w:lang w:val="en-US" w:eastAsia="zh-CN"/>
                <w14:textFill>
                  <w14:solidFill>
                    <w14:schemeClr w14:val="tx1"/>
                  </w14:solidFill>
                </w14:textFill>
              </w:rPr>
              <w:t>）的相关要求，对以上施工期间产生的扬尘采取如下措施：</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施工现场的道路、作业场地采用硬化，经常洒水抑尘，出入口设置自动化洗车设施，保持出场车辆清洁；</w:t>
            </w:r>
          </w:p>
          <w:p>
            <w:pPr>
              <w:pStyle w:val="44"/>
              <w:numPr>
                <w:ilvl w:val="0"/>
                <w:numId w:val="0"/>
              </w:numPr>
              <w:bidi w:val="0"/>
              <w:ind w:firstLine="480" w:firstLineChars="200"/>
              <w:rPr>
                <w:rFonts w:hint="eastAsia" w:ascii="宋体" w:hAnsi="宋体" w:eastAsia="宋体" w:cs="宋体"/>
                <w:bCs/>
                <w:color w:val="000000" w:themeColor="text1"/>
                <w:spacing w:val="-10"/>
                <w:szCs w:val="2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）施工工地周围应当设置连续、密闭的钢骨架围挡，其高度不得低于</w:t>
            </w:r>
            <w:r>
              <w:rPr>
                <w:rFonts w:hint="default"/>
                <w:color w:val="000000" w:themeColor="text1"/>
                <w:highlight w:val="none"/>
                <w:lang w:val="en-US" w:eastAsia="zh-CN"/>
                <w14:textFill>
                  <w14:solidFill>
                    <w14:schemeClr w14:val="tx1"/>
                  </w14:solidFill>
                </w14:textFill>
              </w:rPr>
              <w:t>3m</w:t>
            </w:r>
            <w:r>
              <w:rPr>
                <w:rFonts w:hint="eastAsia"/>
                <w:color w:val="000000" w:themeColor="text1"/>
                <w:highlight w:val="none"/>
                <w:lang w:val="en-US" w:eastAsia="zh-CN"/>
                <w14:textFill>
                  <w14:solidFill>
                    <w14:schemeClr w14:val="tx1"/>
                  </w14:solidFill>
                </w14:textFill>
              </w:rPr>
              <w:t>，不得有污损或破损；</w:t>
            </w:r>
          </w:p>
          <w:p>
            <w:pPr>
              <w:pStyle w:val="44"/>
              <w:numPr>
                <w:ilvl w:val="0"/>
                <w:numId w:val="0"/>
              </w:numPr>
              <w:bidi w:val="0"/>
              <w:ind w:firstLine="480" w:firstLineChars="200"/>
              <w:rPr>
                <w:rFonts w:hint="eastAsia" w:ascii="宋体" w:hAnsi="宋体" w:eastAsia="宋体" w:cs="宋体"/>
                <w:bCs/>
                <w:color w:val="000000" w:themeColor="text1"/>
                <w:spacing w:val="-10"/>
                <w:szCs w:val="2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）易产生扬尘的物料堆放应当采取覆盖防尘网、洒水抑尘等措施；</w:t>
            </w:r>
          </w:p>
          <w:p>
            <w:pPr>
              <w:pStyle w:val="44"/>
              <w:numPr>
                <w:ilvl w:val="0"/>
                <w:numId w:val="0"/>
              </w:numPr>
              <w:bidi w:val="0"/>
              <w:ind w:firstLine="480" w:firstLineChars="200"/>
              <w:rPr>
                <w:rFonts w:hint="eastAsia" w:ascii="宋体" w:hAnsi="宋体" w:eastAsia="宋体" w:cs="宋体"/>
                <w:bCs/>
                <w:color w:val="000000" w:themeColor="text1"/>
                <w:spacing w:val="-10"/>
                <w:szCs w:val="2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4</w:t>
            </w:r>
            <w:r>
              <w:rPr>
                <w:rFonts w:hint="eastAsia"/>
                <w:color w:val="000000" w:themeColor="text1"/>
                <w:highlight w:val="none"/>
                <w:lang w:val="en-US" w:eastAsia="zh-CN"/>
                <w14:textFill>
                  <w14:solidFill>
                    <w14:schemeClr w14:val="tx1"/>
                  </w14:solidFill>
                </w14:textFill>
              </w:rPr>
              <w:t>）应当在每个作业面设立环保垃圾袋专区，配备环保垃圾袋。所有建筑垃圾、地面灰尘等必须清理干净、装袋运走。</w:t>
            </w:r>
          </w:p>
          <w:p>
            <w:pPr>
              <w:pStyle w:val="44"/>
              <w:numPr>
                <w:ilvl w:val="0"/>
                <w:numId w:val="0"/>
              </w:numPr>
              <w:bidi w:val="0"/>
              <w:ind w:firstLine="480" w:firstLineChars="200"/>
              <w:rPr>
                <w:rFonts w:hint="eastAsia" w:ascii="宋体" w:hAnsi="宋体" w:eastAsia="宋体" w:cs="宋体"/>
                <w:bCs/>
                <w:color w:val="000000" w:themeColor="text1"/>
                <w:spacing w:val="-10"/>
                <w:szCs w:val="2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机械作业及车辆运输也会排放一定量的废气，可通过尽量减少机械及车辆的作用次数，使用清洁燃料来减少污染。同时，由于施工车辆等数量不会很多，污染物排放量不大，而且施工期结束其排放即为零。此类废气由于排放量不大，通过加强管理，影响的程度与范围也相对小，对周边环境影响不大。</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间产生的设备安装等工序产生的焊接烟尘和表面防腐产生的有机废气，由于工程量较小，其产生的污染物量较小，距离敏感目标较远，因此产生的环境影响较小，可接受。采取以上措施后，可使施工期废气对周围环境的影响降至最低。</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废水污染防治措施</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施工废水主要来自施工人员产生的生活污水。本项目施工工期约为6个月，施工期大约平均每天需要工人</w:t>
            </w:r>
            <w:r>
              <w:rPr>
                <w:rFonts w:hint="default"/>
                <w:color w:val="000000" w:themeColor="text1"/>
                <w:highlight w:val="none"/>
                <w:lang w:val="en-US" w:eastAsia="zh-CN"/>
                <w14:textFill>
                  <w14:solidFill>
                    <w14:schemeClr w14:val="tx1"/>
                  </w14:solidFill>
                </w14:textFill>
              </w:rPr>
              <w:t>30</w:t>
            </w:r>
            <w:r>
              <w:rPr>
                <w:rFonts w:hint="eastAsia"/>
                <w:color w:val="000000" w:themeColor="text1"/>
                <w:highlight w:val="none"/>
                <w:lang w:val="en-US" w:eastAsia="zh-CN"/>
                <w14:textFill>
                  <w14:solidFill>
                    <w14:schemeClr w14:val="tx1"/>
                  </w14:solidFill>
                </w14:textFill>
              </w:rPr>
              <w:t>人，平均用水量按</w:t>
            </w:r>
            <w:r>
              <w:rPr>
                <w:rFonts w:hint="default"/>
                <w:color w:val="000000" w:themeColor="text1"/>
                <w:highlight w:val="none"/>
                <w:lang w:val="en-US" w:eastAsia="zh-CN"/>
                <w14:textFill>
                  <w14:solidFill>
                    <w14:schemeClr w14:val="tx1"/>
                  </w14:solidFill>
                </w14:textFill>
              </w:rPr>
              <w:t>50L/(</w:t>
            </w:r>
            <w:r>
              <w:rPr>
                <w:rFonts w:hint="eastAsia"/>
                <w:color w:val="000000" w:themeColor="text1"/>
                <w:highlight w:val="none"/>
                <w:lang w:val="en-US" w:eastAsia="zh-CN"/>
                <w14:textFill>
                  <w14:solidFill>
                    <w14:schemeClr w14:val="tx1"/>
                  </w14:solidFill>
                </w14:textFill>
              </w:rPr>
              <w:t>人</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计，其污水排放系数取值</w:t>
            </w:r>
            <w:r>
              <w:rPr>
                <w:rFonts w:hint="default"/>
                <w:color w:val="000000" w:themeColor="text1"/>
                <w:highlight w:val="none"/>
                <w:lang w:val="en-US" w:eastAsia="zh-CN"/>
                <w14:textFill>
                  <w14:solidFill>
                    <w14:schemeClr w14:val="tx1"/>
                  </w14:solidFill>
                </w14:textFill>
              </w:rPr>
              <w:t>0.80</w:t>
            </w:r>
            <w:r>
              <w:rPr>
                <w:rFonts w:hint="eastAsia"/>
                <w:color w:val="000000" w:themeColor="text1"/>
                <w:highlight w:val="none"/>
                <w:lang w:val="en-US" w:eastAsia="zh-CN"/>
                <w14:textFill>
                  <w14:solidFill>
                    <w14:schemeClr w14:val="tx1"/>
                  </w14:solidFill>
                </w14:textFill>
              </w:rPr>
              <w:t>，则施工期排放污水量为</w:t>
            </w:r>
            <w:r>
              <w:rPr>
                <w:rFonts w:hint="default"/>
                <w:color w:val="000000" w:themeColor="text1"/>
                <w:highlight w:val="none"/>
                <w:lang w:val="en-US" w:eastAsia="zh-CN"/>
                <w14:textFill>
                  <w14:solidFill>
                    <w14:schemeClr w14:val="tx1"/>
                  </w14:solidFill>
                </w14:textFill>
              </w:rPr>
              <w:t>0.12t/d</w:t>
            </w:r>
            <w:r>
              <w:rPr>
                <w:rFonts w:hint="eastAsia"/>
                <w:color w:val="000000" w:themeColor="text1"/>
                <w:highlight w:val="none"/>
                <w:lang w:val="en-US" w:eastAsia="zh-CN"/>
                <w14:textFill>
                  <w14:solidFill>
                    <w14:schemeClr w14:val="tx1"/>
                  </w14:solidFill>
                </w14:textFill>
              </w:rPr>
              <w:t>。项目施工期污水成分较简单，生活污水主要污染物为</w:t>
            </w:r>
            <w:r>
              <w:rPr>
                <w:rFonts w:hint="default"/>
                <w:color w:val="000000" w:themeColor="text1"/>
                <w:highlight w:val="none"/>
                <w:lang w:val="en-US" w:eastAsia="zh-CN"/>
                <w14:textFill>
                  <w14:solidFill>
                    <w14:schemeClr w14:val="tx1"/>
                  </w14:solidFill>
                </w14:textFill>
              </w:rPr>
              <w:t>COD</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SS</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w:t>
            </w:r>
            <w:r>
              <w:rPr>
                <w:rFonts w:hint="eastAsia"/>
                <w:color w:val="000000" w:themeColor="text1"/>
                <w:highlight w:val="none"/>
                <w:lang w:val="en-US" w:eastAsia="zh-CN"/>
                <w14:textFill>
                  <w14:solidFill>
                    <w14:schemeClr w14:val="tx1"/>
                  </w14:solidFill>
                </w14:textFill>
              </w:rPr>
              <w:t>。施工人员生活污水排入临时防渗化粪池处理后定期清掏，不会对地表水环境产生影响。</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噪声污染防治措施</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施工期噪声源主要是施工机械和运输机械噪声，根据类比调查可知，不同施工阶段具有各自的噪声特性。当多台设备同时作业时，产生噪声叠加，根据类比调查，叠加后的噪声增加</w:t>
            </w:r>
            <w:r>
              <w:rPr>
                <w:rFonts w:hint="default"/>
                <w:color w:val="000000" w:themeColor="text1"/>
                <w:highlight w:val="none"/>
                <w:lang w:val="en-US" w:eastAsia="zh-CN"/>
                <w14:textFill>
                  <w14:solidFill>
                    <w14:schemeClr w14:val="tx1"/>
                  </w14:solidFill>
                </w14:textFill>
              </w:rPr>
              <w:t>3~8dB(A)</w:t>
            </w:r>
            <w:r>
              <w:rPr>
                <w:rFonts w:hint="eastAsia"/>
                <w:color w:val="000000" w:themeColor="text1"/>
                <w:highlight w:val="none"/>
                <w:lang w:val="en-US" w:eastAsia="zh-CN"/>
                <w14:textFill>
                  <w14:solidFill>
                    <w14:schemeClr w14:val="tx1"/>
                  </w14:solidFill>
                </w14:textFill>
              </w:rPr>
              <w:t>，一般不会超过</w:t>
            </w:r>
            <w:r>
              <w:rPr>
                <w:rFonts w:hint="default"/>
                <w:color w:val="000000" w:themeColor="text1"/>
                <w:highlight w:val="none"/>
                <w:lang w:val="en-US" w:eastAsia="zh-CN"/>
                <w14:textFill>
                  <w14:solidFill>
                    <w14:schemeClr w14:val="tx1"/>
                  </w14:solidFill>
                </w14:textFill>
              </w:rPr>
              <w:t>10dB(A)</w:t>
            </w:r>
            <w:r>
              <w:rPr>
                <w:rFonts w:hint="eastAsia"/>
                <w:color w:val="000000" w:themeColor="text1"/>
                <w:highlight w:val="none"/>
                <w:lang w:val="en-US" w:eastAsia="zh-CN"/>
                <w14:textFill>
                  <w14:solidFill>
                    <w14:schemeClr w14:val="tx1"/>
                  </w14:solidFill>
                </w14:textFill>
              </w:rPr>
              <w:t>。根据《环境噪声与振动控制工程技术导则》（</w:t>
            </w:r>
            <w:r>
              <w:rPr>
                <w:rFonts w:hint="default"/>
                <w:color w:val="000000" w:themeColor="text1"/>
                <w:highlight w:val="none"/>
                <w:lang w:val="en-US" w:eastAsia="zh-CN"/>
                <w14:textFill>
                  <w14:solidFill>
                    <w14:schemeClr w14:val="tx1"/>
                  </w14:solidFill>
                </w14:textFill>
              </w:rPr>
              <w:t>HJ2034-2013</w:t>
            </w:r>
            <w:r>
              <w:rPr>
                <w:rFonts w:hint="eastAsia"/>
                <w:color w:val="000000" w:themeColor="text1"/>
                <w:highlight w:val="none"/>
                <w:lang w:val="en-US" w:eastAsia="zh-CN"/>
                <w14:textFill>
                  <w14:solidFill>
                    <w14:schemeClr w14:val="tx1"/>
                  </w14:solidFill>
                </w14:textFill>
              </w:rPr>
              <w:t>），项目施工期的产噪设备噪声级见下表。</w:t>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 xml:space="preserve">表 </w:t>
            </w:r>
            <w:r>
              <w:rPr>
                <w:rFonts w:hint="default"/>
                <w:b/>
                <w:bCs/>
                <w:color w:val="000000" w:themeColor="text1"/>
                <w:highlight w:val="none"/>
                <w:lang w:val="en-US" w:eastAsia="zh-CN"/>
                <w14:textFill>
                  <w14:solidFill>
                    <w14:schemeClr w14:val="tx1"/>
                  </w14:solidFill>
                </w14:textFill>
              </w:rPr>
              <w:t xml:space="preserve">4-1 </w:t>
            </w:r>
            <w:r>
              <w:rPr>
                <w:rFonts w:hint="eastAsia"/>
                <w:b/>
                <w:bCs/>
                <w:color w:val="000000" w:themeColor="text1"/>
                <w:highlight w:val="none"/>
                <w:lang w:val="en-US" w:eastAsia="zh-CN"/>
                <w14:textFill>
                  <w14:solidFill>
                    <w14:schemeClr w14:val="tx1"/>
                  </w14:solidFill>
                </w14:textFill>
              </w:rPr>
              <w:t>主要施工机械设备的噪声源强 单位：</w:t>
            </w:r>
            <w:r>
              <w:rPr>
                <w:rFonts w:hint="default"/>
                <w:b/>
                <w:bCs/>
                <w:color w:val="000000" w:themeColor="text1"/>
                <w:highlight w:val="none"/>
                <w:lang w:val="en-US" w:eastAsia="zh-CN"/>
                <w14:textFill>
                  <w14:solidFill>
                    <w14:schemeClr w14:val="tx1"/>
                  </w14:solidFill>
                </w14:textFill>
              </w:rPr>
              <w:t>dB</w:t>
            </w:r>
            <w:r>
              <w:rPr>
                <w:rFonts w:hint="eastAsia"/>
                <w:b/>
                <w:bCs/>
                <w:color w:val="000000" w:themeColor="text1"/>
                <w:highlight w:val="none"/>
                <w:lang w:val="en-US" w:eastAsia="zh-CN"/>
                <w14:textFill>
                  <w14:solidFill>
                    <w14:schemeClr w14:val="tx1"/>
                  </w14:solidFill>
                </w14:textFill>
              </w:rPr>
              <w:t>（</w:t>
            </w:r>
            <w:r>
              <w:rPr>
                <w:rFonts w:hint="default"/>
                <w:b/>
                <w:bCs/>
                <w:color w:val="000000" w:themeColor="text1"/>
                <w:highlight w:val="none"/>
                <w:lang w:val="en-US" w:eastAsia="zh-CN"/>
                <w14:textFill>
                  <w14:solidFill>
                    <w14:schemeClr w14:val="tx1"/>
                  </w14:solidFill>
                </w14:textFill>
              </w:rPr>
              <w:t>A)</w:t>
            </w:r>
          </w:p>
          <w:tbl>
            <w:tblPr>
              <w:tblStyle w:val="2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4"/>
              <w:gridCol w:w="2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施工阶段</w:t>
                  </w:r>
                </w:p>
              </w:tc>
              <w:tc>
                <w:tcPr>
                  <w:tcW w:w="1249"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施工机械</w:t>
                  </w:r>
                </w:p>
              </w:tc>
              <w:tc>
                <w:tcPr>
                  <w:tcW w:w="1250" w:type="pc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1m处测量声级</w:t>
                  </w:r>
                </w:p>
              </w:tc>
              <w:tc>
                <w:tcPr>
                  <w:tcW w:w="1251" w:type="pc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噪声叠加值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场地平整</w:t>
                  </w: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推土机</w:t>
                  </w:r>
                </w:p>
              </w:tc>
              <w:tc>
                <w:tcPr>
                  <w:tcW w:w="1250" w:type="pct"/>
                  <w:tcBorders>
                    <w:tl2br w:val="nil"/>
                    <w:tr2bl w:val="nil"/>
                  </w:tcBorders>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c>
                <w:tcPr>
                  <w:tcW w:w="1251" w:type="pct"/>
                  <w:vMerge w:val="restar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96.01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挖掘机</w:t>
                  </w:r>
                </w:p>
              </w:tc>
              <w:tc>
                <w:tcPr>
                  <w:tcW w:w="1250" w:type="pct"/>
                  <w:tcBorders>
                    <w:tl2br w:val="nil"/>
                    <w:tr2bl w:val="nil"/>
                  </w:tcBorders>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95</w:t>
                  </w:r>
                </w:p>
              </w:tc>
              <w:tc>
                <w:tcPr>
                  <w:tcW w:w="1251"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249"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吊车</w:t>
                  </w:r>
                </w:p>
              </w:tc>
              <w:tc>
                <w:tcPr>
                  <w:tcW w:w="1250" w:type="pct"/>
                  <w:tcBorders>
                    <w:tl2br w:val="nil"/>
                    <w:tr2bl w:val="nil"/>
                  </w:tcBorders>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c>
                <w:tcPr>
                  <w:tcW w:w="1251"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搅拌机</w:t>
                  </w:r>
                </w:p>
              </w:tc>
              <w:tc>
                <w:tcPr>
                  <w:tcW w:w="1250" w:type="pct"/>
                  <w:tcBorders>
                    <w:tl2br w:val="nil"/>
                    <w:tr2bl w:val="nil"/>
                  </w:tcBorders>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c>
                <w:tcPr>
                  <w:tcW w:w="1251" w:type="pct"/>
                  <w:vMerge w:val="continue"/>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装载机</w:t>
                  </w:r>
                </w:p>
              </w:tc>
              <w:tc>
                <w:tcPr>
                  <w:tcW w:w="1250"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c>
                <w:tcPr>
                  <w:tcW w:w="1251" w:type="pct"/>
                  <w:vMerge w:val="continue"/>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restart"/>
                  <w:tcBorders>
                    <w:tl2br w:val="nil"/>
                    <w:tr2bl w:val="nil"/>
                  </w:tcBorders>
                  <w:vAlign w:val="center"/>
                </w:tcPr>
                <w:p>
                  <w:pPr>
                    <w:pStyle w:val="45"/>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结构</w:t>
                  </w:r>
                </w:p>
              </w:tc>
              <w:tc>
                <w:tcPr>
                  <w:tcW w:w="1249" w:type="pct"/>
                  <w:tcBorders>
                    <w:tl2br w:val="nil"/>
                    <w:tr2bl w:val="nil"/>
                  </w:tcBorders>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切割机</w:t>
                  </w:r>
                </w:p>
              </w:tc>
              <w:tc>
                <w:tcPr>
                  <w:tcW w:w="1250" w:type="pct"/>
                  <w:tcBorders>
                    <w:tl2br w:val="nil"/>
                    <w:tr2bl w:val="nil"/>
                  </w:tcBorders>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c>
                <w:tcPr>
                  <w:tcW w:w="1251" w:type="pct"/>
                  <w:vMerge w:val="restart"/>
                  <w:tcBorders>
                    <w:tl2br w:val="nil"/>
                    <w:tr2bl w:val="nil"/>
                  </w:tcBorders>
                  <w:vAlign w:val="center"/>
                </w:tcPr>
                <w:p>
                  <w:pPr>
                    <w:pStyle w:val="45"/>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电钻</w:t>
                  </w:r>
                </w:p>
              </w:tc>
              <w:tc>
                <w:tcPr>
                  <w:tcW w:w="1250" w:type="pct"/>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80</w:t>
                  </w:r>
                </w:p>
              </w:tc>
              <w:tc>
                <w:tcPr>
                  <w:tcW w:w="1251" w:type="pct"/>
                  <w:vMerge w:val="continue"/>
                </w:tcPr>
                <w:p>
                  <w:pPr>
                    <w:pStyle w:val="45"/>
                    <w:bidi w:val="0"/>
                    <w:jc w:val="center"/>
                    <w:rPr>
                      <w:rFonts w:hint="eastAsia"/>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vMerge w:val="continue"/>
                </w:tcPr>
                <w:p>
                  <w:pPr>
                    <w:pStyle w:val="45"/>
                    <w:bidi w:val="0"/>
                    <w:jc w:val="center"/>
                    <w:rPr>
                      <w:rFonts w:hint="eastAsia"/>
                      <w:color w:val="000000" w:themeColor="text1"/>
                      <w:highlight w:val="none"/>
                      <w:lang w:val="en-US" w:eastAsia="zh-CN"/>
                      <w14:textFill>
                        <w14:solidFill>
                          <w14:schemeClr w14:val="tx1"/>
                        </w14:solidFill>
                      </w14:textFill>
                    </w:rPr>
                  </w:pPr>
                </w:p>
              </w:tc>
              <w:tc>
                <w:tcPr>
                  <w:tcW w:w="1249" w:type="pct"/>
                  <w:vAlign w:val="top"/>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电焊机</w:t>
                  </w:r>
                </w:p>
              </w:tc>
              <w:tc>
                <w:tcPr>
                  <w:tcW w:w="1250" w:type="pct"/>
                  <w:vAlign w:val="top"/>
                </w:tcPr>
                <w:p>
                  <w:pPr>
                    <w:pStyle w:val="45"/>
                    <w:bidi w:val="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85</w:t>
                  </w:r>
                </w:p>
              </w:tc>
              <w:tc>
                <w:tcPr>
                  <w:tcW w:w="1251" w:type="pct"/>
                  <w:vMerge w:val="continue"/>
                </w:tcPr>
                <w:p>
                  <w:pPr>
                    <w:pStyle w:val="45"/>
                    <w:bidi w:val="0"/>
                    <w:jc w:val="center"/>
                    <w:rPr>
                      <w:rFonts w:hint="eastAsia"/>
                      <w:color w:val="000000" w:themeColor="text1"/>
                      <w:highlight w:val="none"/>
                      <w:lang w:val="en-US" w:eastAsia="zh-CN"/>
                      <w14:textFill>
                        <w14:solidFill>
                          <w14:schemeClr w14:val="tx1"/>
                        </w14:solidFill>
                      </w14:textFill>
                    </w:rPr>
                  </w:pPr>
                </w:p>
              </w:tc>
            </w:tr>
          </w:tbl>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施工期噪声特点</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在不同的施工阶段所投入的设备对环境噪声的影响特征不同，在施工初期，主要是挖、填土方，平整土地，以各种运输车辆噪声为主，施工设备的运行具有分散性，噪声具有流动性和不稳定性特征，对周围环境的影响不太明显；在施工中期固定噪声源增多，如切割、升降、电钻等它们运行使用时间较长、频繁，此阶段对周围环境的影响也较明显。</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②施工噪声对环境的影响很大程度上取决于施工点与敏感点的距离和施工时间，距离越近或在夜间施工时间越长，产生的影响也就越大、越明显。</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w:t>
            </w:r>
            <w:r>
              <w:rPr>
                <w:rFonts w:hint="eastAsia"/>
                <w:color w:val="000000" w:themeColor="text1"/>
                <w:kern w:val="2"/>
                <w:sz w:val="24"/>
                <w:szCs w:val="24"/>
                <w:highlight w:val="none"/>
                <w:lang w:val="en-US" w:eastAsia="zh-CN" w:bidi="ar-SA"/>
                <w14:textFill>
                  <w14:solidFill>
                    <w14:schemeClr w14:val="tx1"/>
                  </w14:solidFill>
                </w14:textFill>
              </w:rPr>
              <w:t>2</w:t>
            </w: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建议采取以下措施来减轻其影响：</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①项目施工场地设置隔声屏障，高噪声设备周围设置屏蔽物。</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②施工现场优先采用低噪声设备。</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③施工现场合理布局。施工现场的固定噪声源尽量置于远离环境敏感受纳体的位置，重型运载车辆的运行路线，应尽量避开噪声敏感区，尽量减少交通堵塞。</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④加强施工管理，合理安排施工时间。施工期禁止夜间施工，避免同一地点安排大量高噪声设备同时施工，加强管理，可使施工期设备噪声对周围环境的影响在可接受范围内。</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噪声中对声环境影响最大的是施工机械噪声，在采取以上噪声防治措施，经距离衰减后，厂界噪声可以满足《建筑施工场界环境噪声排放标准》（</w:t>
            </w:r>
            <w:r>
              <w:rPr>
                <w:rFonts w:hint="default"/>
                <w:color w:val="000000" w:themeColor="text1"/>
                <w:highlight w:val="none"/>
                <w:lang w:val="en-US" w:eastAsia="zh-CN"/>
                <w14:textFill>
                  <w14:solidFill>
                    <w14:schemeClr w14:val="tx1"/>
                  </w14:solidFill>
                </w14:textFill>
              </w:rPr>
              <w:t>GB12523-2011</w:t>
            </w:r>
            <w:r>
              <w:rPr>
                <w:rFonts w:hint="eastAsia"/>
                <w:color w:val="000000" w:themeColor="text1"/>
                <w:highlight w:val="none"/>
                <w:lang w:val="en-US" w:eastAsia="zh-CN"/>
                <w14:textFill>
                  <w14:solidFill>
                    <w14:schemeClr w14:val="tx1"/>
                  </w14:solidFill>
                </w14:textFill>
              </w:rPr>
              <w:t>）昼间标准要求，该项目施工噪声不会对周围环境产生明显影响。</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kern w:val="2"/>
                <w:sz w:val="24"/>
                <w:szCs w:val="24"/>
                <w:highlight w:val="none"/>
                <w:lang w:val="en-US" w:eastAsia="zh-CN" w:bidi="ar-SA"/>
                <w14:textFill>
                  <w14:solidFill>
                    <w14:schemeClr w14:val="tx1"/>
                  </w14:solidFill>
                </w14:textFill>
              </w:rPr>
              <w:t>4、</w:t>
            </w:r>
            <w:r>
              <w:rPr>
                <w:rFonts w:hint="eastAsia"/>
                <w:color w:val="000000" w:themeColor="text1"/>
                <w:highlight w:val="none"/>
                <w:lang w:val="en-US" w:eastAsia="zh-CN"/>
                <w14:textFill>
                  <w14:solidFill>
                    <w14:schemeClr w14:val="tx1"/>
                  </w14:solidFill>
                </w14:textFill>
              </w:rPr>
              <w:t>固废污染防治措施</w:t>
            </w:r>
          </w:p>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产生的固体废物主要为建筑垃圾与施工人员的生活垃圾，生活垃圾收集后送至附近垃圾暂存点，最终由环卫部门统一处理；建筑垃圾送往建筑垃圾暂存处，统一定期清运至城建部门指定地点处理。采取以上措施后，施工期固体废物可得到妥善处置，不会对周围环境产生明显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34" w:hRule="atLeast"/>
          <w:jc w:val="center"/>
        </w:trPr>
        <w:tc>
          <w:tcPr>
            <w:tcW w:w="746" w:type="dxa"/>
            <w:noWrap w:val="0"/>
            <w:tcMar>
              <w:left w:w="28" w:type="dxa"/>
              <w:right w:w="28" w:type="dxa"/>
            </w:tcMar>
            <w:vAlign w:val="center"/>
          </w:tcPr>
          <w:p>
            <w:pPr>
              <w:adjustRightInd w:val="0"/>
              <w:snapToGrid w:val="0"/>
              <w:jc w:val="center"/>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运营</w:t>
            </w:r>
          </w:p>
          <w:p>
            <w:pPr>
              <w:adjustRightInd w:val="0"/>
              <w:snapToGrid w:val="0"/>
              <w:jc w:val="center"/>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期环</w:t>
            </w:r>
          </w:p>
          <w:p>
            <w:pPr>
              <w:adjustRightInd w:val="0"/>
              <w:snapToGrid w:val="0"/>
              <w:jc w:val="center"/>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境影</w:t>
            </w:r>
          </w:p>
          <w:p>
            <w:pPr>
              <w:adjustRightInd w:val="0"/>
              <w:snapToGrid w:val="0"/>
              <w:jc w:val="center"/>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响和</w:t>
            </w:r>
          </w:p>
          <w:p>
            <w:pPr>
              <w:adjustRightInd w:val="0"/>
              <w:snapToGrid w:val="0"/>
              <w:jc w:val="center"/>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保护</w:t>
            </w:r>
          </w:p>
          <w:p>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措施</w:t>
            </w:r>
          </w:p>
        </w:tc>
        <w:tc>
          <w:tcPr>
            <w:tcW w:w="8162" w:type="dxa"/>
            <w:noWrap w:val="0"/>
            <w:vAlign w:val="center"/>
          </w:tcPr>
          <w:p>
            <w:pPr>
              <w:pStyle w:val="44"/>
              <w:bidi w:val="0"/>
              <w:ind w:left="0" w:leftChars="0" w:firstLine="0" w:firstLineChars="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 xml:space="preserve">4.2运营期环境影响分析 </w:t>
            </w:r>
          </w:p>
          <w:p>
            <w:pPr>
              <w:pStyle w:val="44"/>
              <w:bidi w:val="0"/>
              <w:ind w:left="0" w:leftChars="0" w:firstLine="0" w:firstLineChars="0"/>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4.2.1废气影响分析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（1）锅炉烟气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3t/h燃气蒸汽</w:t>
            </w:r>
            <w:r>
              <w:rPr>
                <w:rFonts w:hint="eastAsia"/>
                <w:color w:val="000000" w:themeColor="text1"/>
                <w:highlight w:val="none"/>
                <w:lang w:eastAsia="zh-CN"/>
                <w14:textFill>
                  <w14:solidFill>
                    <w14:schemeClr w14:val="tx1"/>
                  </w14:solidFill>
                </w14:textFill>
              </w:rPr>
              <w:t>锅炉使用天然气作为燃料，年运行</w:t>
            </w:r>
            <w:r>
              <w:rPr>
                <w:rFonts w:hint="eastAsia"/>
                <w:color w:val="000000" w:themeColor="text1"/>
                <w:highlight w:val="none"/>
                <w:lang w:val="en-US" w:eastAsia="zh-CN"/>
                <w14:textFill>
                  <w14:solidFill>
                    <w14:schemeClr w14:val="tx1"/>
                  </w14:solidFill>
                </w14:textFill>
              </w:rPr>
              <w:t>300d，每天工作24h，天然气年用量为90万m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参考《锅炉产排污量核算系数手册》（《排放源统计调查产排污核算方法和系数手册》中“4430工业锅炉（热力供应)行业系数手册”）、《排污许可证申请与核发技术规范锅炉》(HJ953-2018)、《环境保护使用数据手册》、《社会区域类环境影响评价》中产污系数及</w:t>
            </w:r>
            <w:r>
              <w:rPr>
                <w:color w:val="000000" w:themeColor="text1"/>
                <w:sz w:val="24"/>
                <w:highlight w:val="none"/>
                <w14:textFill>
                  <w14:solidFill>
                    <w14:schemeClr w14:val="tx1"/>
                  </w14:solidFill>
                </w14:textFill>
              </w:rPr>
              <w:t>物料衡算法</w:t>
            </w:r>
            <w:r>
              <w:rPr>
                <w:rFonts w:hint="eastAsia"/>
                <w:color w:val="000000" w:themeColor="text1"/>
                <w:highlight w:val="none"/>
                <w:lang w:val="en-US" w:eastAsia="zh-CN"/>
                <w14:textFill>
                  <w14:solidFill>
                    <w14:schemeClr w14:val="tx1"/>
                  </w14:solidFill>
                </w14:textFill>
              </w:rPr>
              <w:t>进行计算。</w:t>
            </w:r>
          </w:p>
          <w:p>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项目所用天然气符合《中华人民共和国标准 天然气》（GB18720-2018）中二类用气。根据《污染源源强核算技术指南锅炉</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HJ991</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2018</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》和《排污许可证申请与核发技术规范锅炉（HJ953）》，燃天然气锅炉，干烟气排放量的经验公式如下：</w:t>
            </w:r>
          </w:p>
          <w:p>
            <w:pPr>
              <w:spacing w:line="360" w:lineRule="auto"/>
              <w:ind w:firstLine="480" w:firstLineChars="200"/>
              <w:jc w:val="center"/>
              <w:rPr>
                <w:color w:val="000000" w:themeColor="text1"/>
                <w:sz w:val="24"/>
                <w:highlight w:val="none"/>
                <w:vertAlign w:val="superscript"/>
                <w14:textFill>
                  <w14:solidFill>
                    <w14:schemeClr w14:val="tx1"/>
                  </w14:solidFill>
                </w14:textFill>
              </w:rPr>
            </w:pPr>
            <w:r>
              <w:rPr>
                <w:rFonts w:hint="eastAsia"/>
                <w:color w:val="000000" w:themeColor="text1"/>
                <w:sz w:val="24"/>
                <w:highlight w:val="none"/>
                <w14:textFill>
                  <w14:solidFill>
                    <w14:schemeClr w14:val="tx1"/>
                  </w14:solidFill>
                </w14:textFill>
              </w:rPr>
              <w:t>V</w:t>
            </w:r>
            <w:r>
              <w:rPr>
                <w:color w:val="000000" w:themeColor="text1"/>
                <w:sz w:val="24"/>
                <w:highlight w:val="none"/>
                <w14:textFill>
                  <w14:solidFill>
                    <w14:schemeClr w14:val="tx1"/>
                  </w14:solidFill>
                </w14:textFill>
              </w:rPr>
              <w:t>=0.285Q</w:t>
            </w:r>
            <w:r>
              <w:rPr>
                <w:rFonts w:hint="eastAsia"/>
                <w:color w:val="000000" w:themeColor="text1"/>
                <w:sz w:val="24"/>
                <w:highlight w:val="none"/>
                <w14:textFill>
                  <w14:solidFill>
                    <w14:schemeClr w14:val="tx1"/>
                  </w14:solidFill>
                </w14:textFill>
              </w:rPr>
              <w:t>net,ar</w:t>
            </w:r>
            <w:r>
              <w:rPr>
                <w:color w:val="000000" w:themeColor="text1"/>
                <w:sz w:val="24"/>
                <w:highlight w:val="none"/>
                <w14:textFill>
                  <w14:solidFill>
                    <w14:schemeClr w14:val="tx1"/>
                  </w14:solidFill>
                </w14:textFill>
              </w:rPr>
              <w:t>+0.343</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式中：</w:t>
            </w:r>
            <w:r>
              <w:rPr>
                <w:rFonts w:hint="default"/>
                <w:color w:val="000000" w:themeColor="text1"/>
                <w:highlight w:val="none"/>
                <w:lang w:val="en-US" w:eastAsia="zh-CN"/>
                <w14:textFill>
                  <w14:solidFill>
                    <w14:schemeClr w14:val="tx1"/>
                  </w14:solidFill>
                </w14:textFill>
              </w:rPr>
              <w:t>Vgy</w:t>
            </w:r>
            <w:r>
              <w:rPr>
                <w:rFonts w:hint="eastAsia"/>
                <w:color w:val="000000" w:themeColor="text1"/>
                <w:highlight w:val="none"/>
                <w:lang w:val="en-US" w:eastAsia="zh-CN"/>
                <w14:textFill>
                  <w14:solidFill>
                    <w14:schemeClr w14:val="tx1"/>
                  </w14:solidFill>
                </w14:textFill>
              </w:rPr>
              <w:t>：基准烟气量（</w:t>
            </w:r>
            <w:r>
              <w:rPr>
                <w:rFonts w:hint="default"/>
                <w:color w:val="000000" w:themeColor="text1"/>
                <w:highlight w:val="none"/>
                <w:lang w:val="en-US" w:eastAsia="zh-CN"/>
                <w14:textFill>
                  <w14:solidFill>
                    <w14:schemeClr w14:val="tx1"/>
                  </w14:solidFill>
                </w14:textFill>
              </w:rPr>
              <w:t>Nm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 xml:space="preserve"> /m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 xml:space="preserve">）； </w:t>
            </w:r>
          </w:p>
          <w:p>
            <w:pPr>
              <w:pStyle w:val="44"/>
              <w:bidi w:val="0"/>
              <w:ind w:firstLine="1200" w:firstLineChars="500"/>
              <w:rPr>
                <w:rFonts w:hint="default"/>
                <w:color w:val="000000" w:themeColor="text1"/>
                <w:highlight w:val="none"/>
                <w:lang w:val="en-US"/>
                <w14:textFill>
                  <w14:solidFill>
                    <w14:schemeClr w14:val="tx1"/>
                  </w14:solidFill>
                </w14:textFill>
              </w:rPr>
            </w:pPr>
            <w:r>
              <w:rPr>
                <w:color w:val="000000" w:themeColor="text1"/>
                <w:sz w:val="24"/>
                <w:highlight w:val="none"/>
                <w14:textFill>
                  <w14:solidFill>
                    <w14:schemeClr w14:val="tx1"/>
                  </w14:solidFill>
                </w14:textFill>
              </w:rPr>
              <w:t>Q</w:t>
            </w:r>
            <w:r>
              <w:rPr>
                <w:rFonts w:hint="eastAsia"/>
                <w:color w:val="000000" w:themeColor="text1"/>
                <w:sz w:val="24"/>
                <w:highlight w:val="none"/>
                <w14:textFill>
                  <w14:solidFill>
                    <w14:schemeClr w14:val="tx1"/>
                  </w14:solidFill>
                </w14:textFill>
              </w:rPr>
              <w:t>net,ar</w:t>
            </w:r>
            <w:r>
              <w:rPr>
                <w:rFonts w:hint="eastAsia"/>
                <w:color w:val="000000" w:themeColor="text1"/>
                <w:sz w:val="24"/>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气体燃料低位发热量（</w:t>
            </w:r>
            <w:r>
              <w:rPr>
                <w:rFonts w:hint="default"/>
                <w:color w:val="000000" w:themeColor="text1"/>
                <w:highlight w:val="none"/>
                <w:lang w:val="en-US" w:eastAsia="zh-CN"/>
                <w14:textFill>
                  <w14:solidFill>
                    <w14:schemeClr w14:val="tx1"/>
                  </w14:solidFill>
                </w14:textFill>
              </w:rPr>
              <w:t>MJ/m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），取35.4MJ/m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计算得：</w:t>
            </w:r>
            <w:r>
              <w:rPr>
                <w:rFonts w:hint="default"/>
                <w:color w:val="000000" w:themeColor="text1"/>
                <w:sz w:val="24"/>
                <w:szCs w:val="24"/>
                <w:highlight w:val="none"/>
                <w:lang w:val="en-US" w:eastAsia="zh-CN"/>
                <w14:textFill>
                  <w14:solidFill>
                    <w14:schemeClr w14:val="tx1"/>
                  </w14:solidFill>
                </w14:textFill>
              </w:rPr>
              <w:t>Vgy</w:t>
            </w:r>
            <w:r>
              <w:rPr>
                <w:rFonts w:hint="eastAsia"/>
                <w:color w:val="000000" w:themeColor="text1"/>
                <w:sz w:val="24"/>
                <w:szCs w:val="24"/>
                <w:highlight w:val="none"/>
                <w:lang w:val="en-US" w:eastAsia="zh-CN"/>
                <w14:textFill>
                  <w14:solidFill>
                    <w14:schemeClr w14:val="tx1"/>
                  </w14:solidFill>
                </w14:textFill>
              </w:rPr>
              <w:t>=10.432</w:t>
            </w:r>
            <w:r>
              <w:rPr>
                <w:rFonts w:hint="default"/>
                <w:color w:val="000000" w:themeColor="text1"/>
                <w:highlight w:val="none"/>
                <w:lang w:val="en-US" w:eastAsia="zh-CN"/>
                <w14:textFill>
                  <w14:solidFill>
                    <w14:schemeClr w14:val="tx1"/>
                  </w14:solidFill>
                </w14:textFill>
              </w:rPr>
              <w:t>Nm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 xml:space="preserve"> /m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天然气年用量为90万m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szCs w:val="22"/>
                <w:highlight w:val="none"/>
                <w:lang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3</w:t>
            </w:r>
            <w:r>
              <w:rPr>
                <w:snapToGrid w:val="0"/>
                <w:color w:val="000000" w:themeColor="text1"/>
                <w:kern w:val="0"/>
                <w:sz w:val="24"/>
                <w:highlight w:val="none"/>
                <w14:textFill>
                  <w14:solidFill>
                    <w14:schemeClr w14:val="tx1"/>
                  </w14:solidFill>
                </w14:textFill>
              </w:rPr>
              <w:t>t/h</w:t>
            </w:r>
            <w:r>
              <w:rPr>
                <w:rFonts w:hint="eastAsia"/>
                <w:snapToGrid w:val="0"/>
                <w:color w:val="000000" w:themeColor="text1"/>
                <w:kern w:val="0"/>
                <w:sz w:val="24"/>
                <w:highlight w:val="none"/>
                <w14:textFill>
                  <w14:solidFill>
                    <w14:schemeClr w14:val="tx1"/>
                  </w14:solidFill>
                </w14:textFill>
              </w:rPr>
              <w:t>蒸汽锅炉</w:t>
            </w:r>
            <w:r>
              <w:rPr>
                <w:rFonts w:hint="eastAsia"/>
                <w:color w:val="000000" w:themeColor="text1"/>
                <w:sz w:val="24"/>
                <w:szCs w:val="22"/>
                <w:highlight w:val="none"/>
                <w:lang w:eastAsia="zh-CN"/>
                <w14:textFill>
                  <w14:solidFill>
                    <w14:schemeClr w14:val="tx1"/>
                  </w14:solidFill>
                </w14:textFill>
              </w:rPr>
              <w:t>废气</w:t>
            </w:r>
            <w:r>
              <w:rPr>
                <w:rFonts w:hint="eastAsia"/>
                <w:color w:val="000000" w:themeColor="text1"/>
                <w:sz w:val="24"/>
                <w:szCs w:val="22"/>
                <w:highlight w:val="none"/>
                <w14:textFill>
                  <w14:solidFill>
                    <w14:schemeClr w14:val="tx1"/>
                  </w14:solidFill>
                </w14:textFill>
              </w:rPr>
              <w:t>量</w:t>
            </w:r>
            <w:r>
              <w:rPr>
                <w:rFonts w:hint="eastAsia"/>
                <w:snapToGrid w:val="0"/>
                <w:color w:val="000000" w:themeColor="text1"/>
                <w:kern w:val="0"/>
                <w:sz w:val="24"/>
                <w:highlight w:val="none"/>
                <w14:textFill>
                  <w14:solidFill>
                    <w14:schemeClr w14:val="tx1"/>
                  </w14:solidFill>
                </w14:textFill>
              </w:rPr>
              <w:t>为</w:t>
            </w:r>
            <w:r>
              <w:rPr>
                <w:rFonts w:hint="eastAsia"/>
                <w:snapToGrid w:val="0"/>
                <w:color w:val="000000" w:themeColor="text1"/>
                <w:kern w:val="0"/>
                <w:sz w:val="24"/>
                <w:highlight w:val="none"/>
                <w:lang w:val="en-US" w:eastAsia="zh-CN"/>
                <w14:textFill>
                  <w14:solidFill>
                    <w14:schemeClr w14:val="tx1"/>
                  </w14:solidFill>
                </w14:textFill>
              </w:rPr>
              <w:t>9388800</w:t>
            </w:r>
            <w:r>
              <w:rPr>
                <w:color w:val="000000" w:themeColor="text1"/>
                <w:sz w:val="24"/>
                <w:szCs w:val="22"/>
                <w:highlight w:val="none"/>
                <w14:textFill>
                  <w14:solidFill>
                    <w14:schemeClr w14:val="tx1"/>
                  </w14:solidFill>
                </w14:textFill>
              </w:rPr>
              <w:t>m</w:t>
            </w:r>
            <w:r>
              <w:rPr>
                <w:color w:val="000000" w:themeColor="text1"/>
                <w:sz w:val="24"/>
                <w:szCs w:val="22"/>
                <w:highlight w:val="none"/>
                <w:vertAlign w:val="superscript"/>
                <w14:textFill>
                  <w14:solidFill>
                    <w14:schemeClr w14:val="tx1"/>
                  </w14:solidFill>
                </w14:textFill>
              </w:rPr>
              <w:t>3</w:t>
            </w:r>
            <w:r>
              <w:rPr>
                <w:color w:val="000000" w:themeColor="text1"/>
                <w:sz w:val="24"/>
                <w:szCs w:val="22"/>
                <w:highlight w:val="none"/>
                <w14:textFill>
                  <w14:solidFill>
                    <w14:schemeClr w14:val="tx1"/>
                  </w14:solidFill>
                </w14:textFill>
              </w:rPr>
              <w:t>/a</w:t>
            </w:r>
            <w:r>
              <w:rPr>
                <w:rFonts w:hint="eastAsia"/>
                <w:color w:val="000000" w:themeColor="text1"/>
                <w:sz w:val="24"/>
                <w:szCs w:val="22"/>
                <w:highlight w:val="none"/>
                <w14:textFill>
                  <w14:solidFill>
                    <w14:schemeClr w14:val="tx1"/>
                  </w14:solidFill>
                </w14:textFill>
              </w:rPr>
              <w:t>，</w:t>
            </w:r>
            <w:r>
              <w:rPr>
                <w:rFonts w:hint="eastAsia"/>
                <w:color w:val="000000" w:themeColor="text1"/>
                <w:sz w:val="24"/>
                <w:szCs w:val="22"/>
                <w:highlight w:val="none"/>
                <w:lang w:val="en-US" w:eastAsia="zh-CN"/>
                <w14:textFill>
                  <w14:solidFill>
                    <w14:schemeClr w14:val="tx1"/>
                  </w14:solidFill>
                </w14:textFill>
              </w:rPr>
              <w:t>1304</w:t>
            </w:r>
            <w:r>
              <w:rPr>
                <w:color w:val="000000" w:themeColor="text1"/>
                <w:sz w:val="24"/>
                <w:szCs w:val="22"/>
                <w:highlight w:val="none"/>
                <w14:textFill>
                  <w14:solidFill>
                    <w14:schemeClr w14:val="tx1"/>
                  </w14:solidFill>
                </w14:textFill>
              </w:rPr>
              <w:t>m</w:t>
            </w:r>
            <w:r>
              <w:rPr>
                <w:color w:val="000000" w:themeColor="text1"/>
                <w:sz w:val="24"/>
                <w:szCs w:val="22"/>
                <w:highlight w:val="none"/>
                <w:vertAlign w:val="superscript"/>
                <w14:textFill>
                  <w14:solidFill>
                    <w14:schemeClr w14:val="tx1"/>
                  </w14:solidFill>
                </w14:textFill>
              </w:rPr>
              <w:t>3</w:t>
            </w:r>
            <w:r>
              <w:rPr>
                <w:color w:val="000000" w:themeColor="text1"/>
                <w:sz w:val="24"/>
                <w:szCs w:val="22"/>
                <w:highlight w:val="none"/>
                <w14:textFill>
                  <w14:solidFill>
                    <w14:schemeClr w14:val="tx1"/>
                  </w14:solidFill>
                </w14:textFill>
              </w:rPr>
              <w:t>/h</w:t>
            </w:r>
            <w:r>
              <w:rPr>
                <w:rFonts w:hint="eastAsia"/>
                <w:color w:val="000000" w:themeColor="text1"/>
                <w:sz w:val="24"/>
                <w:szCs w:val="22"/>
                <w:highlight w:val="none"/>
                <w14:textFill>
                  <w14:solidFill>
                    <w14:schemeClr w14:val="tx1"/>
                  </w14:solidFill>
                </w14:textFill>
              </w:rPr>
              <w:t>。</w:t>
            </w:r>
          </w:p>
          <w:p>
            <w:pPr>
              <w:spacing w:line="360" w:lineRule="auto"/>
              <w:ind w:firstLine="480" w:firstLineChars="200"/>
              <w:rPr>
                <w:color w:val="000000" w:themeColor="text1"/>
                <w:sz w:val="24"/>
                <w:szCs w:val="22"/>
                <w:highlight w:val="none"/>
                <w14:textFill>
                  <w14:solidFill>
                    <w14:schemeClr w14:val="tx1"/>
                  </w14:solidFill>
                </w14:textFill>
              </w:rPr>
            </w:pPr>
            <w:r>
              <w:rPr>
                <w:rFonts w:hint="eastAsia"/>
                <w:color w:val="000000" w:themeColor="text1"/>
                <w:sz w:val="24"/>
                <w:szCs w:val="22"/>
                <w:highlight w:val="none"/>
                <w14:textFill>
                  <w14:solidFill>
                    <w14:schemeClr w14:val="tx1"/>
                  </w14:solidFill>
                </w14:textFill>
              </w:rPr>
              <w:t>锅炉燃</w:t>
            </w:r>
            <w:r>
              <w:rPr>
                <w:rFonts w:hint="eastAsia"/>
                <w:color w:val="000000" w:themeColor="text1"/>
                <w:sz w:val="24"/>
                <w:szCs w:val="22"/>
                <w:highlight w:val="none"/>
                <w:lang w:eastAsia="zh-CN"/>
                <w14:textFill>
                  <w14:solidFill>
                    <w14:schemeClr w14:val="tx1"/>
                  </w14:solidFill>
                </w14:textFill>
              </w:rPr>
              <w:t>天然</w:t>
            </w:r>
            <w:r>
              <w:rPr>
                <w:rFonts w:hint="eastAsia"/>
                <w:color w:val="000000" w:themeColor="text1"/>
                <w:sz w:val="24"/>
                <w:szCs w:val="22"/>
                <w:highlight w:val="none"/>
                <w14:textFill>
                  <w14:solidFill>
                    <w14:schemeClr w14:val="tx1"/>
                  </w14:solidFill>
                </w14:textFill>
              </w:rPr>
              <w:t>气污染物产生量</w:t>
            </w:r>
            <w:r>
              <w:rPr>
                <w:color w:val="000000" w:themeColor="text1"/>
                <w:sz w:val="24"/>
                <w:szCs w:val="22"/>
                <w:highlight w:val="none"/>
                <w14:textFill>
                  <w14:solidFill>
                    <w14:schemeClr w14:val="tx1"/>
                  </w14:solidFill>
                </w14:textFill>
              </w:rPr>
              <w:t>根据《污染源源强核算技术指南 锅炉》（HJ991-2018）确定：</w:t>
            </w:r>
          </w:p>
          <w:p>
            <w:pPr>
              <w:tabs>
                <w:tab w:val="left" w:pos="3315"/>
              </w:tabs>
              <w:spacing w:line="360" w:lineRule="auto"/>
              <w:ind w:firstLine="480" w:firstLineChars="200"/>
              <w:rPr>
                <w:bCs/>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颗粒物排放量采用产污系数法计算：</w:t>
            </w:r>
          </w:p>
          <w:p>
            <w:pPr>
              <w:spacing w:line="360" w:lineRule="auto"/>
              <w:ind w:firstLine="2160" w:firstLineChars="900"/>
              <w:rPr>
                <w:bCs/>
                <w:color w:val="000000" w:themeColor="text1"/>
                <w:sz w:val="24"/>
                <w:highlight w:val="none"/>
                <w14:textFill>
                  <w14:solidFill>
                    <w14:schemeClr w14:val="tx1"/>
                  </w14:solidFill>
                </w14:textFill>
              </w:rPr>
            </w:pPr>
            <w:r>
              <w:rPr>
                <w:bCs/>
                <w:color w:val="000000" w:themeColor="text1"/>
                <w:position w:val="-28"/>
                <w:sz w:val="24"/>
                <w:highlight w:val="none"/>
                <w14:textFill>
                  <w14:solidFill>
                    <w14:schemeClr w14:val="tx1"/>
                  </w14:solidFill>
                </w14:textFill>
              </w:rPr>
              <w:object>
                <v:shape id="_x0000_i1026" o:spt="75" type="#_x0000_t75" style="height:34.5pt;width:139.5pt;" o:ole="t" filled="f" o:preferrelative="t" stroked="f" coordsize="21600,21600">
                  <v:path/>
                  <v:fill on="f" focussize="0,0"/>
                  <v:stroke on="f" joinstyle="miter"/>
                  <v:imagedata r:id="rId18" o:title=""/>
                  <o:lock v:ext="edit" aspectratio="t"/>
                  <w10:wrap type="none"/>
                  <w10:anchorlock/>
                </v:shape>
                <o:OLEObject Type="Embed" ProgID="Equation.KSEE3" ShapeID="_x0000_i1026" DrawAspect="Content" ObjectID="_1468075726" r:id="rId19">
                  <o:LockedField>false</o:LockedField>
                </o:OLEObject>
              </w:objec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式中：</w:t>
            </w:r>
            <w:r>
              <w:rPr>
                <w:bCs/>
                <w:color w:val="000000" w:themeColor="text1"/>
                <w:sz w:val="24"/>
                <w:highlight w:val="none"/>
                <w14:textFill>
                  <w14:solidFill>
                    <w14:schemeClr w14:val="tx1"/>
                  </w14:solidFill>
                </w14:textFill>
              </w:rPr>
              <w:t>E</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—核算时段内第j种污染物排放量，t；</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R—核算时段内燃料耗量，</w:t>
            </w:r>
            <w:r>
              <w:rPr>
                <w:color w:val="000000" w:themeColor="text1"/>
                <w:sz w:val="24"/>
                <w:szCs w:val="22"/>
                <w:highlight w:val="none"/>
                <w14:textFill>
                  <w14:solidFill>
                    <w14:schemeClr w14:val="tx1"/>
                  </w14:solidFill>
                </w14:textFill>
              </w:rPr>
              <w:t>万</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天然气年用量为90万m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szCs w:val="22"/>
                <w:highlight w:val="none"/>
                <w14:textFill>
                  <w14:solidFill>
                    <w14:schemeClr w14:val="tx1"/>
                  </w14:solidFill>
                </w14:textFill>
              </w:rPr>
              <w:t>。</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w:t>
            </w:r>
            <w:r>
              <w:rPr>
                <w:bCs/>
                <w:color w:val="000000" w:themeColor="text1"/>
                <w:sz w:val="24"/>
                <w:highlight w:val="none"/>
                <w14:textFill>
                  <w14:solidFill>
                    <w14:schemeClr w14:val="tx1"/>
                  </w14:solidFill>
                </w14:textFill>
              </w:rPr>
              <w:t>β</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—产污系数，kg/万m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根据</w:t>
            </w:r>
            <w:r>
              <w:rPr>
                <w:rFonts w:hint="eastAsia"/>
                <w:color w:val="000000" w:themeColor="text1"/>
                <w:sz w:val="24"/>
                <w:highlight w:val="none"/>
                <w14:textFill>
                  <w14:solidFill>
                    <w14:schemeClr w14:val="tx1"/>
                  </w14:solidFill>
                </w14:textFill>
              </w:rPr>
              <w:t>《社会区域类环境影响评价》中颗粒物产生量</w:t>
            </w:r>
            <w:r>
              <w:rPr>
                <w:rFonts w:hint="eastAsia"/>
                <w:color w:val="000000" w:themeColor="text1"/>
                <w:sz w:val="24"/>
                <w:highlight w:val="none"/>
                <w:lang w:eastAsia="zh-CN"/>
                <w14:textFill>
                  <w14:solidFill>
                    <w14:schemeClr w14:val="tx1"/>
                  </w14:solidFill>
                </w14:textFill>
              </w:rPr>
              <w:t>为</w:t>
            </w:r>
            <w:r>
              <w:rPr>
                <w:rFonts w:hint="eastAsia"/>
                <w:color w:val="000000" w:themeColor="text1"/>
                <w:sz w:val="24"/>
                <w:highlight w:val="none"/>
                <w14:textFill>
                  <w14:solidFill>
                    <w14:schemeClr w14:val="tx1"/>
                  </w14:solidFill>
                </w14:textFill>
              </w:rPr>
              <w:t xml:space="preserve">1.6 千克/万立方米-原料，《环境保护使用数据手册》中的天然气排放系数，每燃100万立方米天然气排放颗粒物80-240kg，本项目取平均值160kg。故本项目取1.6 </w:t>
            </w:r>
            <w:r>
              <w:rPr>
                <w:color w:val="000000" w:themeColor="text1"/>
                <w:sz w:val="24"/>
                <w:highlight w:val="none"/>
                <w14:textFill>
                  <w14:solidFill>
                    <w14:schemeClr w14:val="tx1"/>
                  </w14:solidFill>
                </w14:textFill>
              </w:rPr>
              <w:t>kg/万m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p>
          <w:p>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w:t xml:space="preserve">      η—污染物的脱</w:t>
            </w:r>
            <w:r>
              <w:rPr>
                <w:color w:val="000000" w:themeColor="text1"/>
                <w:sz w:val="24"/>
                <w:szCs w:val="24"/>
                <w:highlight w:val="none"/>
                <w14:textFill>
                  <w14:solidFill>
                    <w14:schemeClr w14:val="tx1"/>
                  </w14:solidFill>
                </w14:textFill>
              </w:rPr>
              <w:t>除效率。</w:t>
            </w:r>
            <w:r>
              <w:rPr>
                <w:rStyle w:val="24"/>
                <w:rFonts w:hint="eastAsia"/>
                <w:color w:val="000000" w:themeColor="text1"/>
                <w:kern w:val="0"/>
                <w:sz w:val="24"/>
                <w:szCs w:val="24"/>
                <w:highlight w:val="none"/>
                <w:lang w:eastAsia="zh-CN"/>
                <w14:textFill>
                  <w14:solidFill>
                    <w14:schemeClr w14:val="tx1"/>
                  </w14:solidFill>
                </w14:textFill>
              </w:rPr>
              <w:t>取</w:t>
            </w:r>
            <w:r>
              <w:rPr>
                <w:rStyle w:val="24"/>
                <w:rFonts w:hint="eastAsia"/>
                <w:color w:val="000000" w:themeColor="text1"/>
                <w:kern w:val="0"/>
                <w:sz w:val="24"/>
                <w:szCs w:val="24"/>
                <w:highlight w:val="none"/>
                <w:lang w:val="en-US" w:eastAsia="zh-CN"/>
                <w14:textFill>
                  <w14:solidFill>
                    <w14:schemeClr w14:val="tx1"/>
                  </w14:solidFill>
                </w14:textFill>
              </w:rPr>
              <w:t>0。</w:t>
            </w:r>
          </w:p>
          <w:p>
            <w:pPr>
              <w:pStyle w:val="44"/>
              <w:bidi w:val="0"/>
              <w:rPr>
                <w:rFonts w:hint="default"/>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w:t>经计算得，</w:t>
            </w:r>
            <w:r>
              <w:rPr>
                <w:rFonts w:hint="eastAsia"/>
                <w:color w:val="000000" w:themeColor="text1"/>
                <w:sz w:val="24"/>
                <w:highlight w:val="none"/>
                <w:lang w:val="en-US" w:eastAsia="zh-CN"/>
                <w14:textFill>
                  <w14:solidFill>
                    <w14:schemeClr w14:val="tx1"/>
                  </w14:solidFill>
                </w14:textFill>
              </w:rPr>
              <w:t>3</w:t>
            </w:r>
            <w:r>
              <w:rPr>
                <w:snapToGrid w:val="0"/>
                <w:color w:val="000000" w:themeColor="text1"/>
                <w:kern w:val="0"/>
                <w:sz w:val="24"/>
                <w:highlight w:val="none"/>
                <w14:textFill>
                  <w14:solidFill>
                    <w14:schemeClr w14:val="tx1"/>
                  </w14:solidFill>
                </w14:textFill>
              </w:rPr>
              <w:t>t/h</w:t>
            </w:r>
            <w:r>
              <w:rPr>
                <w:rFonts w:hint="eastAsia"/>
                <w:snapToGrid w:val="0"/>
                <w:color w:val="000000" w:themeColor="text1"/>
                <w:kern w:val="0"/>
                <w:sz w:val="24"/>
                <w:highlight w:val="none"/>
                <w14:textFill>
                  <w14:solidFill>
                    <w14:schemeClr w14:val="tx1"/>
                  </w14:solidFill>
                </w14:textFill>
              </w:rPr>
              <w:t>蒸汽锅炉颗粒物</w:t>
            </w:r>
            <w:r>
              <w:rPr>
                <w:rFonts w:hint="eastAsia"/>
                <w:snapToGrid w:val="0"/>
                <w:color w:val="000000" w:themeColor="text1"/>
                <w:kern w:val="0"/>
                <w:sz w:val="24"/>
                <w:highlight w:val="none"/>
                <w:lang w:eastAsia="zh-CN"/>
                <w14:textFill>
                  <w14:solidFill>
                    <w14:schemeClr w14:val="tx1"/>
                  </w14:solidFill>
                </w14:textFill>
              </w:rPr>
              <w:t>排放</w:t>
            </w:r>
            <w:r>
              <w:rPr>
                <w:rFonts w:hint="eastAsia"/>
                <w:snapToGrid w:val="0"/>
                <w:color w:val="000000" w:themeColor="text1"/>
                <w:kern w:val="0"/>
                <w:sz w:val="24"/>
                <w:highlight w:val="none"/>
                <w14:textFill>
                  <w14:solidFill>
                    <w14:schemeClr w14:val="tx1"/>
                  </w14:solidFill>
                </w14:textFill>
              </w:rPr>
              <w:t>量为0.</w:t>
            </w:r>
            <w:r>
              <w:rPr>
                <w:rFonts w:hint="eastAsia"/>
                <w:snapToGrid w:val="0"/>
                <w:color w:val="000000" w:themeColor="text1"/>
                <w:kern w:val="0"/>
                <w:sz w:val="24"/>
                <w:highlight w:val="none"/>
                <w:lang w:val="en-US" w:eastAsia="zh-CN"/>
                <w14:textFill>
                  <w14:solidFill>
                    <w14:schemeClr w14:val="tx1"/>
                  </w14:solidFill>
                </w14:textFill>
              </w:rPr>
              <w:t>14</w:t>
            </w:r>
            <w:r>
              <w:rPr>
                <w:rFonts w:hint="eastAsia"/>
                <w:snapToGrid w:val="0"/>
                <w:color w:val="000000" w:themeColor="text1"/>
                <w:kern w:val="0"/>
                <w:sz w:val="24"/>
                <w:highlight w:val="none"/>
                <w14:textFill>
                  <w14:solidFill>
                    <w14:schemeClr w14:val="tx1"/>
                  </w14:solidFill>
                </w14:textFill>
              </w:rPr>
              <w:t>t/a</w:t>
            </w:r>
            <w:r>
              <w:rPr>
                <w:rFonts w:hint="eastAsia"/>
                <w:snapToGrid w:val="0"/>
                <w:color w:val="000000" w:themeColor="text1"/>
                <w:kern w:val="0"/>
                <w:sz w:val="24"/>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颗粒物排放速率为0.02kg/h，排放浓度为15.34mg/m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②二氧化硫排放量采用物料衡算法计算：</w:t>
            </w:r>
          </w:p>
          <w:p>
            <w:pPr>
              <w:tabs>
                <w:tab w:val="left" w:pos="3315"/>
              </w:tabs>
              <w:spacing w:line="360" w:lineRule="auto"/>
              <w:jc w:val="center"/>
              <w:rPr>
                <w:color w:val="000000" w:themeColor="text1"/>
                <w:sz w:val="24"/>
                <w:highlight w:val="none"/>
                <w14:textFill>
                  <w14:solidFill>
                    <w14:schemeClr w14:val="tx1"/>
                  </w14:solidFill>
                </w14:textFill>
              </w:rPr>
            </w:pPr>
            <w:r>
              <w:rPr>
                <w:color w:val="000000" w:themeColor="text1"/>
                <w:position w:val="-28"/>
                <w:sz w:val="24"/>
                <w:highlight w:val="none"/>
                <w14:textFill>
                  <w14:solidFill>
                    <w14:schemeClr w14:val="tx1"/>
                  </w14:solidFill>
                </w14:textFill>
              </w:rPr>
              <w:object>
                <v:shape id="_x0000_i1027" o:spt="75" type="#_x0000_t75" style="height:34.5pt;width:174pt;" o:ole="t" filled="f" o:preferrelative="t" stroked="f" coordsize="21600,21600">
                  <v:path/>
                  <v:fill on="f" focussize="0,0"/>
                  <v:stroke on="f" joinstyle="miter"/>
                  <v:imagedata r:id="rId21" o:title=""/>
                  <o:lock v:ext="edit" aspectratio="t"/>
                  <w10:wrap type="none"/>
                  <w10:anchorlock/>
                </v:shape>
                <o:OLEObject Type="Embed" ProgID="Equation.KSEE3" ShapeID="_x0000_i1027" DrawAspect="Content" ObjectID="_1468075727" r:id="rId20">
                  <o:LockedField>false</o:LockedField>
                </o:OLEObject>
              </w:object>
            </w:r>
          </w:p>
          <w:p>
            <w:pPr>
              <w:tabs>
                <w:tab w:val="left" w:pos="3315"/>
              </w:tabs>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式中：Eso</w:t>
            </w:r>
            <w:r>
              <w:rPr>
                <w:color w:val="000000" w:themeColor="text1"/>
                <w:sz w:val="24"/>
                <w:highlight w:val="none"/>
                <w:vertAlign w:val="subscript"/>
                <w14:textFill>
                  <w14:solidFill>
                    <w14:schemeClr w14:val="tx1"/>
                  </w14:solidFill>
                </w14:textFill>
              </w:rPr>
              <w:t>2</w:t>
            </w:r>
            <w:r>
              <w:rPr>
                <w:color w:val="000000" w:themeColor="text1"/>
                <w:sz w:val="24"/>
                <w:highlight w:val="none"/>
                <w14:textFill>
                  <w14:solidFill>
                    <w14:schemeClr w14:val="tx1"/>
                  </w14:solidFill>
                </w14:textFill>
              </w:rPr>
              <w:t>—核算时段内二氧化硫排放量，t；</w:t>
            </w:r>
          </w:p>
          <w:p>
            <w:pPr>
              <w:tabs>
                <w:tab w:val="left" w:pos="3315"/>
              </w:tabs>
              <w:spacing w:line="360" w:lineRule="auto"/>
              <w:ind w:firstLine="1200" w:firstLineChars="5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R—核算时段内锅炉燃料耗量，</w:t>
            </w:r>
            <w:r>
              <w:rPr>
                <w:color w:val="000000" w:themeColor="text1"/>
                <w:sz w:val="24"/>
                <w:szCs w:val="22"/>
                <w:highlight w:val="none"/>
                <w14:textFill>
                  <w14:solidFill>
                    <w14:schemeClr w14:val="tx1"/>
                  </w14:solidFill>
                </w14:textFill>
              </w:rPr>
              <w:t>万</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天然气年用量为90万m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szCs w:val="22"/>
                <w:highlight w:val="none"/>
                <w14:textFill>
                  <w14:solidFill>
                    <w14:schemeClr w14:val="tx1"/>
                  </w14:solidFill>
                </w14:textFill>
              </w:rPr>
              <w:t>。</w:t>
            </w:r>
          </w:p>
          <w:p>
            <w:pPr>
              <w:tabs>
                <w:tab w:val="left" w:pos="3315"/>
              </w:tabs>
              <w:spacing w:line="360" w:lineRule="auto"/>
              <w:ind w:firstLine="1200" w:firstLineChars="5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S</w:t>
            </w:r>
            <w:r>
              <w:rPr>
                <w:color w:val="000000" w:themeColor="text1"/>
                <w:sz w:val="24"/>
                <w:highlight w:val="none"/>
                <w:vertAlign w:val="subscript"/>
                <w14:textFill>
                  <w14:solidFill>
                    <w14:schemeClr w14:val="tx1"/>
                  </w14:solidFill>
                </w14:textFill>
              </w:rPr>
              <w:t>t</w:t>
            </w:r>
            <w:r>
              <w:rPr>
                <w:color w:val="000000" w:themeColor="text1"/>
                <w:sz w:val="24"/>
                <w:highlight w:val="none"/>
                <w14:textFill>
                  <w14:solidFill>
                    <w14:schemeClr w14:val="tx1"/>
                  </w14:solidFill>
                </w14:textFill>
              </w:rPr>
              <w:t>—燃料总硫的质量浓度，</w:t>
            </w:r>
            <w:r>
              <w:rPr>
                <w:rFonts w:hint="eastAsia"/>
                <w:color w:val="000000" w:themeColor="text1"/>
                <w:sz w:val="24"/>
                <w:highlight w:val="none"/>
                <w14:textFill>
                  <w14:solidFill>
                    <w14:schemeClr w14:val="tx1"/>
                  </w14:solidFill>
                </w14:textFill>
              </w:rPr>
              <w:t>本项目燃气按二类天然气计，根据《天然气》（GB17820-2018），S取100mg/m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w:t>
            </w:r>
          </w:p>
          <w:p>
            <w:pPr>
              <w:tabs>
                <w:tab w:val="left" w:pos="3315"/>
              </w:tabs>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η</w:t>
            </w:r>
            <w:r>
              <w:rPr>
                <w:color w:val="000000" w:themeColor="text1"/>
                <w:sz w:val="24"/>
                <w:highlight w:val="none"/>
                <w:vertAlign w:val="subscript"/>
                <w14:textFill>
                  <w14:solidFill>
                    <w14:schemeClr w14:val="tx1"/>
                  </w14:solidFill>
                </w14:textFill>
              </w:rPr>
              <w:t>s</w:t>
            </w:r>
            <w:r>
              <w:rPr>
                <w:color w:val="000000" w:themeColor="text1"/>
                <w:sz w:val="24"/>
                <w:highlight w:val="none"/>
                <w14:textFill>
                  <w14:solidFill>
                    <w14:schemeClr w14:val="tx1"/>
                  </w14:solidFill>
                </w14:textFill>
              </w:rPr>
              <w:t>—脱硫效率，%；</w:t>
            </w:r>
            <w:r>
              <w:rPr>
                <w:rStyle w:val="24"/>
                <w:rFonts w:hint="eastAsia"/>
                <w:color w:val="000000" w:themeColor="text1"/>
                <w:kern w:val="0"/>
                <w:sz w:val="24"/>
                <w:szCs w:val="24"/>
                <w:highlight w:val="none"/>
                <w:lang w:eastAsia="zh-CN"/>
                <w14:textFill>
                  <w14:solidFill>
                    <w14:schemeClr w14:val="tx1"/>
                  </w14:solidFill>
                </w14:textFill>
              </w:rPr>
              <w:t>取</w:t>
            </w:r>
            <w:r>
              <w:rPr>
                <w:rStyle w:val="24"/>
                <w:rFonts w:hint="eastAsia"/>
                <w:color w:val="000000" w:themeColor="text1"/>
                <w:kern w:val="0"/>
                <w:sz w:val="24"/>
                <w:szCs w:val="24"/>
                <w:highlight w:val="none"/>
                <w:lang w:val="en-US" w:eastAsia="zh-CN"/>
                <w14:textFill>
                  <w14:solidFill>
                    <w14:schemeClr w14:val="tx1"/>
                  </w14:solidFill>
                </w14:textFill>
              </w:rPr>
              <w:t>0。</w:t>
            </w:r>
          </w:p>
          <w:p>
            <w:pPr>
              <w:tabs>
                <w:tab w:val="left" w:pos="3315"/>
              </w:tabs>
              <w:spacing w:line="360" w:lineRule="auto"/>
              <w:ind w:firstLine="1200" w:firstLineChars="5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K—燃料中的硫燃烧后氧化成二氧化硫的份额，量纲一的量，取1.0。</w:t>
            </w:r>
          </w:p>
          <w:p>
            <w:pPr>
              <w:spacing w:line="360" w:lineRule="auto"/>
              <w:ind w:firstLine="480" w:firstLineChars="200"/>
              <w:rPr>
                <w:color w:val="000000" w:themeColor="text1"/>
                <w:sz w:val="24"/>
                <w:szCs w:val="22"/>
                <w:highlight w:val="none"/>
                <w14:textFill>
                  <w14:solidFill>
                    <w14:schemeClr w14:val="tx1"/>
                  </w14:solidFill>
                </w14:textFill>
              </w:rPr>
            </w:pPr>
            <w:r>
              <w:rPr>
                <w:color w:val="000000" w:themeColor="text1"/>
                <w:sz w:val="24"/>
                <w:highlight w:val="none"/>
                <w14:textFill>
                  <w14:solidFill>
                    <w14:schemeClr w14:val="tx1"/>
                  </w14:solidFill>
                </w14:textFill>
              </w:rPr>
              <w:t>经计算得，</w:t>
            </w:r>
            <w:r>
              <w:rPr>
                <w:rFonts w:hint="eastAsia"/>
                <w:color w:val="000000" w:themeColor="text1"/>
                <w:sz w:val="24"/>
                <w:highlight w:val="none"/>
                <w:lang w:val="en-US" w:eastAsia="zh-CN"/>
                <w14:textFill>
                  <w14:solidFill>
                    <w14:schemeClr w14:val="tx1"/>
                  </w14:solidFill>
                </w14:textFill>
              </w:rPr>
              <w:t>3</w:t>
            </w:r>
            <w:r>
              <w:rPr>
                <w:snapToGrid w:val="0"/>
                <w:color w:val="000000" w:themeColor="text1"/>
                <w:kern w:val="0"/>
                <w:sz w:val="24"/>
                <w:highlight w:val="none"/>
                <w14:textFill>
                  <w14:solidFill>
                    <w14:schemeClr w14:val="tx1"/>
                  </w14:solidFill>
                </w14:textFill>
              </w:rPr>
              <w:t>t/h</w:t>
            </w:r>
            <w:r>
              <w:rPr>
                <w:rFonts w:hint="eastAsia"/>
                <w:snapToGrid w:val="0"/>
                <w:color w:val="000000" w:themeColor="text1"/>
                <w:kern w:val="0"/>
                <w:sz w:val="24"/>
                <w:highlight w:val="none"/>
                <w14:textFill>
                  <w14:solidFill>
                    <w14:schemeClr w14:val="tx1"/>
                  </w14:solidFill>
                </w14:textFill>
              </w:rPr>
              <w:t>蒸汽锅炉</w:t>
            </w:r>
            <w:r>
              <w:rPr>
                <w:rFonts w:hint="eastAsia"/>
                <w:snapToGrid w:val="0"/>
                <w:color w:val="000000" w:themeColor="text1"/>
                <w:kern w:val="0"/>
                <w:sz w:val="24"/>
                <w:highlight w:val="none"/>
                <w:lang w:eastAsia="zh-CN"/>
                <w14:textFill>
                  <w14:solidFill>
                    <w14:schemeClr w14:val="tx1"/>
                  </w14:solidFill>
                </w14:textFill>
              </w:rPr>
              <w:t>二氧化硫排放</w:t>
            </w:r>
            <w:r>
              <w:rPr>
                <w:rFonts w:hint="eastAsia"/>
                <w:snapToGrid w:val="0"/>
                <w:color w:val="000000" w:themeColor="text1"/>
                <w:kern w:val="0"/>
                <w:sz w:val="24"/>
                <w:highlight w:val="none"/>
                <w14:textFill>
                  <w14:solidFill>
                    <w14:schemeClr w14:val="tx1"/>
                  </w14:solidFill>
                </w14:textFill>
              </w:rPr>
              <w:t>量为0.</w:t>
            </w:r>
            <w:r>
              <w:rPr>
                <w:rFonts w:hint="eastAsia"/>
                <w:snapToGrid w:val="0"/>
                <w:color w:val="000000" w:themeColor="text1"/>
                <w:kern w:val="0"/>
                <w:sz w:val="24"/>
                <w:highlight w:val="none"/>
                <w:lang w:val="en-US" w:eastAsia="zh-CN"/>
                <w14:textFill>
                  <w14:solidFill>
                    <w14:schemeClr w14:val="tx1"/>
                  </w14:solidFill>
                </w14:textFill>
              </w:rPr>
              <w:t>18</w:t>
            </w:r>
            <w:r>
              <w:rPr>
                <w:rFonts w:hint="eastAsia"/>
                <w:snapToGrid w:val="0"/>
                <w:color w:val="000000" w:themeColor="text1"/>
                <w:kern w:val="0"/>
                <w:sz w:val="24"/>
                <w:highlight w:val="none"/>
                <w14:textFill>
                  <w14:solidFill>
                    <w14:schemeClr w14:val="tx1"/>
                  </w14:solidFill>
                </w14:textFill>
              </w:rPr>
              <w:t>t/a</w:t>
            </w:r>
            <w:r>
              <w:rPr>
                <w:rFonts w:hint="eastAsia"/>
                <w:snapToGrid w:val="0"/>
                <w:color w:val="000000" w:themeColor="text1"/>
                <w:kern w:val="0"/>
                <w:sz w:val="24"/>
                <w:highlight w:val="none"/>
                <w:lang w:eastAsia="zh-CN"/>
                <w14:textFill>
                  <w14:solidFill>
                    <w14:schemeClr w14:val="tx1"/>
                  </w14:solidFill>
                </w14:textFill>
              </w:rPr>
              <w:t>，</w:t>
            </w:r>
            <w:r>
              <w:rPr>
                <w:rFonts w:hint="eastAsia"/>
                <w:color w:val="000000" w:themeColor="text1"/>
                <w:sz w:val="24"/>
                <w:szCs w:val="22"/>
                <w:highlight w:val="none"/>
                <w:lang w:eastAsia="zh-CN"/>
                <w14:textFill>
                  <w14:solidFill>
                    <w14:schemeClr w14:val="tx1"/>
                  </w14:solidFill>
                </w14:textFill>
              </w:rPr>
              <w:t>二氧化硫</w:t>
            </w:r>
            <w:r>
              <w:rPr>
                <w:rFonts w:hint="eastAsia"/>
                <w:color w:val="000000" w:themeColor="text1"/>
                <w:sz w:val="24"/>
                <w:szCs w:val="22"/>
                <w:highlight w:val="none"/>
                <w14:textFill>
                  <w14:solidFill>
                    <w14:schemeClr w14:val="tx1"/>
                  </w14:solidFill>
                </w14:textFill>
              </w:rPr>
              <w:t>排放速率为0.0</w:t>
            </w:r>
            <w:r>
              <w:rPr>
                <w:rFonts w:hint="eastAsia"/>
                <w:color w:val="000000" w:themeColor="text1"/>
                <w:sz w:val="24"/>
                <w:szCs w:val="22"/>
                <w:highlight w:val="none"/>
                <w:lang w:val="en-US" w:eastAsia="zh-CN"/>
                <w14:textFill>
                  <w14:solidFill>
                    <w14:schemeClr w14:val="tx1"/>
                  </w14:solidFill>
                </w14:textFill>
              </w:rPr>
              <w:t>25</w:t>
            </w:r>
            <w:r>
              <w:rPr>
                <w:rFonts w:hint="eastAsia"/>
                <w:color w:val="000000" w:themeColor="text1"/>
                <w:sz w:val="24"/>
                <w:szCs w:val="22"/>
                <w:highlight w:val="none"/>
                <w14:textFill>
                  <w14:solidFill>
                    <w14:schemeClr w14:val="tx1"/>
                  </w14:solidFill>
                </w14:textFill>
              </w:rPr>
              <w:t>kg/h，排放浓度为</w:t>
            </w:r>
            <w:r>
              <w:rPr>
                <w:rFonts w:hint="eastAsia"/>
                <w:color w:val="000000" w:themeColor="text1"/>
                <w:sz w:val="24"/>
                <w:szCs w:val="22"/>
                <w:highlight w:val="none"/>
                <w:lang w:val="en-US" w:eastAsia="zh-CN"/>
                <w14:textFill>
                  <w14:solidFill>
                    <w14:schemeClr w14:val="tx1"/>
                  </w14:solidFill>
                </w14:textFill>
              </w:rPr>
              <w:t>19.17</w:t>
            </w:r>
            <w:r>
              <w:rPr>
                <w:rFonts w:hint="eastAsia"/>
                <w:color w:val="000000" w:themeColor="text1"/>
                <w:sz w:val="24"/>
                <w:szCs w:val="22"/>
                <w:highlight w:val="none"/>
                <w14:textFill>
                  <w14:solidFill>
                    <w14:schemeClr w14:val="tx1"/>
                  </w14:solidFill>
                </w14:textFill>
              </w:rPr>
              <w:t>mg/m</w:t>
            </w:r>
            <w:r>
              <w:rPr>
                <w:rFonts w:hint="eastAsia"/>
                <w:color w:val="000000" w:themeColor="text1"/>
                <w:sz w:val="24"/>
                <w:szCs w:val="22"/>
                <w:highlight w:val="none"/>
                <w:vertAlign w:val="superscript"/>
                <w14:textFill>
                  <w14:solidFill>
                    <w14:schemeClr w14:val="tx1"/>
                  </w14:solidFill>
                </w14:textFill>
              </w:rPr>
              <w:t>3</w:t>
            </w:r>
            <w:r>
              <w:rPr>
                <w:rFonts w:hint="eastAsia"/>
                <w:color w:val="000000" w:themeColor="text1"/>
                <w:sz w:val="24"/>
                <w:szCs w:val="22"/>
                <w:highlight w:val="none"/>
                <w14:textFill>
                  <w14:solidFill>
                    <w14:schemeClr w14:val="tx1"/>
                  </w14:solidFill>
                </w14:textFill>
              </w:rPr>
              <w:t>。</w:t>
            </w:r>
          </w:p>
          <w:p>
            <w:pPr>
              <w:tabs>
                <w:tab w:val="left" w:pos="3315"/>
              </w:tabs>
              <w:spacing w:line="360" w:lineRule="auto"/>
              <w:ind w:firstLine="480" w:firstLineChars="200"/>
              <w:rPr>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③氮氧化物排放量采用产污系数法计算：</w:t>
            </w:r>
          </w:p>
          <w:p>
            <w:pPr>
              <w:spacing w:line="360" w:lineRule="auto"/>
              <w:ind w:firstLine="2160" w:firstLineChars="900"/>
              <w:rPr>
                <w:bCs/>
                <w:color w:val="000000" w:themeColor="text1"/>
                <w:sz w:val="24"/>
                <w:highlight w:val="none"/>
                <w14:textFill>
                  <w14:solidFill>
                    <w14:schemeClr w14:val="tx1"/>
                  </w14:solidFill>
                </w14:textFill>
              </w:rPr>
            </w:pPr>
            <w:r>
              <w:rPr>
                <w:bCs/>
                <w:color w:val="000000" w:themeColor="text1"/>
                <w:position w:val="-28"/>
                <w:sz w:val="24"/>
                <w:highlight w:val="none"/>
                <w14:textFill>
                  <w14:solidFill>
                    <w14:schemeClr w14:val="tx1"/>
                  </w14:solidFill>
                </w14:textFill>
              </w:rPr>
              <w:object>
                <v:shape id="_x0000_i1028" o:spt="75" type="#_x0000_t75" style="height:34.5pt;width:139.5pt;" o:ole="t" filled="f" o:preferrelative="t" stroked="f" coordsize="21600,21600">
                  <v:path/>
                  <v:fill on="f" focussize="0,0"/>
                  <v:stroke on="f" joinstyle="miter"/>
                  <v:imagedata r:id="rId18" o:title=""/>
                  <o:lock v:ext="edit" aspectratio="t"/>
                  <w10:wrap type="none"/>
                  <w10:anchorlock/>
                </v:shape>
                <o:OLEObject Type="Embed" ProgID="Equation.KSEE3" ShapeID="_x0000_i1028" DrawAspect="Content" ObjectID="_1468075728" r:id="rId22">
                  <o:LockedField>false</o:LockedField>
                </o:OLEObject>
              </w:objec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式中：</w:t>
            </w:r>
            <w:r>
              <w:rPr>
                <w:bCs/>
                <w:color w:val="000000" w:themeColor="text1"/>
                <w:sz w:val="24"/>
                <w:highlight w:val="none"/>
                <w14:textFill>
                  <w14:solidFill>
                    <w14:schemeClr w14:val="tx1"/>
                  </w14:solidFill>
                </w14:textFill>
              </w:rPr>
              <w:t>E</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—核算时段内第j种污染物排放量，t；</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R—核算时段内燃料耗量，</w:t>
            </w:r>
            <w:r>
              <w:rPr>
                <w:color w:val="000000" w:themeColor="text1"/>
                <w:sz w:val="24"/>
                <w:szCs w:val="22"/>
                <w:highlight w:val="none"/>
                <w14:textFill>
                  <w14:solidFill>
                    <w14:schemeClr w14:val="tx1"/>
                  </w14:solidFill>
                </w14:textFill>
              </w:rPr>
              <w:t>万</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天然气年用量为90万m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szCs w:val="22"/>
                <w:highlight w:val="none"/>
                <w14:textFill>
                  <w14:solidFill>
                    <w14:schemeClr w14:val="tx1"/>
                  </w14:solidFill>
                </w14:textFill>
              </w:rPr>
              <w:t>。</w:t>
            </w:r>
          </w:p>
          <w:p>
            <w:pPr>
              <w:spacing w:line="360" w:lineRule="auto"/>
              <w:ind w:firstLine="480" w:firstLineChars="200"/>
              <w:rPr>
                <w:rFonts w:hint="eastAsia" w:eastAsia="宋体"/>
                <w:color w:val="000000" w:themeColor="text1"/>
                <w:sz w:val="24"/>
                <w:szCs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w:t xml:space="preserve">      </w:t>
            </w:r>
            <w:r>
              <w:rPr>
                <w:bCs/>
                <w:color w:val="000000" w:themeColor="text1"/>
                <w:sz w:val="24"/>
                <w:highlight w:val="none"/>
                <w14:textFill>
                  <w14:solidFill>
                    <w14:schemeClr w14:val="tx1"/>
                  </w14:solidFill>
                </w14:textFill>
              </w:rPr>
              <w:t>β</w:t>
            </w:r>
            <w:r>
              <w:rPr>
                <w:bCs/>
                <w:color w:val="000000" w:themeColor="text1"/>
                <w:sz w:val="24"/>
                <w:highlight w:val="none"/>
                <w:vertAlign w:val="subscript"/>
                <w14:textFill>
                  <w14:solidFill>
                    <w14:schemeClr w14:val="tx1"/>
                  </w14:solidFill>
                </w14:textFill>
              </w:rPr>
              <w:t>j</w:t>
            </w:r>
            <w:r>
              <w:rPr>
                <w:color w:val="000000" w:themeColor="text1"/>
                <w:sz w:val="24"/>
                <w:highlight w:val="none"/>
                <w14:textFill>
                  <w14:solidFill>
                    <w14:schemeClr w14:val="tx1"/>
                  </w14:solidFill>
                </w14:textFill>
              </w:rPr>
              <w:t>—产污系数，kg/万m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根据</w:t>
            </w:r>
            <w:r>
              <w:rPr>
                <w:rFonts w:hint="eastAsia"/>
                <w:color w:val="000000" w:themeColor="text1"/>
                <w:sz w:val="24"/>
                <w:szCs w:val="24"/>
                <w:highlight w:val="none"/>
                <w14:textFill>
                  <w14:solidFill>
                    <w14:schemeClr w14:val="tx1"/>
                  </w14:solidFill>
                </w14:textFill>
              </w:rPr>
              <w:t>《排污许可证申请与核发技术规范锅炉》</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HJ953-2018</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，本项目取</w:t>
            </w:r>
            <w:r>
              <w:rPr>
                <w:rFonts w:hint="eastAsia"/>
                <w:color w:val="000000" w:themeColor="text1"/>
                <w:sz w:val="24"/>
                <w:szCs w:val="24"/>
                <w:highlight w:val="none"/>
                <w:lang w:val="en-US" w:eastAsia="zh-CN"/>
                <w14:textFill>
                  <w14:solidFill>
                    <w14:schemeClr w14:val="tx1"/>
                  </w14:solidFill>
                </w14:textFill>
              </w:rPr>
              <w:t>9.36</w:t>
            </w:r>
            <w:r>
              <w:rPr>
                <w:color w:val="000000" w:themeColor="text1"/>
                <w:sz w:val="24"/>
                <w:highlight w:val="none"/>
                <w14:textFill>
                  <w14:solidFill>
                    <w14:schemeClr w14:val="tx1"/>
                  </w14:solidFill>
                </w14:textFill>
              </w:rPr>
              <w:t>kg/万m</w:t>
            </w:r>
            <w:r>
              <w:rPr>
                <w:color w:val="000000" w:themeColor="text1"/>
                <w:sz w:val="24"/>
                <w:highlight w:val="none"/>
                <w:vertAlign w:val="superscript"/>
                <w14:textFill>
                  <w14:solidFill>
                    <w14:schemeClr w14:val="tx1"/>
                  </w14:solidFill>
                </w14:textFill>
              </w:rPr>
              <w:t>3</w:t>
            </w:r>
            <w:r>
              <w:rPr>
                <w:rFonts w:hint="eastAsia"/>
                <w:color w:val="000000" w:themeColor="text1"/>
                <w:sz w:val="24"/>
                <w:szCs w:val="24"/>
                <w:highlight w:val="none"/>
                <w:lang w:eastAsia="zh-CN"/>
                <w14:textFill>
                  <w14:solidFill>
                    <w14:schemeClr w14:val="tx1"/>
                  </w14:solidFill>
                </w14:textFill>
              </w:rPr>
              <w:t>（低氮燃烧）</w:t>
            </w:r>
          </w:p>
          <w:p>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color w:val="000000" w:themeColor="text1"/>
                <w:sz w:val="24"/>
                <w:szCs w:val="24"/>
                <w:highlight w:val="none"/>
                <w14:textFill>
                  <w14:solidFill>
                    <w14:schemeClr w14:val="tx1"/>
                  </w14:solidFill>
                </w14:textFill>
              </w:rPr>
              <w:t xml:space="preserve">      η—污染物的脱除效率。</w:t>
            </w:r>
            <w:r>
              <w:rPr>
                <w:rFonts w:hint="eastAsia"/>
                <w:color w:val="000000" w:themeColor="text1"/>
                <w:sz w:val="24"/>
                <w:szCs w:val="24"/>
                <w:highlight w:val="none"/>
                <w:lang w:val="en-US" w:eastAsia="zh-CN"/>
                <w14:textFill>
                  <w14:solidFill>
                    <w14:schemeClr w14:val="tx1"/>
                  </w14:solidFill>
                </w14:textFill>
              </w:rPr>
              <w:t>由于</w:t>
            </w:r>
            <w:r>
              <w:rPr>
                <w:rStyle w:val="24"/>
                <w:rFonts w:hint="eastAsia"/>
                <w:color w:val="000000" w:themeColor="text1"/>
                <w:kern w:val="0"/>
                <w:sz w:val="24"/>
                <w:szCs w:val="24"/>
                <w:highlight w:val="none"/>
                <w:lang w:eastAsia="zh-CN"/>
                <w14:textFill>
                  <w14:solidFill>
                    <w14:schemeClr w14:val="tx1"/>
                  </w14:solidFill>
                </w14:textFill>
              </w:rPr>
              <w:t>产污系数中已为低氮燃烧系数，故</w:t>
            </w:r>
            <w:r>
              <w:rPr>
                <w:rFonts w:hint="eastAsia"/>
                <w:color w:val="000000" w:themeColor="text1"/>
                <w:sz w:val="24"/>
                <w:szCs w:val="24"/>
                <w:highlight w:val="none"/>
                <w:lang w:eastAsia="zh-CN"/>
                <w14:textFill>
                  <w14:solidFill>
                    <w14:schemeClr w14:val="tx1"/>
                  </w14:solidFill>
                </w14:textFill>
              </w:rPr>
              <w:t>取</w:t>
            </w:r>
            <w:r>
              <w:rPr>
                <w:rFonts w:hint="eastAsia"/>
                <w:color w:val="000000" w:themeColor="text1"/>
                <w:sz w:val="24"/>
                <w:szCs w:val="24"/>
                <w:highlight w:val="none"/>
                <w:lang w:val="en-US" w:eastAsia="zh-CN"/>
                <w14:textFill>
                  <w14:solidFill>
                    <w14:schemeClr w14:val="tx1"/>
                  </w14:solidFill>
                </w14:textFill>
              </w:rPr>
              <w:t>0</w:t>
            </w:r>
            <w:r>
              <w:rPr>
                <w:rStyle w:val="24"/>
                <w:rFonts w:hint="eastAsia"/>
                <w:color w:val="000000" w:themeColor="text1"/>
                <w:kern w:val="0"/>
                <w:sz w:val="24"/>
                <w:szCs w:val="24"/>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w:t>经计算得，</w:t>
            </w:r>
            <w:r>
              <w:rPr>
                <w:rFonts w:hint="eastAsia"/>
                <w:color w:val="000000" w:themeColor="text1"/>
                <w:sz w:val="24"/>
                <w:highlight w:val="none"/>
                <w:lang w:val="en-US" w:eastAsia="zh-CN"/>
                <w14:textFill>
                  <w14:solidFill>
                    <w14:schemeClr w14:val="tx1"/>
                  </w14:solidFill>
                </w14:textFill>
              </w:rPr>
              <w:t>3</w:t>
            </w:r>
            <w:r>
              <w:rPr>
                <w:snapToGrid w:val="0"/>
                <w:color w:val="000000" w:themeColor="text1"/>
                <w:kern w:val="0"/>
                <w:sz w:val="24"/>
                <w:highlight w:val="none"/>
                <w14:textFill>
                  <w14:solidFill>
                    <w14:schemeClr w14:val="tx1"/>
                  </w14:solidFill>
                </w14:textFill>
              </w:rPr>
              <w:t>t/h</w:t>
            </w:r>
            <w:r>
              <w:rPr>
                <w:rFonts w:hint="eastAsia"/>
                <w:snapToGrid w:val="0"/>
                <w:color w:val="000000" w:themeColor="text1"/>
                <w:kern w:val="0"/>
                <w:sz w:val="24"/>
                <w:highlight w:val="none"/>
                <w14:textFill>
                  <w14:solidFill>
                    <w14:schemeClr w14:val="tx1"/>
                  </w14:solidFill>
                </w14:textFill>
              </w:rPr>
              <w:t>蒸汽锅炉</w:t>
            </w:r>
            <w:r>
              <w:rPr>
                <w:rFonts w:hint="eastAsia"/>
                <w:snapToGrid w:val="0"/>
                <w:color w:val="000000" w:themeColor="text1"/>
                <w:kern w:val="0"/>
                <w:sz w:val="24"/>
                <w:highlight w:val="none"/>
                <w:lang w:eastAsia="zh-CN"/>
                <w14:textFill>
                  <w14:solidFill>
                    <w14:schemeClr w14:val="tx1"/>
                  </w14:solidFill>
                </w14:textFill>
              </w:rPr>
              <w:t>氮氧化物排放</w:t>
            </w:r>
            <w:r>
              <w:rPr>
                <w:rFonts w:hint="eastAsia"/>
                <w:snapToGrid w:val="0"/>
                <w:color w:val="000000" w:themeColor="text1"/>
                <w:kern w:val="0"/>
                <w:sz w:val="24"/>
                <w:highlight w:val="none"/>
                <w14:textFill>
                  <w14:solidFill>
                    <w14:schemeClr w14:val="tx1"/>
                  </w14:solidFill>
                </w14:textFill>
              </w:rPr>
              <w:t>量为0.</w:t>
            </w:r>
            <w:r>
              <w:rPr>
                <w:rFonts w:hint="eastAsia"/>
                <w:snapToGrid w:val="0"/>
                <w:color w:val="000000" w:themeColor="text1"/>
                <w:kern w:val="0"/>
                <w:sz w:val="24"/>
                <w:highlight w:val="none"/>
                <w:lang w:val="en-US" w:eastAsia="zh-CN"/>
                <w14:textFill>
                  <w14:solidFill>
                    <w14:schemeClr w14:val="tx1"/>
                  </w14:solidFill>
                </w14:textFill>
              </w:rPr>
              <w:t>84</w:t>
            </w:r>
            <w:r>
              <w:rPr>
                <w:rFonts w:hint="eastAsia"/>
                <w:snapToGrid w:val="0"/>
                <w:color w:val="000000" w:themeColor="text1"/>
                <w:kern w:val="0"/>
                <w:sz w:val="24"/>
                <w:highlight w:val="none"/>
                <w14:textFill>
                  <w14:solidFill>
                    <w14:schemeClr w14:val="tx1"/>
                  </w14:solidFill>
                </w14:textFill>
              </w:rPr>
              <w:t>t/a</w:t>
            </w:r>
            <w:r>
              <w:rPr>
                <w:rFonts w:hint="eastAsia"/>
                <w:snapToGrid w:val="0"/>
                <w:color w:val="000000" w:themeColor="text1"/>
                <w:kern w:val="0"/>
                <w:sz w:val="24"/>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氮氧化物排放速率为0.117kg/h，排放浓度为89.72mg/m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pPr>
              <w:pStyle w:val="44"/>
              <w:bidi w:val="0"/>
              <w:rPr>
                <w:rFonts w:hint="eastAsia"/>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（2）食堂运行产生油烟</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本项目食堂设有</w:t>
            </w:r>
            <w:r>
              <w:rPr>
                <w:rFonts w:hint="default"/>
                <w:color w:val="000000" w:themeColor="text1"/>
                <w:highlight w:val="none"/>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个灶头，为100名员工提供三餐，拟以天然气为燃料。参考《餐饮服务性行业油烟无组织排放核算方法的研究》（施巍、丁勤栋、苏静），小型规模餐饮满负荷排放范围为3g/h~6g/h，本环评按不利情况计算，排放速率取6g/h，本项目年工作300天，每日3餐，食堂每天最大烹饪时间为6小时，风机风量为2000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/h，则油烟产生量为0.011t/a。</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根据《饮食业油烟排放标准》（</w:t>
            </w:r>
            <w:r>
              <w:rPr>
                <w:rFonts w:hint="default"/>
                <w:color w:val="000000" w:themeColor="text1"/>
                <w:highlight w:val="none"/>
                <w:lang w:val="en-US" w:eastAsia="zh-CN"/>
                <w14:textFill>
                  <w14:solidFill>
                    <w14:schemeClr w14:val="tx1"/>
                  </w14:solidFill>
                </w14:textFill>
              </w:rPr>
              <w:t>GB18483-2001</w:t>
            </w:r>
            <w:r>
              <w:rPr>
                <w:rFonts w:hint="eastAsia"/>
                <w:color w:val="000000" w:themeColor="text1"/>
                <w:highlight w:val="none"/>
                <w:lang w:val="en-US" w:eastAsia="zh-CN"/>
                <w14:textFill>
                  <w14:solidFill>
                    <w14:schemeClr w14:val="tx1"/>
                  </w14:solidFill>
                </w14:textFill>
              </w:rPr>
              <w:t>）的要求，项目建设单位拟安装油烟净化装置对其产生的油烟进行净化处理，油烟净化效率达到</w:t>
            </w:r>
            <w:r>
              <w:rPr>
                <w:rFonts w:hint="default"/>
                <w:color w:val="000000" w:themeColor="text1"/>
                <w:highlight w:val="none"/>
                <w:lang w:val="en-US" w:eastAsia="zh-CN"/>
                <w14:textFill>
                  <w14:solidFill>
                    <w14:schemeClr w14:val="tx1"/>
                  </w14:solidFill>
                </w14:textFill>
              </w:rPr>
              <w:t>60%</w:t>
            </w:r>
            <w:r>
              <w:rPr>
                <w:rFonts w:hint="eastAsia"/>
                <w:color w:val="000000" w:themeColor="text1"/>
                <w:highlight w:val="none"/>
                <w:lang w:val="en-US" w:eastAsia="zh-CN"/>
                <w14:textFill>
                  <w14:solidFill>
                    <w14:schemeClr w14:val="tx1"/>
                  </w14:solidFill>
                </w14:textFill>
              </w:rPr>
              <w:t>以上，净化设备排风量</w:t>
            </w:r>
            <w:r>
              <w:rPr>
                <w:rFonts w:hint="default"/>
                <w:color w:val="000000" w:themeColor="text1"/>
                <w:highlight w:val="none"/>
                <w:lang w:val="en-US" w:eastAsia="zh-CN"/>
                <w14:textFill>
                  <w14:solidFill>
                    <w14:schemeClr w14:val="tx1"/>
                  </w14:solidFill>
                </w14:textFill>
              </w:rPr>
              <w:t>2000m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。处理后，油烟排放量为0.0044t</w:t>
            </w:r>
            <w:r>
              <w:rPr>
                <w:rFonts w:hint="default"/>
                <w:color w:val="000000" w:themeColor="text1"/>
                <w:highlight w:val="none"/>
                <w:lang w:val="en-US" w:eastAsia="zh-CN"/>
                <w14:textFill>
                  <w14:solidFill>
                    <w14:schemeClr w14:val="tx1"/>
                  </w14:solidFill>
                </w14:textFill>
              </w:rPr>
              <w:t>/a</w:t>
            </w:r>
            <w:r>
              <w:rPr>
                <w:rFonts w:hint="eastAsia"/>
                <w:color w:val="000000" w:themeColor="text1"/>
                <w:highlight w:val="none"/>
                <w:lang w:val="en-US" w:eastAsia="zh-CN"/>
                <w14:textFill>
                  <w14:solidFill>
                    <w14:schemeClr w14:val="tx1"/>
                  </w14:solidFill>
                </w14:textFill>
              </w:rPr>
              <w:t>，排放速率为0.003kg/h，排放浓度为</w:t>
            </w: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47</w:t>
            </w:r>
            <w:r>
              <w:rPr>
                <w:rFonts w:hint="default"/>
                <w:color w:val="000000" w:themeColor="text1"/>
                <w:highlight w:val="none"/>
                <w:lang w:val="en-US" w:eastAsia="zh-CN"/>
                <w14:textFill>
                  <w14:solidFill>
                    <w14:schemeClr w14:val="tx1"/>
                  </w14:solidFill>
                </w14:textFill>
              </w:rPr>
              <w:t>mg/m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，可以达到《饮食业油烟排放标准》（</w:t>
            </w:r>
            <w:r>
              <w:rPr>
                <w:rFonts w:hint="default"/>
                <w:color w:val="000000" w:themeColor="text1"/>
                <w:highlight w:val="none"/>
                <w:lang w:val="en-US" w:eastAsia="zh-CN"/>
                <w14:textFill>
                  <w14:solidFill>
                    <w14:schemeClr w14:val="tx1"/>
                  </w14:solidFill>
                </w14:textFill>
              </w:rPr>
              <w:t>GB18483-2001</w:t>
            </w:r>
            <w:r>
              <w:rPr>
                <w:rFonts w:hint="eastAsia"/>
                <w:color w:val="000000" w:themeColor="text1"/>
                <w:highlight w:val="none"/>
                <w:lang w:val="en-US" w:eastAsia="zh-CN"/>
                <w14:textFill>
                  <w14:solidFill>
                    <w14:schemeClr w14:val="tx1"/>
                  </w14:solidFill>
                </w14:textFill>
              </w:rPr>
              <w:t>）中油烟最高允许排放浓度</w:t>
            </w:r>
            <w:r>
              <w:rPr>
                <w:rFonts w:hint="default"/>
                <w:color w:val="000000" w:themeColor="text1"/>
                <w:highlight w:val="none"/>
                <w:lang w:val="en-US" w:eastAsia="zh-CN"/>
                <w14:textFill>
                  <w14:solidFill>
                    <w14:schemeClr w14:val="tx1"/>
                  </w14:solidFill>
                </w14:textFill>
              </w:rPr>
              <w:t>2.0mg/m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的标准限值要求。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（3）生产工序废气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本项目物料输送、转运过程中采用封闭式管道通过气力输送，故物料输送过程中不会产生粉尘。</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①玉米、豆粕卸料废气</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输车辆进入卸料棚内，通过液压杆抬升进行卸料，将玉米和豆粕进入卸入密闭的卸料棚后，通过密闭的提升机，将玉米输送至玉米库，豆粕输送至立筒仓和料仓。卸料粉尘参考《工业逸散性粉尘控制技术》中粒料加工中粒料卸料时粉尘产生系数为0.01kg/t（原料），玉米、豆粕总卸料量为420000t/a，则粉尘产生量为4.2t/a。在卸料口上方设置集气罩收集卸料产生的粉尘，卸料棚密闭（收集效率为90%），经配套的脉冲式布袋除尘器（除尘效率为99%）处理后通过15m高排气筒排放，配套风机风量为7800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。每天卸料时间为8小时，年运行时间为2400h。</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则卸料颗粒物有组织排放量为0.038t/a，有组织排放速率为0.016kg/h，有组织排放浓度2.02mg/m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。无组织排放量为0.42t/a，无组织排放速率为0.18kg/h。</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②投料废气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除玉米及油料外其他辅料通过人工投料口投料，辅料采用编织袋包装，辅料拆包后进行投料，参考《逸散性工业颗粒物控制技术》，结合本项目特点，投料产生的颗粒物按0.16kg/t物料装卸量计算。主车间设置辅料投料口1个，预混料投料口3个，共四个人工投料口，辅料总投料量为57000t/a，则粉尘产生量为9.12t/a，每个投料口均设置集气罩收集投料产生的废气（收集效率80%），分别经各自配套的脉冲式布袋除尘器（除尘效率为99%）处理后通过15m高排气筒排放，配套风机风量为3045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，每天投料4小时，年运行时间为1200h。</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则投料颗粒物有组织排放量为0.073t/a，有组织排放速率为0.061kg/h，有组织排放浓度19.97mg/m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。无组织排放量为1.82t/a，无组织排放速率为1.52kg/h。</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③粉碎、配料混合、制粒冷却废气</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本项目玉米、豆粕等大粒原料进行粉碎、配料混合、制粒冷却等环节均会产生颗粒物</w:t>
            </w:r>
            <w:r>
              <w:rPr>
                <w:rFonts w:hint="eastAsia"/>
                <w:color w:val="000000" w:themeColor="text1"/>
                <w:highlight w:val="none"/>
                <w:lang w:val="en-US" w:eastAsia="zh-CN"/>
                <w14:textFill>
                  <w14:solidFill>
                    <w14:schemeClr w14:val="tx1"/>
                  </w14:solidFill>
                </w14:textFill>
              </w:rPr>
              <w:t>。本项目设有4台粉碎机，其中3台为豆粕粉碎机，1台为玉米粉碎机；设有2台混合机，其中1台为颗粒料混合机，1台为粉加粒混合机；设有3套制粒、冷却系统，上述设备均为密闭设备，</w:t>
            </w:r>
            <w:r>
              <w:rPr>
                <w:rFonts w:hint="default"/>
                <w:color w:val="000000" w:themeColor="text1"/>
                <w:highlight w:val="none"/>
                <w:lang w:val="en-US" w:eastAsia="zh-CN"/>
                <w14:textFill>
                  <w14:solidFill>
                    <w14:schemeClr w14:val="tx1"/>
                  </w14:solidFill>
                </w14:textFill>
              </w:rPr>
              <w:t>粉碎、配料混合</w:t>
            </w:r>
            <w:r>
              <w:rPr>
                <w:rFonts w:hint="eastAsia"/>
                <w:color w:val="000000" w:themeColor="text1"/>
                <w:highlight w:val="none"/>
                <w:lang w:val="en-US" w:eastAsia="zh-CN"/>
                <w14:textFill>
                  <w14:solidFill>
                    <w14:schemeClr w14:val="tx1"/>
                  </w14:solidFill>
                </w14:textFill>
              </w:rPr>
              <w:t>工序设备均由封闭管线与脉冲</w:t>
            </w:r>
            <w:r>
              <w:rPr>
                <w:rFonts w:hint="eastAsia" w:cs="Times New Roman"/>
                <w:color w:val="000000" w:themeColor="text1"/>
                <w:kern w:val="0"/>
                <w:sz w:val="24"/>
                <w:szCs w:val="24"/>
                <w:highlight w:val="none"/>
                <w:vertAlign w:val="baseline"/>
                <w:lang w:val="en-US" w:eastAsia="zh-CN" w:bidi="ar-SA"/>
                <w14:textFill>
                  <w14:solidFill>
                    <w14:schemeClr w14:val="tx1"/>
                  </w14:solidFill>
                </w14:textFill>
              </w:rPr>
              <w:t>式布袋</w:t>
            </w:r>
            <w:r>
              <w:rPr>
                <w:rFonts w:hint="eastAsia"/>
                <w:color w:val="000000" w:themeColor="text1"/>
                <w:highlight w:val="none"/>
                <w:lang w:val="en-US" w:eastAsia="zh-CN"/>
                <w14:textFill>
                  <w14:solidFill>
                    <w14:schemeClr w14:val="tx1"/>
                  </w14:solidFill>
                </w14:textFill>
              </w:rPr>
              <w:t>除尘器（除尘效率为99%）直接相连，</w:t>
            </w:r>
            <w:r>
              <w:rPr>
                <w:rFonts w:hint="default"/>
                <w:color w:val="000000" w:themeColor="text1"/>
                <w:highlight w:val="none"/>
                <w:lang w:val="en-US" w:eastAsia="zh-CN"/>
                <w14:textFill>
                  <w14:solidFill>
                    <w14:schemeClr w14:val="tx1"/>
                  </w14:solidFill>
                </w14:textFill>
              </w:rPr>
              <w:t>制粒冷却</w:t>
            </w:r>
            <w:r>
              <w:rPr>
                <w:rFonts w:hint="eastAsia"/>
                <w:color w:val="000000" w:themeColor="text1"/>
                <w:highlight w:val="none"/>
                <w:lang w:val="en-US" w:eastAsia="zh-CN"/>
                <w14:textFill>
                  <w14:solidFill>
                    <w14:schemeClr w14:val="tx1"/>
                  </w14:solidFill>
                </w14:textFill>
              </w:rPr>
              <w:t>工序冷却系统与脉冲刹克龙除尘器（除尘效率为70%）直接相连，故废气可全部收集。</w:t>
            </w:r>
            <w:r>
              <w:rPr>
                <w:rFonts w:hint="default"/>
                <w:color w:val="000000" w:themeColor="text1"/>
                <w:highlight w:val="none"/>
                <w:lang w:val="en-US" w:eastAsia="zh-CN"/>
                <w14:textFill>
                  <w14:solidFill>
                    <w14:schemeClr w14:val="tx1"/>
                  </w14:solidFill>
                </w14:textFill>
              </w:rPr>
              <w:t>粉碎、配料混合</w:t>
            </w:r>
            <w:r>
              <w:rPr>
                <w:rFonts w:hint="eastAsia"/>
                <w:color w:val="000000" w:themeColor="text1"/>
                <w:highlight w:val="none"/>
                <w:lang w:val="en-US" w:eastAsia="zh-CN"/>
                <w14:textFill>
                  <w14:solidFill>
                    <w14:schemeClr w14:val="tx1"/>
                  </w14:solidFill>
                </w14:textFill>
              </w:rPr>
              <w:t>工序配套风机风量为1440m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制粒冷却</w:t>
            </w:r>
            <w:r>
              <w:rPr>
                <w:rFonts w:hint="eastAsia"/>
                <w:color w:val="000000" w:themeColor="text1"/>
                <w:highlight w:val="none"/>
                <w:lang w:val="en-US" w:eastAsia="zh-CN"/>
                <w14:textFill>
                  <w14:solidFill>
                    <w14:schemeClr w14:val="tx1"/>
                  </w14:solidFill>
                </w14:textFill>
              </w:rPr>
              <w:t>工序配套风机风量为30360m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，各工序分别通过各自15m高排气筒排放，每天运行时间为8h，年运行时间为2400h。</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根据《排放源统计调查产排污核算方</w:t>
            </w:r>
            <w:r>
              <w:rPr>
                <w:rFonts w:hint="eastAsia"/>
                <w:color w:val="000000" w:themeColor="text1"/>
                <w:highlight w:val="none"/>
                <w:lang w:val="en-US" w:eastAsia="zh-CN"/>
                <w14:textFill>
                  <w14:solidFill>
                    <w14:schemeClr w14:val="tx1"/>
                  </w14:solidFill>
                </w14:textFill>
              </w:rPr>
              <w:t>法</w:t>
            </w:r>
            <w:r>
              <w:rPr>
                <w:rFonts w:hint="default"/>
                <w:color w:val="000000" w:themeColor="text1"/>
                <w:highlight w:val="none"/>
                <w:lang w:val="en-US" w:eastAsia="zh-CN"/>
                <w14:textFill>
                  <w14:solidFill>
                    <w14:schemeClr w14:val="tx1"/>
                  </w14:solidFill>
                </w14:textFill>
              </w:rPr>
              <w:t>和系数手册》（2021 年）中</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132饲料加工行业系数手册</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规模等级为</w:t>
            </w:r>
            <w:r>
              <w:rPr>
                <w:rFonts w:hint="default"/>
                <w:color w:val="000000" w:themeColor="text1"/>
                <w:highlight w:val="none"/>
                <w:lang w:val="en-US" w:eastAsia="zh-CN"/>
                <w14:textFill>
                  <w14:solidFill>
                    <w14:schemeClr w14:val="tx1"/>
                  </w14:solidFill>
                </w14:textFill>
              </w:rPr>
              <w:t>10万吨/年</w:t>
            </w:r>
            <w:r>
              <w:rPr>
                <w:rFonts w:hint="eastAsia"/>
                <w:color w:val="000000" w:themeColor="text1"/>
                <w:highlight w:val="none"/>
                <w:lang w:val="en-US" w:eastAsia="zh-CN"/>
                <w14:textFill>
                  <w14:solidFill>
                    <w14:schemeClr w14:val="tx1"/>
                  </w14:solidFill>
                </w14:textFill>
              </w:rPr>
              <w:t>以上</w:t>
            </w:r>
            <w:r>
              <w:rPr>
                <w:rFonts w:hint="default"/>
                <w:color w:val="000000" w:themeColor="text1"/>
                <w:highlight w:val="none"/>
                <w:lang w:val="en-US" w:eastAsia="zh-CN"/>
                <w14:textFill>
                  <w14:solidFill>
                    <w14:schemeClr w14:val="tx1"/>
                  </w14:solidFill>
                </w14:textFill>
              </w:rPr>
              <w:t>的配合饲料颗粒物产生系数为0.041千克/吨-产品</w:t>
            </w:r>
            <w:r>
              <w:rPr>
                <w:rFonts w:hint="eastAsia"/>
                <w:color w:val="000000" w:themeColor="text1"/>
                <w:highlight w:val="none"/>
                <w:lang w:val="en-US" w:eastAsia="zh-CN"/>
                <w14:textFill>
                  <w14:solidFill>
                    <w14:schemeClr w14:val="tx1"/>
                  </w14:solidFill>
                </w14:textFill>
              </w:rPr>
              <w:t>，排污系数详见下表。</w:t>
            </w:r>
          </w:p>
          <w:p>
            <w:pPr>
              <w:pStyle w:val="45"/>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表4-2 饲料加工行业系数表</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915"/>
              <w:gridCol w:w="1876"/>
              <w:gridCol w:w="884"/>
              <w:gridCol w:w="698"/>
              <w:gridCol w:w="711"/>
              <w:gridCol w:w="648"/>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产品名称</w:t>
                  </w:r>
                </w:p>
              </w:tc>
              <w:tc>
                <w:tcPr>
                  <w:tcW w:w="1915"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原料名称</w:t>
                  </w:r>
                </w:p>
              </w:tc>
              <w:tc>
                <w:tcPr>
                  <w:tcW w:w="1876"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工艺名称</w:t>
                  </w:r>
                </w:p>
              </w:tc>
              <w:tc>
                <w:tcPr>
                  <w:tcW w:w="884"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规模登记</w:t>
                  </w:r>
                </w:p>
              </w:tc>
              <w:tc>
                <w:tcPr>
                  <w:tcW w:w="1409" w:type="dxa"/>
                  <w:gridSpan w:val="2"/>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污染物指标</w:t>
                  </w:r>
                </w:p>
              </w:tc>
              <w:tc>
                <w:tcPr>
                  <w:tcW w:w="648" w:type="dxa"/>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系数单位</w:t>
                  </w:r>
                </w:p>
              </w:tc>
              <w:tc>
                <w:tcPr>
                  <w:tcW w:w="1056" w:type="dxa"/>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684"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配合饲料</w:t>
                  </w:r>
                </w:p>
              </w:tc>
              <w:tc>
                <w:tcPr>
                  <w:tcW w:w="1915" w:type="dxa"/>
                  <w:tcBorders>
                    <w:tl2br w:val="nil"/>
                    <w:tr2bl w:val="nil"/>
                  </w:tcBorders>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玉米、蛋白质类原料（豆粕等）、维生素等</w:t>
                  </w:r>
                </w:p>
              </w:tc>
              <w:tc>
                <w:tcPr>
                  <w:tcW w:w="1876" w:type="dxa"/>
                  <w:tcBorders>
                    <w:tl2br w:val="nil"/>
                    <w:tr2bl w:val="nil"/>
                  </w:tcBorders>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粉碎</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混合</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制粒（可不制粒）</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除尘</w:t>
                  </w:r>
                </w:p>
              </w:tc>
              <w:tc>
                <w:tcPr>
                  <w:tcW w:w="884" w:type="dxa"/>
                  <w:tcBorders>
                    <w:tl2br w:val="nil"/>
                    <w:tr2bl w:val="nil"/>
                  </w:tcBorders>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万吨</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年</w:t>
                  </w:r>
                </w:p>
              </w:tc>
              <w:tc>
                <w:tcPr>
                  <w:tcW w:w="698"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废气</w:t>
                  </w:r>
                </w:p>
              </w:tc>
              <w:tc>
                <w:tcPr>
                  <w:tcW w:w="711"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颗粒物</w:t>
                  </w:r>
                </w:p>
              </w:tc>
              <w:tc>
                <w:tcPr>
                  <w:tcW w:w="648" w:type="dxa"/>
                  <w:tcBorders>
                    <w:tl2br w:val="nil"/>
                    <w:tr2bl w:val="nil"/>
                  </w:tcBorders>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千克</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吨产品</w:t>
                  </w:r>
                </w:p>
              </w:tc>
              <w:tc>
                <w:tcPr>
                  <w:tcW w:w="1056" w:type="dxa"/>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0.041</w:t>
                  </w:r>
                </w:p>
              </w:tc>
            </w:tr>
          </w:tbl>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根据《排放源统计调查产排污核算方法和系数手册》132饲料加工行业中相关描述</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根据饲料加工行业的生产特点，将除尘系统纳入生产工艺设备，即产污系数已核算扣减污染治理设施去除的颗粒物。因此产污系数为最终的排放系数。根据企业生产运营经验，项目粉碎段的颗粒物排放系数取0.015千克/吨-产品核算</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项目配料混合段的颗粒物排放系数取0.016千克/吨-产品核算</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项目制</w:t>
            </w:r>
            <w:r>
              <w:rPr>
                <w:rFonts w:hint="eastAsia"/>
                <w:color w:val="000000" w:themeColor="text1"/>
                <w:highlight w:val="none"/>
                <w:lang w:val="en-US" w:eastAsia="zh-CN"/>
                <w14:textFill>
                  <w14:solidFill>
                    <w14:schemeClr w14:val="tx1"/>
                  </w14:solidFill>
                </w14:textFill>
              </w:rPr>
              <w:t>粒</w:t>
            </w:r>
            <w:r>
              <w:rPr>
                <w:rFonts w:hint="default"/>
                <w:color w:val="000000" w:themeColor="text1"/>
                <w:highlight w:val="none"/>
                <w:lang w:val="en-US" w:eastAsia="zh-CN"/>
                <w14:textFill>
                  <w14:solidFill>
                    <w14:schemeClr w14:val="tx1"/>
                  </w14:solidFill>
                </w14:textFill>
              </w:rPr>
              <w:t>冷却段的颗粒物排放系数取0.01千克/吨-产品核算。</w: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则项目粉碎颗粒物</w:t>
            </w:r>
            <w:r>
              <w:rPr>
                <w:rFonts w:hint="eastAsia"/>
                <w:color w:val="000000" w:themeColor="text1"/>
                <w:highlight w:val="none"/>
                <w:lang w:val="en-US" w:eastAsia="zh-CN"/>
                <w14:textFill>
                  <w14:solidFill>
                    <w14:schemeClr w14:val="tx1"/>
                  </w14:solidFill>
                </w14:textFill>
              </w:rPr>
              <w:t>有组织排放量为0.075t/a，有组织排放速率为0.031kg/h，有组织排放浓度21.7mg/m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。配料混合颗粒物有组织排放量为0.08t/a，有组织排放速率为0.033kg/h，有组织排放浓度23.15mg/m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。制粒冷却有组织排放量为1.5t/a，有组织排放速率为0.625kg/h，有组织排放浓度20.59mg/m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④制粒冷却过程异味</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异味来源主要为豆粕等原料在储存过程中产生的恶臭气味以及饲料生产过程中制粒冷却工段等原料产生的异味或恶臭气体。根据《恶臭污染物排放标准》(GB14554-1993)中对恶臭气体的定义，一切刺激嗅觉器官引起人们不愉快及损坏生活环境的气体均属于恶臭气体。根据文献《臭气强度与臭气浓度间的定量关系研究》(来自《城市环境与城市生态》，2014年8月，第27卷4期)，不同臭气级别对应的臭气浓度情况见下表。</w:t>
            </w:r>
          </w:p>
          <w:p>
            <w:pPr>
              <w:pStyle w:val="44"/>
              <w:bidi w:val="0"/>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表4-3 臭气级别及臭气浓度情况对应表</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5235"/>
              <w:gridCol w:w="23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级别</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嗅觉感觉</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臭气浓度区间（无量纲）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无臭</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能稍微感觉出极微弱的臭味，对应检知阈值的浓度范围</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能勉强辨别出臭味的品质，对应确认阈值的浓度范围</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49-234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可明显感觉到有臭味</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234-1318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强烈的臭味</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1318-7413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6"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p>
              </w:tc>
              <w:tc>
                <w:tcPr>
                  <w:tcW w:w="5235"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让人无法忍受的强烈臭味</w:t>
                  </w:r>
                </w:p>
              </w:tc>
              <w:tc>
                <w:tcPr>
                  <w:tcW w:w="2334" w:type="dxa"/>
                  <w:tcBorders>
                    <w:tl2br w:val="nil"/>
                    <w:tr2bl w:val="nil"/>
                  </w:tcBorders>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》7413</w:t>
                  </w:r>
                </w:p>
              </w:tc>
            </w:tr>
          </w:tbl>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本项目无发酵工艺，故臭味产生较少</w:t>
            </w:r>
            <w:r>
              <w:rPr>
                <w:rFonts w:hint="eastAsia"/>
                <w:color w:val="000000" w:themeColor="text1"/>
                <w:highlight w:val="none"/>
                <w:lang w:val="en-US" w:eastAsia="zh-CN"/>
                <w14:textFill>
                  <w14:solidFill>
                    <w14:schemeClr w14:val="tx1"/>
                  </w14:solidFill>
                </w14:textFill>
              </w:rPr>
              <w:t>，且厂区周围500m范围内无居民，采取通风换气控制异味排放。</w:t>
            </w:r>
            <w:r>
              <w:rPr>
                <w:rFonts w:hint="default"/>
                <w:color w:val="000000" w:themeColor="text1"/>
                <w:highlight w:val="none"/>
                <w:lang w:val="en-US" w:eastAsia="zh-CN"/>
                <w14:textFill>
                  <w14:solidFill>
                    <w14:schemeClr w14:val="tx1"/>
                  </w14:solidFill>
                </w14:textFill>
              </w:rPr>
              <w:t>参考同类项目制粒冷却工段产生的恶臭等级在3级左右，为减少异味对周边环境的影响，本项目需加强车间通风换气。制粒冷却工段气体气味在3级，臭气浓度值234-1318无量纲，车间换气窗户</w:t>
            </w:r>
            <w:r>
              <w:rPr>
                <w:rFonts w:hint="eastAsia"/>
                <w:color w:val="000000" w:themeColor="text1"/>
                <w:highlight w:val="none"/>
                <w:lang w:val="en-US" w:eastAsia="zh-CN"/>
                <w14:textFill>
                  <w14:solidFill>
                    <w14:schemeClr w14:val="tx1"/>
                  </w14:solidFill>
                </w14:textFill>
              </w:rPr>
              <w:t>共25</w:t>
            </w:r>
            <w:r>
              <w:rPr>
                <w:rFonts w:hint="default"/>
                <w:color w:val="000000" w:themeColor="text1"/>
                <w:highlight w:val="none"/>
                <w:lang w:val="en-US" w:eastAsia="zh-CN"/>
                <w14:textFill>
                  <w14:solidFill>
                    <w14:schemeClr w14:val="tx1"/>
                  </w14:solidFill>
                </w14:textFill>
              </w:rPr>
              <w:t>m²，参考</w:t>
            </w:r>
            <w:r>
              <w:rPr>
                <w:rFonts w:hint="eastAsia"/>
                <w:color w:val="000000" w:themeColor="text1"/>
                <w:highlight w:val="none"/>
                <w:lang w:val="en-US" w:eastAsia="zh-CN"/>
                <w14:textFill>
                  <w14:solidFill>
                    <w14:schemeClr w14:val="tx1"/>
                  </w14:solidFill>
                </w14:textFill>
              </w:rPr>
              <w:t>鞍山</w:t>
            </w:r>
            <w:r>
              <w:rPr>
                <w:rFonts w:hint="default"/>
                <w:color w:val="000000" w:themeColor="text1"/>
                <w:highlight w:val="none"/>
                <w:lang w:val="en-US" w:eastAsia="zh-CN"/>
                <w14:textFill>
                  <w14:solidFill>
                    <w14:schemeClr w14:val="tx1"/>
                  </w14:solidFill>
                </w14:textFill>
              </w:rPr>
              <w:t>基本气候情况</w:t>
            </w:r>
            <w:r>
              <w:rPr>
                <w:rFonts w:hint="eastAsia"/>
                <w:color w:val="000000" w:themeColor="text1"/>
                <w:highlight w:val="none"/>
                <w:lang w:val="en-US" w:eastAsia="zh-CN"/>
                <w14:textFill>
                  <w14:solidFill>
                    <w14:schemeClr w14:val="tx1"/>
                  </w14:solidFill>
                </w14:textFill>
              </w:rPr>
              <w:t>鞍山</w:t>
            </w:r>
            <w:r>
              <w:rPr>
                <w:rFonts w:hint="default"/>
                <w:color w:val="000000" w:themeColor="text1"/>
                <w:highlight w:val="none"/>
                <w:lang w:val="en-US" w:eastAsia="zh-CN"/>
                <w14:textFill>
                  <w14:solidFill>
                    <w14:schemeClr w14:val="tx1"/>
                  </w14:solidFill>
                </w14:textFill>
              </w:rPr>
              <w:t>平均风速2.8m/s，故每小时换气量为</w:t>
            </w:r>
            <w:r>
              <w:rPr>
                <w:rFonts w:hint="eastAsia"/>
                <w:color w:val="000000" w:themeColor="text1"/>
                <w:highlight w:val="none"/>
                <w:lang w:val="en-US" w:eastAsia="zh-CN"/>
                <w14:textFill>
                  <w14:solidFill>
                    <w14:schemeClr w14:val="tx1"/>
                  </w14:solidFill>
                </w14:textFill>
              </w:rPr>
              <w:t>252000</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。车间</w:t>
            </w:r>
            <w:r>
              <w:rPr>
                <w:rFonts w:hint="eastAsia"/>
                <w:color w:val="000000" w:themeColor="text1"/>
                <w:highlight w:val="none"/>
                <w:lang w:val="en-US" w:eastAsia="zh-CN"/>
                <w14:textFill>
                  <w14:solidFill>
                    <w14:schemeClr w14:val="tx1"/>
                  </w14:solidFill>
                </w14:textFill>
              </w:rPr>
              <w:t>约3875.65</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可知每小时空气扩散倍数</w:t>
            </w:r>
            <w:r>
              <w:rPr>
                <w:rFonts w:hint="eastAsia"/>
                <w:color w:val="000000" w:themeColor="text1"/>
                <w:highlight w:val="none"/>
                <w:lang w:val="en-US" w:eastAsia="zh-CN"/>
                <w14:textFill>
                  <w14:solidFill>
                    <w14:schemeClr w14:val="tx1"/>
                  </w14:solidFill>
                </w14:textFill>
              </w:rPr>
              <w:t>65</w:t>
            </w:r>
            <w:r>
              <w:rPr>
                <w:rFonts w:hint="default"/>
                <w:color w:val="000000" w:themeColor="text1"/>
                <w:highlight w:val="none"/>
                <w:lang w:val="en-US" w:eastAsia="zh-CN"/>
                <w14:textFill>
                  <w14:solidFill>
                    <w14:schemeClr w14:val="tx1"/>
                  </w14:solidFill>
                </w14:textFill>
              </w:rPr>
              <w:t>倍。经通风后浓度</w:t>
            </w:r>
            <w:r>
              <w:rPr>
                <w:rFonts w:hint="eastAsia"/>
                <w:color w:val="000000" w:themeColor="text1"/>
                <w:highlight w:val="none"/>
                <w:lang w:val="en-US" w:eastAsia="zh-CN"/>
                <w14:textFill>
                  <w14:solidFill>
                    <w14:schemeClr w14:val="tx1"/>
                  </w14:solidFill>
                </w14:textFill>
              </w:rPr>
              <w:t>3.6-20.27</w:t>
            </w:r>
            <w:r>
              <w:rPr>
                <w:rFonts w:hint="default"/>
                <w:color w:val="000000" w:themeColor="text1"/>
                <w:highlight w:val="none"/>
                <w:lang w:val="en-US" w:eastAsia="zh-CN"/>
                <w14:textFill>
                  <w14:solidFill>
                    <w14:schemeClr w14:val="tx1"/>
                  </w14:solidFill>
                </w14:textFill>
              </w:rPr>
              <w:t>无量纲，满足《恶臭污染物排放标准》</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GB14554-93</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排放标准。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⑤包装废气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本项目年产50万吨饲料，包装量取50万吨，根据《逸散性工业粉尘控制技术》（中国环境出版社，1989 年），粒料加工厂物料装卸产污系数为 0.01kg/t</w:t>
            </w:r>
            <w:r>
              <w:rPr>
                <w:rFonts w:hint="eastAsia"/>
                <w:color w:val="000000" w:themeColor="text1"/>
                <w:highlight w:val="none"/>
                <w:lang w:eastAsia="zh-CN"/>
                <w14:textFill>
                  <w14:solidFill>
                    <w14:schemeClr w14:val="tx1"/>
                  </w14:solidFill>
                </w14:textFill>
              </w:rPr>
              <w:t>（产品）</w:t>
            </w:r>
            <w:r>
              <w:rPr>
                <w:rFonts w:hint="eastAsia"/>
                <w:color w:val="000000" w:themeColor="text1"/>
                <w:highlight w:val="none"/>
                <w:lang w:val="en-US" w:eastAsia="zh-CN"/>
                <w14:textFill>
                  <w14:solidFill>
                    <w14:schemeClr w14:val="tx1"/>
                  </w14:solidFill>
                </w14:textFill>
              </w:rPr>
              <w:t>。则本项目包装粉尘产生量为5</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，共2个打包口，在每个打包口上方设置集气罩收集包装产生的废气（收集效率80%），经配套的脉冲式布袋除尘器（除尘效率为99%）处理后通过1根15m高排气筒排放，风机风量为3045m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，每天运行时间为8h，年包装时间为</w:t>
            </w:r>
            <w:r>
              <w:rPr>
                <w:rFonts w:hint="default"/>
                <w:color w:val="000000" w:themeColor="text1"/>
                <w:highlight w:val="none"/>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00h</w:t>
            </w:r>
            <w:r>
              <w:rPr>
                <w:rFonts w:hint="eastAsia"/>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则包装颗粒物有组织排放量为0.04t/a，有组织排放速率为0.017kg/h，有组织排放浓度5.47mg/m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。无组织排放量为1t/a，无组织排放速率为0.42kg/h。</w:t>
            </w:r>
          </w:p>
          <w:p>
            <w:pPr>
              <w:pStyle w:val="50"/>
              <w:bidi w:val="0"/>
              <w:ind w:left="0" w:leftChars="0" w:firstLine="0" w:firstLineChars="0"/>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表4-4 废气排放情况一览表</w:t>
            </w:r>
          </w:p>
          <w:tbl>
            <w:tblPr>
              <w:tblStyle w:val="21"/>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621"/>
              <w:gridCol w:w="686"/>
              <w:gridCol w:w="822"/>
              <w:gridCol w:w="778"/>
              <w:gridCol w:w="817"/>
              <w:gridCol w:w="1001"/>
              <w:gridCol w:w="875"/>
              <w:gridCol w:w="822"/>
              <w:gridCol w:w="823"/>
              <w:gridCol w:w="6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排放源</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排放形式</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产生浓度</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mg/m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产生速率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kg/h</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产生量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5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治理措施</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排放浓度</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mg/m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排放速率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kg/h</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3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363"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燃气锅炉</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15.34 </w:t>
                  </w:r>
                </w:p>
              </w:tc>
              <w:tc>
                <w:tcPr>
                  <w:tcW w:w="456"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0.02 </w:t>
                  </w:r>
                </w:p>
              </w:tc>
              <w:tc>
                <w:tcPr>
                  <w:tcW w:w="479"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0.14 </w:t>
                  </w:r>
                </w:p>
              </w:tc>
              <w:tc>
                <w:tcPr>
                  <w:tcW w:w="587" w:type="pct"/>
                  <w:vMerge w:val="restar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低氮燃烧+8m高排气筒</w:t>
                  </w:r>
                </w:p>
              </w:tc>
              <w:tc>
                <w:tcPr>
                  <w:tcW w:w="513"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15.34 </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0.02 </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0.14 </w:t>
                  </w:r>
                </w:p>
              </w:tc>
              <w:tc>
                <w:tcPr>
                  <w:tcW w:w="3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363"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二氧化硫</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19.17 </w:t>
                  </w:r>
                </w:p>
              </w:tc>
              <w:tc>
                <w:tcPr>
                  <w:tcW w:w="456"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0.025</w:t>
                  </w:r>
                </w:p>
              </w:tc>
              <w:tc>
                <w:tcPr>
                  <w:tcW w:w="479" w:type="pct"/>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0.18</w:t>
                  </w:r>
                </w:p>
              </w:tc>
              <w:tc>
                <w:tcPr>
                  <w:tcW w:w="587" w:type="pct"/>
                  <w:vMerge w:val="continue"/>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p>
              </w:tc>
              <w:tc>
                <w:tcPr>
                  <w:tcW w:w="513"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19.17 </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0.025</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0.18</w:t>
                  </w:r>
                </w:p>
              </w:tc>
              <w:tc>
                <w:tcPr>
                  <w:tcW w:w="3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363"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氮氧化物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150 </w:t>
                  </w:r>
                </w:p>
              </w:tc>
              <w:tc>
                <w:tcPr>
                  <w:tcW w:w="456"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0.196 </w:t>
                  </w:r>
                </w:p>
              </w:tc>
              <w:tc>
                <w:tcPr>
                  <w:tcW w:w="479"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1.41 </w:t>
                  </w:r>
                </w:p>
              </w:tc>
              <w:tc>
                <w:tcPr>
                  <w:tcW w:w="587" w:type="pct"/>
                  <w:vMerge w:val="continue"/>
                  <w:tcBorders>
                    <w:tl2br w:val="nil"/>
                    <w:tr2bl w:val="nil"/>
                  </w:tcBorders>
                  <w:vAlign w:val="center"/>
                </w:tcPr>
                <w:p>
                  <w:pPr>
                    <w:pStyle w:val="45"/>
                    <w:bidi w:val="0"/>
                    <w:rPr>
                      <w:rFonts w:hint="eastAsia"/>
                      <w:color w:val="000000" w:themeColor="text1"/>
                      <w:highlight w:val="none"/>
                      <w:lang w:val="en-US" w:eastAsia="zh-CN"/>
                      <w14:textFill>
                        <w14:solidFill>
                          <w14:schemeClr w14:val="tx1"/>
                        </w14:solidFill>
                      </w14:textFill>
                    </w:rPr>
                  </w:pPr>
                </w:p>
              </w:tc>
              <w:tc>
                <w:tcPr>
                  <w:tcW w:w="513"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89.72</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0.117 </w:t>
                  </w:r>
                </w:p>
              </w:tc>
              <w:tc>
                <w:tcPr>
                  <w:tcW w:w="482" w:type="pc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0.84</w:t>
                  </w:r>
                </w:p>
              </w:tc>
              <w:tc>
                <w:tcPr>
                  <w:tcW w:w="3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36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食堂</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油烟</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0.006</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0.009</w:t>
                  </w:r>
                </w:p>
              </w:tc>
              <w:tc>
                <w:tcPr>
                  <w:tcW w:w="5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油烟净化器</w:t>
                  </w:r>
                </w:p>
              </w:tc>
              <w:tc>
                <w:tcPr>
                  <w:tcW w:w="51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t>1.2</w:t>
                  </w:r>
                </w:p>
              </w:tc>
              <w:tc>
                <w:tcPr>
                  <w:tcW w:w="48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t>0.0024</w:t>
                  </w:r>
                </w:p>
              </w:tc>
              <w:tc>
                <w:tcPr>
                  <w:tcW w:w="48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t>0.0036</w:t>
                  </w:r>
                </w:p>
              </w:tc>
              <w:tc>
                <w:tcPr>
                  <w:tcW w:w="3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363"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卸料工序</w:t>
                  </w:r>
                </w:p>
              </w:tc>
              <w:tc>
                <w:tcPr>
                  <w:tcW w:w="364"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179.5</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r>
                    <w:rPr>
                      <w:rFonts w:hint="eastAsia" w:cs="Times New Roman"/>
                      <w:color w:val="000000" w:themeColor="text1"/>
                      <w:sz w:val="21"/>
                      <w:szCs w:val="21"/>
                      <w:highlight w:val="none"/>
                      <w:vertAlign w:val="baseline"/>
                      <w:lang w:val="en-US" w:eastAsia="zh-CN"/>
                      <w14:textFill>
                        <w14:solidFill>
                          <w14:schemeClr w14:val="tx1"/>
                        </w14:solidFill>
                      </w14:textFill>
                    </w:rPr>
                    <w:t>4</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4</w:t>
                  </w:r>
                </w:p>
              </w:tc>
              <w:tc>
                <w:tcPr>
                  <w:tcW w:w="5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集气罩+脉冲</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式布袋</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2"/>
                      <w:highlight w:val="none"/>
                      <w:u w:val="none"/>
                      <w:lang w:val="en-US" w:eastAsia="zh-CN" w:bidi="ar-SA"/>
                      <w14:textFill>
                        <w14:solidFill>
                          <w14:schemeClr w14:val="tx1"/>
                        </w14:solidFill>
                      </w14:textFill>
                    </w:rPr>
                    <w:t>1.79</w:t>
                  </w:r>
                </w:p>
              </w:tc>
              <w:tc>
                <w:tcPr>
                  <w:tcW w:w="48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t>0.0</w:t>
                  </w:r>
                  <w:r>
                    <w:rPr>
                      <w:rFonts w:hint="eastAsia" w:cs="Times New Roman"/>
                      <w:i w:val="0"/>
                      <w:iCs w:val="0"/>
                      <w:color w:val="000000" w:themeColor="text1"/>
                      <w:kern w:val="2"/>
                      <w:sz w:val="21"/>
                      <w:szCs w:val="22"/>
                      <w:highlight w:val="none"/>
                      <w:u w:val="none"/>
                      <w:lang w:val="en-US" w:eastAsia="zh-CN" w:bidi="ar-SA"/>
                      <w14:textFill>
                        <w14:solidFill>
                          <w14:schemeClr w14:val="tx1"/>
                        </w14:solidFill>
                      </w14:textFill>
                    </w:rPr>
                    <w:t>14</w:t>
                  </w:r>
                </w:p>
              </w:tc>
              <w:tc>
                <w:tcPr>
                  <w:tcW w:w="48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2"/>
                      <w:highlight w:val="none"/>
                      <w:u w:val="none"/>
                      <w:lang w:val="en-US" w:eastAsia="zh-CN" w:bidi="ar-SA"/>
                      <w14:textFill>
                        <w14:solidFill>
                          <w14:schemeClr w14:val="tx1"/>
                        </w14:solidFill>
                      </w14:textFill>
                    </w:rPr>
                    <w:t>0.03</w:t>
                  </w:r>
                  <w:r>
                    <w:rPr>
                      <w:rFonts w:hint="eastAsia" w:cs="Times New Roman"/>
                      <w:i w:val="0"/>
                      <w:iCs w:val="0"/>
                      <w:color w:val="000000" w:themeColor="text1"/>
                      <w:kern w:val="2"/>
                      <w:sz w:val="21"/>
                      <w:szCs w:val="22"/>
                      <w:highlight w:val="none"/>
                      <w:u w:val="none"/>
                      <w:lang w:val="en-US" w:eastAsia="zh-CN" w:bidi="ar-SA"/>
                      <w14:textFill>
                        <w14:solidFill>
                          <w14:schemeClr w14:val="tx1"/>
                        </w14:solidFill>
                      </w14:textFill>
                    </w:rPr>
                    <w:t>4</w:t>
                  </w:r>
                </w:p>
              </w:tc>
              <w:tc>
                <w:tcPr>
                  <w:tcW w:w="3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64"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35</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84</w:t>
                  </w:r>
                </w:p>
              </w:tc>
              <w:tc>
                <w:tcPr>
                  <w:tcW w:w="5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35</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84</w:t>
                  </w:r>
                </w:p>
              </w:tc>
              <w:tc>
                <w:tcPr>
                  <w:tcW w:w="3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363"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投料工序</w:t>
                  </w:r>
                </w:p>
              </w:tc>
              <w:tc>
                <w:tcPr>
                  <w:tcW w:w="364"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1997</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6.</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7.3</w:t>
                  </w:r>
                </w:p>
              </w:tc>
              <w:tc>
                <w:tcPr>
                  <w:tcW w:w="5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集气罩+脉冲</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式布袋</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19.97</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0.06</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73</w:t>
                  </w:r>
                </w:p>
              </w:tc>
              <w:tc>
                <w:tcPr>
                  <w:tcW w:w="3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3"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64"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1.52</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1.82</w:t>
                  </w:r>
                </w:p>
              </w:tc>
              <w:tc>
                <w:tcPr>
                  <w:tcW w:w="5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1.52</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1.82</w:t>
                  </w:r>
                </w:p>
              </w:tc>
              <w:tc>
                <w:tcPr>
                  <w:tcW w:w="3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粉碎工序</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2170</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3.1</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7.5</w:t>
                  </w:r>
                </w:p>
              </w:tc>
              <w:tc>
                <w:tcPr>
                  <w:tcW w:w="5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脉冲</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式布袋</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21.7</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0.031</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0.075</w:t>
                  </w:r>
                </w:p>
              </w:tc>
              <w:tc>
                <w:tcPr>
                  <w:tcW w:w="3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配料混合工序</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2315</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3.3</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8</w:t>
                  </w:r>
                </w:p>
              </w:tc>
              <w:tc>
                <w:tcPr>
                  <w:tcW w:w="5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脉冲</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式布袋</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23.15</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0.033</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0.08</w:t>
                  </w:r>
                </w:p>
              </w:tc>
              <w:tc>
                <w:tcPr>
                  <w:tcW w:w="3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制粒冷却工序</w:t>
                  </w:r>
                </w:p>
              </w:tc>
              <w:tc>
                <w:tcPr>
                  <w:tcW w:w="364"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68.62</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2.1</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5</w:t>
                  </w:r>
                </w:p>
              </w:tc>
              <w:tc>
                <w:tcPr>
                  <w:tcW w:w="5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脉冲刹克龙</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20.59</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0.625</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1.5</w:t>
                  </w:r>
                </w:p>
              </w:tc>
              <w:tc>
                <w:tcPr>
                  <w:tcW w:w="387"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363"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包装废气</w:t>
                  </w:r>
                </w:p>
              </w:tc>
              <w:tc>
                <w:tcPr>
                  <w:tcW w:w="364"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547.3</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1.7</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4</w:t>
                  </w:r>
                </w:p>
              </w:tc>
              <w:tc>
                <w:tcPr>
                  <w:tcW w:w="5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集气罩+脉冲</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式布袋</w:t>
                  </w: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除尘器+15m高排气筒</w:t>
                  </w: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5.47</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0.01</w:t>
                  </w: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7</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0.04</w:t>
                  </w:r>
                </w:p>
              </w:tc>
              <w:tc>
                <w:tcPr>
                  <w:tcW w:w="387"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64"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0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无组织排放</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56"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0.42</w:t>
                  </w:r>
                </w:p>
              </w:tc>
              <w:tc>
                <w:tcPr>
                  <w:tcW w:w="47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w:t>
                  </w:r>
                </w:p>
              </w:tc>
              <w:tc>
                <w:tcPr>
                  <w:tcW w:w="5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51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0.42</w:t>
                  </w:r>
                </w:p>
              </w:tc>
              <w:tc>
                <w:tcPr>
                  <w:tcW w:w="482"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1</w:t>
                  </w:r>
                </w:p>
              </w:tc>
              <w:tc>
                <w:tcPr>
                  <w:tcW w:w="387"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bl>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（4）排放口信息</w:t>
            </w:r>
          </w:p>
          <w:p>
            <w:pPr>
              <w:pStyle w:val="55"/>
              <w:spacing w:before="0" w:beforeLines="0" w:line="360" w:lineRule="auto"/>
              <w:rPr>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lang w:val="en-US" w:eastAsia="zh-CN"/>
                <w14:textFill>
                  <w14:solidFill>
                    <w14:schemeClr w14:val="tx1"/>
                  </w14:solidFill>
                </w14:textFill>
              </w:rPr>
              <w:t>表4-</w:t>
            </w:r>
            <w:r>
              <w:rPr>
                <w:rFonts w:hint="eastAsia"/>
                <w:color w:val="000000" w:themeColor="text1"/>
                <w:sz w:val="21"/>
                <w:szCs w:val="21"/>
                <w:highlight w:val="none"/>
                <w:lang w:val="en-US" w:eastAsia="zh-CN"/>
                <w14:textFill>
                  <w14:solidFill>
                    <w14:schemeClr w14:val="tx1"/>
                  </w14:solidFill>
                </w14:textFill>
              </w:rPr>
              <w:t>5</w:t>
            </w:r>
            <w:r>
              <w:rPr>
                <w:color w:val="000000" w:themeColor="text1"/>
                <w:sz w:val="21"/>
                <w:szCs w:val="21"/>
                <w:highlight w:val="none"/>
                <w:lang w:val="en-US" w:eastAsia="zh-CN"/>
                <w14:textFill>
                  <w14:solidFill>
                    <w14:schemeClr w14:val="tx1"/>
                  </w14:solidFill>
                </w14:textFill>
              </w:rPr>
              <w:t xml:space="preserve"> </w:t>
            </w:r>
            <w:r>
              <w:rPr>
                <w:rFonts w:hint="eastAsia"/>
                <w:color w:val="000000" w:themeColor="text1"/>
                <w:sz w:val="21"/>
                <w:szCs w:val="21"/>
                <w:highlight w:val="none"/>
                <w:lang w:val="en-US" w:eastAsia="zh-CN"/>
                <w14:textFill>
                  <w14:solidFill>
                    <w14:schemeClr w14:val="tx1"/>
                  </w14:solidFill>
                </w14:textFill>
              </w:rPr>
              <w:t>排放口基本</w:t>
            </w:r>
            <w:r>
              <w:rPr>
                <w:color w:val="000000" w:themeColor="text1"/>
                <w:sz w:val="21"/>
                <w:szCs w:val="21"/>
                <w:highlight w:val="none"/>
                <w:lang w:val="en-US" w:eastAsia="zh-CN"/>
                <w14:textFill>
                  <w14:solidFill>
                    <w14:schemeClr w14:val="tx1"/>
                  </w14:solidFill>
                </w14:textFill>
              </w:rPr>
              <w:t>情况一览表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1022"/>
              <w:gridCol w:w="1636"/>
              <w:gridCol w:w="1542"/>
              <w:gridCol w:w="878"/>
              <w:gridCol w:w="878"/>
              <w:gridCol w:w="864"/>
              <w:gridCol w:w="8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497" w:type="pct"/>
                  <w:vMerge w:val="restart"/>
                  <w:tcBorders>
                    <w:tl2br w:val="nil"/>
                    <w:tr2bl w:val="nil"/>
                  </w:tcBorders>
                  <w:noWrap w:val="0"/>
                  <w:vAlign w:val="center"/>
                </w:tcPr>
                <w:p>
                  <w:pPr>
                    <w:pStyle w:val="15"/>
                    <w:jc w:val="center"/>
                    <w:rPr>
                      <w:rFonts w:hint="eastAsia"/>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编号</w:t>
                  </w:r>
                </w:p>
              </w:tc>
              <w:tc>
                <w:tcPr>
                  <w:tcW w:w="599" w:type="pct"/>
                  <w:vMerge w:val="restart"/>
                  <w:tcBorders>
                    <w:tl2br w:val="nil"/>
                    <w:tr2bl w:val="nil"/>
                  </w:tcBorders>
                  <w:noWrap w:val="0"/>
                  <w:vAlign w:val="center"/>
                </w:tcPr>
                <w:p>
                  <w:pPr>
                    <w:pStyle w:val="15"/>
                    <w:jc w:val="center"/>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排气筒名称</w:t>
                  </w:r>
                </w:p>
              </w:tc>
              <w:tc>
                <w:tcPr>
                  <w:tcW w:w="1861" w:type="pct"/>
                  <w:gridSpan w:val="2"/>
                  <w:tcBorders>
                    <w:tl2br w:val="nil"/>
                    <w:tr2bl w:val="nil"/>
                  </w:tcBorders>
                  <w:noWrap w:val="0"/>
                  <w:vAlign w:val="center"/>
                </w:tcPr>
                <w:p>
                  <w:pPr>
                    <w:pStyle w:val="15"/>
                    <w:jc w:val="center"/>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排气筒坐标</w:t>
                  </w:r>
                </w:p>
              </w:tc>
              <w:tc>
                <w:tcPr>
                  <w:tcW w:w="514" w:type="pct"/>
                  <w:vMerge w:val="restart"/>
                  <w:tcBorders>
                    <w:tl2br w:val="nil"/>
                    <w:tr2bl w:val="nil"/>
                  </w:tcBorders>
                  <w:noWrap w:val="0"/>
                  <w:vAlign w:val="center"/>
                </w:tcPr>
                <w:p>
                  <w:pPr>
                    <w:spacing w:line="240" w:lineRule="auto"/>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排气筒高度（</w:t>
                  </w:r>
                  <w:r>
                    <w:rPr>
                      <w:rFonts w:hint="eastAsia"/>
                      <w:b/>
                      <w:bCs/>
                      <w:color w:val="000000" w:themeColor="text1"/>
                      <w:sz w:val="21"/>
                      <w:szCs w:val="21"/>
                      <w:highlight w:val="none"/>
                      <w:lang w:val="en-US" w:eastAsia="zh-CN"/>
                      <w14:textFill>
                        <w14:solidFill>
                          <w14:schemeClr w14:val="tx1"/>
                        </w14:solidFill>
                      </w14:textFill>
                    </w:rPr>
                    <w:t>m</w:t>
                  </w:r>
                  <w:r>
                    <w:rPr>
                      <w:rFonts w:hint="eastAsia"/>
                      <w:b/>
                      <w:bCs/>
                      <w:color w:val="000000" w:themeColor="text1"/>
                      <w:sz w:val="21"/>
                      <w:szCs w:val="21"/>
                      <w:highlight w:val="none"/>
                      <w:lang w:eastAsia="zh-CN"/>
                      <w14:textFill>
                        <w14:solidFill>
                          <w14:schemeClr w14:val="tx1"/>
                        </w14:solidFill>
                      </w14:textFill>
                    </w:rPr>
                    <w:t>）</w:t>
                  </w:r>
                </w:p>
              </w:tc>
              <w:tc>
                <w:tcPr>
                  <w:tcW w:w="514" w:type="pct"/>
                  <w:vMerge w:val="restart"/>
                  <w:tcBorders>
                    <w:tl2br w:val="nil"/>
                    <w:tr2bl w:val="nil"/>
                  </w:tcBorders>
                  <w:noWrap w:val="0"/>
                  <w:vAlign w:val="center"/>
                </w:tcPr>
                <w:p>
                  <w:pPr>
                    <w:spacing w:line="240" w:lineRule="auto"/>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排气筒内径（</w:t>
                  </w:r>
                  <w:r>
                    <w:rPr>
                      <w:rFonts w:hint="eastAsia"/>
                      <w:b/>
                      <w:bCs/>
                      <w:color w:val="000000" w:themeColor="text1"/>
                      <w:sz w:val="21"/>
                      <w:szCs w:val="21"/>
                      <w:highlight w:val="none"/>
                      <w:lang w:val="en-US" w:eastAsia="zh-CN"/>
                      <w14:textFill>
                        <w14:solidFill>
                          <w14:schemeClr w14:val="tx1"/>
                        </w14:solidFill>
                      </w14:textFill>
                    </w:rPr>
                    <w:t>m</w:t>
                  </w:r>
                  <w:r>
                    <w:rPr>
                      <w:rFonts w:hint="eastAsia"/>
                      <w:b/>
                      <w:bCs/>
                      <w:color w:val="000000" w:themeColor="text1"/>
                      <w:sz w:val="21"/>
                      <w:szCs w:val="21"/>
                      <w:highlight w:val="none"/>
                      <w:lang w:eastAsia="zh-CN"/>
                      <w14:textFill>
                        <w14:solidFill>
                          <w14:schemeClr w14:val="tx1"/>
                        </w14:solidFill>
                      </w14:textFill>
                    </w:rPr>
                    <w:t>）</w:t>
                  </w:r>
                </w:p>
              </w:tc>
              <w:tc>
                <w:tcPr>
                  <w:tcW w:w="506" w:type="pct"/>
                  <w:vMerge w:val="restart"/>
                  <w:tcBorders>
                    <w:tl2br w:val="nil"/>
                    <w:tr2bl w:val="nil"/>
                  </w:tcBorders>
                  <w:noWrap w:val="0"/>
                  <w:vAlign w:val="center"/>
                </w:tcPr>
                <w:p>
                  <w:pPr>
                    <w:spacing w:line="240" w:lineRule="auto"/>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烟气温度</w:t>
                  </w:r>
                </w:p>
              </w:tc>
              <w:tc>
                <w:tcPr>
                  <w:tcW w:w="506" w:type="pct"/>
                  <w:vMerge w:val="restart"/>
                  <w:tcBorders>
                    <w:tl2br w:val="nil"/>
                    <w:tr2bl w:val="nil"/>
                  </w:tcBorders>
                  <w:noWrap w:val="0"/>
                  <w:vAlign w:val="center"/>
                </w:tcPr>
                <w:p>
                  <w:pPr>
                    <w:spacing w:line="240" w:lineRule="auto"/>
                    <w:jc w:val="center"/>
                    <w:rPr>
                      <w:rFonts w:hint="eastAsia"/>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排气筒类型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497"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c>
                <w:tcPr>
                  <w:tcW w:w="599"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c>
                <w:tcPr>
                  <w:tcW w:w="958" w:type="pct"/>
                  <w:tcBorders>
                    <w:tl2br w:val="nil"/>
                    <w:tr2bl w:val="nil"/>
                  </w:tcBorders>
                  <w:noWrap w:val="0"/>
                  <w:vAlign w:val="center"/>
                </w:tcPr>
                <w:p>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经度（°）</w:t>
                  </w:r>
                </w:p>
              </w:tc>
              <w:tc>
                <w:tcPr>
                  <w:tcW w:w="902" w:type="pct"/>
                  <w:tcBorders>
                    <w:tl2br w:val="nil"/>
                    <w:tr2bl w:val="nil"/>
                  </w:tcBorders>
                  <w:noWrap w:val="0"/>
                  <w:vAlign w:val="center"/>
                </w:tcPr>
                <w:p>
                  <w:pPr>
                    <w:spacing w:line="240" w:lineRule="auto"/>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纬度（°）</w:t>
                  </w:r>
                </w:p>
              </w:tc>
              <w:tc>
                <w:tcPr>
                  <w:tcW w:w="514"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c>
                <w:tcPr>
                  <w:tcW w:w="514"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c>
                <w:tcPr>
                  <w:tcW w:w="506"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c>
                <w:tcPr>
                  <w:tcW w:w="506" w:type="pct"/>
                  <w:vMerge w:val="continue"/>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DA001</w:t>
                  </w:r>
                </w:p>
              </w:tc>
              <w:tc>
                <w:tcPr>
                  <w:tcW w:w="599"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燃气锅炉</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122.375982</w:t>
                  </w:r>
                </w:p>
              </w:tc>
              <w:tc>
                <w:tcPr>
                  <w:tcW w:w="902" w:type="pct"/>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 xml:space="preserve"> 41.404955</w:t>
                  </w:r>
                </w:p>
              </w:tc>
              <w:tc>
                <w:tcPr>
                  <w:tcW w:w="514" w:type="pct"/>
                  <w:tcBorders>
                    <w:tl2br w:val="nil"/>
                    <w:tr2bl w:val="nil"/>
                  </w:tcBorders>
                  <w:noWrap w:val="0"/>
                  <w:vAlign w:val="center"/>
                </w:tcPr>
                <w:p>
                  <w:pPr>
                    <w:pStyle w:val="15"/>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p>
              </w:tc>
              <w:tc>
                <w:tcPr>
                  <w:tcW w:w="514" w:type="pct"/>
                  <w:tcBorders>
                    <w:tl2br w:val="nil"/>
                    <w:tr2bl w:val="nil"/>
                  </w:tcBorders>
                  <w:noWrap w:val="0"/>
                  <w:vAlign w:val="center"/>
                </w:tcPr>
                <w:p>
                  <w:pPr>
                    <w:pStyle w:val="15"/>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80℃</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DA002</w:t>
                  </w:r>
                </w:p>
              </w:tc>
              <w:tc>
                <w:tcPr>
                  <w:tcW w:w="599" w:type="pct"/>
                  <w:tcBorders>
                    <w:tl2br w:val="nil"/>
                    <w:tr2bl w:val="nil"/>
                  </w:tcBorders>
                  <w:noWrap w:val="0"/>
                  <w:vAlign w:val="center"/>
                </w:tcPr>
                <w:p>
                  <w:pPr>
                    <w:pStyle w:val="15"/>
                    <w:jc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食堂排气筒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122.375775</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41.404624</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DA003</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卸料工序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122.377622</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41.405292</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DA004</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投料工序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122.377326</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41.405242</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DA005</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粉碎工序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122.377084</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41.405478</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DA006</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配料混合工序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122.376878</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41.405583</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DA007</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color w:val="000000" w:themeColor="text1"/>
                      <w:sz w:val="21"/>
                      <w:szCs w:val="21"/>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制粒冷却工序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122.376610</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41.405720</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9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DA008</w:t>
                  </w:r>
                </w:p>
              </w:tc>
              <w:tc>
                <w:tcPr>
                  <w:tcW w:w="599"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包装工序</w:t>
                  </w:r>
                  <w:r>
                    <w:rPr>
                      <w:rFonts w:hint="eastAsia"/>
                      <w:color w:val="000000" w:themeColor="text1"/>
                      <w:sz w:val="21"/>
                      <w:szCs w:val="21"/>
                      <w:highlight w:val="none"/>
                      <w:lang w:eastAsia="zh-CN"/>
                      <w14:textFill>
                        <w14:solidFill>
                          <w14:schemeClr w14:val="tx1"/>
                        </w14:solidFill>
                      </w14:textFill>
                    </w:rPr>
                    <w:t>排气筒</w:t>
                  </w:r>
                </w:p>
              </w:tc>
              <w:tc>
                <w:tcPr>
                  <w:tcW w:w="958"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122.376766</w:t>
                  </w:r>
                </w:p>
              </w:tc>
              <w:tc>
                <w:tcPr>
                  <w:tcW w:w="902"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 41.405652</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514"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6" w:type="pct"/>
                  <w:tcBorders>
                    <w:tl2br w:val="nil"/>
                    <w:tr2bl w:val="nil"/>
                  </w:tcBorders>
                  <w:noWrap w:val="0"/>
                  <w:vAlign w:val="center"/>
                </w:tcPr>
                <w:p>
                  <w:pPr>
                    <w:pStyle w:val="15"/>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506" w:type="pct"/>
                  <w:tcBorders>
                    <w:tl2br w:val="nil"/>
                    <w:tr2bl w:val="nil"/>
                  </w:tcBorders>
                  <w:noWrap w:val="0"/>
                  <w:vAlign w:val="center"/>
                </w:tcPr>
                <w:p>
                  <w:pPr>
                    <w:pStyle w:val="15"/>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一般排放口</w:t>
                  </w:r>
                </w:p>
              </w:tc>
            </w:tr>
          </w:tbl>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（5）达标可行性分析</w:t>
            </w:r>
          </w:p>
          <w:p>
            <w:pPr>
              <w:pStyle w:val="4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w:t>
            </w:r>
            <w:r>
              <w:rPr>
                <w:rFonts w:hint="eastAsia"/>
                <w:color w:val="000000" w:themeColor="text1"/>
                <w:highlight w:val="none"/>
                <w:lang w:eastAsia="zh-CN"/>
                <w14:textFill>
                  <w14:solidFill>
                    <w14:schemeClr w14:val="tx1"/>
                  </w14:solidFill>
                </w14:textFill>
              </w:rPr>
              <w:t>生产</w:t>
            </w:r>
            <w:r>
              <w:rPr>
                <w:color w:val="000000" w:themeColor="text1"/>
                <w:highlight w:val="none"/>
                <w14:textFill>
                  <w14:solidFill>
                    <w14:schemeClr w14:val="tx1"/>
                  </w14:solidFill>
                </w14:textFill>
              </w:rPr>
              <w:t>废气治理设施可行性分析</w:t>
            </w:r>
          </w:p>
          <w:p>
            <w:pPr>
              <w:pStyle w:val="4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根据企业提供的工艺流程及工艺特点，</w:t>
            </w:r>
            <w:r>
              <w:rPr>
                <w:rFonts w:hint="eastAsia"/>
                <w:color w:val="000000" w:themeColor="text1"/>
                <w:highlight w:val="none"/>
                <w:lang w:eastAsia="zh-CN"/>
                <w14:textFill>
                  <w14:solidFill>
                    <w14:schemeClr w14:val="tx1"/>
                  </w14:solidFill>
                </w14:textFill>
              </w:rPr>
              <w:t>项目</w:t>
            </w:r>
            <w:r>
              <w:rPr>
                <w:rFonts w:hint="eastAsia"/>
                <w:color w:val="000000" w:themeColor="text1"/>
                <w:highlight w:val="none"/>
                <w14:textFill>
                  <w14:solidFill>
                    <w14:schemeClr w14:val="tx1"/>
                  </w14:solidFill>
                </w14:textFill>
              </w:rPr>
              <w:t>产尘节点的为原料</w:t>
            </w:r>
            <w:r>
              <w:rPr>
                <w:rFonts w:hint="eastAsia"/>
                <w:color w:val="000000" w:themeColor="text1"/>
                <w:highlight w:val="none"/>
                <w:lang w:eastAsia="zh-CN"/>
                <w14:textFill>
                  <w14:solidFill>
                    <w14:schemeClr w14:val="tx1"/>
                  </w14:solidFill>
                </w14:textFill>
              </w:rPr>
              <w:t>卸料、</w:t>
            </w:r>
            <w:r>
              <w:rPr>
                <w:rFonts w:hint="eastAsia"/>
                <w:color w:val="000000" w:themeColor="text1"/>
                <w:highlight w:val="none"/>
                <w14:textFill>
                  <w14:solidFill>
                    <w14:schemeClr w14:val="tx1"/>
                  </w14:solidFill>
                </w14:textFill>
              </w:rPr>
              <w:t>粉碎、</w:t>
            </w:r>
            <w:r>
              <w:rPr>
                <w:rFonts w:hint="eastAsia"/>
                <w:color w:val="000000" w:themeColor="text1"/>
                <w:highlight w:val="none"/>
                <w:lang w:eastAsia="zh-CN"/>
                <w14:textFill>
                  <w14:solidFill>
                    <w14:schemeClr w14:val="tx1"/>
                  </w14:solidFill>
                </w14:textFill>
              </w:rPr>
              <w:t>配料混合、</w:t>
            </w:r>
            <w:r>
              <w:rPr>
                <w:rFonts w:hint="eastAsia"/>
                <w:color w:val="000000" w:themeColor="text1"/>
                <w:highlight w:val="none"/>
                <w14:textFill>
                  <w14:solidFill>
                    <w14:schemeClr w14:val="tx1"/>
                  </w14:solidFill>
                </w14:textFill>
              </w:rPr>
              <w:t>制粒冷却、包装工序</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原料</w:t>
            </w:r>
            <w:r>
              <w:rPr>
                <w:rFonts w:hint="eastAsia"/>
                <w:color w:val="000000" w:themeColor="text1"/>
                <w:highlight w:val="none"/>
                <w:lang w:eastAsia="zh-CN"/>
                <w14:textFill>
                  <w14:solidFill>
                    <w14:schemeClr w14:val="tx1"/>
                  </w14:solidFill>
                </w14:textFill>
              </w:rPr>
              <w:t>卸料、</w:t>
            </w:r>
            <w:r>
              <w:rPr>
                <w:rFonts w:hint="eastAsia"/>
                <w:color w:val="000000" w:themeColor="text1"/>
                <w:highlight w:val="none"/>
                <w14:textFill>
                  <w14:solidFill>
                    <w14:schemeClr w14:val="tx1"/>
                  </w14:solidFill>
                </w14:textFill>
              </w:rPr>
              <w:t>包装工序产生的颗粒物均经集尘装置+</w:t>
            </w:r>
            <w:r>
              <w:rPr>
                <w:rFonts w:hint="eastAsia"/>
                <w:color w:val="000000" w:themeColor="text1"/>
                <w:highlight w:val="none"/>
                <w:lang w:val="en-US" w:eastAsia="zh-CN"/>
                <w14:textFill>
                  <w14:solidFill>
                    <w14:schemeClr w14:val="tx1"/>
                  </w14:solidFill>
                </w14:textFill>
              </w:rPr>
              <w:t>脉冲式布袋除尘器</w:t>
            </w:r>
            <w:r>
              <w:rPr>
                <w:rFonts w:hint="eastAsia"/>
                <w:color w:val="000000" w:themeColor="text1"/>
                <w:highlight w:val="none"/>
                <w14:textFill>
                  <w14:solidFill>
                    <w14:schemeClr w14:val="tx1"/>
                  </w14:solidFill>
                </w14:textFill>
              </w:rPr>
              <w:t>处理后分别经排气筒排放</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原料粉碎、</w:t>
            </w:r>
            <w:r>
              <w:rPr>
                <w:rFonts w:hint="eastAsia"/>
                <w:color w:val="000000" w:themeColor="text1"/>
                <w:highlight w:val="none"/>
                <w:lang w:eastAsia="zh-CN"/>
                <w14:textFill>
                  <w14:solidFill>
                    <w14:schemeClr w14:val="tx1"/>
                  </w14:solidFill>
                </w14:textFill>
              </w:rPr>
              <w:t>配料混合均密闭</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设备经管道与脉冲式布袋除尘器相连，</w:t>
            </w:r>
            <w:r>
              <w:rPr>
                <w:rFonts w:hint="eastAsia"/>
                <w:color w:val="000000" w:themeColor="text1"/>
                <w:highlight w:val="none"/>
                <w14:textFill>
                  <w14:solidFill>
                    <w14:schemeClr w14:val="tx1"/>
                  </w14:solidFill>
                </w14:textFill>
              </w:rPr>
              <w:t>制粒冷却工序</w:t>
            </w:r>
            <w:r>
              <w:rPr>
                <w:rFonts w:hint="eastAsia"/>
                <w:color w:val="000000" w:themeColor="text1"/>
                <w:highlight w:val="none"/>
                <w:lang w:eastAsia="zh-CN"/>
                <w14:textFill>
                  <w14:solidFill>
                    <w14:schemeClr w14:val="tx1"/>
                  </w14:solidFill>
                </w14:textFill>
              </w:rPr>
              <w:t>冷却塔与脉冲刹克龙除尘器相连。</w:t>
            </w:r>
            <w:r>
              <w:rPr>
                <w:rFonts w:hint="eastAsia"/>
                <w:color w:val="000000" w:themeColor="text1"/>
                <w:highlight w:val="none"/>
                <w14:textFill>
                  <w14:solidFill>
                    <w14:schemeClr w14:val="tx1"/>
                  </w14:solidFill>
                </w14:textFill>
              </w:rPr>
              <w:t>根据表4-</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可知，颗粒物产生</w:t>
            </w:r>
            <w:r>
              <w:rPr>
                <w:rFonts w:hint="eastAsia"/>
                <w:color w:val="000000" w:themeColor="text1"/>
                <w:highlight w:val="none"/>
                <w:lang w:eastAsia="zh-CN"/>
                <w14:textFill>
                  <w14:solidFill>
                    <w14:schemeClr w14:val="tx1"/>
                  </w14:solidFill>
                </w14:textFill>
              </w:rPr>
              <w:t>量</w:t>
            </w:r>
            <w:r>
              <w:rPr>
                <w:rFonts w:hint="eastAsia"/>
                <w:color w:val="000000" w:themeColor="text1"/>
                <w:highlight w:val="none"/>
                <w14:textFill>
                  <w14:solidFill>
                    <w14:schemeClr w14:val="tx1"/>
                  </w14:solidFill>
                </w14:textFill>
              </w:rPr>
              <w:t>较大，但经对应的除尘措施后，收集后排放的颗粒物大大减少，同时本项目加工时均在厂房内，生产时厂房封闭，封闭厂房对未收集的颗粒物有一定的阻断效果，同时为减少无组织颗粒物的排放，企业采取洒水降尘、控制物料落差等措施，综上，未收集的颗粒物逸散到大气环境中的量较少，本项目排放的颗粒物可满足《大气污染物综合排放标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GB16297-1996</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中表2标准限值要求。</w:t>
            </w:r>
          </w:p>
          <w:p>
            <w:pPr>
              <w:pStyle w:val="44"/>
              <w:bidi w:val="0"/>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②锅炉废气</w:t>
            </w:r>
          </w:p>
          <w:p>
            <w:pPr>
              <w:pStyle w:val="44"/>
              <w:bidi w:val="0"/>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本项目天然气燃烧会产生锅炉废气</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本项目锅炉产生的颗粒物、二氧化硫、氮氧化物产生量较少，同时锅炉</w:t>
            </w:r>
            <w:r>
              <w:rPr>
                <w:rFonts w:hint="eastAsia"/>
                <w:color w:val="000000" w:themeColor="text1"/>
                <w:highlight w:val="none"/>
                <w:lang w:eastAsia="zh-CN"/>
                <w14:textFill>
                  <w14:solidFill>
                    <w14:schemeClr w14:val="tx1"/>
                  </w14:solidFill>
                </w14:textFill>
              </w:rPr>
              <w:t>配备</w:t>
            </w:r>
            <w:r>
              <w:rPr>
                <w:rFonts w:hint="eastAsia" w:eastAsia="宋体"/>
                <w:color w:val="000000" w:themeColor="text1"/>
                <w:highlight w:val="none"/>
                <w:lang w:eastAsia="zh-CN"/>
                <w14:textFill>
                  <w14:solidFill>
                    <w14:schemeClr w14:val="tx1"/>
                  </w14:solidFill>
                </w14:textFill>
              </w:rPr>
              <w:t>低氮燃烧器，经处理后的锅炉废气经</w:t>
            </w:r>
            <w:r>
              <w:rPr>
                <w:rFonts w:hint="eastAsia"/>
                <w:color w:val="000000" w:themeColor="text1"/>
                <w:highlight w:val="none"/>
                <w:lang w:val="en-US" w:eastAsia="zh-CN"/>
                <w14:textFill>
                  <w14:solidFill>
                    <w14:schemeClr w14:val="tx1"/>
                  </w14:solidFill>
                </w14:textFill>
              </w:rPr>
              <w:t>8</w:t>
            </w:r>
            <w:r>
              <w:rPr>
                <w:rFonts w:hint="eastAsia" w:eastAsia="宋体"/>
                <w:color w:val="000000" w:themeColor="text1"/>
                <w:highlight w:val="none"/>
                <w:lang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高排气筒</w:t>
            </w:r>
            <w:r>
              <w:rPr>
                <w:rFonts w:hint="eastAsia" w:eastAsia="宋体"/>
                <w:color w:val="000000" w:themeColor="text1"/>
                <w:highlight w:val="none"/>
                <w:lang w:eastAsia="zh-CN"/>
                <w14:textFill>
                  <w14:solidFill>
                    <w14:schemeClr w14:val="tx1"/>
                  </w14:solidFill>
                </w14:textFill>
              </w:rPr>
              <w:t>有组织排放，根据表4-</w:t>
            </w:r>
            <w:r>
              <w:rPr>
                <w:rFonts w:hint="eastAsia"/>
                <w:color w:val="000000" w:themeColor="text1"/>
                <w:highlight w:val="none"/>
                <w:lang w:val="en-US" w:eastAsia="zh-CN"/>
                <w14:textFill>
                  <w14:solidFill>
                    <w14:schemeClr w14:val="tx1"/>
                  </w14:solidFill>
                </w14:textFill>
              </w:rPr>
              <w:t>3</w:t>
            </w:r>
            <w:r>
              <w:rPr>
                <w:rFonts w:hint="eastAsia" w:eastAsia="宋体"/>
                <w:color w:val="000000" w:themeColor="text1"/>
                <w:highlight w:val="none"/>
                <w:lang w:eastAsia="zh-CN"/>
                <w14:textFill>
                  <w14:solidFill>
                    <w14:schemeClr w14:val="tx1"/>
                  </w14:solidFill>
                </w14:textFill>
              </w:rPr>
              <w:t>可知，锅炉废气</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颗粒物、二氧化硫、氮氧化物</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排放浓度可以满足《锅炉大气污染物排放标准》</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GB13271-2014</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中表3“大气污染物特别排放限值”中燃气锅炉标准。</w:t>
            </w:r>
          </w:p>
          <w:p>
            <w:pPr>
              <w:pStyle w:val="44"/>
              <w:bidi w:val="0"/>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③食堂油烟</w:t>
            </w:r>
          </w:p>
          <w:p>
            <w:pPr>
              <w:pStyle w:val="44"/>
              <w:bidi w:val="0"/>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本项目食堂烹饪会产生油烟，油烟经收集后，经净化效率不小于60%的油烟净化器处理后，引至屋</w:t>
            </w:r>
            <w:r>
              <w:rPr>
                <w:rFonts w:hint="eastAsia"/>
                <w:color w:val="000000" w:themeColor="text1"/>
                <w:highlight w:val="none"/>
                <w:lang w:eastAsia="zh-CN"/>
                <w14:textFill>
                  <w14:solidFill>
                    <w14:schemeClr w14:val="tx1"/>
                  </w14:solidFill>
                </w14:textFill>
              </w:rPr>
              <w:t>顶</w:t>
            </w:r>
            <w:r>
              <w:rPr>
                <w:rFonts w:hint="eastAsia" w:eastAsia="宋体"/>
                <w:color w:val="000000" w:themeColor="text1"/>
                <w:highlight w:val="none"/>
                <w:lang w:eastAsia="zh-CN"/>
                <w14:textFill>
                  <w14:solidFill>
                    <w14:schemeClr w14:val="tx1"/>
                  </w14:solidFill>
                </w14:textFill>
              </w:rPr>
              <w:t>排放。排放浓度满足《饮食业油烟排放标准</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试行</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GB18483-2001</w:t>
            </w:r>
            <w:r>
              <w:rPr>
                <w:rFonts w:hint="eastAsia"/>
                <w:color w:val="000000" w:themeColor="text1"/>
                <w:highlight w:val="none"/>
                <w:lang w:eastAsia="zh-CN"/>
                <w14:textFill>
                  <w14:solidFill>
                    <w14:schemeClr w14:val="tx1"/>
                  </w14:solidFill>
                </w14:textFill>
              </w:rPr>
              <w:t>）</w:t>
            </w:r>
            <w:r>
              <w:rPr>
                <w:rFonts w:hint="eastAsia" w:eastAsia="宋体"/>
                <w:color w:val="000000" w:themeColor="text1"/>
                <w:highlight w:val="none"/>
                <w:lang w:eastAsia="zh-CN"/>
                <w14:textFill>
                  <w14:solidFill>
                    <w14:schemeClr w14:val="tx1"/>
                  </w14:solidFill>
                </w14:textFill>
              </w:rPr>
              <w:t>中油烟浓度限值2mg/m</w:t>
            </w:r>
            <w:r>
              <w:rPr>
                <w:rFonts w:hint="eastAsia" w:eastAsia="宋体"/>
                <w:color w:val="000000" w:themeColor="text1"/>
                <w:highlight w:val="none"/>
                <w:vertAlign w:val="superscript"/>
                <w:lang w:eastAsia="zh-CN"/>
                <w14:textFill>
                  <w14:solidFill>
                    <w14:schemeClr w14:val="tx1"/>
                  </w14:solidFill>
                </w14:textFill>
              </w:rPr>
              <w:t>3</w:t>
            </w:r>
            <w:r>
              <w:rPr>
                <w:rFonts w:hint="eastAsia" w:eastAsia="宋体"/>
                <w:color w:val="000000" w:themeColor="text1"/>
                <w:highlight w:val="none"/>
                <w:lang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（6）废气治理措施可行性分析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①本项目为饲料加工项目，</w:t>
            </w:r>
            <w:r>
              <w:rPr>
                <w:rFonts w:hint="eastAsia"/>
                <w:color w:val="000000" w:themeColor="text1"/>
                <w:highlight w:val="none"/>
                <w14:textFill>
                  <w14:solidFill>
                    <w14:schemeClr w14:val="tx1"/>
                  </w14:solidFill>
                </w14:textFill>
              </w:rPr>
              <w:t>原料</w:t>
            </w:r>
            <w:r>
              <w:rPr>
                <w:rFonts w:hint="eastAsia"/>
                <w:color w:val="000000" w:themeColor="text1"/>
                <w:highlight w:val="none"/>
                <w:lang w:eastAsia="zh-CN"/>
                <w14:textFill>
                  <w14:solidFill>
                    <w14:schemeClr w14:val="tx1"/>
                  </w14:solidFill>
                </w14:textFill>
              </w:rPr>
              <w:t>卸料、</w:t>
            </w:r>
            <w:r>
              <w:rPr>
                <w:rFonts w:hint="eastAsia"/>
                <w:color w:val="000000" w:themeColor="text1"/>
                <w:highlight w:val="none"/>
                <w14:textFill>
                  <w14:solidFill>
                    <w14:schemeClr w14:val="tx1"/>
                  </w14:solidFill>
                </w14:textFill>
              </w:rPr>
              <w:t>粉碎、</w:t>
            </w:r>
            <w:r>
              <w:rPr>
                <w:rFonts w:hint="eastAsia"/>
                <w:color w:val="000000" w:themeColor="text1"/>
                <w:highlight w:val="none"/>
                <w:lang w:eastAsia="zh-CN"/>
                <w14:textFill>
                  <w14:solidFill>
                    <w14:schemeClr w14:val="tx1"/>
                  </w14:solidFill>
                </w14:textFill>
              </w:rPr>
              <w:t>配料混合、</w:t>
            </w:r>
            <w:r>
              <w:rPr>
                <w:rFonts w:hint="eastAsia"/>
                <w:color w:val="000000" w:themeColor="text1"/>
                <w:highlight w:val="none"/>
                <w14:textFill>
                  <w14:solidFill>
                    <w14:schemeClr w14:val="tx1"/>
                  </w14:solidFill>
                </w14:textFill>
              </w:rPr>
              <w:t>包装工序</w:t>
            </w:r>
            <w:r>
              <w:rPr>
                <w:rFonts w:hint="eastAsia"/>
                <w:color w:val="000000" w:themeColor="text1"/>
                <w:highlight w:val="none"/>
                <w:lang w:val="en-US" w:eastAsia="zh-CN"/>
                <w14:textFill>
                  <w14:solidFill>
                    <w14:schemeClr w14:val="tx1"/>
                  </w14:solidFill>
                </w14:textFill>
              </w:rPr>
              <w:t>废气为颗粒物，采用脉冲式布袋除尘器处理后排放，</w:t>
            </w:r>
            <w:r>
              <w:rPr>
                <w:rFonts w:hint="eastAsia"/>
                <w:color w:val="000000" w:themeColor="text1"/>
                <w:highlight w:val="none"/>
                <w14:textFill>
                  <w14:solidFill>
                    <w14:schemeClr w14:val="tx1"/>
                  </w14:solidFill>
                </w14:textFill>
              </w:rPr>
              <w:t>制粒冷却</w:t>
            </w:r>
            <w:r>
              <w:rPr>
                <w:rFonts w:hint="eastAsia"/>
                <w:color w:val="000000" w:themeColor="text1"/>
                <w:highlight w:val="none"/>
                <w:lang w:eastAsia="zh-CN"/>
                <w14:textFill>
                  <w14:solidFill>
                    <w14:schemeClr w14:val="tx1"/>
                  </w14:solidFill>
                </w14:textFill>
              </w:rPr>
              <w:t>工序采用脉冲刹克龙除尘器处理后排放，</w:t>
            </w:r>
            <w:r>
              <w:rPr>
                <w:rFonts w:hint="eastAsia"/>
                <w:color w:val="000000" w:themeColor="text1"/>
                <w:highlight w:val="none"/>
                <w:lang w:val="en-US" w:eastAsia="zh-CN"/>
                <w14:textFill>
                  <w14:solidFill>
                    <w14:schemeClr w14:val="tx1"/>
                  </w14:solidFill>
                </w14:textFill>
              </w:rPr>
              <w:t>属于《排污许可证申请与核发技术规范农副食品加工工业—饲料加工、植物油加工工业》（HJ1110-2020）附录C废气污染可行技术。</w:t>
            </w:r>
          </w:p>
          <w:p>
            <w:pPr>
              <w:pStyle w:val="44"/>
              <w:bidi w:val="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②锅炉废气</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排污许可证申请与核发技术规范锅炉》（HJ953-2018）中“表7锅炉烟气污染防治可行技术”要求，燃气锅炉需采用低氮燃烧技术。本项目燃气锅炉设置低氮燃烧器，本项目采用全预混燃气燃烧器，在燃烧之前，供给完全燃烧所需的全部空气，并使燃气与空气充分混合，再经燃烧器喷出进行燃烧，由于预先混合均匀，所以能在较小的过剩空气系数下实现完全燃烧，燃烧温度可以很高。属于《排污许可证申请与核发技术规范锅炉》（HJ953-2018）推荐技术。</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（7）非正常工况</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非正常工况考虑除尘器运行不稳定或不能运行，导致颗粒物直接外排，非正常工况出现次数为1次/年，非正常工况持续时间按1h计算，一般情况下除尘器不会同时损坏，则非正常工况情况下各个除尘措施运行不稳定或不能运行时各污染物排放情况如下。</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污染物源强进行分析。</w:t>
            </w:r>
          </w:p>
          <w:p>
            <w:pPr>
              <w:keepNext w:val="0"/>
              <w:keepLines w:val="0"/>
              <w:widowControl/>
              <w:suppressLineNumbers w:val="0"/>
              <w:jc w:val="center"/>
              <w:rPr>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 xml:space="preserve">表 </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4-</w:t>
            </w:r>
            <w:r>
              <w:rPr>
                <w:rFonts w:hint="eastAsia" w:cs="Times New Roman"/>
                <w:b/>
                <w:bCs/>
                <w:color w:val="000000" w:themeColor="text1"/>
                <w:kern w:val="0"/>
                <w:sz w:val="21"/>
                <w:szCs w:val="21"/>
                <w:highlight w:val="none"/>
                <w:lang w:val="en-US" w:eastAsia="zh-CN" w:bidi="ar"/>
                <w14:textFill>
                  <w14:solidFill>
                    <w14:schemeClr w14:val="tx1"/>
                  </w14:solidFill>
                </w14:textFill>
              </w:rPr>
              <w:t>6</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 xml:space="preserve"> </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污染源非正常排放量核算表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088"/>
              <w:gridCol w:w="1303"/>
              <w:gridCol w:w="1793"/>
              <w:gridCol w:w="1520"/>
              <w:gridCol w:w="1088"/>
              <w:gridCol w:w="10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序号</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污染源</w:t>
                  </w:r>
                </w:p>
              </w:tc>
              <w:tc>
                <w:tcPr>
                  <w:tcW w:w="76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污染物</w:t>
                  </w:r>
                </w:p>
              </w:tc>
              <w:tc>
                <w:tcPr>
                  <w:tcW w:w="105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非正常排放量</w:t>
                  </w:r>
                  <w:r>
                    <w:rPr>
                      <w:rFonts w:hint="eastAsia" w:cs="Times New Roman"/>
                      <w:color w:val="000000" w:themeColor="text1"/>
                      <w:kern w:val="0"/>
                      <w:sz w:val="21"/>
                      <w:szCs w:val="18"/>
                      <w:highlight w:val="none"/>
                      <w:lang w:val="en-US" w:eastAsia="zh-CN" w:bidi="ar"/>
                      <w14:textFill>
                        <w14:solidFill>
                          <w14:schemeClr w14:val="tx1"/>
                        </w14:solidFill>
                      </w14:textFill>
                    </w:rPr>
                    <w:t>t</w:t>
                  </w:r>
                </w:p>
              </w:tc>
              <w:tc>
                <w:tcPr>
                  <w:tcW w:w="8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非正常排放浓度</w:t>
                  </w:r>
                  <w:r>
                    <w:rPr>
                      <w:rFonts w:hint="eastAsia" w:eastAsia="宋体"/>
                      <w:color w:val="000000" w:themeColor="text1"/>
                      <w:highlight w:val="none"/>
                      <w:lang w:eastAsia="zh-CN"/>
                      <w14:textFill>
                        <w14:solidFill>
                          <w14:schemeClr w14:val="tx1"/>
                        </w14:solidFill>
                      </w14:textFill>
                    </w:rPr>
                    <w:t>mg/m</w:t>
                  </w:r>
                  <w:r>
                    <w:rPr>
                      <w:rFonts w:hint="eastAsia" w:eastAsia="宋体"/>
                      <w:color w:val="000000" w:themeColor="text1"/>
                      <w:highlight w:val="none"/>
                      <w:vertAlign w:val="superscript"/>
                      <w:lang w:eastAsia="zh-CN"/>
                      <w14:textFill>
                        <w14:solidFill>
                          <w14:schemeClr w14:val="tx1"/>
                        </w14:solidFill>
                      </w14:textFill>
                    </w:rPr>
                    <w:t>3</w:t>
                  </w:r>
                </w:p>
              </w:tc>
              <w:tc>
                <w:tcPr>
                  <w:tcW w:w="637" w:type="pct"/>
                  <w:tcBorders>
                    <w:tl2br w:val="nil"/>
                    <w:tr2bl w:val="nil"/>
                  </w:tcBorders>
                  <w:vAlign w:val="center"/>
                </w:tcPr>
                <w:p>
                  <w:pPr>
                    <w:keepNext w:val="0"/>
                    <w:keepLines w:val="0"/>
                    <w:widowControl/>
                    <w:suppressLineNumbers w:val="0"/>
                    <w:jc w:val="left"/>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
                      <w14:textFill>
                        <w14:solidFill>
                          <w14:schemeClr w14:val="tx1"/>
                        </w14:solidFill>
                      </w14:textFill>
                    </w:rPr>
                    <w:t>频次及续时间</w:t>
                  </w:r>
                </w:p>
              </w:tc>
              <w:tc>
                <w:tcPr>
                  <w:tcW w:w="63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卸料工序</w:t>
                  </w:r>
                </w:p>
              </w:tc>
              <w:tc>
                <w:tcPr>
                  <w:tcW w:w="76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0.00011</w:t>
                  </w:r>
                </w:p>
              </w:tc>
              <w:tc>
                <w:tcPr>
                  <w:tcW w:w="89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14.36</w:t>
                  </w:r>
                </w:p>
              </w:tc>
              <w:tc>
                <w:tcPr>
                  <w:tcW w:w="637" w:type="pct"/>
                  <w:tcBorders>
                    <w:tl2br w:val="nil"/>
                    <w:tr2bl w:val="nil"/>
                  </w:tcBorders>
                  <w:vAlign w:val="center"/>
                </w:tcPr>
                <w:p>
                  <w:pPr>
                    <w:keepNext w:val="0"/>
                    <w:keepLines w:val="0"/>
                    <w:widowControl/>
                    <w:suppressLineNumbers w:val="0"/>
                    <w:jc w:val="left"/>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2</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投料工序</w:t>
                  </w:r>
                </w:p>
              </w:tc>
              <w:tc>
                <w:tcPr>
                  <w:tcW w:w="76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0.00024</w:t>
                  </w:r>
                </w:p>
              </w:tc>
              <w:tc>
                <w:tcPr>
                  <w:tcW w:w="89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79.87</w:t>
                  </w:r>
                </w:p>
              </w:tc>
              <w:tc>
                <w:tcPr>
                  <w:tcW w:w="637"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粉碎工序</w:t>
                  </w:r>
                </w:p>
              </w:tc>
              <w:tc>
                <w:tcPr>
                  <w:tcW w:w="76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0.00025</w:t>
                  </w:r>
                </w:p>
              </w:tc>
              <w:tc>
                <w:tcPr>
                  <w:tcW w:w="89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173.61</w:t>
                  </w:r>
                </w:p>
              </w:tc>
              <w:tc>
                <w:tcPr>
                  <w:tcW w:w="637"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4</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配料混合工序</w:t>
                  </w:r>
                </w:p>
              </w:tc>
              <w:tc>
                <w:tcPr>
                  <w:tcW w:w="76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0.00027</w:t>
                  </w:r>
                </w:p>
              </w:tc>
              <w:tc>
                <w:tcPr>
                  <w:tcW w:w="89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185.19</w:t>
                  </w:r>
                </w:p>
              </w:tc>
              <w:tc>
                <w:tcPr>
                  <w:tcW w:w="637"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5</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制粒冷却工序</w:t>
                  </w:r>
                </w:p>
              </w:tc>
              <w:tc>
                <w:tcPr>
                  <w:tcW w:w="76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0.005</w:t>
                  </w:r>
                </w:p>
              </w:tc>
              <w:tc>
                <w:tcPr>
                  <w:tcW w:w="89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164.69</w:t>
                  </w:r>
                </w:p>
              </w:tc>
              <w:tc>
                <w:tcPr>
                  <w:tcW w:w="637"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6</w:t>
                  </w:r>
                </w:p>
              </w:tc>
              <w:tc>
                <w:tcPr>
                  <w:tcW w:w="63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包装废气</w:t>
                  </w:r>
                </w:p>
              </w:tc>
              <w:tc>
                <w:tcPr>
                  <w:tcW w:w="76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颗粒物</w:t>
                  </w:r>
                </w:p>
              </w:tc>
              <w:tc>
                <w:tcPr>
                  <w:tcW w:w="1050" w:type="pct"/>
                  <w:tcBorders>
                    <w:tl2br w:val="nil"/>
                    <w:tr2bl w:val="nil"/>
                  </w:tcBorders>
                  <w:vAlign w:val="center"/>
                </w:tcPr>
                <w:p>
                  <w:pPr>
                    <w:keepNext w:val="0"/>
                    <w:keepLines w:val="0"/>
                    <w:widowControl/>
                    <w:suppressLineNumbers w:val="0"/>
                    <w:jc w:val="center"/>
                    <w:textAlignment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0.00013</w:t>
                  </w:r>
                </w:p>
              </w:tc>
              <w:tc>
                <w:tcPr>
                  <w:tcW w:w="89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43.79</w:t>
                  </w:r>
                </w:p>
              </w:tc>
              <w:tc>
                <w:tcPr>
                  <w:tcW w:w="637"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1h/</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p>
              </w:tc>
              <w:tc>
                <w:tcPr>
                  <w:tcW w:w="637"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停工检修</w:t>
                  </w:r>
                </w:p>
              </w:tc>
            </w:tr>
          </w:tbl>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由上表可知，在非正常工况下颗粒物的排放存在不达标情况。为防止废气非正常排放，应采取以下措施确保废气达标排放：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①立即报告车间负责人，并通知操作人员立即停止作业，关闭有关泵、阀门。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②对设备进行检修，查明故障原因并排除故障。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③现场处置组划定警戒区域，疏散无关人员，控制无关人员进入现场。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④立即对排放口进、出口进行密切监测，并将结果迅速、准确汇报给现场指挥。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⑤当班人员针对监测结果制定调整方案，实施调整。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⑥待故障排除，废气稳定达标排放后，由领导决定进入日常管理维护。</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（8）</w:t>
            </w:r>
            <w:r>
              <w:rPr>
                <w:rFonts w:hint="eastAsia"/>
                <w:color w:val="000000" w:themeColor="text1"/>
                <w:highlight w:val="none"/>
                <w:lang w:val="en-US" w:eastAsia="zh-CN"/>
                <w14:textFill>
                  <w14:solidFill>
                    <w14:schemeClr w14:val="tx1"/>
                  </w14:solidFill>
                </w14:textFill>
              </w:rPr>
              <w:t>监测计划</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排污单位自行监测技术指南农副食品加工业》（HJ986-2018）、《排污单位自行监测技术指南火力发电及锅炉》（HJ820-2017）、《排污单位自行监测技术指南总则》（HJ819-2017），制定本项目废气监测计划，具体见下表。</w:t>
            </w:r>
          </w:p>
          <w:p>
            <w:pPr>
              <w:pStyle w:val="50"/>
              <w:numPr>
                <w:ilvl w:val="0"/>
                <w:numId w:val="0"/>
              </w:numPr>
              <w:bidi w:val="0"/>
              <w:jc w:val="center"/>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highlight w:val="none"/>
                <w:lang w:val="en-US" w:eastAsia="zh-CN"/>
                <w14:textFill>
                  <w14:solidFill>
                    <w14:schemeClr w14:val="tx1"/>
                  </w14:solidFill>
                </w14:textFill>
              </w:rPr>
              <w:t>表4-</w:t>
            </w:r>
            <w:r>
              <w:rPr>
                <w:rFonts w:hint="eastAsia" w:cs="Times New Roman"/>
                <w:b/>
                <w:bCs/>
                <w:color w:val="000000" w:themeColor="text1"/>
                <w:sz w:val="21"/>
                <w:highlight w:val="none"/>
                <w:lang w:val="en-US" w:eastAsia="zh-CN"/>
                <w14:textFill>
                  <w14:solidFill>
                    <w14:schemeClr w14:val="tx1"/>
                  </w14:solidFill>
                </w14:textFill>
              </w:rPr>
              <w:t>7</w:t>
            </w:r>
            <w:r>
              <w:rPr>
                <w:rFonts w:hint="eastAsia" w:ascii="Times New Roman" w:hAnsi="Times New Roman" w:eastAsia="宋体" w:cs="Times New Roman"/>
                <w:b/>
                <w:bCs/>
                <w:color w:val="000000" w:themeColor="text1"/>
                <w:sz w:val="21"/>
                <w:highlight w:val="none"/>
                <w:lang w:val="en-US" w:eastAsia="zh-CN"/>
                <w14:textFill>
                  <w14:solidFill>
                    <w14:schemeClr w14:val="tx1"/>
                  </w14:solidFill>
                </w14:textFill>
              </w:rPr>
              <w:t xml:space="preserve"> </w:t>
            </w:r>
            <w:r>
              <w:rPr>
                <w:rFonts w:hint="eastAsia" w:cs="Times New Roman"/>
                <w:b/>
                <w:bCs/>
                <w:color w:val="000000" w:themeColor="text1"/>
                <w:sz w:val="21"/>
                <w:highlight w:val="none"/>
                <w:lang w:val="en-US" w:eastAsia="zh-CN"/>
                <w14:textFill>
                  <w14:solidFill>
                    <w14:schemeClr w14:val="tx1"/>
                  </w14:solidFill>
                </w14:textFill>
              </w:rPr>
              <w:t>废气</w:t>
            </w:r>
            <w:r>
              <w:rPr>
                <w:rFonts w:hint="eastAsia" w:ascii="Times New Roman" w:hAnsi="Times New Roman" w:eastAsia="宋体" w:cs="Times New Roman"/>
                <w:b/>
                <w:bCs/>
                <w:color w:val="000000" w:themeColor="text1"/>
                <w:sz w:val="21"/>
                <w:highlight w:val="none"/>
                <w:lang w:val="en-US" w:eastAsia="zh-CN"/>
                <w14:textFill>
                  <w14:solidFill>
                    <w14:schemeClr w14:val="tx1"/>
                  </w14:solidFill>
                </w14:textFill>
              </w:rPr>
              <w:t>监测计划</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4"/>
              <w:gridCol w:w="1649"/>
              <w:gridCol w:w="1750"/>
              <w:gridCol w:w="27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391"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val="0"/>
                      <w:bCs w:val="0"/>
                      <w:color w:val="000000" w:themeColor="text1"/>
                      <w:sz w:val="21"/>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18"/>
                      <w:highlight w:val="none"/>
                      <w14:textFill>
                        <w14:solidFill>
                          <w14:schemeClr w14:val="tx1"/>
                        </w14:solidFill>
                      </w14:textFill>
                    </w:rPr>
                    <w:t>监测点位</w:t>
                  </w:r>
                </w:p>
              </w:tc>
              <w:tc>
                <w:tcPr>
                  <w:tcW w:w="966"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val="0"/>
                      <w:bCs w:val="0"/>
                      <w:color w:val="000000" w:themeColor="text1"/>
                      <w:sz w:val="21"/>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18"/>
                      <w:highlight w:val="none"/>
                      <w14:textFill>
                        <w14:solidFill>
                          <w14:schemeClr w14:val="tx1"/>
                        </w14:solidFill>
                      </w14:textFill>
                    </w:rPr>
                    <w:t>检测项目</w:t>
                  </w:r>
                </w:p>
              </w:tc>
              <w:tc>
                <w:tcPr>
                  <w:tcW w:w="1025"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val="0"/>
                      <w:bCs w:val="0"/>
                      <w:color w:val="000000" w:themeColor="text1"/>
                      <w:sz w:val="21"/>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18"/>
                      <w:highlight w:val="none"/>
                      <w14:textFill>
                        <w14:solidFill>
                          <w14:schemeClr w14:val="tx1"/>
                        </w14:solidFill>
                      </w14:textFill>
                    </w:rPr>
                    <w:t>监测频次</w:t>
                  </w:r>
                </w:p>
              </w:tc>
              <w:tc>
                <w:tcPr>
                  <w:tcW w:w="161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b w:val="0"/>
                      <w:bCs w:val="0"/>
                      <w:color w:val="000000" w:themeColor="text1"/>
                      <w:sz w:val="21"/>
                      <w:szCs w:val="18"/>
                      <w:highlight w:val="none"/>
                      <w:lang w:eastAsia="zh-CN"/>
                      <w14:textFill>
                        <w14:solidFill>
                          <w14:schemeClr w14:val="tx1"/>
                        </w14:solidFill>
                      </w14:textFill>
                    </w:rPr>
                  </w:pPr>
                  <w:r>
                    <w:rPr>
                      <w:rFonts w:hint="eastAsia" w:cs="Times New Roman"/>
                      <w:b w:val="0"/>
                      <w:bCs w:val="0"/>
                      <w:color w:val="000000" w:themeColor="text1"/>
                      <w:sz w:val="21"/>
                      <w:szCs w:val="18"/>
                      <w:highlight w:val="none"/>
                      <w:lang w:eastAsia="zh-CN"/>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cs="Times New Roman"/>
                      <w:color w:val="000000" w:themeColor="text1"/>
                      <w:sz w:val="21"/>
                      <w:szCs w:val="18"/>
                      <w:highlight w:val="none"/>
                      <w:lang w:val="en-US" w:eastAsia="zh-CN"/>
                      <w14:textFill>
                        <w14:solidFill>
                          <w14:schemeClr w14:val="tx1"/>
                        </w14:solidFill>
                      </w14:textFill>
                    </w:rPr>
                    <w:t>DA003~DA008</w:t>
                  </w:r>
                </w:p>
              </w:tc>
              <w:tc>
                <w:tcPr>
                  <w:tcW w:w="966"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颗粒物</w:t>
                  </w:r>
                </w:p>
              </w:tc>
              <w:tc>
                <w:tcPr>
                  <w:tcW w:w="1025"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1次/半年</w:t>
                  </w:r>
                </w:p>
              </w:tc>
              <w:tc>
                <w:tcPr>
                  <w:tcW w:w="161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14:textFill>
                        <w14:solidFill>
                          <w14:schemeClr w14:val="tx1"/>
                        </w14:solidFill>
                      </w14:textFill>
                    </w:rPr>
                    <w:t>《大气污染物综合排放标准》(GB16297-1996)表2标准限值要求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锅炉废气</w:t>
                  </w:r>
                  <w:r>
                    <w:rPr>
                      <w:rFonts w:hint="eastAsia" w:cs="Times New Roman"/>
                      <w:color w:val="000000" w:themeColor="text1"/>
                      <w:sz w:val="21"/>
                      <w:szCs w:val="18"/>
                      <w:highlight w:val="none"/>
                      <w:lang w:eastAsia="zh-CN"/>
                      <w14:textFill>
                        <w14:solidFill>
                          <w14:schemeClr w14:val="tx1"/>
                        </w14:solidFill>
                      </w14:textFill>
                    </w:rPr>
                    <w:t>（</w:t>
                  </w:r>
                  <w:r>
                    <w:rPr>
                      <w:rFonts w:hint="eastAsia" w:cs="Times New Roman"/>
                      <w:color w:val="000000" w:themeColor="text1"/>
                      <w:sz w:val="21"/>
                      <w:szCs w:val="18"/>
                      <w:highlight w:val="none"/>
                      <w:lang w:val="en-US" w:eastAsia="zh-CN"/>
                      <w14:textFill>
                        <w14:solidFill>
                          <w14:schemeClr w14:val="tx1"/>
                        </w14:solidFill>
                      </w14:textFill>
                    </w:rPr>
                    <w:t>DA001</w:t>
                  </w:r>
                  <w:r>
                    <w:rPr>
                      <w:rFonts w:hint="eastAsia" w:cs="Times New Roman"/>
                      <w:color w:val="000000" w:themeColor="text1"/>
                      <w:sz w:val="21"/>
                      <w:szCs w:val="18"/>
                      <w:highlight w:val="none"/>
                      <w:lang w:eastAsia="zh-CN"/>
                      <w14:textFill>
                        <w14:solidFill>
                          <w14:schemeClr w14:val="tx1"/>
                        </w14:solidFill>
                      </w14:textFill>
                    </w:rPr>
                    <w:t>）</w:t>
                  </w:r>
                </w:p>
              </w:tc>
              <w:tc>
                <w:tcPr>
                  <w:tcW w:w="96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氮氧化物</w:t>
                  </w:r>
                </w:p>
              </w:tc>
              <w:tc>
                <w:tcPr>
                  <w:tcW w:w="1025" w:type="pct"/>
                  <w:tcBorders>
                    <w:tl2br w:val="nil"/>
                    <w:tr2bl w:val="nil"/>
                  </w:tcBorders>
                  <w:noWrap w:val="0"/>
                  <w:vAlign w:val="center"/>
                </w:tcPr>
                <w:p>
                  <w:pPr>
                    <w:adjustRightInd w:val="0"/>
                    <w:snapToGrid w:val="0"/>
                    <w:spacing w:line="240" w:lineRule="auto"/>
                    <w:jc w:val="center"/>
                    <w:rPr>
                      <w:rFonts w:hint="eastAsia"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1次/月</w:t>
                  </w:r>
                </w:p>
              </w:tc>
              <w:tc>
                <w:tcPr>
                  <w:tcW w:w="1616" w:type="pct"/>
                  <w:vMerge w:val="restart"/>
                  <w:tcBorders>
                    <w:tl2br w:val="nil"/>
                    <w:tr2bl w:val="nil"/>
                  </w:tcBorders>
                  <w:noWrap w:val="0"/>
                  <w:vAlign w:val="center"/>
                </w:tcPr>
                <w:p>
                  <w:pPr>
                    <w:adjustRightInd w:val="0"/>
                    <w:snapToGrid w:val="0"/>
                    <w:spacing w:line="240" w:lineRule="auto"/>
                    <w:jc w:val="center"/>
                    <w:rPr>
                      <w:rFonts w:hint="eastAsia"/>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《锅炉大气污染物排放标准》(GB13271-2014)中表3“大气污染物特别排放限值”中燃气锅炉标准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14:textFill>
                        <w14:solidFill>
                          <w14:schemeClr w14:val="tx1"/>
                        </w14:solidFill>
                      </w14:textFill>
                    </w:rPr>
                  </w:pPr>
                </w:p>
              </w:tc>
              <w:tc>
                <w:tcPr>
                  <w:tcW w:w="96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颗粒物、二氧化硫、林格曼黑度</w:t>
                  </w:r>
                </w:p>
              </w:tc>
              <w:tc>
                <w:tcPr>
                  <w:tcW w:w="1025" w:type="pct"/>
                  <w:tcBorders>
                    <w:tl2br w:val="nil"/>
                    <w:tr2bl w:val="nil"/>
                  </w:tcBorders>
                  <w:noWrap w:val="0"/>
                  <w:vAlign w:val="center"/>
                </w:tcPr>
                <w:p>
                  <w:pPr>
                    <w:adjustRightInd w:val="0"/>
                    <w:snapToGrid w:val="0"/>
                    <w:spacing w:line="240" w:lineRule="auto"/>
                    <w:jc w:val="center"/>
                    <w:rPr>
                      <w:rFonts w:hint="eastAsia"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1次/年</w:t>
                  </w:r>
                </w:p>
              </w:tc>
              <w:tc>
                <w:tcPr>
                  <w:tcW w:w="1616" w:type="pct"/>
                  <w:vMerge w:val="continue"/>
                  <w:tcBorders>
                    <w:tl2br w:val="nil"/>
                    <w:tr2bl w:val="nil"/>
                  </w:tcBorders>
                  <w:noWrap w:val="0"/>
                  <w:vAlign w:val="center"/>
                </w:tcPr>
                <w:p>
                  <w:pPr>
                    <w:adjustRightInd w:val="0"/>
                    <w:snapToGrid w:val="0"/>
                    <w:spacing w:line="240" w:lineRule="auto"/>
                    <w:jc w:val="center"/>
                    <w:rPr>
                      <w:rFonts w:hint="eastAsia"/>
                      <w:color w:val="000000" w:themeColor="text1"/>
                      <w:sz w:val="21"/>
                      <w:szCs w:val="18"/>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食堂</w:t>
                  </w:r>
                  <w:r>
                    <w:rPr>
                      <w:rFonts w:hint="eastAsia" w:cs="Times New Roman"/>
                      <w:color w:val="000000" w:themeColor="text1"/>
                      <w:sz w:val="21"/>
                      <w:szCs w:val="18"/>
                      <w:highlight w:val="none"/>
                      <w:lang w:eastAsia="zh-CN"/>
                      <w14:textFill>
                        <w14:solidFill>
                          <w14:schemeClr w14:val="tx1"/>
                        </w14:solidFill>
                      </w14:textFill>
                    </w:rPr>
                    <w:t>（</w:t>
                  </w:r>
                  <w:r>
                    <w:rPr>
                      <w:rFonts w:hint="eastAsia" w:cs="Times New Roman"/>
                      <w:color w:val="000000" w:themeColor="text1"/>
                      <w:sz w:val="21"/>
                      <w:szCs w:val="18"/>
                      <w:highlight w:val="none"/>
                      <w:lang w:val="en-US" w:eastAsia="zh-CN"/>
                      <w14:textFill>
                        <w14:solidFill>
                          <w14:schemeClr w14:val="tx1"/>
                        </w14:solidFill>
                      </w14:textFill>
                    </w:rPr>
                    <w:t>DA002</w:t>
                  </w:r>
                  <w:r>
                    <w:rPr>
                      <w:rFonts w:hint="eastAsia" w:cs="Times New Roman"/>
                      <w:color w:val="000000" w:themeColor="text1"/>
                      <w:sz w:val="21"/>
                      <w:szCs w:val="18"/>
                      <w:highlight w:val="none"/>
                      <w:lang w:eastAsia="zh-CN"/>
                      <w14:textFill>
                        <w14:solidFill>
                          <w14:schemeClr w14:val="tx1"/>
                        </w14:solidFill>
                      </w14:textFill>
                    </w:rPr>
                    <w:t>）</w:t>
                  </w:r>
                </w:p>
              </w:tc>
              <w:tc>
                <w:tcPr>
                  <w:tcW w:w="96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油烟</w:t>
                  </w:r>
                </w:p>
              </w:tc>
              <w:tc>
                <w:tcPr>
                  <w:tcW w:w="1025" w:type="pct"/>
                  <w:tcBorders>
                    <w:tl2br w:val="nil"/>
                    <w:tr2bl w:val="nil"/>
                  </w:tcBorders>
                  <w:noWrap w:val="0"/>
                  <w:vAlign w:val="center"/>
                </w:tcPr>
                <w:p>
                  <w:pPr>
                    <w:adjustRightInd w:val="0"/>
                    <w:snapToGrid w:val="0"/>
                    <w:spacing w:line="240" w:lineRule="auto"/>
                    <w:jc w:val="center"/>
                    <w:rPr>
                      <w:rFonts w:hint="eastAsia"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1次/年</w:t>
                  </w:r>
                </w:p>
              </w:tc>
              <w:tc>
                <w:tcPr>
                  <w:tcW w:w="1616" w:type="pct"/>
                  <w:tcBorders>
                    <w:tl2br w:val="nil"/>
                    <w:tr2bl w:val="nil"/>
                  </w:tcBorders>
                  <w:noWrap w:val="0"/>
                  <w:vAlign w:val="center"/>
                </w:tcPr>
                <w:p>
                  <w:pPr>
                    <w:adjustRightInd w:val="0"/>
                    <w:snapToGrid w:val="0"/>
                    <w:spacing w:line="240" w:lineRule="auto"/>
                    <w:jc w:val="center"/>
                    <w:rPr>
                      <w:rFonts w:hint="eastAsia"/>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《饮食业油烟排放标准(试行)》(GB18483-2001)中“小型”规模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vMerge w:val="restar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14:textFill>
                        <w14:solidFill>
                          <w14:schemeClr w14:val="tx1"/>
                        </w14:solidFill>
                      </w14:textFill>
                    </w:rPr>
                  </w:pPr>
                  <w:r>
                    <w:rPr>
                      <w:rFonts w:hint="eastAsia" w:ascii="Times New Roman" w:hAnsi="Times New Roman" w:eastAsia="宋体" w:cs="Times New Roman"/>
                      <w:color w:val="000000" w:themeColor="text1"/>
                      <w:sz w:val="21"/>
                      <w:szCs w:val="18"/>
                      <w:highlight w:val="none"/>
                      <w14:textFill>
                        <w14:solidFill>
                          <w14:schemeClr w14:val="tx1"/>
                        </w14:solidFill>
                      </w14:textFill>
                    </w:rPr>
                    <w:t>厂界上风向1个监</w:t>
                  </w:r>
                </w:p>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14:textFill>
                        <w14:solidFill>
                          <w14:schemeClr w14:val="tx1"/>
                        </w14:solidFill>
                      </w14:textFill>
                    </w:rPr>
                  </w:pPr>
                  <w:r>
                    <w:rPr>
                      <w:rFonts w:hint="eastAsia" w:ascii="Times New Roman" w:hAnsi="Times New Roman" w:eastAsia="宋体" w:cs="Times New Roman"/>
                      <w:color w:val="000000" w:themeColor="text1"/>
                      <w:sz w:val="21"/>
                      <w:szCs w:val="18"/>
                      <w:highlight w:val="none"/>
                      <w14:textFill>
                        <w14:solidFill>
                          <w14:schemeClr w14:val="tx1"/>
                        </w14:solidFill>
                      </w14:textFill>
                    </w:rPr>
                    <w:t>测点位，下风向3</w:t>
                  </w:r>
                </w:p>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14:textFill>
                        <w14:solidFill>
                          <w14:schemeClr w14:val="tx1"/>
                        </w14:solidFill>
                      </w14:textFill>
                    </w:rPr>
                  </w:pPr>
                  <w:r>
                    <w:rPr>
                      <w:rFonts w:hint="eastAsia" w:ascii="Times New Roman" w:hAnsi="Times New Roman" w:eastAsia="宋体" w:cs="Times New Roman"/>
                      <w:color w:val="000000" w:themeColor="text1"/>
                      <w:sz w:val="21"/>
                      <w:szCs w:val="18"/>
                      <w:highlight w:val="none"/>
                      <w14:textFill>
                        <w14:solidFill>
                          <w14:schemeClr w14:val="tx1"/>
                        </w14:solidFill>
                      </w14:textFill>
                    </w:rPr>
                    <w:t>个监测点位</w:t>
                  </w:r>
                </w:p>
              </w:tc>
              <w:tc>
                <w:tcPr>
                  <w:tcW w:w="96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t>颗粒物</w:t>
                  </w:r>
                </w:p>
              </w:tc>
              <w:tc>
                <w:tcPr>
                  <w:tcW w:w="1025" w:type="pct"/>
                  <w:tcBorders>
                    <w:tl2br w:val="nil"/>
                    <w:tr2bl w:val="nil"/>
                  </w:tcBorders>
                  <w:noWrap w:val="0"/>
                  <w:vAlign w:val="center"/>
                </w:tcPr>
                <w:p>
                  <w:pPr>
                    <w:adjustRightInd w:val="0"/>
                    <w:snapToGrid w:val="0"/>
                    <w:spacing w:line="240" w:lineRule="auto"/>
                    <w:jc w:val="center"/>
                    <w:rPr>
                      <w:rFonts w:hint="eastAsia" w:cs="Times New Roman"/>
                      <w:color w:val="000000" w:themeColor="text1"/>
                      <w:sz w:val="21"/>
                      <w:szCs w:val="18"/>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1次/半年</w:t>
                  </w:r>
                </w:p>
              </w:tc>
              <w:tc>
                <w:tcPr>
                  <w:tcW w:w="1616" w:type="pct"/>
                  <w:tcBorders>
                    <w:tl2br w:val="nil"/>
                    <w:tr2bl w:val="nil"/>
                  </w:tcBorders>
                  <w:noWrap w:val="0"/>
                  <w:vAlign w:val="center"/>
                </w:tcPr>
                <w:p>
                  <w:pPr>
                    <w:adjustRightInd w:val="0"/>
                    <w:snapToGrid w:val="0"/>
                    <w:spacing w:line="240" w:lineRule="auto"/>
                    <w:jc w:val="center"/>
                    <w:rPr>
                      <w:rFonts w:hint="eastAsia"/>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《大气污染物综合排放标准》(GB16297-1996)表2标准限值要求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391" w:type="pct"/>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14:textFill>
                        <w14:solidFill>
                          <w14:schemeClr w14:val="tx1"/>
                        </w14:solidFill>
                      </w14:textFill>
                    </w:rPr>
                  </w:pPr>
                </w:p>
              </w:tc>
              <w:tc>
                <w:tcPr>
                  <w:tcW w:w="966"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eastAsia="zh-CN"/>
                      <w14:textFill>
                        <w14:solidFill>
                          <w14:schemeClr w14:val="tx1"/>
                        </w14:solidFill>
                      </w14:textFill>
                    </w:rPr>
                  </w:pPr>
                  <w:r>
                    <w:rPr>
                      <w:rFonts w:hint="eastAsia" w:cs="Times New Roman"/>
                      <w:color w:val="000000" w:themeColor="text1"/>
                      <w:sz w:val="21"/>
                      <w:szCs w:val="18"/>
                      <w:highlight w:val="none"/>
                      <w:lang w:eastAsia="zh-CN"/>
                      <w14:textFill>
                        <w14:solidFill>
                          <w14:schemeClr w14:val="tx1"/>
                        </w14:solidFill>
                      </w14:textFill>
                    </w:rPr>
                    <w:t>臭气浓度</w:t>
                  </w:r>
                </w:p>
              </w:tc>
              <w:tc>
                <w:tcPr>
                  <w:tcW w:w="1025"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18"/>
                      <w:highlight w:val="none"/>
                      <w:lang w:val="en-US" w:eastAsia="zh-CN"/>
                      <w14:textFill>
                        <w14:solidFill>
                          <w14:schemeClr w14:val="tx1"/>
                        </w14:solidFill>
                      </w14:textFill>
                    </w:rPr>
                    <w:t>1次/半年</w:t>
                  </w:r>
                </w:p>
              </w:tc>
              <w:tc>
                <w:tcPr>
                  <w:tcW w:w="1616" w:type="pct"/>
                  <w:tcBorders>
                    <w:tl2br w:val="nil"/>
                    <w:tr2bl w:val="nil"/>
                  </w:tcBorders>
                  <w:noWrap w:val="0"/>
                  <w:vAlign w:val="center"/>
                </w:tcPr>
                <w:p>
                  <w:pPr>
                    <w:adjustRightInd w:val="0"/>
                    <w:snapToGrid w:val="0"/>
                    <w:spacing w:line="240" w:lineRule="auto"/>
                    <w:jc w:val="center"/>
                    <w:rPr>
                      <w:rFonts w:hint="eastAsia"/>
                      <w:color w:val="000000" w:themeColor="text1"/>
                      <w:sz w:val="21"/>
                      <w:szCs w:val="18"/>
                      <w:highlight w:val="none"/>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《恶臭污染物排放标准》</w:t>
                  </w:r>
                  <w:r>
                    <w:rPr>
                      <w:rFonts w:hint="default" w:ascii="Times New Roman" w:hAnsi="Times New Roman" w:eastAsia="宋体" w:cs="Times New Roman"/>
                      <w:b w:val="0"/>
                      <w:bCs w:val="0"/>
                      <w:color w:val="000000" w:themeColor="text1"/>
                      <w:kern w:val="2"/>
                      <w:sz w:val="21"/>
                      <w:szCs w:val="21"/>
                      <w:highlight w:val="none"/>
                      <w:lang w:val="en-US" w:eastAsia="en-US" w:bidi="ar-SA"/>
                      <w14:textFill>
                        <w14:solidFill>
                          <w14:schemeClr w14:val="tx1"/>
                        </w14:solidFill>
                      </w14:textFill>
                    </w:rPr>
                    <w:t>（GB14554</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-19</w:t>
                  </w:r>
                  <w:r>
                    <w:rPr>
                      <w:rFonts w:hint="default" w:ascii="Times New Roman" w:hAnsi="Times New Roman" w:eastAsia="宋体" w:cs="Times New Roman"/>
                      <w:b w:val="0"/>
                      <w:bCs w:val="0"/>
                      <w:color w:val="000000" w:themeColor="text1"/>
                      <w:kern w:val="2"/>
                      <w:sz w:val="21"/>
                      <w:szCs w:val="21"/>
                      <w:highlight w:val="none"/>
                      <w:lang w:val="en-US" w:eastAsia="en-US" w:bidi="ar-SA"/>
                      <w14:textFill>
                        <w14:solidFill>
                          <w14:schemeClr w14:val="tx1"/>
                        </w14:solidFill>
                      </w14:textFill>
                    </w:rPr>
                    <w:t>93）</w:t>
                  </w:r>
                </w:p>
              </w:tc>
            </w:tr>
          </w:tbl>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4.2.2废水影响分析</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（1）产排污环节</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本项目废水主要为生活污水、</w:t>
            </w:r>
            <w:r>
              <w:rPr>
                <w:rFonts w:hint="eastAsia"/>
                <w:color w:val="000000" w:themeColor="text1"/>
                <w:highlight w:val="none"/>
                <w:lang w:val="en-US" w:eastAsia="zh-CN"/>
                <w14:textFill>
                  <w14:solidFill>
                    <w14:schemeClr w14:val="tx1"/>
                  </w14:solidFill>
                </w14:textFill>
              </w:rPr>
              <w:t>食堂废水、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和</w:t>
            </w:r>
            <w:r>
              <w:rPr>
                <w:color w:val="000000" w:themeColor="text1"/>
                <w:highlight w:val="none"/>
                <w14:textFill>
                  <w14:solidFill>
                    <w14:schemeClr w14:val="tx1"/>
                  </w14:solidFill>
                </w14:textFill>
              </w:rPr>
              <w:t>软化处理废水</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食堂废水经隔油池处理后同生活污水、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和</w:t>
            </w:r>
            <w:r>
              <w:rPr>
                <w:color w:val="000000" w:themeColor="text1"/>
                <w:highlight w:val="none"/>
                <w14:textFill>
                  <w14:solidFill>
                    <w14:schemeClr w14:val="tx1"/>
                  </w14:solidFill>
                </w14:textFill>
              </w:rPr>
              <w:t>软化处理</w:t>
            </w:r>
            <w:r>
              <w:rPr>
                <w:rFonts w:hint="default"/>
                <w:color w:val="000000" w:themeColor="text1"/>
                <w:highlight w:val="none"/>
                <w:lang w:val="en-US" w:eastAsia="zh-CN"/>
                <w14:textFill>
                  <w14:solidFill>
                    <w14:schemeClr w14:val="tx1"/>
                  </w14:solidFill>
                </w14:textFill>
              </w:rPr>
              <w:t>废水排入厂区化粪池</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经化粪池处理后的废水排入</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污水处理厂。项目废水产生量为</w:t>
            </w:r>
            <w:r>
              <w:rPr>
                <w:rFonts w:hint="eastAsia"/>
                <w:color w:val="000000" w:themeColor="text1"/>
                <w:highlight w:val="none"/>
                <w:lang w:val="en-US" w:eastAsia="zh-CN"/>
                <w14:textFill>
                  <w14:solidFill>
                    <w14:schemeClr w14:val="tx1"/>
                  </w14:solidFill>
                </w14:textFill>
              </w:rPr>
              <w:t>14.48t/d，4344</w:t>
            </w:r>
            <w:r>
              <w:rPr>
                <w:rFonts w:hint="default"/>
                <w:color w:val="000000" w:themeColor="text1"/>
                <w:highlight w:val="none"/>
                <w:lang w:val="en-US" w:eastAsia="zh-CN"/>
                <w14:textFill>
                  <w14:solidFill>
                    <w14:schemeClr w14:val="tx1"/>
                  </w14:solidFill>
                </w14:textFill>
              </w:rPr>
              <w:t>t/a，废水排入</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污水处理厂时，综合废水(生活污水、</w:t>
            </w:r>
            <w:r>
              <w:rPr>
                <w:rFonts w:hint="eastAsia"/>
                <w:color w:val="000000" w:themeColor="text1"/>
                <w:highlight w:val="none"/>
                <w:lang w:val="en-US" w:eastAsia="zh-CN"/>
                <w14:textFill>
                  <w14:solidFill>
                    <w14:schemeClr w14:val="tx1"/>
                  </w14:solidFill>
                </w14:textFill>
              </w:rPr>
              <w:t>食堂废水、</w:t>
            </w:r>
            <w:r>
              <w:rPr>
                <w:color w:val="000000" w:themeColor="text1"/>
                <w:highlight w:val="none"/>
                <w14:textFill>
                  <w14:solidFill>
                    <w14:schemeClr w14:val="tx1"/>
                  </w14:solidFill>
                </w14:textFill>
              </w:rPr>
              <w:t>锅炉排污水</w:t>
            </w:r>
            <w:r>
              <w:rPr>
                <w:rFonts w:hint="eastAsia"/>
                <w:color w:val="000000" w:themeColor="text1"/>
                <w:highlight w:val="none"/>
                <w:lang w:eastAsia="zh-CN"/>
                <w14:textFill>
                  <w14:solidFill>
                    <w14:schemeClr w14:val="tx1"/>
                  </w14:solidFill>
                </w14:textFill>
              </w:rPr>
              <w:t>和</w:t>
            </w:r>
            <w:r>
              <w:rPr>
                <w:color w:val="000000" w:themeColor="text1"/>
                <w:highlight w:val="none"/>
                <w14:textFill>
                  <w14:solidFill>
                    <w14:schemeClr w14:val="tx1"/>
                  </w14:solidFill>
                </w14:textFill>
              </w:rPr>
              <w:t>软化处理废水</w:t>
            </w:r>
            <w:r>
              <w:rPr>
                <w:rFonts w:hint="default"/>
                <w:color w:val="000000" w:themeColor="text1"/>
                <w:highlight w:val="none"/>
                <w:lang w:val="en-US" w:eastAsia="zh-CN"/>
                <w14:textFill>
                  <w14:solidFill>
                    <w14:schemeClr w14:val="tx1"/>
                  </w14:solidFill>
                </w14:textFill>
              </w:rPr>
              <w:t>)污染物产生及排放情况见</w:t>
            </w:r>
            <w:r>
              <w:rPr>
                <w:rFonts w:hint="eastAsia"/>
                <w:color w:val="000000" w:themeColor="text1"/>
                <w:highlight w:val="none"/>
                <w:lang w:val="en-US" w:eastAsia="zh-CN"/>
                <w14:textFill>
                  <w14:solidFill>
                    <w14:schemeClr w14:val="tx1"/>
                  </w14:solidFill>
                </w14:textFill>
              </w:rPr>
              <w:t>下表</w:t>
            </w:r>
            <w:r>
              <w:rPr>
                <w:rFonts w:hint="default"/>
                <w:color w:val="000000" w:themeColor="text1"/>
                <w:highlight w:val="none"/>
                <w:lang w:val="en-US" w:eastAsia="zh-CN"/>
                <w14:textFill>
                  <w14:solidFill>
                    <w14:schemeClr w14:val="tx1"/>
                  </w14:solidFill>
                </w14:textFill>
              </w:rPr>
              <w:t>。</w:t>
            </w:r>
          </w:p>
          <w:p>
            <w:pPr>
              <w:keepNext w:val="0"/>
              <w:keepLines w:val="0"/>
              <w:widowControl/>
              <w:suppressLineNumbers w:val="0"/>
              <w:jc w:val="center"/>
              <w:rPr>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 xml:space="preserve">表 </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4-</w:t>
            </w:r>
            <w:r>
              <w:rPr>
                <w:rFonts w:hint="eastAsia" w:cs="Times New Roman"/>
                <w:b/>
                <w:bCs/>
                <w:color w:val="000000" w:themeColor="text1"/>
                <w:kern w:val="0"/>
                <w:sz w:val="21"/>
                <w:szCs w:val="21"/>
                <w:highlight w:val="none"/>
                <w:lang w:val="en-US" w:eastAsia="zh-CN" w:bidi="ar"/>
                <w14:textFill>
                  <w14:solidFill>
                    <w14:schemeClr w14:val="tx1"/>
                  </w14:solidFill>
                </w14:textFill>
              </w:rPr>
              <w:t>8</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 xml:space="preserve"> </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废水产生及排放情况一览表</w:t>
            </w:r>
          </w:p>
          <w:tbl>
            <w:tblPr>
              <w:tblStyle w:val="21"/>
              <w:tblpPr w:leftFromText="180" w:rightFromText="180" w:vertAnchor="text" w:horzAnchor="page" w:tblpX="97" w:tblpY="204"/>
              <w:tblOverlap w:val="never"/>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681"/>
              <w:gridCol w:w="434"/>
              <w:gridCol w:w="829"/>
              <w:gridCol w:w="701"/>
              <w:gridCol w:w="720"/>
              <w:gridCol w:w="442"/>
              <w:gridCol w:w="904"/>
              <w:gridCol w:w="720"/>
              <w:gridCol w:w="829"/>
              <w:gridCol w:w="1088"/>
              <w:gridCol w:w="7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255"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排放源</w:t>
                  </w:r>
                </w:p>
              </w:tc>
              <w:tc>
                <w:tcPr>
                  <w:tcW w:w="400"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污染物</w:t>
                  </w:r>
                </w:p>
              </w:tc>
              <w:tc>
                <w:tcPr>
                  <w:tcW w:w="255"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核</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算</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方</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法</w:t>
                  </w:r>
                </w:p>
              </w:tc>
              <w:tc>
                <w:tcPr>
                  <w:tcW w:w="48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产</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生</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量</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t/a</w:t>
                  </w:r>
                </w:p>
              </w:tc>
              <w:tc>
                <w:tcPr>
                  <w:tcW w:w="833" w:type="pct"/>
                  <w:gridSpan w:val="2"/>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污染物产生</w:t>
                  </w:r>
                </w:p>
              </w:tc>
              <w:tc>
                <w:tcPr>
                  <w:tcW w:w="25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拟采取的处理方式</w:t>
                  </w:r>
                </w:p>
              </w:tc>
              <w:tc>
                <w:tcPr>
                  <w:tcW w:w="530"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处理效率</w:t>
                  </w:r>
                </w:p>
              </w:tc>
              <w:tc>
                <w:tcPr>
                  <w:tcW w:w="908" w:type="pct"/>
                  <w:gridSpan w:val="2"/>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污染物排放</w:t>
                  </w:r>
                </w:p>
              </w:tc>
              <w:tc>
                <w:tcPr>
                  <w:tcW w:w="63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排放去向</w:t>
                  </w:r>
                </w:p>
              </w:tc>
              <w:tc>
                <w:tcPr>
                  <w:tcW w:w="43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排水水质</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标准</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3"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40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1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浓度</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mg/L</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产</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生</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量</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t/a</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pP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浓度</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mg/L</w:t>
                  </w:r>
                </w:p>
              </w:tc>
              <w:tc>
                <w:tcPr>
                  <w:tcW w:w="48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产</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生</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量</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t/a</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55"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综合污水</w:t>
                  </w: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COD</w:t>
                  </w:r>
                </w:p>
              </w:tc>
              <w:tc>
                <w:tcPr>
                  <w:tcW w:w="255"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产污系数法</w:t>
                  </w:r>
                </w:p>
              </w:tc>
              <w:tc>
                <w:tcPr>
                  <w:tcW w:w="486"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4344</w:t>
                  </w: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350</w:t>
                  </w:r>
                </w:p>
              </w:tc>
              <w:tc>
                <w:tcPr>
                  <w:tcW w:w="4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1.52 </w:t>
                  </w:r>
                </w:p>
              </w:tc>
              <w:tc>
                <w:tcPr>
                  <w:tcW w:w="259"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排入化粪池</w:t>
                  </w: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255</w:t>
                  </w:r>
                </w:p>
              </w:tc>
              <w:tc>
                <w:tcPr>
                  <w:tcW w:w="48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c>
                <w:tcPr>
                  <w:tcW w:w="638"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生活污水排入化粪池处理后排入园区污水处理厂处理。</w:t>
                  </w:r>
                </w:p>
              </w:tc>
              <w:tc>
                <w:tcPr>
                  <w:tcW w:w="432" w:type="pct"/>
                  <w:tcBorders>
                    <w:tl2br w:val="nil"/>
                    <w:tr2bl w:val="nil"/>
                  </w:tcBorders>
                  <w:vAlign w:val="center"/>
                </w:tcPr>
                <w:p>
                  <w:pPr>
                    <w:pStyle w:val="50"/>
                    <w:keepNext w:val="0"/>
                    <w:keepLines w:val="0"/>
                    <w:pageBreakBefore w:val="0"/>
                    <w:tabs>
                      <w:tab w:val="left" w:pos="551"/>
                    </w:tabs>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氨氮</w:t>
                  </w: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30</w:t>
                  </w:r>
                </w:p>
              </w:tc>
              <w:tc>
                <w:tcPr>
                  <w:tcW w:w="422" w:type="pct"/>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5%</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28.5</w:t>
                  </w:r>
                </w:p>
              </w:tc>
              <w:tc>
                <w:tcPr>
                  <w:tcW w:w="486" w:type="pct"/>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SS</w:t>
                  </w: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300</w:t>
                  </w:r>
                </w:p>
              </w:tc>
              <w:tc>
                <w:tcPr>
                  <w:tcW w:w="4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1.30 </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30%</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210</w:t>
                  </w:r>
                </w:p>
              </w:tc>
              <w:tc>
                <w:tcPr>
                  <w:tcW w:w="48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BOD</w:t>
                  </w: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250</w:t>
                  </w:r>
                </w:p>
              </w:tc>
              <w:tc>
                <w:tcPr>
                  <w:tcW w:w="422" w:type="pct"/>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1.09 </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10%</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225</w:t>
                  </w:r>
                </w:p>
              </w:tc>
              <w:tc>
                <w:tcPr>
                  <w:tcW w:w="486" w:type="pct"/>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t>动植物油</w:t>
                  </w: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30</w:t>
                  </w:r>
                </w:p>
              </w:tc>
              <w:tc>
                <w:tcPr>
                  <w:tcW w:w="4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30</w:t>
                  </w:r>
                </w:p>
              </w:tc>
              <w:tc>
                <w:tcPr>
                  <w:tcW w:w="48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0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磷酸盐</w:t>
                  </w:r>
                </w:p>
              </w:tc>
              <w:tc>
                <w:tcPr>
                  <w:tcW w:w="25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86"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11"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5</w:t>
                  </w:r>
                </w:p>
              </w:tc>
              <w:tc>
                <w:tcPr>
                  <w:tcW w:w="4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0.021</w:t>
                  </w:r>
                </w:p>
              </w:tc>
              <w:tc>
                <w:tcPr>
                  <w:tcW w:w="25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53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10%</w:t>
                  </w:r>
                </w:p>
              </w:tc>
              <w:tc>
                <w:tcPr>
                  <w:tcW w:w="42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4.5</w:t>
                  </w:r>
                </w:p>
              </w:tc>
              <w:tc>
                <w:tcPr>
                  <w:tcW w:w="48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0.0195</w:t>
                  </w:r>
                </w:p>
              </w:tc>
              <w:tc>
                <w:tcPr>
                  <w:tcW w:w="63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32"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5000" w:type="pct"/>
                  <w:gridSpan w:val="12"/>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left"/>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注：食堂污水经隔油池处理后同生活污水排入化粪池，动植物油产生浓度为食堂污水经隔油池处理后的浓度</w:t>
                  </w:r>
                </w:p>
              </w:tc>
            </w:tr>
          </w:tbl>
          <w:p>
            <w:pPr>
              <w:pStyle w:val="44"/>
              <w:numPr>
                <w:ilvl w:val="0"/>
                <w:numId w:val="0"/>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污水处理厂依托可行性分析</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本项目依托</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污水处理厂，该污水处理厂位于工业六路以北，九股河路以西。现已投入使用，处理规模为2.5万m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/d，拟扩大处理能力到5万m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纳管进水标准需要满足《辽宁省污水综合排放标准》（DB1/1627-2008）中表2标准，处理后的污水排放达到《城镇污水处理厂污染物排放标准》（GB8918-2002）中一级A标准，通过管网排放至九股河，最终汇入小柳河。</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根据《辽宁台安经济开发区总体规划环境影响报告书》，现排入开</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污水处理厂的废水量为2.05万m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/d，剩余处理能力为4000m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/d，本项目废水排放量为</w:t>
            </w:r>
            <w:r>
              <w:rPr>
                <w:rFonts w:hint="eastAsia"/>
                <w:color w:val="000000" w:themeColor="text1"/>
                <w:highlight w:val="none"/>
                <w:lang w:val="en-US" w:eastAsia="zh-CN"/>
                <w14:textFill>
                  <w14:solidFill>
                    <w14:schemeClr w14:val="tx1"/>
                  </w14:solidFill>
                </w14:textFill>
              </w:rPr>
              <w:t>14.48</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污水处理厂处理能力可满足本项目需求，且本项目出水水质满足</w:t>
            </w:r>
            <w:r>
              <w:rPr>
                <w:rFonts w:hint="eastAsia"/>
                <w:color w:val="000000" w:themeColor="text1"/>
                <w:highlight w:val="none"/>
                <w:lang w:val="en-US" w:eastAsia="zh-CN"/>
                <w14:textFill>
                  <w14:solidFill>
                    <w14:schemeClr w14:val="tx1"/>
                  </w14:solidFill>
                </w14:textFill>
              </w:rPr>
              <w:t>园区</w:t>
            </w:r>
            <w:r>
              <w:rPr>
                <w:rFonts w:hint="default"/>
                <w:color w:val="000000" w:themeColor="text1"/>
                <w:highlight w:val="none"/>
                <w:lang w:val="en-US" w:eastAsia="zh-CN"/>
                <w14:textFill>
                  <w14:solidFill>
                    <w14:schemeClr w14:val="tx1"/>
                  </w14:solidFill>
                </w14:textFill>
              </w:rPr>
              <w:t>污水处理厂的进水水质要求，因此，本项目建设不会对区域地表水环境造成较大的影响。</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（3）废水排放口基本信息及纳管标准</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废水类别、污染物及污染治理设施信息见下表。 </w:t>
            </w:r>
          </w:p>
          <w:p>
            <w:pPr>
              <w:pStyle w:val="50"/>
              <w:bidi w:val="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 xml:space="preserve">表 </w:t>
            </w:r>
            <w:r>
              <w:rPr>
                <w:rFonts w:hint="default"/>
                <w:b/>
                <w:bCs/>
                <w:color w:val="000000" w:themeColor="text1"/>
                <w:sz w:val="21"/>
                <w:szCs w:val="21"/>
                <w:highlight w:val="none"/>
                <w:lang w:val="en-US" w:eastAsia="zh-CN"/>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9</w:t>
            </w:r>
            <w:r>
              <w:rPr>
                <w:rFonts w:hint="default"/>
                <w:b/>
                <w:bCs/>
                <w:color w:val="000000" w:themeColor="text1"/>
                <w:sz w:val="21"/>
                <w:szCs w:val="21"/>
                <w:highlight w:val="none"/>
                <w:lang w:val="en-US" w:eastAsia="zh-CN"/>
                <w14:textFill>
                  <w14:solidFill>
                    <w14:schemeClr w14:val="tx1"/>
                  </w14:solidFill>
                </w14:textFill>
              </w:rPr>
              <w:t xml:space="preserve"> </w:t>
            </w:r>
            <w:r>
              <w:rPr>
                <w:rFonts w:hint="eastAsia"/>
                <w:b/>
                <w:bCs/>
                <w:color w:val="000000" w:themeColor="text1"/>
                <w:sz w:val="21"/>
                <w:szCs w:val="21"/>
                <w:highlight w:val="none"/>
                <w:lang w:val="en-US" w:eastAsia="zh-CN"/>
                <w14:textFill>
                  <w14:solidFill>
                    <w14:schemeClr w14:val="tx1"/>
                  </w14:solidFill>
                </w14:textFill>
              </w:rPr>
              <w:t>废水类别、污染物及污染治理设施信息表</w:t>
            </w:r>
          </w:p>
          <w:tbl>
            <w:tblPr>
              <w:tblStyle w:val="21"/>
              <w:tblW w:w="4994"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163"/>
              <w:gridCol w:w="906"/>
              <w:gridCol w:w="1706"/>
              <w:gridCol w:w="1593"/>
              <w:gridCol w:w="872"/>
              <w:gridCol w:w="906"/>
              <w:gridCol w:w="8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13"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序号</w:t>
                  </w:r>
                </w:p>
              </w:tc>
              <w:tc>
                <w:tcPr>
                  <w:tcW w:w="682"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排放口编号</w:t>
                  </w:r>
                </w:p>
              </w:tc>
              <w:tc>
                <w:tcPr>
                  <w:tcW w:w="531"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排放口名称</w:t>
                  </w:r>
                </w:p>
              </w:tc>
              <w:tc>
                <w:tcPr>
                  <w:tcW w:w="1934" w:type="pct"/>
                  <w:gridSpan w:val="2"/>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排放口地理坐标</w:t>
                  </w:r>
                </w:p>
              </w:tc>
              <w:tc>
                <w:tcPr>
                  <w:tcW w:w="511" w:type="pct"/>
                  <w:vMerge w:val="restar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排放规律</w:t>
                  </w:r>
                </w:p>
              </w:tc>
              <w:tc>
                <w:tcPr>
                  <w:tcW w:w="1026" w:type="pct"/>
                  <w:gridSpan w:val="2"/>
                  <w:vMerge w:val="restart"/>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排放标准 </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000"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经度</w:t>
                  </w:r>
                </w:p>
              </w:tc>
              <w:tc>
                <w:tcPr>
                  <w:tcW w:w="934"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纬度</w:t>
                  </w:r>
                </w:p>
              </w:tc>
              <w:tc>
                <w:tcPr>
                  <w:tcW w:w="511" w:type="pct"/>
                  <w:vMerge w:val="continue"/>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p>
              </w:tc>
              <w:tc>
                <w:tcPr>
                  <w:tcW w:w="1026" w:type="pct"/>
                  <w:gridSpan w:val="2"/>
                  <w:vMerge w:val="continue"/>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313"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682" w:type="pct"/>
                  <w:vMerge w:val="restart"/>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DW001</w:t>
                  </w:r>
                </w:p>
              </w:tc>
              <w:tc>
                <w:tcPr>
                  <w:tcW w:w="531"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生活污水排口</w:t>
                  </w:r>
                </w:p>
              </w:tc>
              <w:tc>
                <w:tcPr>
                  <w:tcW w:w="1000"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t>123.43143284</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934"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t>41.97911991</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511"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间接排放</w:t>
                  </w:r>
                </w:p>
              </w:tc>
              <w:tc>
                <w:tcPr>
                  <w:tcW w:w="531" w:type="pct"/>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CODCr</w:t>
                  </w:r>
                </w:p>
              </w:tc>
              <w:tc>
                <w:tcPr>
                  <w:tcW w:w="49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000"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934"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3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SS</w:t>
                  </w:r>
                </w:p>
              </w:tc>
              <w:tc>
                <w:tcPr>
                  <w:tcW w:w="49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1000"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934"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1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NH</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w:t>
                  </w:r>
                </w:p>
              </w:tc>
              <w:tc>
                <w:tcPr>
                  <w:tcW w:w="49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1000"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934"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1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动植物油</w:t>
                  </w:r>
                </w:p>
              </w:tc>
              <w:tc>
                <w:tcPr>
                  <w:tcW w:w="495" w:type="pct"/>
                  <w:tcBorders>
                    <w:tl2br w:val="nil"/>
                    <w:tr2bl w:val="nil"/>
                  </w:tcBorders>
                  <w:vAlign w:val="center"/>
                </w:tcPr>
                <w:p>
                  <w:pPr>
                    <w:keepNext w:val="0"/>
                    <w:keepLines w:val="0"/>
                    <w:widowControl/>
                    <w:suppressLineNumbers w:val="0"/>
                    <w:jc w:val="center"/>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1000"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934"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1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BOD</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w:t>
                  </w:r>
                </w:p>
              </w:tc>
              <w:tc>
                <w:tcPr>
                  <w:tcW w:w="49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313"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682"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1000"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934"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11" w:type="pct"/>
                  <w:vMerge w:val="continue"/>
                  <w:tcBorders>
                    <w:tl2br w:val="nil"/>
                    <w:tr2bl w:val="nil"/>
                  </w:tcBorders>
                  <w:vAlign w:val="center"/>
                </w:tcPr>
                <w:p>
                  <w:pPr>
                    <w:keepNext w:val="0"/>
                    <w:keepLines w:val="0"/>
                    <w:widowControl/>
                    <w:suppressLineNumbers w:val="0"/>
                    <w:jc w:val="center"/>
                    <w:rPr>
                      <w:rFonts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531" w:type="pc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磷酸盐</w:t>
                  </w:r>
                </w:p>
              </w:tc>
              <w:tc>
                <w:tcPr>
                  <w:tcW w:w="495" w:type="pct"/>
                  <w:tcBorders>
                    <w:tl2br w:val="nil"/>
                    <w:tr2bl w:val="nil"/>
                  </w:tcBorders>
                  <w:vAlign w:val="center"/>
                </w:tcPr>
                <w:p>
                  <w:pPr>
                    <w:keepNext w:val="0"/>
                    <w:keepLines w:val="0"/>
                    <w:widowControl/>
                    <w:suppressLineNumbers w:val="0"/>
                    <w:jc w:val="center"/>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5</w:t>
                  </w:r>
                </w:p>
              </w:tc>
            </w:tr>
          </w:tbl>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废水间接排放口基本情况见下表</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 xml:space="preserve">表 </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4-</w:t>
            </w:r>
            <w:r>
              <w:rPr>
                <w:rFonts w:hint="eastAsia" w:cs="Times New Roman"/>
                <w:b/>
                <w:bCs/>
                <w:color w:val="000000" w:themeColor="text1"/>
                <w:kern w:val="0"/>
                <w:sz w:val="21"/>
                <w:szCs w:val="21"/>
                <w:highlight w:val="none"/>
                <w:lang w:val="en-US" w:eastAsia="zh-CN" w:bidi="ar"/>
                <w14:textFill>
                  <w14:solidFill>
                    <w14:schemeClr w14:val="tx1"/>
                  </w14:solidFill>
                </w14:textFill>
              </w:rPr>
              <w:t>10</w:t>
            </w:r>
            <w:r>
              <w:rPr>
                <w:rFonts w:hint="eastAsia"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 xml:space="preserve"> </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废水间接排放口基本情况表</w:t>
            </w:r>
          </w:p>
          <w:tbl>
            <w:tblPr>
              <w:tblStyle w:val="21"/>
              <w:tblW w:w="502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3"/>
              <w:gridCol w:w="841"/>
              <w:gridCol w:w="413"/>
              <w:gridCol w:w="1154"/>
              <w:gridCol w:w="1055"/>
              <w:gridCol w:w="907"/>
              <w:gridCol w:w="413"/>
              <w:gridCol w:w="611"/>
              <w:gridCol w:w="655"/>
              <w:gridCol w:w="413"/>
              <w:gridCol w:w="830"/>
              <w:gridCol w:w="8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22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序号</w:t>
                  </w:r>
                </w:p>
              </w:tc>
              <w:tc>
                <w:tcPr>
                  <w:tcW w:w="449"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排放口编号</w:t>
                  </w:r>
                </w:p>
              </w:tc>
              <w:tc>
                <w:tcPr>
                  <w:tcW w:w="22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highlight w:val="none"/>
                      <w:vertAlign w:val="baseline"/>
                      <w:lang w:val="en-US" w:eastAsia="zh-CN"/>
                      <w14:textFill>
                        <w14:solidFill>
                          <w14:schemeClr w14:val="tx1"/>
                        </w14:solidFill>
                      </w14:textFill>
                    </w:rPr>
                    <w:t>排放方式</w:t>
                  </w:r>
                </w:p>
              </w:tc>
              <w:tc>
                <w:tcPr>
                  <w:tcW w:w="1577" w:type="pct"/>
                  <w:gridSpan w:val="2"/>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排放口地理坐标</w:t>
                  </w:r>
                </w:p>
              </w:tc>
              <w:tc>
                <w:tcPr>
                  <w:tcW w:w="48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废水排放</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量</w:t>
                  </w:r>
                  <w:r>
                    <w:rPr>
                      <w:rFonts w:hint="default"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w:t>
                  </w: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 xml:space="preserve">（ </w:t>
                  </w:r>
                  <w:r>
                    <w:rPr>
                      <w:rFonts w:hint="default"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t/a</w:t>
                  </w: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排放</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去向</w:t>
                  </w:r>
                </w:p>
              </w:tc>
              <w:tc>
                <w:tcPr>
                  <w:tcW w:w="33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排放规律</w:t>
                  </w:r>
                </w:p>
              </w:tc>
              <w:tc>
                <w:tcPr>
                  <w:tcW w:w="35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间歇排放时段</w:t>
                  </w:r>
                </w:p>
              </w:tc>
              <w:tc>
                <w:tcPr>
                  <w:tcW w:w="1118"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0"/>
                      <w:highlight w:val="none"/>
                      <w:lang w:val="en-US" w:eastAsia="zh-CN" w:bidi="ar"/>
                      <w14:textFill>
                        <w14:solidFill>
                          <w14:schemeClr w14:val="tx1"/>
                        </w14:solidFill>
                      </w14:textFill>
                    </w:rPr>
                    <w:t>收纳污水处理厂信息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0"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228" w:type="pct"/>
                  <w:vMerge w:val="continue"/>
                  <w:tcBorders>
                    <w:tl2br w:val="nil"/>
                    <w:tr2bl w:val="nil"/>
                  </w:tcBorders>
                  <w:vAlign w:val="center"/>
                </w:tcPr>
                <w:p>
                  <w:pPr>
                    <w:keepNext w:val="0"/>
                    <w:keepLines w:val="0"/>
                    <w:widowControl/>
                    <w:suppressLineNumbers w:val="0"/>
                    <w:jc w:val="center"/>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p>
              </w:tc>
              <w:tc>
                <w:tcPr>
                  <w:tcW w:w="8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经度（</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纬度（</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0"/>
                      <w:highlight w:val="none"/>
                      <w:lang w:val="en-US" w:eastAsia="zh-CN" w:bidi="ar"/>
                      <w14:textFill>
                        <w14:solidFill>
                          <w14:schemeClr w14:val="tx1"/>
                        </w14:solidFill>
                      </w14:textFill>
                    </w:rPr>
                    <w:t>名称</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污染物种类</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国家或地方污染物排放标准浓度限值</w:t>
                  </w:r>
                  <w:r>
                    <w:rPr>
                      <w:rFonts w:hint="default"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1</w:t>
                  </w:r>
                </w:p>
              </w:tc>
              <w:tc>
                <w:tcPr>
                  <w:tcW w:w="449"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DW001</w:t>
                  </w:r>
                </w:p>
              </w:tc>
              <w:tc>
                <w:tcPr>
                  <w:tcW w:w="228"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cs="Times New Roman"/>
                      <w:b w:val="0"/>
                      <w:bCs w:val="0"/>
                      <w:color w:val="000000" w:themeColor="text1"/>
                      <w:sz w:val="21"/>
                      <w:szCs w:val="21"/>
                      <w:highlight w:val="none"/>
                      <w:vertAlign w:val="baseline"/>
                      <w:lang w:eastAsia="zh-CN"/>
                      <w14:textFill>
                        <w14:solidFill>
                          <w14:schemeClr w14:val="tx1"/>
                        </w14:solidFill>
                      </w14:textFill>
                    </w:rPr>
                    <w:t>间接排放</w:t>
                  </w:r>
                </w:p>
              </w:tc>
              <w:tc>
                <w:tcPr>
                  <w:tcW w:w="815"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122.375706</w:t>
                  </w:r>
                </w:p>
              </w:tc>
              <w:tc>
                <w:tcPr>
                  <w:tcW w:w="761" w:type="pct"/>
                  <w:vMerge w:val="restart"/>
                  <w:tcBorders>
                    <w:tl2br w:val="nil"/>
                    <w:tr2bl w:val="nil"/>
                  </w:tcBorders>
                  <w:vAlign w:val="center"/>
                </w:tcPr>
                <w:p>
                  <w:pPr>
                    <w:keepNext w:val="0"/>
                    <w:keepLines w:val="0"/>
                    <w:widowControl/>
                    <w:suppressLineNumbers w:val="0"/>
                    <w:jc w:val="cente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 xml:space="preserve"> 41.404428</w:t>
                  </w:r>
                </w:p>
              </w:tc>
              <w:tc>
                <w:tcPr>
                  <w:tcW w:w="483" w:type="pct"/>
                  <w:vMerge w:val="restart"/>
                  <w:tcBorders>
                    <w:tl2br w:val="nil"/>
                    <w:tr2bl w:val="nil"/>
                  </w:tcBorders>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4772.4</w:t>
                  </w:r>
                </w:p>
              </w:tc>
              <w:tc>
                <w:tcPr>
                  <w:tcW w:w="22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进入城</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市污水</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18"/>
                      <w:highlight w:val="none"/>
                      <w:lang w:val="en-US" w:eastAsia="zh-CN" w:bidi="ar"/>
                      <w14:textFill>
                        <w14:solidFill>
                          <w14:schemeClr w14:val="tx1"/>
                        </w14:solidFill>
                      </w14:textFill>
                    </w:rPr>
                    <w:t>处理厂</w:t>
                  </w:r>
                </w:p>
              </w:tc>
              <w:tc>
                <w:tcPr>
                  <w:tcW w:w="330"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highlight w:val="none"/>
                      <w:vertAlign w:val="baseline"/>
                      <w:lang w:val="en-US" w:eastAsia="zh-CN"/>
                      <w14:textFill>
                        <w14:solidFill>
                          <w14:schemeClr w14:val="tx1"/>
                        </w14:solidFill>
                      </w14:textFill>
                    </w:rPr>
                    <w:t>不连续、</w:t>
                  </w: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间断</w:t>
                  </w:r>
                </w:p>
              </w:tc>
              <w:tc>
                <w:tcPr>
                  <w:tcW w:w="353"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t>24h/a</w:t>
                  </w:r>
                </w:p>
              </w:tc>
              <w:tc>
                <w:tcPr>
                  <w:tcW w:w="22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0"/>
                      <w:highlight w:val="none"/>
                      <w:lang w:val="en-US" w:eastAsia="zh-CN" w:bidi="ar"/>
                      <w14:textFill>
                        <w14:solidFill>
                          <w14:schemeClr w14:val="tx1"/>
                        </w14:solidFill>
                      </w14:textFill>
                    </w:rPr>
                    <w:t>台安经济开发区污水</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0"/>
                      <w:highlight w:val="none"/>
                      <w:lang w:val="en-US" w:eastAsia="zh-CN" w:bidi="ar"/>
                      <w14:textFill>
                        <w14:solidFill>
                          <w14:schemeClr w14:val="tx1"/>
                        </w14:solidFill>
                      </w14:textFill>
                    </w:rPr>
                    <w:t>处理</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0"/>
                      <w:highlight w:val="none"/>
                      <w:lang w:val="en-US" w:eastAsia="zh-CN" w:bidi="ar"/>
                      <w14:textFill>
                        <w14:solidFill>
                          <w14:schemeClr w14:val="tx1"/>
                        </w14:solidFill>
                      </w14:textFill>
                    </w:rPr>
                    <w:t>厂</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CODCr</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81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761"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val="0"/>
                      <w:color w:val="000000" w:themeColor="text1"/>
                      <w:sz w:val="21"/>
                      <w:highlight w:val="none"/>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SS</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81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761"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NH</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81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761"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动植物油</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81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761"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总磷</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815"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761"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8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3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35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22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highlight w:val="none"/>
                      <w:vertAlign w:val="baseline"/>
                      <w:lang w:val="en-US" w:eastAsia="zh-CN"/>
                      <w14:textFill>
                        <w14:solidFill>
                          <w14:schemeClr w14:val="tx1"/>
                        </w14:solidFill>
                      </w14:textFill>
                    </w:rPr>
                  </w:pPr>
                </w:p>
              </w:tc>
              <w:tc>
                <w:tcPr>
                  <w:tcW w:w="44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BOD</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w:t>
                  </w:r>
                </w:p>
              </w:tc>
              <w:tc>
                <w:tcPr>
                  <w:tcW w:w="44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w:t>
                  </w:r>
                </w:p>
              </w:tc>
            </w:tr>
          </w:tbl>
          <w:p>
            <w:pPr>
              <w:pStyle w:val="44"/>
              <w:bidi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废水污染物排放执行标准见下表。</w:t>
            </w:r>
          </w:p>
          <w:p>
            <w:pPr>
              <w:pStyle w:val="50"/>
              <w:bidi w:val="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 xml:space="preserve">表 </w:t>
            </w:r>
            <w:r>
              <w:rPr>
                <w:rFonts w:hint="default"/>
                <w:b/>
                <w:bCs/>
                <w:color w:val="000000" w:themeColor="text1"/>
                <w:sz w:val="21"/>
                <w:szCs w:val="21"/>
                <w:highlight w:val="none"/>
                <w:lang w:val="en-US" w:eastAsia="zh-CN"/>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11</w:t>
            </w:r>
            <w:r>
              <w:rPr>
                <w:rFonts w:hint="default"/>
                <w:b/>
                <w:bCs/>
                <w:color w:val="000000" w:themeColor="text1"/>
                <w:sz w:val="21"/>
                <w:szCs w:val="21"/>
                <w:highlight w:val="none"/>
                <w:lang w:val="en-US" w:eastAsia="zh-CN"/>
                <w14:textFill>
                  <w14:solidFill>
                    <w14:schemeClr w14:val="tx1"/>
                  </w14:solidFill>
                </w14:textFill>
              </w:rPr>
              <w:t xml:space="preserve"> </w:t>
            </w:r>
            <w:r>
              <w:rPr>
                <w:rFonts w:hint="eastAsia"/>
                <w:b/>
                <w:bCs/>
                <w:color w:val="000000" w:themeColor="text1"/>
                <w:sz w:val="21"/>
                <w:szCs w:val="21"/>
                <w:highlight w:val="none"/>
                <w:lang w:val="en-US" w:eastAsia="zh-CN"/>
                <w14:textFill>
                  <w14:solidFill>
                    <w14:schemeClr w14:val="tx1"/>
                  </w14:solidFill>
                </w14:textFill>
              </w:rPr>
              <w:t xml:space="preserve"> 废水污染物排放执行标准表</w:t>
            </w:r>
          </w:p>
          <w:tbl>
            <w:tblPr>
              <w:tblStyle w:val="21"/>
              <w:tblW w:w="847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600"/>
              <w:gridCol w:w="1599"/>
              <w:gridCol w:w="2106"/>
              <w:gridCol w:w="1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695" w:type="dxa"/>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序号</w:t>
                  </w:r>
                </w:p>
              </w:tc>
              <w:tc>
                <w:tcPr>
                  <w:tcW w:w="1696" w:type="dxa"/>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排放口编号</w:t>
                  </w:r>
                </w:p>
              </w:tc>
              <w:tc>
                <w:tcPr>
                  <w:tcW w:w="1696" w:type="dxa"/>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污染物种类</w:t>
                  </w:r>
                </w:p>
              </w:tc>
              <w:tc>
                <w:tcPr>
                  <w:tcW w:w="338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国家或地方污染物排放标准及其</w:t>
                  </w:r>
                  <w:r>
                    <w:rPr>
                      <w:rFonts w:hint="eastAsia" w:cs="Times New Roman"/>
                      <w:color w:val="000000" w:themeColor="text1"/>
                      <w:kern w:val="0"/>
                      <w:sz w:val="21"/>
                      <w:szCs w:val="21"/>
                      <w:highlight w:val="none"/>
                      <w:lang w:val="en-US" w:eastAsia="zh-CN" w:bidi="ar"/>
                      <w14:textFill>
                        <w14:solidFill>
                          <w14:schemeClr w14:val="tx1"/>
                        </w14:solidFill>
                      </w14:textFill>
                    </w:rPr>
                    <w:t>他</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69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6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名称</w:t>
                  </w:r>
                </w:p>
              </w:tc>
              <w:tc>
                <w:tcPr>
                  <w:tcW w:w="16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浓度限值/（</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1696" w:type="dxa"/>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DW001</w:t>
                  </w: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CODCr</w:t>
                  </w:r>
                </w:p>
              </w:tc>
              <w:tc>
                <w:tcPr>
                  <w:tcW w:w="169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《辽宁省污水综合排放标准》（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DB21/1627-2008</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）表 </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2 </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标准。</w:t>
                  </w: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1696"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SS</w:t>
                  </w:r>
                </w:p>
              </w:tc>
              <w:tc>
                <w:tcPr>
                  <w:tcW w:w="1694"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1696"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NH</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-N</w:t>
                  </w:r>
                </w:p>
              </w:tc>
              <w:tc>
                <w:tcPr>
                  <w:tcW w:w="1694"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w:t>
                  </w:r>
                </w:p>
              </w:tc>
              <w:tc>
                <w:tcPr>
                  <w:tcW w:w="1696"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动植物油</w:t>
                  </w:r>
                </w:p>
              </w:tc>
              <w:tc>
                <w:tcPr>
                  <w:tcW w:w="1694"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696"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磷酸盐</w:t>
                  </w:r>
                </w:p>
              </w:tc>
              <w:tc>
                <w:tcPr>
                  <w:tcW w:w="1694"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695"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w:t>
                  </w:r>
                </w:p>
              </w:tc>
              <w:tc>
                <w:tcPr>
                  <w:tcW w:w="1696"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BOD</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w:t>
                  </w:r>
                </w:p>
              </w:tc>
              <w:tc>
                <w:tcPr>
                  <w:tcW w:w="1694"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694"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250</w:t>
                  </w:r>
                </w:p>
              </w:tc>
            </w:tr>
          </w:tbl>
          <w:p>
            <w:pPr>
              <w:pStyle w:val="44"/>
              <w:bidi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废水污染物排放信息见下表。</w:t>
            </w:r>
          </w:p>
          <w:p>
            <w:pPr>
              <w:pStyle w:val="50"/>
              <w:bidi w:val="0"/>
              <w:ind w:left="0" w:leftChars="0" w:firstLine="0" w:firstLineChars="0"/>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 xml:space="preserve">表 </w:t>
            </w:r>
            <w:r>
              <w:rPr>
                <w:rFonts w:hint="default"/>
                <w:b/>
                <w:bCs/>
                <w:color w:val="000000" w:themeColor="text1"/>
                <w:sz w:val="21"/>
                <w:szCs w:val="21"/>
                <w:highlight w:val="none"/>
                <w:lang w:val="en-US" w:eastAsia="zh-CN"/>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-12  废水污染物排放信息表</w:t>
            </w:r>
          </w:p>
          <w:tbl>
            <w:tblPr>
              <w:tblStyle w:val="21"/>
              <w:tblW w:w="847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412"/>
              <w:gridCol w:w="1412"/>
              <w:gridCol w:w="1413"/>
              <w:gridCol w:w="1412"/>
              <w:gridCol w:w="14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序号</w:t>
                  </w:r>
                </w:p>
              </w:tc>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排放口编号</w:t>
                  </w:r>
                </w:p>
              </w:tc>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污染物种类</w:t>
                  </w:r>
                </w:p>
              </w:tc>
              <w:tc>
                <w:tcPr>
                  <w:tcW w:w="14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排放浓度</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p>
              </w:tc>
              <w:tc>
                <w:tcPr>
                  <w:tcW w:w="14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日排放量</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（t</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/d</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p>
              </w:tc>
              <w:tc>
                <w:tcPr>
                  <w:tcW w:w="14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年排放量</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t/a</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w:t>
                  </w:r>
                </w:p>
              </w:tc>
              <w:tc>
                <w:tcPr>
                  <w:tcW w:w="1412" w:type="dxa"/>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DW001</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p>
              </w:tc>
              <w:tc>
                <w:tcPr>
                  <w:tcW w:w="141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255</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0.0037 </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2</w:t>
                  </w:r>
                </w:p>
              </w:tc>
              <w:tc>
                <w:tcPr>
                  <w:tcW w:w="1412"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氨氮</w:t>
                  </w:r>
                </w:p>
              </w:tc>
              <w:tc>
                <w:tcPr>
                  <w:tcW w:w="141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28.5</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0.0004 </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3</w:t>
                  </w:r>
                </w:p>
              </w:tc>
              <w:tc>
                <w:tcPr>
                  <w:tcW w:w="1412"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41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210</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0.0030 </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4</w:t>
                  </w:r>
                </w:p>
              </w:tc>
              <w:tc>
                <w:tcPr>
                  <w:tcW w:w="1412"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p>
              </w:tc>
              <w:tc>
                <w:tcPr>
                  <w:tcW w:w="141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225</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0.0033 </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5</w:t>
                  </w:r>
                </w:p>
              </w:tc>
              <w:tc>
                <w:tcPr>
                  <w:tcW w:w="1412"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14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动植物油</w:t>
                  </w:r>
                </w:p>
              </w:tc>
              <w:tc>
                <w:tcPr>
                  <w:tcW w:w="1413"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412" w:type="dxa"/>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0.0004 </w:t>
                  </w:r>
                </w:p>
              </w:tc>
              <w:tc>
                <w:tcPr>
                  <w:tcW w:w="1414" w:type="dxa"/>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2" w:type="dxa"/>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6</w:t>
                  </w:r>
                </w:p>
              </w:tc>
              <w:tc>
                <w:tcPr>
                  <w:tcW w:w="1412" w:type="dxa"/>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1412"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磷酸盐</w:t>
                  </w:r>
                </w:p>
              </w:tc>
              <w:tc>
                <w:tcPr>
                  <w:tcW w:w="141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4.5</w:t>
                  </w:r>
                </w:p>
              </w:tc>
              <w:tc>
                <w:tcPr>
                  <w:tcW w:w="141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0.000065</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全厂排放口合计</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氨氮</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动植物油</w:t>
                  </w:r>
                </w:p>
              </w:tc>
              <w:tc>
                <w:tcPr>
                  <w:tcW w:w="1414" w:type="dxa"/>
                  <w:tcBorders>
                    <w:tl2br w:val="nil"/>
                    <w:tr2bl w:val="nil"/>
                  </w:tcBorders>
                  <w:vAlign w:val="center"/>
                </w:tcPr>
                <w:p>
                  <w:pPr>
                    <w:keepNext w:val="0"/>
                    <w:keepLines w:val="0"/>
                    <w:widowControl/>
                    <w:suppressLineNumbers w:val="0"/>
                    <w:jc w:val="center"/>
                    <w:textAlignment w:val="center"/>
                    <w:rPr>
                      <w:rFonts w:hint="eastAsia" w:cs="Times New Roman"/>
                      <w:color w:val="000000" w:themeColor="text1"/>
                      <w:sz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24" w:type="dxa"/>
                  <w:gridSpan w:val="2"/>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7" w:type="dxa"/>
                  <w:gridSpan w:val="3"/>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磷酸盐</w:t>
                  </w:r>
                </w:p>
              </w:tc>
              <w:tc>
                <w:tcPr>
                  <w:tcW w:w="141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0.0195</w:t>
                  </w:r>
                </w:p>
              </w:tc>
            </w:tr>
          </w:tbl>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（4）监测计划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参考《排污单位自行监测技术指南总则》（</w:t>
            </w:r>
            <w:r>
              <w:rPr>
                <w:rFonts w:hint="default"/>
                <w:color w:val="000000" w:themeColor="text1"/>
                <w:highlight w:val="none"/>
                <w:lang w:val="en-US" w:eastAsia="zh-CN"/>
                <w14:textFill>
                  <w14:solidFill>
                    <w14:schemeClr w14:val="tx1"/>
                  </w14:solidFill>
                </w14:textFill>
              </w:rPr>
              <w:t>HJ918-2017</w:t>
            </w:r>
            <w:r>
              <w:rPr>
                <w:rFonts w:hint="eastAsia"/>
                <w:color w:val="000000" w:themeColor="text1"/>
                <w:highlight w:val="none"/>
                <w:lang w:val="en-US" w:eastAsia="zh-CN"/>
                <w14:textFill>
                  <w14:solidFill>
                    <w14:schemeClr w14:val="tx1"/>
                  </w14:solidFill>
                </w14:textFill>
              </w:rPr>
              <w:t>）、《排污单位自行监测技术指南农副食品加工业》（HJ986-2018）并结合项目污染源 分布、污染物性质与排放规律，制定污染源监测计划，废水污染源监测计划见下表。</w:t>
            </w:r>
          </w:p>
          <w:p>
            <w:pPr>
              <w:pStyle w:val="50"/>
              <w:bidi w:val="0"/>
              <w:ind w:left="0" w:leftChars="0" w:firstLine="0" w:firstLineChars="0"/>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 xml:space="preserve">表 </w:t>
            </w:r>
            <w:r>
              <w:rPr>
                <w:rFonts w:hint="default"/>
                <w:b/>
                <w:bCs/>
                <w:color w:val="000000" w:themeColor="text1"/>
                <w:sz w:val="21"/>
                <w:szCs w:val="21"/>
                <w:highlight w:val="none"/>
                <w:lang w:val="en-US" w:eastAsia="zh-CN"/>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-13  废水自行监测计划表</w:t>
            </w:r>
          </w:p>
          <w:tbl>
            <w:tblPr>
              <w:tblStyle w:val="21"/>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2480"/>
              <w:gridCol w:w="2569"/>
              <w:gridCol w:w="21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类别</w:t>
                  </w:r>
                </w:p>
              </w:tc>
              <w:tc>
                <w:tcPr>
                  <w:tcW w:w="145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监测点</w:t>
                  </w:r>
                </w:p>
              </w:tc>
              <w:tc>
                <w:tcPr>
                  <w:tcW w:w="1505"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监测项目</w:t>
                  </w:r>
                </w:p>
              </w:tc>
              <w:tc>
                <w:tcPr>
                  <w:tcW w:w="1251"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废水</w:t>
                  </w:r>
                </w:p>
              </w:tc>
              <w:tc>
                <w:tcPr>
                  <w:tcW w:w="1453"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污水总排口</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DW001</w:t>
                  </w:r>
                </w:p>
              </w:tc>
              <w:tc>
                <w:tcPr>
                  <w:tcW w:w="150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流量、</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 xml:space="preserve">pH </w:t>
                  </w: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值、悬浮物、化学需氧量、五日生化需氧量、氨氮、动植物油</w:t>
                  </w:r>
                  <w:r>
                    <w:rPr>
                      <w:rFonts w:hint="eastAsia" w:cs="Times New Roman"/>
                      <w:color w:val="000000" w:themeColor="text1"/>
                      <w:kern w:val="0"/>
                      <w:sz w:val="21"/>
                      <w:szCs w:val="18"/>
                      <w:highlight w:val="none"/>
                      <w:lang w:val="en-US" w:eastAsia="zh-CN" w:bidi="ar"/>
                      <w14:textFill>
                        <w14:solidFill>
                          <w14:schemeClr w14:val="tx1"/>
                        </w14:solidFill>
                      </w14:textFill>
                    </w:rPr>
                    <w:t>、磷酸盐</w:t>
                  </w:r>
                </w:p>
              </w:tc>
              <w:tc>
                <w:tcPr>
                  <w:tcW w:w="1251"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1次/半年</w:t>
                  </w:r>
                </w:p>
              </w:tc>
            </w:tr>
          </w:tbl>
          <w:p>
            <w:pPr>
              <w:pStyle w:val="44"/>
              <w:bidi w:val="0"/>
              <w:ind w:left="0" w:leftChars="0" w:firstLine="0" w:firstLineChars="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4.2.3运营期噪声影响分析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（1）噪声源及源强</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本项目生产过程噪声主要来自生产设备运行产生的噪声，根据同类型项目设备噪声情况类比调查，本项目生产过程中主要设备噪声如下表所示。</w:t>
            </w:r>
          </w:p>
          <w:p>
            <w:pPr>
              <w:keepNext w:val="0"/>
              <w:keepLines w:val="0"/>
              <w:pageBreakBefore w:val="0"/>
              <w:widowControl/>
              <w:suppressLineNumbers w:val="0"/>
              <w:kinsoku/>
              <w:wordWrap/>
              <w:overflowPunct/>
              <w:topLinePunct w:val="0"/>
              <w:autoSpaceDE/>
              <w:autoSpaceDN/>
              <w:bidi w:val="0"/>
              <w:adjustRightInd/>
              <w:jc w:val="center"/>
              <w:textAlignment w:val="auto"/>
              <w:rPr>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 xml:space="preserve">表 </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4-</w:t>
            </w:r>
            <w:r>
              <w:rPr>
                <w:rFonts w:hint="eastAsia" w:cs="Times New Roman"/>
                <w:b/>
                <w:bCs/>
                <w:color w:val="000000" w:themeColor="text1"/>
                <w:kern w:val="0"/>
                <w:sz w:val="21"/>
                <w:szCs w:val="21"/>
                <w:highlight w:val="none"/>
                <w:lang w:val="en-US" w:eastAsia="zh-CN" w:bidi="ar"/>
                <w14:textFill>
                  <w14:solidFill>
                    <w14:schemeClr w14:val="tx1"/>
                  </w14:solidFill>
                </w14:textFill>
              </w:rPr>
              <w:t xml:space="preserve">14  </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主要</w:t>
            </w:r>
            <w:r>
              <w:rPr>
                <w:rFonts w:hint="eastAsia" w:ascii="宋体" w:hAnsi="宋体" w:cs="宋体"/>
                <w:b/>
                <w:bCs/>
                <w:color w:val="000000" w:themeColor="text1"/>
                <w:kern w:val="0"/>
                <w:sz w:val="21"/>
                <w:szCs w:val="21"/>
                <w:highlight w:val="none"/>
                <w:lang w:val="en-US" w:eastAsia="zh-CN" w:bidi="ar"/>
                <w14:textFill>
                  <w14:solidFill>
                    <w14:schemeClr w14:val="tx1"/>
                  </w14:solidFill>
                </w14:textFill>
              </w:rPr>
              <w:t>噪声源强一览表</w:t>
            </w:r>
          </w:p>
          <w:tbl>
            <w:tblPr>
              <w:tblStyle w:val="21"/>
              <w:tblpPr w:leftFromText="180" w:rightFromText="180" w:vertAnchor="text" w:horzAnchor="page" w:tblpX="91" w:tblpY="257"/>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3"/>
              <w:gridCol w:w="373"/>
              <w:gridCol w:w="373"/>
              <w:gridCol w:w="1483"/>
              <w:gridCol w:w="802"/>
              <w:gridCol w:w="530"/>
              <w:gridCol w:w="452"/>
              <w:gridCol w:w="452"/>
              <w:gridCol w:w="313"/>
              <w:gridCol w:w="382"/>
              <w:gridCol w:w="766"/>
              <w:gridCol w:w="373"/>
              <w:gridCol w:w="723"/>
              <w:gridCol w:w="766"/>
              <w:gridCol w:w="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8" w:hRule="atLeast"/>
              </w:trPr>
              <w:tc>
                <w:tcPr>
                  <w:tcW w:w="21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序号</w:t>
                  </w:r>
                </w:p>
              </w:tc>
              <w:tc>
                <w:tcPr>
                  <w:tcW w:w="21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建筑物名称</w:t>
                  </w:r>
                </w:p>
              </w:tc>
              <w:tc>
                <w:tcPr>
                  <w:tcW w:w="21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声源名称</w:t>
                  </w:r>
                </w:p>
              </w:tc>
              <w:tc>
                <w:tcPr>
                  <w:tcW w:w="869"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型号</w:t>
                  </w:r>
                </w:p>
              </w:tc>
              <w:tc>
                <w:tcPr>
                  <w:tcW w:w="470"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声压级/（dB（A））</w:t>
                  </w:r>
                </w:p>
              </w:tc>
              <w:tc>
                <w:tcPr>
                  <w:tcW w:w="310"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声源控制措施</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712"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空间相对位置</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w:t>
                  </w:r>
                </w:p>
              </w:tc>
              <w:tc>
                <w:tcPr>
                  <w:tcW w:w="22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距室内边</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界距离</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/m</w:t>
                  </w:r>
                </w:p>
              </w:tc>
              <w:tc>
                <w:tcPr>
                  <w:tcW w:w="44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室内边界</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声级</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/dB(A</w:t>
                  </w:r>
                  <w:r>
                    <w:rPr>
                      <w:rFonts w:hint="eastAsia" w:cs="Times New Roman"/>
                      <w:color w:val="000000" w:themeColor="text1"/>
                      <w:kern w:val="0"/>
                      <w:sz w:val="21"/>
                      <w:szCs w:val="18"/>
                      <w:highlight w:val="none"/>
                      <w:lang w:val="en-US" w:eastAsia="zh-CN" w:bidi="ar"/>
                      <w14:textFill>
                        <w14:solidFill>
                          <w14:schemeClr w14:val="tx1"/>
                        </w14:solidFill>
                      </w14:textFill>
                    </w:rPr>
                    <w:t>）</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运行时</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段</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建筑物插入损</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失</w:t>
                  </w: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dB(A</w:t>
                  </w:r>
                  <w:r>
                    <w:rPr>
                      <w:rFonts w:hint="eastAsia" w:cs="Times New Roman"/>
                      <w:color w:val="000000" w:themeColor="text1"/>
                      <w:kern w:val="0"/>
                      <w:sz w:val="21"/>
                      <w:szCs w:val="18"/>
                      <w:highlight w:val="none"/>
                      <w:lang w:val="en-US" w:eastAsia="zh-CN" w:bidi="ar"/>
                      <w14:textFill>
                        <w14:solidFill>
                          <w14:schemeClr w14:val="tx1"/>
                        </w14:solidFill>
                      </w14:textFill>
                    </w:rPr>
                    <w:t>）</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668"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8" w:hRule="atLeast"/>
              </w:trPr>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86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47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X</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Y</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Z</w:t>
                  </w:r>
                </w:p>
              </w:tc>
              <w:tc>
                <w:tcPr>
                  <w:tcW w:w="22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4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4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声压级</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/dB(A</w:t>
                  </w:r>
                  <w:r>
                    <w:rPr>
                      <w:rFonts w:hint="eastAsia" w:cs="Times New Roman"/>
                      <w:color w:val="000000" w:themeColor="text1"/>
                      <w:kern w:val="0"/>
                      <w:sz w:val="21"/>
                      <w:szCs w:val="18"/>
                      <w:highlight w:val="none"/>
                      <w:lang w:val="en-US" w:eastAsia="zh-CN" w:bidi="ar"/>
                      <w14:textFill>
                        <w14:solidFill>
                          <w14:schemeClr w14:val="tx1"/>
                        </w14:solidFill>
                      </w14:textFill>
                    </w:rPr>
                    <w:t>）</w:t>
                  </w:r>
                </w:p>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000000" w:themeColor="text1"/>
                      <w:sz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建筑物</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18"/>
                      <w:highlight w:val="none"/>
                      <w:lang w:val="en-US" w:eastAsia="zh-CN" w:bidi="ar"/>
                      <w14:textFill>
                        <w14:solidFill>
                          <w14:schemeClr w14:val="tx1"/>
                        </w14:solidFill>
                      </w14:textFill>
                    </w:rPr>
                    <w:t>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w:t>
                  </w:r>
                </w:p>
              </w:tc>
              <w:tc>
                <w:tcPr>
                  <w:tcW w:w="21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主车间</w:t>
                  </w: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4-72-3.6A-2-3kW</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85</w:t>
                  </w:r>
                </w:p>
              </w:tc>
              <w:tc>
                <w:tcPr>
                  <w:tcW w:w="31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有限选用低噪声设备，采取隔声减振</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196</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111</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72</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47.8</w:t>
                  </w:r>
                </w:p>
              </w:tc>
              <w:tc>
                <w:tcPr>
                  <w:tcW w:w="218"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昼间</w:t>
                  </w: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32.8</w:t>
                  </w:r>
                </w:p>
              </w:tc>
              <w:tc>
                <w:tcPr>
                  <w:tcW w:w="219" w:type="pct"/>
                  <w:vMerge w:val="restar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LNGM18</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182</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117</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63</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49</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t>永磁筒</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TCXT30</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199</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129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圆锥粉料初清筛</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SCQZ90×80×110</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206</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147</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87</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旋转分配器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TFPX6-300</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193</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160</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74</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42.6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27.6</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粉碎机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166</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both"/>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102</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43</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57.3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42.3</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142</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109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48</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36.4</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149</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136</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57</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49.9</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34.9</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9</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旋转分配器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TFPX6-300</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135</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148</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63</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10</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叶轮喂料器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TWLY100</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177</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151</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72</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47.8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32.8</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11</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辊式粉碎机</w:t>
                  </w:r>
                </w:p>
              </w:tc>
              <w:tc>
                <w:tcPr>
                  <w:tcW w:w="869" w:type="pct"/>
                  <w:tcBorders>
                    <w:tl2br w:val="nil"/>
                    <w:tr2bl w:val="nil"/>
                  </w:tcBorders>
                  <w:vAlign w:val="center"/>
                </w:tcPr>
                <w:p>
                  <w:pPr>
                    <w:pStyle w:val="45"/>
                    <w:bidi w:val="0"/>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135</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116</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54</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55.4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40.4</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en-US"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116</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131</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64</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48.8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33.8</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94</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136</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49</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36.2</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45"/>
                    <w:bidi w:val="0"/>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178</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136</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67</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48.5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3.5</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45"/>
                    <w:bidi w:val="0"/>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153</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167</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58</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49.7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4.7</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166</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both"/>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159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50.8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35.8</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BLMB6</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170</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111</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76</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47.4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32.4</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双轴桨叶式高效混合机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SLHS7_ZL</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145</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146</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66</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43.6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28.6</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19</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SFJ506-3.6C-45kW</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153</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118</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41</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52.7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37.7</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20</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6"/>
                    <w:keepNext w:val="0"/>
                    <w:keepLines w:val="0"/>
                    <w:pageBreakBefore w:val="0"/>
                    <w:widowControl w:val="0"/>
                    <w:shd w:val="clear" w:color="auto" w:fill="auto"/>
                    <w:kinsoku/>
                    <w:wordWrap/>
                    <w:overflowPunct/>
                    <w:topLinePunct w:val="0"/>
                    <w:autoSpaceDE/>
                    <w:autoSpaceDN/>
                    <w:bidi w:val="0"/>
                    <w:snapToGrid/>
                    <w:spacing w:line="240" w:lineRule="auto"/>
                    <w:ind w:left="0" w:leftChars="0" w:right="0" w:rightChars="0" w:firstLine="0" w:firstLineChars="0"/>
                    <w:jc w:val="center"/>
                    <w:rPr>
                      <w:rFonts w:hint="default" w:ascii="Times New Roman" w:hAnsi="Times New Roman" w:eastAsia="宋体" w:cs="Times New Roman"/>
                      <w:color w:val="000000" w:themeColor="text1"/>
                      <w:spacing w:val="0"/>
                      <w:w w:val="100"/>
                      <w:kern w:val="2"/>
                      <w:position w:val="0"/>
                      <w:sz w:val="21"/>
                      <w:szCs w:val="21"/>
                      <w:highlight w:val="none"/>
                      <w:u w:val="none"/>
                      <w:shd w:val="clear" w:color="auto" w:fill="auto"/>
                      <w:lang w:val="en-US" w:eastAsia="zh-CN" w:bidi="en-US"/>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108</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212</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50.2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5.2</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21</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环模制粒机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SZLH685×245</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184</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129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52</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55.7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40.7</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风机</w:t>
                  </w:r>
                </w:p>
              </w:tc>
              <w:tc>
                <w:tcPr>
                  <w:tcW w:w="869"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SFJ506-3.6C-45kW</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189</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33</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54.6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9.6</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6"/>
                    <w:keepNext w:val="0"/>
                    <w:keepLines w:val="0"/>
                    <w:pageBreakBefore w:val="0"/>
                    <w:widowControl w:val="0"/>
                    <w:shd w:val="clear" w:color="auto" w:fill="auto"/>
                    <w:kinsoku/>
                    <w:wordWrap/>
                    <w:overflowPunct/>
                    <w:topLinePunct w:val="0"/>
                    <w:autoSpaceDE/>
                    <w:autoSpaceDN/>
                    <w:bidi w:val="0"/>
                    <w:snapToGrid/>
                    <w:spacing w:line="240" w:lineRule="auto"/>
                    <w:ind w:left="0" w:leftChars="0" w:right="0" w:rightChars="0" w:firstLine="0" w:firstLineChars="0"/>
                    <w:jc w:val="center"/>
                    <w:rPr>
                      <w:rFonts w:hint="default" w:ascii="Times New Roman" w:hAnsi="Times New Roman" w:eastAsia="宋体" w:cs="Times New Roman"/>
                      <w:color w:val="000000" w:themeColor="text1"/>
                      <w:spacing w:val="0"/>
                      <w:w w:val="100"/>
                      <w:kern w:val="2"/>
                      <w:position w:val="0"/>
                      <w:sz w:val="21"/>
                      <w:szCs w:val="21"/>
                      <w:highlight w:val="none"/>
                      <w:u w:val="none"/>
                      <w:shd w:val="clear" w:color="auto" w:fill="auto"/>
                      <w:lang w:val="en-US" w:eastAsia="en-US" w:bidi="en-US"/>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130</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173</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68</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48.3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33.3</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24</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气动震仓器</w:t>
                  </w:r>
                </w:p>
              </w:tc>
              <w:tc>
                <w:tcPr>
                  <w:tcW w:w="869" w:type="pct"/>
                  <w:tcBorders>
                    <w:tl2br w:val="nil"/>
                    <w:tr2bl w:val="nil"/>
                  </w:tcBorders>
                  <w:vAlign w:val="center"/>
                </w:tcPr>
                <w:p>
                  <w:pPr>
                    <w:pStyle w:val="56"/>
                    <w:keepNext w:val="0"/>
                    <w:keepLines w:val="0"/>
                    <w:pageBreakBefore w:val="0"/>
                    <w:widowControl w:val="0"/>
                    <w:shd w:val="clear" w:color="auto" w:fill="auto"/>
                    <w:kinsoku/>
                    <w:wordWrap/>
                    <w:overflowPunct/>
                    <w:topLinePunct w:val="0"/>
                    <w:autoSpaceDE/>
                    <w:autoSpaceDN/>
                    <w:bidi w:val="0"/>
                    <w:snapToGrid/>
                    <w:spacing w:line="240" w:lineRule="auto"/>
                    <w:ind w:left="0" w:leftChars="0" w:right="0" w:rightChars="0" w:firstLine="0" w:firstLineChars="0"/>
                    <w:jc w:val="center"/>
                    <w:rPr>
                      <w:rFonts w:hint="default" w:ascii="Times New Roman" w:hAnsi="Times New Roman" w:eastAsia="宋体" w:cs="Times New Roman"/>
                      <w:color w:val="000000" w:themeColor="text1"/>
                      <w:spacing w:val="0"/>
                      <w:w w:val="100"/>
                      <w:kern w:val="2"/>
                      <w:position w:val="0"/>
                      <w:sz w:val="21"/>
                      <w:szCs w:val="21"/>
                      <w:highlight w:val="none"/>
                      <w:u w:val="none"/>
                      <w:shd w:val="clear" w:color="auto" w:fill="auto"/>
                      <w:lang w:val="en-US" w:eastAsia="en-US" w:bidi="en-US"/>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BAH-40KA</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80</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120</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122</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46</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46.7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cs="Times New Roman"/>
                      <w:color w:val="000000" w:themeColor="text1"/>
                      <w:sz w:val="21"/>
                      <w:highlight w:val="none"/>
                      <w:vertAlign w:val="baseline"/>
                      <w:lang w:val="en-US" w:eastAsia="zh-CN"/>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31.7</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highlight w:val="none"/>
                      <w:lang w:val="en-US" w:eastAsia="zh-CN"/>
                      <w14:textFill>
                        <w14:solidFill>
                          <w14:schemeClr w14:val="tx1"/>
                        </w14:solidFill>
                      </w14:textFill>
                    </w:rPr>
                    <w:t>移动式缝包机组</w:t>
                  </w:r>
                </w:p>
              </w:tc>
              <w:tc>
                <w:tcPr>
                  <w:tcW w:w="869" w:type="pct"/>
                  <w:tcBorders>
                    <w:tl2br w:val="nil"/>
                    <w:tr2bl w:val="nil"/>
                  </w:tcBorders>
                  <w:vAlign w:val="center"/>
                </w:tcPr>
                <w:p>
                  <w:pPr>
                    <w:pStyle w:val="5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en-US" w:bidi="ar-SA"/>
                      <w14:textFill>
                        <w14:solidFill>
                          <w14:schemeClr w14:val="tx1"/>
                        </w14:solidFill>
                      </w14:textFill>
                    </w:rPr>
                  </w:pPr>
                  <w:r>
                    <w:rPr>
                      <w:color w:val="000000" w:themeColor="text1"/>
                      <w:highlight w:val="none"/>
                      <w:lang w:val="en-US" w:eastAsia="zh-CN"/>
                      <w14:textFill>
                        <w14:solidFill>
                          <w14:schemeClr w14:val="tx1"/>
                        </w14:solidFill>
                      </w14:textFill>
                    </w:rPr>
                    <w:t>SZ-1_GK35-7</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75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94</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159</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49</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41.2</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26.2</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26</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风机</w:t>
                  </w:r>
                </w:p>
              </w:tc>
              <w:tc>
                <w:tcPr>
                  <w:tcW w:w="869" w:type="pct"/>
                  <w:tcBorders>
                    <w:tl2br w:val="nil"/>
                    <w:tr2bl w:val="nil"/>
                  </w:tcBorders>
                  <w:vAlign w:val="center"/>
                </w:tcPr>
                <w:p>
                  <w:pPr>
                    <w:pStyle w:val="5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en-US" w:bidi="ar-SA"/>
                      <w14:textFill>
                        <w14:solidFill>
                          <w14:schemeClr w14:val="tx1"/>
                        </w14:solidFill>
                      </w14:textFill>
                    </w:rPr>
                  </w:pPr>
                  <w:r>
                    <w:rPr>
                      <w:color w:val="000000" w:themeColor="text1"/>
                      <w:highlight w:val="none"/>
                      <w:lang w:val="en-US" w:eastAsia="zh-CN"/>
                      <w14:textFill>
                        <w14:solidFill>
                          <w14:schemeClr w14:val="tx1"/>
                        </w14:solidFill>
                      </w14:textFill>
                    </w:rPr>
                    <w:t>5-36-4A-2-3kW</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104</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142</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46</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36.7</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27</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脉冲</w:t>
                  </w:r>
                  <w:r>
                    <w:rPr>
                      <w:rFonts w:hint="eastAsia" w:cs="Times New Roman"/>
                      <w:color w:val="000000" w:themeColor="text1"/>
                      <w:sz w:val="21"/>
                      <w:highlight w:val="none"/>
                      <w:vertAlign w:val="baseline"/>
                      <w:lang w:val="en-US" w:eastAsia="zh-CN"/>
                      <w14:textFill>
                        <w14:solidFill>
                          <w14:schemeClr w14:val="tx1"/>
                        </w14:solidFill>
                      </w14:textFill>
                    </w:rPr>
                    <w:t>式布袋</w:t>
                  </w:r>
                  <w:r>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t>除尘器</w:t>
                  </w:r>
                </w:p>
              </w:tc>
              <w:tc>
                <w:tcPr>
                  <w:tcW w:w="869" w:type="pct"/>
                  <w:tcBorders>
                    <w:tl2br w:val="nil"/>
                    <w:tr2bl w:val="nil"/>
                  </w:tcBorders>
                  <w:vAlign w:val="center"/>
                </w:tcPr>
                <w:p>
                  <w:pPr>
                    <w:pStyle w:val="56"/>
                    <w:keepNext w:val="0"/>
                    <w:keepLines w:val="0"/>
                    <w:pageBreakBefore w:val="0"/>
                    <w:widowControl w:val="0"/>
                    <w:shd w:val="clear" w:color="auto" w:fill="auto"/>
                    <w:kinsoku/>
                    <w:wordWrap/>
                    <w:overflowPunct/>
                    <w:topLinePunct w:val="0"/>
                    <w:autoSpaceDE/>
                    <w:autoSpaceDN/>
                    <w:bidi w:val="0"/>
                    <w:snapToGrid/>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u w:val="none"/>
                      <w:shd w:val="clear" w:color="auto" w:fill="auto"/>
                      <w:lang w:val="en-US" w:eastAsia="en-US" w:bidi="zh-TW"/>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BLMB4</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85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113</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125</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48</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51.3</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36.3</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28</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c>
                <w:tcPr>
                  <w:tcW w:w="218"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刹克龙</w:t>
                  </w:r>
                </w:p>
              </w:tc>
              <w:tc>
                <w:tcPr>
                  <w:tcW w:w="869" w:type="pct"/>
                  <w:tcBorders>
                    <w:tl2br w:val="nil"/>
                    <w:tr2bl w:val="nil"/>
                  </w:tcBorders>
                  <w:vAlign w:val="center"/>
                </w:tcPr>
                <w:p>
                  <w:pPr>
                    <w:pStyle w:val="56"/>
                    <w:keepNext w:val="0"/>
                    <w:keepLines w:val="0"/>
                    <w:pageBreakBefore w:val="0"/>
                    <w:widowControl w:val="0"/>
                    <w:shd w:val="clear" w:color="auto" w:fill="auto"/>
                    <w:kinsoku/>
                    <w:wordWrap/>
                    <w:overflowPunct/>
                    <w:topLinePunct w:val="0"/>
                    <w:autoSpaceDE/>
                    <w:autoSpaceDN/>
                    <w:bidi w:val="0"/>
                    <w:snapToGrid/>
                    <w:spacing w:line="240" w:lineRule="auto"/>
                    <w:ind w:left="0" w:leftChars="0" w:right="0" w:rightChars="0" w:firstLine="0" w:firstLineChars="0"/>
                    <w:jc w:val="center"/>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SKLX55-2000_A</w:t>
                  </w:r>
                </w:p>
              </w:tc>
              <w:tc>
                <w:tcPr>
                  <w:tcW w:w="470"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75</w:t>
                  </w:r>
                </w:p>
              </w:tc>
              <w:tc>
                <w:tcPr>
                  <w:tcW w:w="310"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102</w:t>
                  </w:r>
                </w:p>
              </w:tc>
              <w:tc>
                <w:tcPr>
                  <w:tcW w:w="26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167</w:t>
                  </w:r>
                </w:p>
              </w:tc>
              <w:tc>
                <w:tcPr>
                  <w:tcW w:w="184"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1</w:t>
                  </w:r>
                </w:p>
              </w:tc>
              <w:tc>
                <w:tcPr>
                  <w:tcW w:w="223" w:type="pct"/>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42</w:t>
                  </w:r>
                </w:p>
              </w:tc>
              <w:tc>
                <w:tcPr>
                  <w:tcW w:w="44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4"/>
                      <w:highlight w:val="none"/>
                      <w:vertAlign w:val="baseline"/>
                      <w:lang w:val="en-US" w:eastAsia="zh-CN" w:bidi="ar-SA"/>
                      <w14:textFill>
                        <w14:solidFill>
                          <w14:schemeClr w14:val="tx1"/>
                        </w14:solidFill>
                      </w14:textFill>
                    </w:rPr>
                    <w:t>42.5</w:t>
                  </w:r>
                </w:p>
              </w:tc>
              <w:tc>
                <w:tcPr>
                  <w:tcW w:w="218"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p>
              </w:tc>
              <w:tc>
                <w:tcPr>
                  <w:tcW w:w="423" w:type="pc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vertAlign w:val="baseline"/>
                      <w:lang w:val="en-US" w:eastAsia="zh-CN" w:bidi="ar-SA"/>
                      <w14:textFill>
                        <w14:solidFill>
                          <w14:schemeClr w14:val="tx1"/>
                        </w14:solidFill>
                      </w14:textFill>
                    </w:rPr>
                  </w:pPr>
                  <w:r>
                    <w:rPr>
                      <w:rFonts w:hint="eastAsia" w:cs="Times New Roman"/>
                      <w:color w:val="000000" w:themeColor="text1"/>
                      <w:sz w:val="21"/>
                      <w:highlight w:val="none"/>
                      <w:vertAlign w:val="baseline"/>
                      <w:lang w:val="en-US" w:eastAsia="zh-CN"/>
                      <w14:textFill>
                        <w14:solidFill>
                          <w14:schemeClr w14:val="tx1"/>
                        </w14:solidFill>
                      </w14:textFill>
                    </w:rPr>
                    <w:t>15</w:t>
                  </w:r>
                </w:p>
              </w:tc>
              <w:tc>
                <w:tcPr>
                  <w:tcW w:w="44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27.5</w:t>
                  </w:r>
                </w:p>
              </w:tc>
              <w:tc>
                <w:tcPr>
                  <w:tcW w:w="219" w:type="pct"/>
                  <w:vMerge w:val="continue"/>
                  <w:tcBorders>
                    <w:tl2br w:val="nil"/>
                    <w:tr2bl w:val="nil"/>
                  </w:tcBorders>
                  <w:vAlign w:val="center"/>
                </w:tcPr>
                <w:p>
                  <w:pPr>
                    <w:pStyle w:val="50"/>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000000" w:themeColor="text1"/>
                      <w:sz w:val="21"/>
                      <w:highlight w:val="none"/>
                      <w:vertAlign w:val="baseline"/>
                      <w:lang w:val="en-US" w:eastAsia="zh-CN"/>
                      <w14:textFill>
                        <w14:solidFill>
                          <w14:schemeClr w14:val="tx1"/>
                        </w14:solidFill>
                      </w14:textFill>
                    </w:rPr>
                  </w:pPr>
                </w:p>
              </w:tc>
            </w:tr>
          </w:tbl>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（2）采取的主要防治措施：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在保证工艺生产的前提下尽量选择低噪声设备，降低噪声源强，对风机加装消声设备，同时采取必要的减振、隔震措施；噪声源均设置在封闭厂房内，设施设备应加强日常维护和保养，保证设施设备在正常情况下进行生产作业。</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②对车间合理布局，高噪声设备设置单独的隔声间，阻碍噪声传播，减低噪声排放；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③加强管理，建立设备定期维护，保养的管理制度，以防止设备故障形成的非正常生产噪声。</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（3）预测模式</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根据噪声的衰减和叠加</w:t>
            </w:r>
            <w:r>
              <w:rPr>
                <w:color w:val="000000" w:themeColor="text1"/>
                <w:highlight w:val="none"/>
                <w14:textFill>
                  <w14:solidFill>
                    <w14:schemeClr w14:val="tx1"/>
                  </w14:solidFill>
                </w14:textFill>
              </w:rPr>
              <w:t>特征，本评价采用《环境影响评价技术导则</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声环境</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HJ 2.4－2</w:t>
            </w:r>
            <w:r>
              <w:rPr>
                <w:rFonts w:hint="eastAsia"/>
                <w:color w:val="000000" w:themeColor="text1"/>
                <w:highlight w:val="none"/>
                <w:lang w:val="en-US" w:eastAsia="zh-CN"/>
                <w14:textFill>
                  <w14:solidFill>
                    <w14:schemeClr w14:val="tx1"/>
                  </w14:solidFill>
                </w14:textFill>
              </w:rPr>
              <w:t>021）声级预测模式进行预测</w:t>
            </w:r>
            <w:r>
              <w:rPr>
                <w:color w:val="000000" w:themeColor="text1"/>
                <w:highlight w:val="none"/>
                <w14:textFill>
                  <w14:solidFill>
                    <w14:schemeClr w14:val="tx1"/>
                  </w14:solidFill>
                </w14:textFill>
              </w:rPr>
              <w:t>，模式如下：</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①室内声源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厂房内有 </w:t>
            </w:r>
            <w:r>
              <w:rPr>
                <w:rFonts w:hint="default"/>
                <w:color w:val="000000" w:themeColor="text1"/>
                <w:highlight w:val="none"/>
                <w:lang w:val="en-US" w:eastAsia="zh-CN"/>
                <w14:textFill>
                  <w14:solidFill>
                    <w14:schemeClr w14:val="tx1"/>
                  </w14:solidFill>
                </w14:textFill>
              </w:rPr>
              <w:t xml:space="preserve">K </w:t>
            </w:r>
            <w:r>
              <w:rPr>
                <w:rFonts w:hint="eastAsia"/>
                <w:color w:val="000000" w:themeColor="text1"/>
                <w:highlight w:val="none"/>
                <w:lang w:val="en-US" w:eastAsia="zh-CN"/>
                <w14:textFill>
                  <w14:solidFill>
                    <w14:schemeClr w14:val="tx1"/>
                  </w14:solidFill>
                </w14:textFill>
              </w:rPr>
              <w:t xml:space="preserve">个噪声源时，第 </w:t>
            </w:r>
            <w:r>
              <w:rPr>
                <w:rFonts w:hint="default"/>
                <w:color w:val="000000" w:themeColor="text1"/>
                <w:highlight w:val="none"/>
                <w:lang w:val="en-US" w:eastAsia="zh-CN"/>
                <w14:textFill>
                  <w14:solidFill>
                    <w14:schemeClr w14:val="tx1"/>
                  </w14:solidFill>
                </w14:textFill>
              </w:rPr>
              <w:t xml:space="preserve">i </w:t>
            </w:r>
            <w:r>
              <w:rPr>
                <w:rFonts w:hint="eastAsia"/>
                <w:color w:val="000000" w:themeColor="text1"/>
                <w:highlight w:val="none"/>
                <w:lang w:val="en-US" w:eastAsia="zh-CN"/>
                <w14:textFill>
                  <w14:solidFill>
                    <w14:schemeClr w14:val="tx1"/>
                  </w14:solidFill>
                </w14:textFill>
              </w:rPr>
              <w:t xml:space="preserve">个声源在室内靠近围护结构（门、窗、墙体）某点处的 </w:t>
            </w:r>
            <w:r>
              <w:rPr>
                <w:rFonts w:hint="default"/>
                <w:color w:val="000000" w:themeColor="text1"/>
                <w:highlight w:val="none"/>
                <w:lang w:val="en-US" w:eastAsia="zh-CN"/>
                <w14:textFill>
                  <w14:solidFill>
                    <w14:schemeClr w14:val="tx1"/>
                  </w14:solidFill>
                </w14:textFill>
              </w:rPr>
              <w:t xml:space="preserve">A </w:t>
            </w:r>
            <w:r>
              <w:rPr>
                <w:rFonts w:hint="eastAsia"/>
                <w:color w:val="000000" w:themeColor="text1"/>
                <w:highlight w:val="none"/>
                <w:lang w:val="en-US" w:eastAsia="zh-CN"/>
                <w14:textFill>
                  <w14:solidFill>
                    <w14:schemeClr w14:val="tx1"/>
                  </w14:solidFill>
                </w14:textFill>
              </w:rPr>
              <w:t>声级：</w:t>
            </w:r>
          </w:p>
          <w:p>
            <w:pPr>
              <w:pStyle w:val="44"/>
              <w:bidi w:val="0"/>
              <w:rPr>
                <w:color w:val="000000" w:themeColor="text1"/>
                <w:highlight w:val="none"/>
                <w14:textFill>
                  <w14:solidFill>
                    <w14:schemeClr w14:val="tx1"/>
                  </w14:solidFill>
                </w14:textFill>
              </w:rPr>
            </w:pPr>
            <m:oMathPara>
              <m:oMath>
                <m:sSub>
                  <m:sSubPr>
                    <m:ctrlPr>
                      <w:rPr>
                        <w:rFonts w:hint="default" w:ascii="Cambria Math" w:hAnsi="Cambria Math"/>
                        <w:color w:val="000000" w:themeColor="text1"/>
                        <w:highlight w:val="none"/>
                        <w:lang w:val="en-US" w:eastAsia="zh-CN"/>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color w:val="000000" w:themeColor="text1"/>
                        <w:highlight w:val="none"/>
                        <w:lang w:val="en-US" w:eastAsia="zh-CN"/>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p1</m:t>
                    </m:r>
                    <m:ctrlPr>
                      <w:rPr>
                        <w:rFonts w:hint="default" w:ascii="Cambria Math" w:hAnsi="Cambria Math"/>
                        <w:color w:val="000000" w:themeColor="text1"/>
                        <w:highlight w:val="none"/>
                        <w:lang w:val="en-US" w:eastAsia="zh-CN"/>
                        <w14:textFill>
                          <w14:solidFill>
                            <w14:schemeClr w14:val="tx1"/>
                          </w14:solidFill>
                        </w14:textFill>
                      </w:rPr>
                    </m:ctrlPr>
                  </m:sub>
                </m:sSub>
                <m:r>
                  <m:rPr>
                    <m:sty m:val="p"/>
                  </m:rPr>
                  <w:rPr>
                    <w:rFonts w:ascii="Cambria Math" w:hAnsi="Cambria Math"/>
                    <w:color w:val="000000" w:themeColor="text1"/>
                    <w:highlight w:val="none"/>
                    <w14:textFill>
                      <w14:solidFill>
                        <w14:schemeClr w14:val="tx1"/>
                      </w14:solidFill>
                    </w14:textFill>
                  </w:rPr>
                  <m:t>=</m:t>
                </m:r>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w</m:t>
                    </m:r>
                    <m:ctrlPr>
                      <w:rPr>
                        <w:rFonts w:ascii="Cambria Math" w:hAnsi="Cambria Math"/>
                        <w:color w:val="000000" w:themeColor="text1"/>
                        <w:highlight w:val="none"/>
                        <w14:textFill>
                          <w14:solidFill>
                            <w14:schemeClr w14:val="tx1"/>
                          </w14:solidFill>
                        </w14:textFill>
                      </w:rPr>
                    </m:ctrlPr>
                  </m:sub>
                </m:sSub>
                <m:r>
                  <m:rPr>
                    <m:sty m:val="p"/>
                  </m:rPr>
                  <w:rPr>
                    <w:rFonts w:hint="default" w:ascii="Cambria Math" w:hAnsi="Cambria Math"/>
                    <w:color w:val="000000" w:themeColor="text1"/>
                    <w:highlight w:val="none"/>
                    <w:lang w:val="en-US" w:eastAsia="zh-CN"/>
                    <w14:textFill>
                      <w14:solidFill>
                        <w14:schemeClr w14:val="tx1"/>
                      </w14:solidFill>
                    </w14:textFill>
                  </w:rPr>
                  <m:t>+10lg</m:t>
                </m:r>
                <m:d>
                  <m:dPr>
                    <m:ctrlPr>
                      <w:rPr>
                        <w:rFonts w:hint="default" w:ascii="Cambria Math" w:hAnsi="Cambria Math"/>
                        <w:color w:val="000000" w:themeColor="text1"/>
                        <w:highlight w:val="none"/>
                        <w:lang w:val="en-US" w:eastAsia="zh-CN"/>
                        <w14:textFill>
                          <w14:solidFill>
                            <w14:schemeClr w14:val="tx1"/>
                          </w14:solidFill>
                        </w14:textFill>
                      </w:rPr>
                    </m:ctrlPr>
                  </m:dPr>
                  <m:e>
                    <m:f>
                      <m:fPr>
                        <m:ctrlPr>
                          <w:rPr>
                            <w:rFonts w:hint="default" w:ascii="Cambria Math" w:hAnsi="Cambria Math"/>
                            <w:color w:val="000000" w:themeColor="text1"/>
                            <w:highlight w:val="none"/>
                            <w:lang w:val="en-US" w:eastAsia="zh-CN"/>
                            <w14:textFill>
                              <w14:solidFill>
                                <w14:schemeClr w14:val="tx1"/>
                              </w14:solidFill>
                            </w14:textFill>
                          </w:rPr>
                        </m:ctrlPr>
                      </m:fPr>
                      <m:num>
                        <m:r>
                          <m:rPr>
                            <m:sty m:val="p"/>
                          </m:rPr>
                          <w:rPr>
                            <w:rFonts w:hint="default" w:ascii="Cambria Math" w:hAnsi="Cambria Math"/>
                            <w:color w:val="000000" w:themeColor="text1"/>
                            <w:highlight w:val="none"/>
                            <w:lang w:val="en-US" w:eastAsia="zh-CN"/>
                            <w14:textFill>
                              <w14:solidFill>
                                <w14:schemeClr w14:val="tx1"/>
                              </w14:solidFill>
                            </w14:textFill>
                          </w:rPr>
                          <m:t>Q</m:t>
                        </m:r>
                        <m:ctrlPr>
                          <w:rPr>
                            <w:rFonts w:hint="default" w:ascii="Cambria Math" w:hAnsi="Cambria Math"/>
                            <w:color w:val="000000" w:themeColor="text1"/>
                            <w:highlight w:val="none"/>
                            <w:lang w:val="en-US" w:eastAsia="zh-CN"/>
                            <w14:textFill>
                              <w14:solidFill>
                                <w14:schemeClr w14:val="tx1"/>
                              </w14:solidFill>
                            </w14:textFill>
                          </w:rPr>
                        </m:ctrlPr>
                      </m:num>
                      <m:den>
                        <m:r>
                          <m:rPr>
                            <m:sty m:val="p"/>
                          </m:rPr>
                          <w:rPr>
                            <w:rFonts w:hint="default" w:ascii="Cambria Math" w:hAnsi="Cambria Math"/>
                            <w:color w:val="000000" w:themeColor="text1"/>
                            <w:highlight w:val="none"/>
                            <w:lang w:val="en-US" w:eastAsia="zh-CN"/>
                            <w14:textFill>
                              <w14:solidFill>
                                <w14:schemeClr w14:val="tx1"/>
                              </w14:solidFill>
                            </w14:textFill>
                          </w:rPr>
                          <m:t>4</m:t>
                        </m:r>
                        <m:r>
                          <m:rPr>
                            <m:sty m:val="p"/>
                          </m:rPr>
                          <w:rPr>
                            <w:rFonts w:ascii="Cambria Math" w:hAnsi="Cambria Math"/>
                            <w:color w:val="000000" w:themeColor="text1"/>
                            <w:highlight w:val="none"/>
                            <w:lang w:val="en-US"/>
                            <w14:textFill>
                              <w14:solidFill>
                                <w14:schemeClr w14:val="tx1"/>
                              </w14:solidFill>
                            </w14:textFill>
                          </w:rPr>
                          <m:t>π</m:t>
                        </m:r>
                        <m:sSup>
                          <m:sSupPr>
                            <m:ctrlPr>
                              <w:rPr>
                                <w:rFonts w:ascii="Cambria Math" w:hAnsi="Cambria Math"/>
                                <w:color w:val="000000" w:themeColor="text1"/>
                                <w:highlight w:val="none"/>
                                <w:lang w:val="en-US"/>
                                <w14:textFill>
                                  <w14:solidFill>
                                    <w14:schemeClr w14:val="tx1"/>
                                  </w14:solidFill>
                                </w14:textFill>
                              </w:rPr>
                            </m:ctrlPr>
                          </m:sSupPr>
                          <m:e>
                            <m:r>
                              <m:rPr>
                                <m:sty m:val="p"/>
                              </m:rPr>
                              <w:rPr>
                                <w:rFonts w:hint="default" w:ascii="Cambria Math" w:hAnsi="Cambria Math"/>
                                <w:color w:val="000000" w:themeColor="text1"/>
                                <w:highlight w:val="none"/>
                                <w:lang w:val="en-US" w:eastAsia="zh-CN"/>
                                <w14:textFill>
                                  <w14:solidFill>
                                    <w14:schemeClr w14:val="tx1"/>
                                  </w14:solidFill>
                                </w14:textFill>
                              </w:rPr>
                              <m:t>r</m:t>
                            </m:r>
                            <m:ctrlPr>
                              <w:rPr>
                                <w:rFonts w:ascii="Cambria Math" w:hAnsi="Cambria Math"/>
                                <w:color w:val="000000" w:themeColor="text1"/>
                                <w:highlight w:val="none"/>
                                <w:lang w:val="en-US"/>
                                <w14:textFill>
                                  <w14:solidFill>
                                    <w14:schemeClr w14:val="tx1"/>
                                  </w14:solidFill>
                                </w14:textFill>
                              </w:rPr>
                            </m:ctrlPr>
                          </m:e>
                          <m:sup>
                            <m:r>
                              <m:rPr>
                                <m:sty m:val="p"/>
                              </m:rPr>
                              <w:rPr>
                                <w:rFonts w:hint="default" w:ascii="Cambria Math" w:hAnsi="Cambria Math"/>
                                <w:color w:val="000000" w:themeColor="text1"/>
                                <w:highlight w:val="none"/>
                                <w:lang w:val="en-US" w:eastAsia="zh-CN"/>
                                <w14:textFill>
                                  <w14:solidFill>
                                    <w14:schemeClr w14:val="tx1"/>
                                  </w14:solidFill>
                                </w14:textFill>
                              </w:rPr>
                              <m:t>2</m:t>
                            </m:r>
                            <m:ctrlPr>
                              <w:rPr>
                                <w:rFonts w:ascii="Cambria Math" w:hAnsi="Cambria Math"/>
                                <w:color w:val="000000" w:themeColor="text1"/>
                                <w:highlight w:val="none"/>
                                <w:lang w:val="en-US"/>
                                <w14:textFill>
                                  <w14:solidFill>
                                    <w14:schemeClr w14:val="tx1"/>
                                  </w14:solidFill>
                                </w14:textFill>
                              </w:rPr>
                            </m:ctrlPr>
                          </m:sup>
                        </m:sSup>
                        <m:ctrlPr>
                          <w:rPr>
                            <w:rFonts w:hint="default" w:ascii="Cambria Math" w:hAnsi="Cambria Math"/>
                            <w:color w:val="000000" w:themeColor="text1"/>
                            <w:highlight w:val="none"/>
                            <w:lang w:val="en-US" w:eastAsia="zh-CN"/>
                            <w14:textFill>
                              <w14:solidFill>
                                <w14:schemeClr w14:val="tx1"/>
                              </w14:solidFill>
                            </w14:textFill>
                          </w:rPr>
                        </m:ctrlPr>
                      </m:den>
                    </m:f>
                    <m:r>
                      <m:rPr>
                        <m:sty m:val="p"/>
                      </m:rPr>
                      <w:rPr>
                        <w:rFonts w:hint="default" w:ascii="Cambria Math" w:hAnsi="Cambria Math"/>
                        <w:color w:val="000000" w:themeColor="text1"/>
                        <w:highlight w:val="none"/>
                        <w:lang w:val="en-US" w:eastAsia="zh-CN"/>
                        <w14:textFill>
                          <w14:solidFill>
                            <w14:schemeClr w14:val="tx1"/>
                          </w14:solidFill>
                        </w14:textFill>
                      </w:rPr>
                      <m:t>+</m:t>
                    </m:r>
                    <m:f>
                      <m:fPr>
                        <m:ctrlPr>
                          <w:rPr>
                            <w:rFonts w:hint="default" w:ascii="Cambria Math" w:hAnsi="Cambria Math"/>
                            <w:color w:val="000000" w:themeColor="text1"/>
                            <w:highlight w:val="none"/>
                            <w:lang w:val="en-US" w:eastAsia="zh-CN"/>
                            <w14:textFill>
                              <w14:solidFill>
                                <w14:schemeClr w14:val="tx1"/>
                              </w14:solidFill>
                            </w14:textFill>
                          </w:rPr>
                        </m:ctrlPr>
                      </m:fPr>
                      <m:num>
                        <m:r>
                          <m:rPr>
                            <m:sty m:val="p"/>
                          </m:rPr>
                          <w:rPr>
                            <w:rFonts w:hint="default" w:ascii="Cambria Math" w:hAnsi="Cambria Math"/>
                            <w:color w:val="000000" w:themeColor="text1"/>
                            <w:highlight w:val="none"/>
                            <w:lang w:val="en-US" w:eastAsia="zh-CN"/>
                            <w14:textFill>
                              <w14:solidFill>
                                <w14:schemeClr w14:val="tx1"/>
                              </w14:solidFill>
                            </w14:textFill>
                          </w:rPr>
                          <m:t>4</m:t>
                        </m:r>
                        <m:ctrlPr>
                          <w:rPr>
                            <w:rFonts w:hint="default" w:ascii="Cambria Math" w:hAnsi="Cambria Math"/>
                            <w:color w:val="000000" w:themeColor="text1"/>
                            <w:highlight w:val="none"/>
                            <w:lang w:val="en-US" w:eastAsia="zh-CN"/>
                            <w14:textFill>
                              <w14:solidFill>
                                <w14:schemeClr w14:val="tx1"/>
                              </w14:solidFill>
                            </w14:textFill>
                          </w:rPr>
                        </m:ctrlPr>
                      </m:num>
                      <m:den>
                        <m:r>
                          <m:rPr>
                            <m:sty m:val="p"/>
                          </m:rPr>
                          <w:rPr>
                            <w:rFonts w:hint="default" w:ascii="Cambria Math" w:hAnsi="Cambria Math"/>
                            <w:color w:val="000000" w:themeColor="text1"/>
                            <w:highlight w:val="none"/>
                            <w:lang w:val="en-US" w:eastAsia="zh-CN"/>
                            <w14:textFill>
                              <w14:solidFill>
                                <w14:schemeClr w14:val="tx1"/>
                              </w14:solidFill>
                            </w14:textFill>
                          </w:rPr>
                          <m:t>R</m:t>
                        </m:r>
                        <m:ctrlPr>
                          <w:rPr>
                            <w:rFonts w:hint="default" w:ascii="Cambria Math" w:hAnsi="Cambria Math"/>
                            <w:color w:val="000000" w:themeColor="text1"/>
                            <w:highlight w:val="none"/>
                            <w:lang w:val="en-US" w:eastAsia="zh-CN"/>
                            <w14:textFill>
                              <w14:solidFill>
                                <w14:schemeClr w14:val="tx1"/>
                              </w14:solidFill>
                            </w14:textFill>
                          </w:rPr>
                        </m:ctrlPr>
                      </m:den>
                    </m:f>
                    <m:ctrlPr>
                      <w:rPr>
                        <w:rFonts w:hint="default" w:ascii="Cambria Math" w:hAnsi="Cambria Math"/>
                        <w:color w:val="000000" w:themeColor="text1"/>
                        <w:highlight w:val="none"/>
                        <w:lang w:val="en-US" w:eastAsia="zh-CN"/>
                        <w14:textFill>
                          <w14:solidFill>
                            <w14:schemeClr w14:val="tx1"/>
                          </w14:solidFill>
                        </w14:textFill>
                      </w:rPr>
                    </m:ctrlPr>
                  </m:e>
                </m:d>
              </m:oMath>
            </m:oMathPara>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式中：L</w:t>
            </w:r>
            <w:r>
              <w:rPr>
                <w:rFonts w:hint="default"/>
                <w:color w:val="000000" w:themeColor="text1"/>
                <w:highlight w:val="none"/>
                <w:vertAlign w:val="subscript"/>
                <w14:textFill>
                  <w14:solidFill>
                    <w14:schemeClr w14:val="tx1"/>
                  </w14:solidFill>
                </w14:textFill>
              </w:rPr>
              <w:t>p1</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靠近开口处（或窗户）室内某倍频带的声压级或A声级，dB；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Lw</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点声源声功率级（A计权或倍频带），dB；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Q</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指向性因数；通常对无指向性声源，当声源放在房间中心时，Q=1；当放在一面墙的中心时，Q=2；当放在两面墙夹角处时，Q=4；当放在三面墙夹角处时，Q=8；</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R</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房间常数</w:t>
            </w:r>
            <w:r>
              <w:rPr>
                <w:rFonts w:hint="eastAsia"/>
                <w:color w:val="000000" w:themeColor="text1"/>
                <w:highlight w:val="none"/>
                <w:lang w:eastAsia="zh-CN"/>
                <w14:textFill>
                  <w14:solidFill>
                    <w14:schemeClr w14:val="tx1"/>
                  </w14:solidFill>
                </w14:textFill>
              </w:rPr>
              <w:t>；</w:t>
            </w:r>
            <m:oMath>
              <m:r>
                <m:rPr>
                  <m:sty m:val="p"/>
                </m:rPr>
                <w:rPr>
                  <w:rFonts w:hint="default" w:ascii="Cambria Math" w:hAnsi="Cambria Math"/>
                  <w:color w:val="000000" w:themeColor="text1"/>
                  <w:highlight w:val="none"/>
                  <w:lang w:val="en-US" w:eastAsia="zh-CN"/>
                  <w14:textFill>
                    <w14:solidFill>
                      <w14:schemeClr w14:val="tx1"/>
                    </w14:solidFill>
                  </w14:textFill>
                </w:rPr>
                <m:t>R</m:t>
              </m:r>
              <m:r>
                <m:rPr>
                  <m:sty m:val="p"/>
                </m:rPr>
                <w:rPr>
                  <w:rFonts w:ascii="Cambria Math" w:hAnsi="Cambria Math"/>
                  <w:color w:val="000000" w:themeColor="text1"/>
                  <w:highlight w:val="none"/>
                  <w14:textFill>
                    <w14:solidFill>
                      <w14:schemeClr w14:val="tx1"/>
                    </w14:solidFill>
                  </w14:textFill>
                </w:rPr>
                <m:t>=</m:t>
              </m:r>
              <m:r>
                <m:rPr>
                  <m:sty m:val="p"/>
                </m:rPr>
                <w:rPr>
                  <w:rFonts w:hint="default" w:ascii="Cambria Math" w:hAnsi="Cambria Math"/>
                  <w:color w:val="000000" w:themeColor="text1"/>
                  <w:highlight w:val="none"/>
                  <w:lang w:val="en-US" w:eastAsia="zh-CN"/>
                  <w14:textFill>
                    <w14:solidFill>
                      <w14:schemeClr w14:val="tx1"/>
                    </w14:solidFill>
                  </w14:textFill>
                </w:rPr>
                <m:t>Sa/</m:t>
              </m:r>
              <m:d>
                <m:dPr>
                  <m:ctrlPr>
                    <w:rPr>
                      <w:rFonts w:hint="default" w:ascii="Cambria Math" w:hAnsi="Cambria Math"/>
                      <w:color w:val="000000" w:themeColor="text1"/>
                      <w:highlight w:val="none"/>
                      <w:lang w:val="en-US" w:eastAsia="zh-CN"/>
                      <w14:textFill>
                        <w14:solidFill>
                          <w14:schemeClr w14:val="tx1"/>
                        </w14:solidFill>
                      </w14:textFill>
                    </w:rPr>
                  </m:ctrlPr>
                </m:dPr>
                <m:e>
                  <m:r>
                    <m:rPr>
                      <m:sty m:val="p"/>
                    </m:rPr>
                    <w:rPr>
                      <w:rFonts w:hint="default" w:ascii="Cambria Math" w:hAnsi="Cambria Math"/>
                      <w:color w:val="000000" w:themeColor="text1"/>
                      <w:highlight w:val="none"/>
                      <w:lang w:val="en-US" w:eastAsia="zh-CN"/>
                      <w14:textFill>
                        <w14:solidFill>
                          <w14:schemeClr w14:val="tx1"/>
                        </w14:solidFill>
                      </w14:textFill>
                    </w:rPr>
                    <m:t>1−a</m:t>
                  </m:r>
                  <m:ctrlPr>
                    <w:rPr>
                      <w:rFonts w:hint="default" w:ascii="Cambria Math" w:hAnsi="Cambria Math"/>
                      <w:color w:val="000000" w:themeColor="text1"/>
                      <w:highlight w:val="none"/>
                      <w:lang w:val="en-US" w:eastAsia="zh-CN"/>
                      <w14:textFill>
                        <w14:solidFill>
                          <w14:schemeClr w14:val="tx1"/>
                        </w14:solidFill>
                      </w14:textFill>
                    </w:rPr>
                  </m:ctrlPr>
                </m:e>
              </m:d>
            </m:oMath>
            <w:r>
              <w:rPr>
                <w:rFonts w:hint="default"/>
                <w:color w:val="000000" w:themeColor="text1"/>
                <w:highlight w:val="none"/>
                <w14:textFill>
                  <w14:solidFill>
                    <w14:schemeClr w14:val="tx1"/>
                  </w14:solidFill>
                </w14:textFill>
              </w:rPr>
              <w:t>，S为房间内表面面积，m</w:t>
            </w: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14:textFill>
                  <w14:solidFill>
                    <w14:schemeClr w14:val="tx1"/>
                  </w14:solidFill>
                </w14:textFill>
              </w:rPr>
              <w:t>；α为平均吸声系数；</w:t>
            </w:r>
          </w:p>
          <w:p>
            <w:pPr>
              <w:pStyle w:val="44"/>
              <w:bidi w:val="0"/>
              <w:ind w:firstLine="1200" w:firstLineChars="50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r</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声源到靠近围护结构某点处的距离，m。</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然后按下式计算出所有室内声源在围护结构处产生的i倍频带叠加声压级：</w:t>
            </w:r>
          </w:p>
          <w:p>
            <w:pPr>
              <w:pStyle w:val="44"/>
              <w:bidi w:val="0"/>
              <w:rPr>
                <w:rFonts w:hint="default"/>
                <w:color w:val="000000" w:themeColor="text1"/>
                <w:highlight w:val="none"/>
                <w14:textFill>
                  <w14:solidFill>
                    <w14:schemeClr w14:val="tx1"/>
                  </w14:solidFill>
                </w14:textFill>
              </w:rPr>
            </w:pPr>
            <m:oMathPara>
              <m:oMath>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pli</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color w:val="000000" w:themeColor="text1"/>
                        <w:highlight w:val="none"/>
                        <w14:textFill>
                          <w14:solidFill>
                            <w14:schemeClr w14:val="tx1"/>
                          </w14:solidFill>
                        </w14:textFill>
                      </w:rPr>
                    </m:ctrlPr>
                  </m:dPr>
                  <m:e>
                    <m:r>
                      <m:rPr>
                        <m:sty m:val="p"/>
                      </m:rPr>
                      <w:rPr>
                        <w:rFonts w:hint="default" w:ascii="Cambria Math" w:hAnsi="Cambria Math"/>
                        <w:color w:val="000000" w:themeColor="text1"/>
                        <w:highlight w:val="none"/>
                        <w:lang w:val="en-US" w:eastAsia="zh-CN"/>
                        <w14:textFill>
                          <w14:solidFill>
                            <w14:schemeClr w14:val="tx1"/>
                          </w14:solidFill>
                        </w14:textFill>
                      </w:rPr>
                      <m:t>T</m:t>
                    </m:r>
                    <m:ctrlPr>
                      <w:rPr>
                        <w:rFonts w:ascii="Cambria Math" w:hAnsi="Cambria Math"/>
                        <w:color w:val="000000" w:themeColor="text1"/>
                        <w:highlight w:val="none"/>
                        <w14:textFill>
                          <w14:solidFill>
                            <w14:schemeClr w14:val="tx1"/>
                          </w14:solidFill>
                        </w14:textFill>
                      </w:rPr>
                    </m:ctrlPr>
                  </m:e>
                </m:d>
                <m:r>
                  <m:rPr>
                    <m:sty m:val="p"/>
                  </m:rPr>
                  <w:rPr>
                    <w:rFonts w:ascii="Cambria Math" w:hAnsi="Cambria Math"/>
                    <w:color w:val="000000" w:themeColor="text1"/>
                    <w:highlight w:val="none"/>
                    <w14:textFill>
                      <w14:solidFill>
                        <w14:schemeClr w14:val="tx1"/>
                      </w14:solidFill>
                    </w14:textFill>
                  </w:rPr>
                  <m:t>=</m:t>
                </m:r>
                <m:r>
                  <m:rPr>
                    <m:sty m:val="p"/>
                  </m:rPr>
                  <w:rPr>
                    <w:rFonts w:hint="default" w:ascii="Cambria Math" w:hAnsi="Cambria Math"/>
                    <w:color w:val="000000" w:themeColor="text1"/>
                    <w:highlight w:val="none"/>
                    <w:lang w:val="en-US" w:eastAsia="zh-CN"/>
                    <w14:textFill>
                      <w14:solidFill>
                        <w14:schemeClr w14:val="tx1"/>
                      </w14:solidFill>
                    </w14:textFill>
                  </w:rPr>
                  <m:t>10lg</m:t>
                </m:r>
                <m:d>
                  <m:dPr>
                    <m:ctrlPr>
                      <w:rPr>
                        <w:rFonts w:ascii="Cambria Math" w:hAnsi="Cambria Math"/>
                        <w:color w:val="000000" w:themeColor="text1"/>
                        <w:highlight w:val="none"/>
                        <w14:textFill>
                          <w14:solidFill>
                            <w14:schemeClr w14:val="tx1"/>
                          </w14:solidFill>
                        </w14:textFill>
                      </w:rPr>
                    </m:ctrlPr>
                  </m:dPr>
                  <m:e>
                    <m:nary>
                      <m:naryPr>
                        <m:chr m:val="∑"/>
                        <m:grow m:val="1"/>
                        <m:limLoc m:val="undOvr"/>
                        <m:ctrlPr>
                          <w:rPr>
                            <w:rFonts w:ascii="Cambria Math" w:hAnsi="Cambria Math"/>
                            <w:color w:val="000000" w:themeColor="text1"/>
                            <w:highlight w:val="none"/>
                            <w14:textFill>
                              <w14:solidFill>
                                <w14:schemeClr w14:val="tx1"/>
                              </w14:solidFill>
                            </w14:textFill>
                          </w:rPr>
                        </m:ctrlPr>
                      </m:naryPr>
                      <m:sub>
                        <m:r>
                          <m:rPr>
                            <m:sty m:val="p"/>
                          </m:rPr>
                          <w:rPr>
                            <w:rFonts w:hint="default" w:ascii="Cambria Math" w:hAnsi="Cambria Math"/>
                            <w:color w:val="000000" w:themeColor="text1"/>
                            <w:highlight w:val="none"/>
                            <w:lang w:val="en-US" w:eastAsia="zh-CN"/>
                            <w14:textFill>
                              <w14:solidFill>
                                <w14:schemeClr w14:val="tx1"/>
                              </w14:solidFill>
                            </w14:textFill>
                          </w:rPr>
                          <m:t>j</m:t>
                        </m:r>
                        <m:r>
                          <m:rPr>
                            <m:sty m:val="p"/>
                          </m:rPr>
                          <w:rPr>
                            <w:rFonts w:ascii="Cambria Math" w:hAnsi="Cambria Math"/>
                            <w:color w:val="000000" w:themeColor="text1"/>
                            <w:highlight w:val="none"/>
                            <w14:textFill>
                              <w14:solidFill>
                                <w14:schemeClr w14:val="tx1"/>
                              </w14:solidFill>
                            </w14:textFill>
                          </w:rPr>
                          <m:t>=1</m:t>
                        </m:r>
                        <m:ctrlPr>
                          <w:rPr>
                            <w:rFonts w:ascii="Cambria Math" w:hAnsi="Cambria Math"/>
                            <w:color w:val="000000" w:themeColor="text1"/>
                            <w:highlight w:val="none"/>
                            <w14:textFill>
                              <w14:solidFill>
                                <w14:schemeClr w14:val="tx1"/>
                              </w14:solidFill>
                            </w14:textFill>
                          </w:rPr>
                        </m:ctrlPr>
                      </m:sub>
                      <m:sup>
                        <m:r>
                          <m:rPr>
                            <m:sty m:val="p"/>
                          </m:rPr>
                          <w:rPr>
                            <w:rFonts w:hint="default" w:ascii="Cambria Math" w:hAnsi="Cambria Math"/>
                            <w:color w:val="000000" w:themeColor="text1"/>
                            <w:highlight w:val="none"/>
                            <w:lang w:val="en-US" w:eastAsia="zh-CN"/>
                            <w14:textFill>
                              <w14:solidFill>
                                <w14:schemeClr w14:val="tx1"/>
                              </w14:solidFill>
                            </w14:textFill>
                          </w:rPr>
                          <m:t>N</m:t>
                        </m:r>
                        <m:ctrlPr>
                          <w:rPr>
                            <w:rFonts w:ascii="Cambria Math" w:hAnsi="Cambria Math"/>
                            <w:color w:val="000000" w:themeColor="text1"/>
                            <w:highlight w:val="none"/>
                            <w14:textFill>
                              <w14:solidFill>
                                <w14:schemeClr w14:val="tx1"/>
                              </w14:solidFill>
                            </w14:textFill>
                          </w:rPr>
                        </m:ctrlPr>
                      </m:sup>
                      <m:e>
                        <m:sSup>
                          <m:sSupPr>
                            <m:ctrlPr>
                              <w:rPr>
                                <w:rFonts w:hint="default" w:ascii="Cambria Math" w:hAnsi="Cambria Math"/>
                                <w:color w:val="000000" w:themeColor="text1"/>
                                <w:highlight w:val="none"/>
                                <w:lang w:val="en-US" w:eastAsia="zh-CN"/>
                                <w14:textFill>
                                  <w14:solidFill>
                                    <w14:schemeClr w14:val="tx1"/>
                                  </w14:solidFill>
                                </w14:textFill>
                              </w:rPr>
                            </m:ctrlPr>
                          </m:sSupPr>
                          <m:e>
                            <m:r>
                              <m:rPr>
                                <m:sty m:val="p"/>
                              </m:rPr>
                              <w:rPr>
                                <w:rFonts w:hint="default" w:ascii="Cambria Math" w:hAnsi="Cambria Math"/>
                                <w:color w:val="000000" w:themeColor="text1"/>
                                <w:highlight w:val="none"/>
                                <w:lang w:val="en-US" w:eastAsia="zh-CN"/>
                                <w14:textFill>
                                  <w14:solidFill>
                                    <w14:schemeClr w14:val="tx1"/>
                                  </w14:solidFill>
                                </w14:textFill>
                              </w:rPr>
                              <m:t>10</m:t>
                            </m:r>
                            <m:ctrlPr>
                              <w:rPr>
                                <w:rFonts w:hint="default" w:ascii="Cambria Math" w:hAnsi="Cambria Math"/>
                                <w:color w:val="000000" w:themeColor="text1"/>
                                <w:highlight w:val="none"/>
                                <w:lang w:val="en-US" w:eastAsia="zh-CN"/>
                                <w14:textFill>
                                  <w14:solidFill>
                                    <w14:schemeClr w14:val="tx1"/>
                                  </w14:solidFill>
                                </w14:textFill>
                              </w:rPr>
                            </m:ctrlPr>
                          </m:e>
                          <m:sup>
                            <m:r>
                              <m:rPr>
                                <m:sty m:val="p"/>
                              </m:rPr>
                              <w:rPr>
                                <w:rFonts w:hint="default" w:ascii="Cambria Math" w:hAnsi="Cambria Math"/>
                                <w:color w:val="000000" w:themeColor="text1"/>
                                <w:highlight w:val="none"/>
                                <w:lang w:val="en-US" w:eastAsia="zh-CN"/>
                                <w14:textFill>
                                  <w14:solidFill>
                                    <w14:schemeClr w14:val="tx1"/>
                                  </w14:solidFill>
                                </w14:textFill>
                              </w:rPr>
                              <m:t>0.1</m:t>
                            </m:r>
                            <m:sSub>
                              <m:sSubPr>
                                <m:ctrlPr>
                                  <w:rPr>
                                    <w:rFonts w:hint="default" w:ascii="Cambria Math" w:hAnsi="Cambria Math"/>
                                    <w:color w:val="000000" w:themeColor="text1"/>
                                    <w:highlight w:val="none"/>
                                    <w:lang w:val="en-US" w:eastAsia="zh-CN"/>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color w:val="000000" w:themeColor="text1"/>
                                    <w:highlight w:val="none"/>
                                    <w:lang w:val="en-US" w:eastAsia="zh-CN"/>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plij</m:t>
                                </m:r>
                                <m:ctrlPr>
                                  <w:rPr>
                                    <w:rFonts w:hint="default" w:ascii="Cambria Math" w:hAnsi="Cambria Math"/>
                                    <w:color w:val="000000" w:themeColor="text1"/>
                                    <w:highlight w:val="none"/>
                                    <w:lang w:val="en-US" w:eastAsia="zh-CN"/>
                                    <w14:textFill>
                                      <w14:solidFill>
                                        <w14:schemeClr w14:val="tx1"/>
                                      </w14:solidFill>
                                    </w14:textFill>
                                  </w:rPr>
                                </m:ctrlPr>
                              </m:sub>
                            </m:sSub>
                            <m:ctrlPr>
                              <w:rPr>
                                <w:rFonts w:hint="default" w:ascii="Cambria Math" w:hAnsi="Cambria Math"/>
                                <w:color w:val="000000" w:themeColor="text1"/>
                                <w:highlight w:val="none"/>
                                <w:lang w:val="en-US" w:eastAsia="zh-CN"/>
                                <w14:textFill>
                                  <w14:solidFill>
                                    <w14:schemeClr w14:val="tx1"/>
                                  </w14:solidFill>
                                </w14:textFill>
                              </w:rPr>
                            </m:ctrlPr>
                          </m:sup>
                        </m:sSup>
                        <m:ctrlPr>
                          <w:rPr>
                            <w:rFonts w:ascii="Cambria Math" w:hAnsi="Cambria Math"/>
                            <w:color w:val="000000" w:themeColor="text1"/>
                            <w:highlight w:val="none"/>
                            <w14:textFill>
                              <w14:solidFill>
                                <w14:schemeClr w14:val="tx1"/>
                              </w14:solidFill>
                            </w14:textFill>
                          </w:rPr>
                        </m:ctrlPr>
                      </m:e>
                    </m:nary>
                    <m:ctrlPr>
                      <w:rPr>
                        <w:rFonts w:ascii="Cambria Math" w:hAnsi="Cambria Math"/>
                        <w:color w:val="000000" w:themeColor="text1"/>
                        <w:highlight w:val="none"/>
                        <w14:textFill>
                          <w14:solidFill>
                            <w14:schemeClr w14:val="tx1"/>
                          </w14:solidFill>
                        </w14:textFill>
                      </w:rPr>
                    </m:ctrlPr>
                  </m:e>
                </m:d>
              </m:oMath>
            </m:oMathPara>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式中：L</w:t>
            </w:r>
            <w:r>
              <w:rPr>
                <w:rFonts w:hint="default"/>
                <w:color w:val="000000" w:themeColor="text1"/>
                <w:highlight w:val="none"/>
                <w:vertAlign w:val="subscript"/>
                <w14:textFill>
                  <w14:solidFill>
                    <w14:schemeClr w14:val="tx1"/>
                  </w14:solidFill>
                </w14:textFill>
              </w:rPr>
              <w:t>p1i</w:t>
            </w:r>
            <w:r>
              <w:rPr>
                <w:rFonts w:hint="default"/>
                <w:color w:val="000000" w:themeColor="text1"/>
                <w:highlight w:val="none"/>
                <w14:textFill>
                  <w14:solidFill>
                    <w14:schemeClr w14:val="tx1"/>
                  </w14:solidFill>
                </w14:textFill>
              </w:rPr>
              <w:t>(T)</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靠近围护结构处室内N个声源i倍频带的叠加声压级，dB；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L</w:t>
            </w:r>
            <w:r>
              <w:rPr>
                <w:rFonts w:hint="default"/>
                <w:color w:val="000000" w:themeColor="text1"/>
                <w:highlight w:val="none"/>
                <w:vertAlign w:val="subscript"/>
                <w14:textFill>
                  <w14:solidFill>
                    <w14:schemeClr w14:val="tx1"/>
                  </w14:solidFill>
                </w14:textFill>
              </w:rPr>
              <w:t>p1ij</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室内j声源i倍频带的声压级，dB；</w:t>
            </w:r>
          </w:p>
          <w:p>
            <w:pPr>
              <w:pStyle w:val="44"/>
              <w:bidi w:val="0"/>
              <w:ind w:firstLine="1200" w:firstLineChars="500"/>
              <w:rPr>
                <w:rFonts w:hint="default" w:ascii="Times New Roman" w:hAnsi="Times New Roman" w:cs="Times New Roman"/>
                <w:color w:val="000000" w:themeColor="text1"/>
                <w:szCs w:val="24"/>
                <w:highlight w:val="none"/>
                <w:lang w:bidi="ar"/>
                <w14:textFill>
                  <w14:solidFill>
                    <w14:schemeClr w14:val="tx1"/>
                  </w14:solidFill>
                </w14:textFill>
              </w:rPr>
            </w:pPr>
            <w:r>
              <w:rPr>
                <w:rFonts w:hint="default"/>
                <w:color w:val="000000" w:themeColor="text1"/>
                <w:highlight w:val="none"/>
                <w14:textFill>
                  <w14:solidFill>
                    <w14:schemeClr w14:val="tx1"/>
                  </w14:solidFill>
                </w14:textFill>
              </w:rPr>
              <w:t>N</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室内声源总数</w:t>
            </w:r>
            <w:r>
              <w:rPr>
                <w:rFonts w:hint="default" w:ascii="Times New Roman" w:hAnsi="Times New Roman" w:cs="Times New Roman"/>
                <w:color w:val="000000" w:themeColor="text1"/>
                <w:szCs w:val="24"/>
                <w:highlight w:val="none"/>
                <w:lang w:bidi="ar"/>
                <w14:textFill>
                  <w14:solidFill>
                    <w14:schemeClr w14:val="tx1"/>
                  </w14:solidFill>
                </w14:textFill>
              </w:rPr>
              <w:t>。</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在室内近似为扩散声场时，按下式计算出靠近室外围护结构处的声压级：</w:t>
            </w:r>
          </w:p>
          <w:p>
            <w:pPr>
              <w:pStyle w:val="44"/>
              <w:bidi w:val="0"/>
              <w:rPr>
                <w:rFonts w:hint="default"/>
                <w:color w:val="000000" w:themeColor="text1"/>
                <w:highlight w:val="none"/>
                <w14:textFill>
                  <w14:solidFill>
                    <w14:schemeClr w14:val="tx1"/>
                  </w14:solidFill>
                </w14:textFill>
              </w:rPr>
            </w:pPr>
            <m:oMathPara>
              <m:oMath>
                <m:sSub>
                  <m:sSubPr>
                    <m:ctrlPr>
                      <w:rPr>
                        <w:rFonts w:ascii="Cambria Math" w:hAnsi="Cambria Math"/>
                        <w:i/>
                        <w:color w:val="000000" w:themeColor="text1"/>
                        <w:highlight w:val="none"/>
                        <w14:textFill>
                          <w14:solidFill>
                            <w14:schemeClr w14:val="tx1"/>
                          </w14:solidFill>
                        </w14:textFill>
                      </w:rPr>
                    </m:ctrlPr>
                  </m:sSubPr>
                  <m:e>
                    <m:r>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i/>
                        <w:color w:val="000000" w:themeColor="text1"/>
                        <w:highlight w:val="none"/>
                        <w14:textFill>
                          <w14:solidFill>
                            <w14:schemeClr w14:val="tx1"/>
                          </w14:solidFill>
                        </w14:textFill>
                      </w:rPr>
                    </m:ctrlPr>
                  </m:e>
                  <m:sub>
                    <m:r>
                      <m:rPr/>
                      <w:rPr>
                        <w:rFonts w:hint="default" w:ascii="Cambria Math" w:hAnsi="Cambria Math"/>
                        <w:color w:val="000000" w:themeColor="text1"/>
                        <w:highlight w:val="none"/>
                        <w:lang w:val="en-US" w:eastAsia="zh-CN"/>
                        <w14:textFill>
                          <w14:solidFill>
                            <w14:schemeClr w14:val="tx1"/>
                          </w14:solidFill>
                        </w14:textFill>
                      </w:rPr>
                      <m:t>p2i</m:t>
                    </m:r>
                    <m:ctrlPr>
                      <w:rPr>
                        <w:rFonts w:ascii="Cambria Math" w:hAnsi="Cambria Math"/>
                        <w:i/>
                        <w:color w:val="000000" w:themeColor="text1"/>
                        <w:highlight w:val="none"/>
                        <w14:textFill>
                          <w14:solidFill>
                            <w14:schemeClr w14:val="tx1"/>
                          </w14:solidFill>
                        </w14:textFill>
                      </w:rPr>
                    </m:ctrlPr>
                  </m:sub>
                </m:sSub>
                <m:d>
                  <m:dPr>
                    <m:ctrlPr>
                      <w:rPr>
                        <w:rFonts w:ascii="Cambria Math" w:hAnsi="Cambria Math"/>
                        <w:i/>
                        <w:color w:val="000000" w:themeColor="text1"/>
                        <w:highlight w:val="none"/>
                        <w14:textFill>
                          <w14:solidFill>
                            <w14:schemeClr w14:val="tx1"/>
                          </w14:solidFill>
                        </w14:textFill>
                      </w:rPr>
                    </m:ctrlPr>
                  </m:dPr>
                  <m:e>
                    <m:r>
                      <m:rPr/>
                      <w:rPr>
                        <w:rFonts w:hint="default" w:ascii="Cambria Math" w:hAnsi="Cambria Math"/>
                        <w:color w:val="000000" w:themeColor="text1"/>
                        <w:highlight w:val="none"/>
                        <w:lang w:val="en-US" w:eastAsia="zh-CN"/>
                        <w14:textFill>
                          <w14:solidFill>
                            <w14:schemeClr w14:val="tx1"/>
                          </w14:solidFill>
                        </w14:textFill>
                      </w:rPr>
                      <m:t>T</m:t>
                    </m:r>
                    <m:ctrlPr>
                      <w:rPr>
                        <w:rFonts w:ascii="Cambria Math" w:hAnsi="Cambria Math"/>
                        <w:i/>
                        <w:color w:val="000000" w:themeColor="text1"/>
                        <w:highlight w:val="none"/>
                        <w14:textFill>
                          <w14:solidFill>
                            <w14:schemeClr w14:val="tx1"/>
                          </w14:solidFill>
                        </w14:textFill>
                      </w:rPr>
                    </m:ctrlPr>
                  </m:e>
                </m:d>
                <m:r>
                  <m:rPr/>
                  <w:rPr>
                    <w:rFonts w:hint="default" w:ascii="Cambria Math" w:hAnsi="Cambria Math"/>
                    <w:color w:val="000000" w:themeColor="text1"/>
                    <w:highlight w:val="none"/>
                    <w:lang w:val="en-US" w:eastAsia="zh-CN"/>
                    <w14:textFill>
                      <w14:solidFill>
                        <w14:schemeClr w14:val="tx1"/>
                      </w14:solidFill>
                    </w14:textFill>
                  </w:rPr>
                  <m:t>=</m:t>
                </m:r>
                <m:sSub>
                  <m:sSubPr>
                    <m:ctrlPr>
                      <w:rPr>
                        <w:rFonts w:hint="default" w:ascii="Cambria Math" w:hAnsi="Cambria Math"/>
                        <w:i/>
                        <w:color w:val="000000" w:themeColor="text1"/>
                        <w:highlight w:val="none"/>
                        <w:lang w:val="en-US" w:eastAsia="zh-CN"/>
                        <w14:textFill>
                          <w14:solidFill>
                            <w14:schemeClr w14:val="tx1"/>
                          </w14:solidFill>
                        </w14:textFill>
                      </w:rPr>
                    </m:ctrlPr>
                  </m:sSubPr>
                  <m:e>
                    <m:r>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i/>
                        <w:color w:val="000000" w:themeColor="text1"/>
                        <w:highlight w:val="none"/>
                        <w:lang w:val="en-US" w:eastAsia="zh-CN"/>
                        <w14:textFill>
                          <w14:solidFill>
                            <w14:schemeClr w14:val="tx1"/>
                          </w14:solidFill>
                        </w14:textFill>
                      </w:rPr>
                    </m:ctrlPr>
                  </m:e>
                  <m:sub>
                    <m:r>
                      <m:rPr/>
                      <w:rPr>
                        <w:rFonts w:hint="default" w:ascii="Cambria Math" w:hAnsi="Cambria Math"/>
                        <w:color w:val="000000" w:themeColor="text1"/>
                        <w:highlight w:val="none"/>
                        <w:lang w:val="en-US" w:eastAsia="zh-CN"/>
                        <w14:textFill>
                          <w14:solidFill>
                            <w14:schemeClr w14:val="tx1"/>
                          </w14:solidFill>
                        </w14:textFill>
                      </w:rPr>
                      <m:t>pli</m:t>
                    </m:r>
                    <m:ctrlPr>
                      <w:rPr>
                        <w:rFonts w:hint="default" w:ascii="Cambria Math" w:hAnsi="Cambria Math"/>
                        <w:i/>
                        <w:color w:val="000000" w:themeColor="text1"/>
                        <w:highlight w:val="none"/>
                        <w:lang w:val="en-US" w:eastAsia="zh-CN"/>
                        <w14:textFill>
                          <w14:solidFill>
                            <w14:schemeClr w14:val="tx1"/>
                          </w14:solidFill>
                        </w14:textFill>
                      </w:rPr>
                    </m:ctrlPr>
                  </m:sub>
                </m:sSub>
                <m:d>
                  <m:dPr>
                    <m:ctrlPr>
                      <w:rPr>
                        <w:rFonts w:hint="default" w:ascii="Cambria Math" w:hAnsi="Cambria Math"/>
                        <w:i/>
                        <w:color w:val="000000" w:themeColor="text1"/>
                        <w:highlight w:val="none"/>
                        <w:lang w:val="en-US" w:eastAsia="zh-CN"/>
                        <w14:textFill>
                          <w14:solidFill>
                            <w14:schemeClr w14:val="tx1"/>
                          </w14:solidFill>
                        </w14:textFill>
                      </w:rPr>
                    </m:ctrlPr>
                  </m:dPr>
                  <m:e>
                    <m:r>
                      <m:rPr/>
                      <w:rPr>
                        <w:rFonts w:hint="default" w:ascii="Cambria Math" w:hAnsi="Cambria Math"/>
                        <w:color w:val="000000" w:themeColor="text1"/>
                        <w:highlight w:val="none"/>
                        <w:lang w:val="en-US" w:eastAsia="zh-CN"/>
                        <w14:textFill>
                          <w14:solidFill>
                            <w14:schemeClr w14:val="tx1"/>
                          </w14:solidFill>
                        </w14:textFill>
                      </w:rPr>
                      <m:t>T</m:t>
                    </m:r>
                    <m:ctrlPr>
                      <w:rPr>
                        <w:rFonts w:hint="default" w:ascii="Cambria Math" w:hAnsi="Cambria Math"/>
                        <w:i/>
                        <w:color w:val="000000" w:themeColor="text1"/>
                        <w:highlight w:val="none"/>
                        <w:lang w:val="en-US" w:eastAsia="zh-CN"/>
                        <w14:textFill>
                          <w14:solidFill>
                            <w14:schemeClr w14:val="tx1"/>
                          </w14:solidFill>
                        </w14:textFill>
                      </w:rPr>
                    </m:ctrlPr>
                  </m:e>
                </m:d>
                <m:r>
                  <m:rPr/>
                  <w:rPr>
                    <w:rFonts w:hint="default" w:ascii="Cambria Math" w:hAnsi="Cambria Math"/>
                    <w:color w:val="000000" w:themeColor="text1"/>
                    <w:highlight w:val="none"/>
                    <w:lang w:val="en-US" w:eastAsia="zh-CN"/>
                    <w14:textFill>
                      <w14:solidFill>
                        <w14:schemeClr w14:val="tx1"/>
                      </w14:solidFill>
                    </w14:textFill>
                  </w:rPr>
                  <m:t>−</m:t>
                </m:r>
                <m:d>
                  <m:dPr>
                    <m:ctrlPr>
                      <w:rPr>
                        <w:rFonts w:hint="default" w:ascii="Cambria Math" w:hAnsi="Cambria Math"/>
                        <w:i/>
                        <w:color w:val="000000" w:themeColor="text1"/>
                        <w:highlight w:val="none"/>
                        <w:lang w:val="en-US" w:eastAsia="zh-CN"/>
                        <w14:textFill>
                          <w14:solidFill>
                            <w14:schemeClr w14:val="tx1"/>
                          </w14:solidFill>
                        </w14:textFill>
                      </w:rPr>
                    </m:ctrlPr>
                  </m:dPr>
                  <m:e>
                    <m:r>
                      <m:rPr/>
                      <w:rPr>
                        <w:rFonts w:hint="default" w:ascii="Cambria Math" w:hAnsi="Cambria Math"/>
                        <w:color w:val="000000" w:themeColor="text1"/>
                        <w:highlight w:val="none"/>
                        <w:lang w:val="en-US" w:eastAsia="zh-CN"/>
                        <w14:textFill>
                          <w14:solidFill>
                            <w14:schemeClr w14:val="tx1"/>
                          </w14:solidFill>
                        </w14:textFill>
                      </w:rPr>
                      <m:t>T</m:t>
                    </m:r>
                    <m:sSub>
                      <m:sSubPr>
                        <m:ctrlPr>
                          <w:rPr>
                            <w:rFonts w:hint="default" w:ascii="Cambria Math" w:hAnsi="Cambria Math"/>
                            <w:i/>
                            <w:color w:val="000000" w:themeColor="text1"/>
                            <w:highlight w:val="none"/>
                            <w:lang w:val="en-US" w:eastAsia="zh-CN"/>
                            <w14:textFill>
                              <w14:solidFill>
                                <w14:schemeClr w14:val="tx1"/>
                              </w14:solidFill>
                            </w14:textFill>
                          </w:rPr>
                        </m:ctrlPr>
                      </m:sSubPr>
                      <m:e>
                        <m:r>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i/>
                            <w:color w:val="000000" w:themeColor="text1"/>
                            <w:highlight w:val="none"/>
                            <w:lang w:val="en-US" w:eastAsia="zh-CN"/>
                            <w14:textFill>
                              <w14:solidFill>
                                <w14:schemeClr w14:val="tx1"/>
                              </w14:solidFill>
                            </w14:textFill>
                          </w:rPr>
                        </m:ctrlPr>
                      </m:e>
                      <m:sub>
                        <m:r>
                          <m:rPr/>
                          <w:rPr>
                            <w:rFonts w:hint="default" w:ascii="Cambria Math" w:hAnsi="Cambria Math"/>
                            <w:color w:val="000000" w:themeColor="text1"/>
                            <w:highlight w:val="none"/>
                            <w:lang w:val="en-US" w:eastAsia="zh-CN"/>
                            <w14:textFill>
                              <w14:solidFill>
                                <w14:schemeClr w14:val="tx1"/>
                              </w14:solidFill>
                            </w14:textFill>
                          </w:rPr>
                          <m:t>i</m:t>
                        </m:r>
                        <m:ctrlPr>
                          <w:rPr>
                            <w:rFonts w:hint="default" w:ascii="Cambria Math" w:hAnsi="Cambria Math"/>
                            <w:i/>
                            <w:color w:val="000000" w:themeColor="text1"/>
                            <w:highlight w:val="none"/>
                            <w:lang w:val="en-US" w:eastAsia="zh-CN"/>
                            <w14:textFill>
                              <w14:solidFill>
                                <w14:schemeClr w14:val="tx1"/>
                              </w14:solidFill>
                            </w14:textFill>
                          </w:rPr>
                        </m:ctrlPr>
                      </m:sub>
                    </m:sSub>
                    <m:r>
                      <m:rPr/>
                      <w:rPr>
                        <w:rFonts w:hint="default" w:ascii="Cambria Math" w:hAnsi="Cambria Math"/>
                        <w:color w:val="000000" w:themeColor="text1"/>
                        <w:highlight w:val="none"/>
                        <w:lang w:val="en-US" w:eastAsia="zh-CN"/>
                        <w14:textFill>
                          <w14:solidFill>
                            <w14:schemeClr w14:val="tx1"/>
                          </w14:solidFill>
                        </w14:textFill>
                      </w:rPr>
                      <m:t>+6</m:t>
                    </m:r>
                    <m:ctrlPr>
                      <w:rPr>
                        <w:rFonts w:hint="default" w:ascii="Cambria Math" w:hAnsi="Cambria Math"/>
                        <w:i/>
                        <w:color w:val="000000" w:themeColor="text1"/>
                        <w:highlight w:val="none"/>
                        <w:lang w:val="en-US" w:eastAsia="zh-CN"/>
                        <w14:textFill>
                          <w14:solidFill>
                            <w14:schemeClr w14:val="tx1"/>
                          </w14:solidFill>
                        </w14:textFill>
                      </w:rPr>
                    </m:ctrlPr>
                  </m:e>
                </m:d>
              </m:oMath>
            </m:oMathPara>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式中：</w:t>
            </w:r>
            <m:oMath>
              <m:sSub>
                <m:sSubPr>
                  <m:ctrlPr>
                    <w:rPr>
                      <w:rFonts w:ascii="Cambria Math" w:hAnsi="Cambria Math"/>
                      <w:i/>
                      <w:color w:val="000000" w:themeColor="text1"/>
                      <w:highlight w:val="none"/>
                      <w14:textFill>
                        <w14:solidFill>
                          <w14:schemeClr w14:val="tx1"/>
                        </w14:solidFill>
                      </w14:textFill>
                    </w:rPr>
                  </m:ctrlPr>
                </m:sSubPr>
                <m:e>
                  <m:r>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i/>
                      <w:color w:val="000000" w:themeColor="text1"/>
                      <w:highlight w:val="none"/>
                      <w14:textFill>
                        <w14:solidFill>
                          <w14:schemeClr w14:val="tx1"/>
                        </w14:solidFill>
                      </w14:textFill>
                    </w:rPr>
                  </m:ctrlPr>
                </m:e>
                <m:sub>
                  <m:r>
                    <m:rPr/>
                    <w:rPr>
                      <w:rFonts w:hint="default" w:ascii="Cambria Math" w:hAnsi="Cambria Math"/>
                      <w:color w:val="000000" w:themeColor="text1"/>
                      <w:highlight w:val="none"/>
                      <w:lang w:val="en-US" w:eastAsia="zh-CN"/>
                      <w14:textFill>
                        <w14:solidFill>
                          <w14:schemeClr w14:val="tx1"/>
                        </w14:solidFill>
                      </w14:textFill>
                    </w:rPr>
                    <m:t>p2i</m:t>
                  </m:r>
                  <m:ctrlPr>
                    <w:rPr>
                      <w:rFonts w:ascii="Cambria Math" w:hAnsi="Cambria Math"/>
                      <w:i/>
                      <w:color w:val="000000" w:themeColor="text1"/>
                      <w:highlight w:val="none"/>
                      <w14:textFill>
                        <w14:solidFill>
                          <w14:schemeClr w14:val="tx1"/>
                        </w14:solidFill>
                      </w14:textFill>
                    </w:rPr>
                  </m:ctrlPr>
                </m:sub>
              </m:sSub>
              <m:d>
                <m:dPr>
                  <m:ctrlPr>
                    <w:rPr>
                      <w:rFonts w:ascii="Cambria Math" w:hAnsi="Cambria Math"/>
                      <w:i/>
                      <w:color w:val="000000" w:themeColor="text1"/>
                      <w:highlight w:val="none"/>
                      <w14:textFill>
                        <w14:solidFill>
                          <w14:schemeClr w14:val="tx1"/>
                        </w14:solidFill>
                      </w14:textFill>
                    </w:rPr>
                  </m:ctrlPr>
                </m:dPr>
                <m:e>
                  <m:r>
                    <m:rPr/>
                    <w:rPr>
                      <w:rFonts w:hint="default" w:ascii="Cambria Math" w:hAnsi="Cambria Math"/>
                      <w:color w:val="000000" w:themeColor="text1"/>
                      <w:highlight w:val="none"/>
                      <w:lang w:val="en-US" w:eastAsia="zh-CN"/>
                      <w14:textFill>
                        <w14:solidFill>
                          <w14:schemeClr w14:val="tx1"/>
                        </w14:solidFill>
                      </w14:textFill>
                    </w:rPr>
                    <m:t>T</m:t>
                  </m:r>
                  <m:ctrlPr>
                    <w:rPr>
                      <w:rFonts w:ascii="Cambria Math" w:hAnsi="Cambria Math"/>
                      <w:i/>
                      <w:color w:val="000000" w:themeColor="text1"/>
                      <w:highlight w:val="none"/>
                      <w14:textFill>
                        <w14:solidFill>
                          <w14:schemeClr w14:val="tx1"/>
                        </w14:solidFill>
                      </w14:textFill>
                    </w:rPr>
                  </m:ctrlPr>
                </m:e>
              </m:d>
            </m:oMath>
            <w:r>
              <w:rPr>
                <w:rFonts w:hint="eastAsia" w:hAnsi="Cambria Math"/>
                <w:i w:val="0"/>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靠近围护结构处室外N个声源i倍频带的叠加声压级，dB；</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L</w:t>
            </w:r>
            <m:oMath>
              <m:sSub>
                <m:sSubPr>
                  <m:ctrlPr>
                    <w:rPr>
                      <w:rFonts w:hint="default" w:ascii="Cambria Math" w:hAnsi="Cambria Math"/>
                      <w:i/>
                      <w:color w:val="000000" w:themeColor="text1"/>
                      <w:highlight w:val="none"/>
                      <w:lang w:val="en-US" w:eastAsia="zh-CN"/>
                      <w14:textFill>
                        <w14:solidFill>
                          <w14:schemeClr w14:val="tx1"/>
                        </w14:solidFill>
                      </w14:textFill>
                    </w:rPr>
                  </m:ctrlPr>
                </m:sSubPr>
                <m:e>
                  <m:r>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i/>
                      <w:color w:val="000000" w:themeColor="text1"/>
                      <w:highlight w:val="none"/>
                      <w:lang w:val="en-US" w:eastAsia="zh-CN"/>
                      <w14:textFill>
                        <w14:solidFill>
                          <w14:schemeClr w14:val="tx1"/>
                        </w14:solidFill>
                      </w14:textFill>
                    </w:rPr>
                  </m:ctrlPr>
                </m:e>
                <m:sub>
                  <m:r>
                    <m:rPr/>
                    <w:rPr>
                      <w:rFonts w:hint="default" w:ascii="Cambria Math" w:hAnsi="Cambria Math"/>
                      <w:color w:val="000000" w:themeColor="text1"/>
                      <w:highlight w:val="none"/>
                      <w:lang w:val="en-US" w:eastAsia="zh-CN"/>
                      <w14:textFill>
                        <w14:solidFill>
                          <w14:schemeClr w14:val="tx1"/>
                        </w14:solidFill>
                      </w14:textFill>
                    </w:rPr>
                    <m:t>pli</m:t>
                  </m:r>
                  <m:ctrlPr>
                    <w:rPr>
                      <w:rFonts w:hint="default" w:ascii="Cambria Math" w:hAnsi="Cambria Math"/>
                      <w:i/>
                      <w:color w:val="000000" w:themeColor="text1"/>
                      <w:highlight w:val="none"/>
                      <w:lang w:val="en-US" w:eastAsia="zh-CN"/>
                      <w14:textFill>
                        <w14:solidFill>
                          <w14:schemeClr w14:val="tx1"/>
                        </w14:solidFill>
                      </w14:textFill>
                    </w:rPr>
                  </m:ctrlPr>
                </m:sub>
              </m:sSub>
              <m:d>
                <m:dPr>
                  <m:ctrlPr>
                    <w:rPr>
                      <w:rFonts w:hint="default" w:ascii="Cambria Math" w:hAnsi="Cambria Math"/>
                      <w:i/>
                      <w:color w:val="000000" w:themeColor="text1"/>
                      <w:highlight w:val="none"/>
                      <w:lang w:val="en-US" w:eastAsia="zh-CN"/>
                      <w14:textFill>
                        <w14:solidFill>
                          <w14:schemeClr w14:val="tx1"/>
                        </w14:solidFill>
                      </w14:textFill>
                    </w:rPr>
                  </m:ctrlPr>
                </m:dPr>
                <m:e>
                  <m:r>
                    <m:rPr/>
                    <w:rPr>
                      <w:rFonts w:hint="default" w:ascii="Cambria Math" w:hAnsi="Cambria Math"/>
                      <w:color w:val="000000" w:themeColor="text1"/>
                      <w:highlight w:val="none"/>
                      <w:lang w:val="en-US" w:eastAsia="zh-CN"/>
                      <w14:textFill>
                        <w14:solidFill>
                          <w14:schemeClr w14:val="tx1"/>
                        </w14:solidFill>
                      </w14:textFill>
                    </w:rPr>
                    <m:t>T</m:t>
                  </m:r>
                  <m:ctrlPr>
                    <w:rPr>
                      <w:rFonts w:hint="default" w:ascii="Cambria Math" w:hAnsi="Cambria Math"/>
                      <w:i/>
                      <w:color w:val="000000" w:themeColor="text1"/>
                      <w:highlight w:val="none"/>
                      <w:lang w:val="en-US" w:eastAsia="zh-CN"/>
                      <w14:textFill>
                        <w14:solidFill>
                          <w14:schemeClr w14:val="tx1"/>
                        </w14:solidFill>
                      </w14:textFill>
                    </w:rPr>
                  </m:ctrlPr>
                </m:e>
              </m:d>
            </m:oMath>
            <w:r>
              <w:rPr>
                <w:rFonts w:hint="default"/>
                <w:color w:val="000000" w:themeColor="text1"/>
                <w:highlight w:val="none"/>
                <w14:textFill>
                  <w14:solidFill>
                    <w14:schemeClr w14:val="tx1"/>
                  </w14:solidFill>
                </w14:textFill>
              </w:rPr>
              <w:t>—靠近围护结构处室内N个声源i倍频带的叠加声压级，dB；</w:t>
            </w:r>
          </w:p>
          <w:p>
            <w:pPr>
              <w:pStyle w:val="44"/>
              <w:bidi w:val="0"/>
              <w:rPr>
                <w:rFonts w:hint="default"/>
                <w:color w:val="000000" w:themeColor="text1"/>
                <w:highlight w:val="none"/>
                <w14:textFill>
                  <w14:solidFill>
                    <w14:schemeClr w14:val="tx1"/>
                  </w14:solidFill>
                </w14:textFill>
              </w:rPr>
            </w:pPr>
            <m:oMath>
              <m:r>
                <m:rPr>
                  <m:sty m:val="p"/>
                </m:rPr>
                <w:rPr>
                  <w:rFonts w:hint="default" w:ascii="Cambria Math" w:hAnsi="Cambria Math"/>
                  <w:color w:val="000000" w:themeColor="text1"/>
                  <w:highlight w:val="none"/>
                  <w:lang w:val="en-US" w:eastAsia="zh-CN"/>
                  <w14:textFill>
                    <w14:solidFill>
                      <w14:schemeClr w14:val="tx1"/>
                    </w14:solidFill>
                  </w14:textFill>
                </w:rPr>
                <m:t>T</m:t>
              </m:r>
              <m:sSub>
                <m:sSubPr>
                  <m:ctrlPr>
                    <w:rPr>
                      <w:rFonts w:hint="default" w:ascii="Cambria Math" w:hAnsi="Cambria Math"/>
                      <w:color w:val="000000" w:themeColor="text1"/>
                      <w:highlight w:val="none"/>
                      <w:lang w:val="en-US" w:eastAsia="zh-CN"/>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hint="default" w:ascii="Cambria Math" w:hAnsi="Cambria Math"/>
                      <w:color w:val="000000" w:themeColor="text1"/>
                      <w:highlight w:val="none"/>
                      <w:lang w:val="en-US" w:eastAsia="zh-CN"/>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i</m:t>
                  </m:r>
                  <m:ctrlPr>
                    <w:rPr>
                      <w:rFonts w:hint="default" w:ascii="Cambria Math" w:hAnsi="Cambria Math"/>
                      <w:color w:val="000000" w:themeColor="text1"/>
                      <w:highlight w:val="none"/>
                      <w:lang w:val="en-US" w:eastAsia="zh-CN"/>
                      <w14:textFill>
                        <w14:solidFill>
                          <w14:schemeClr w14:val="tx1"/>
                        </w14:solidFill>
                      </w14:textFill>
                    </w:rPr>
                  </m:ctrlPr>
                </m:sub>
              </m:sSub>
            </m:oMath>
            <w:r>
              <w:rPr>
                <w:rFonts w:hint="default"/>
                <w:color w:val="000000" w:themeColor="text1"/>
                <w:highlight w:val="none"/>
                <w14:textFill>
                  <w14:solidFill>
                    <w14:schemeClr w14:val="tx1"/>
                  </w14:solidFill>
                </w14:textFill>
              </w:rPr>
              <w:t>—围护结构i倍频带的隔声量，dB。</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然后按下式将室外声源的声压级和透过面积换算成等效的室外声源，计算出中心位置位于透声面积（S）处的等效声源的倍频带声功率级。</w:t>
            </w:r>
          </w:p>
          <w:p>
            <w:pPr>
              <w:pStyle w:val="44"/>
              <w:bidi w:val="0"/>
              <w:rPr>
                <w:rFonts w:hint="default"/>
                <w:color w:val="000000" w:themeColor="text1"/>
                <w:highlight w:val="none"/>
                <w:lang w:val="en-US" w:eastAsia="zh-CN"/>
                <w14:textFill>
                  <w14:solidFill>
                    <w14:schemeClr w14:val="tx1"/>
                  </w14:solidFill>
                </w14:textFill>
              </w:rPr>
            </w:pPr>
            <m:oMathPara>
              <m:oMath>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w</m:t>
                    </m:r>
                    <m:ctrlPr>
                      <w:rPr>
                        <w:rFonts w:ascii="Cambria Math" w:hAnsi="Cambria Math"/>
                        <w:color w:val="000000" w:themeColor="text1"/>
                        <w:highlight w:val="none"/>
                        <w14:textFill>
                          <w14:solidFill>
                            <w14:schemeClr w14:val="tx1"/>
                          </w14:solidFill>
                        </w14:textFill>
                      </w:rPr>
                    </m:ctrlPr>
                  </m:sub>
                </m:sSub>
                <m:r>
                  <m:rPr>
                    <m:sty m:val="p"/>
                  </m:rPr>
                  <w:rPr>
                    <w:rFonts w:hint="default" w:ascii="Cambria Math" w:hAnsi="Cambria Math"/>
                    <w:color w:val="000000" w:themeColor="text1"/>
                    <w:highlight w:val="none"/>
                    <w:lang w:val="en-US" w:eastAsia="zh-CN"/>
                    <w14:textFill>
                      <w14:solidFill>
                        <w14:schemeClr w14:val="tx1"/>
                      </w14:solidFill>
                    </w14:textFill>
                  </w:rPr>
                  <m:t>=</m:t>
                </m:r>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p2</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color w:val="000000" w:themeColor="text1"/>
                        <w:highlight w:val="none"/>
                        <w14:textFill>
                          <w14:solidFill>
                            <w14:schemeClr w14:val="tx1"/>
                          </w14:solidFill>
                        </w14:textFill>
                      </w:rPr>
                    </m:ctrlPr>
                  </m:dPr>
                  <m:e>
                    <m:r>
                      <m:rPr>
                        <m:sty m:val="p"/>
                      </m:rPr>
                      <w:rPr>
                        <w:rFonts w:hint="default" w:ascii="Cambria Math" w:hAnsi="Cambria Math"/>
                        <w:color w:val="000000" w:themeColor="text1"/>
                        <w:highlight w:val="none"/>
                        <w:lang w:val="en-US" w:eastAsia="zh-CN"/>
                        <w14:textFill>
                          <w14:solidFill>
                            <w14:schemeClr w14:val="tx1"/>
                          </w14:solidFill>
                        </w14:textFill>
                      </w:rPr>
                      <m:t>T</m:t>
                    </m:r>
                    <m:ctrlPr>
                      <w:rPr>
                        <w:rFonts w:ascii="Cambria Math" w:hAnsi="Cambria Math"/>
                        <w:color w:val="000000" w:themeColor="text1"/>
                        <w:highlight w:val="none"/>
                        <w14:textFill>
                          <w14:solidFill>
                            <w14:schemeClr w14:val="tx1"/>
                          </w14:solidFill>
                        </w14:textFill>
                      </w:rPr>
                    </m:ctrlPr>
                  </m:e>
                </m:d>
                <m:r>
                  <m:rPr>
                    <m:sty m:val="p"/>
                  </m:rPr>
                  <w:rPr>
                    <w:rFonts w:hint="default" w:ascii="Cambria Math" w:hAnsi="Cambria Math"/>
                    <w:color w:val="000000" w:themeColor="text1"/>
                    <w:highlight w:val="none"/>
                    <w:lang w:val="en-US" w:eastAsia="zh-CN"/>
                    <w14:textFill>
                      <w14:solidFill>
                        <w14:schemeClr w14:val="tx1"/>
                      </w14:solidFill>
                    </w14:textFill>
                  </w:rPr>
                  <m:t>+10lgS</m:t>
                </m:r>
              </m:oMath>
            </m:oMathPara>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式中：Lw</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中心位置位于透声面积（S）处的等效声源的倍频带声功率级，dB；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L</w:t>
            </w:r>
            <w:r>
              <w:rPr>
                <w:rFonts w:hint="default"/>
                <w:color w:val="000000" w:themeColor="text1"/>
                <w:highlight w:val="none"/>
                <w:vertAlign w:val="subscript"/>
                <w14:textFill>
                  <w14:solidFill>
                    <w14:schemeClr w14:val="tx1"/>
                  </w14:solidFill>
                </w14:textFill>
              </w:rPr>
              <w:t>p2</w:t>
            </w:r>
            <w:r>
              <w:rPr>
                <w:rFonts w:hint="default"/>
                <w:color w:val="000000" w:themeColor="text1"/>
                <w:highlight w:val="none"/>
                <w14:textFill>
                  <w14:solidFill>
                    <w14:schemeClr w14:val="tx1"/>
                  </w14:solidFill>
                </w14:textFill>
              </w:rPr>
              <w:t>(T)</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靠近围护结构处室外声源的声压级，dB；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S</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透声面积，m</w:t>
            </w:r>
            <w:r>
              <w:rPr>
                <w:rFonts w:hint="eastAsia"/>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14:textFill>
                  <w14:solidFill>
                    <w14:schemeClr w14:val="tx1"/>
                  </w14:solidFill>
                </w14:textFill>
              </w:rPr>
              <w:t>。</w:t>
            </w:r>
          </w:p>
          <w:p>
            <w:pPr>
              <w:pStyle w:val="44"/>
              <w:bidi w:val="0"/>
              <w:rPr>
                <w:rFonts w:hint="default" w:ascii="Times New Roman" w:hAnsi="Times New Roman" w:cs="Times New Roman"/>
                <w:color w:val="000000" w:themeColor="text1"/>
                <w:szCs w:val="24"/>
                <w:highlight w:val="none"/>
                <w:lang w:bidi="ar"/>
                <w14:textFill>
                  <w14:solidFill>
                    <w14:schemeClr w14:val="tx1"/>
                  </w14:solidFill>
                </w14:textFill>
              </w:rPr>
            </w:pPr>
            <w:r>
              <w:rPr>
                <w:rFonts w:hint="default"/>
                <w:color w:val="000000" w:themeColor="text1"/>
                <w:highlight w:val="none"/>
                <w14:textFill>
                  <w14:solidFill>
                    <w14:schemeClr w14:val="tx1"/>
                  </w14:solidFill>
                </w14:textFill>
              </w:rPr>
              <w:t>然后按室外声源预测方法</w:t>
            </w:r>
            <w:r>
              <w:rPr>
                <w:rFonts w:hint="default" w:ascii="Times New Roman" w:hAnsi="Times New Roman" w:cs="Times New Roman"/>
                <w:color w:val="000000" w:themeColor="text1"/>
                <w:szCs w:val="24"/>
                <w:highlight w:val="none"/>
                <w:lang w:bidi="ar"/>
                <w14:textFill>
                  <w14:solidFill>
                    <w14:schemeClr w14:val="tx1"/>
                  </w14:solidFill>
                </w14:textFill>
              </w:rPr>
              <w:t>计算预测点处的A声级。</w:t>
            </w:r>
          </w:p>
          <w:p>
            <w:pPr>
              <w:kinsoku/>
              <w:bidi w:val="0"/>
              <w:spacing w:line="360" w:lineRule="auto"/>
              <w:ind w:firstLine="480"/>
              <w:jc w:val="left"/>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②室外声源</w:t>
            </w:r>
          </w:p>
          <w:p>
            <w:pPr>
              <w:kinsoku/>
              <w:bidi w:val="0"/>
              <w:spacing w:line="360" w:lineRule="auto"/>
              <w:ind w:firstLine="480"/>
              <w:jc w:val="left"/>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无指向性点声源几何发散衰减</w:t>
            </w:r>
          </w:p>
          <w:p>
            <w:pPr>
              <w:pStyle w:val="44"/>
              <w:bidi w:val="0"/>
              <w:rPr>
                <w:rFonts w:hint="default"/>
                <w:color w:val="000000" w:themeColor="text1"/>
                <w:highlight w:val="none"/>
                <w:lang w:val="en-US" w:eastAsia="zh-CN"/>
                <w14:textFill>
                  <w14:solidFill>
                    <w14:schemeClr w14:val="tx1"/>
                  </w14:solidFill>
                </w14:textFill>
              </w:rPr>
            </w:pPr>
            <m:oMathPara>
              <m:oMath>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i w:val="0"/>
                        <w:color w:val="000000" w:themeColor="text1"/>
                        <w:highlight w:val="none"/>
                        <w14:textFill>
                          <w14:solidFill>
                            <w14:schemeClr w14:val="tx1"/>
                          </w14:solidFill>
                        </w14:textFill>
                      </w:rPr>
                    </m:ctrlPr>
                  </m:dPr>
                  <m:e>
                    <m:r>
                      <m:rPr>
                        <m:sty m:val="p"/>
                      </m:rPr>
                      <w:rPr>
                        <w:rFonts w:hint="default" w:ascii="Cambria Math" w:hAnsi="Cambria Math"/>
                        <w:color w:val="000000" w:themeColor="text1"/>
                        <w:highlight w:val="none"/>
                        <w:lang w:val="en-US" w:eastAsia="zh-CN"/>
                        <w14:textFill>
                          <w14:solidFill>
                            <w14:schemeClr w14:val="tx1"/>
                          </w14:solidFill>
                        </w14:textFill>
                      </w:rPr>
                      <m:t>r</m:t>
                    </m:r>
                    <m:ctrlPr>
                      <w:rPr>
                        <w:rFonts w:ascii="Cambria Math" w:hAnsi="Cambria Math"/>
                        <w:i w:val="0"/>
                        <w:color w:val="000000" w:themeColor="text1"/>
                        <w:highlight w:val="none"/>
                        <w14:textFill>
                          <w14:solidFill>
                            <w14:schemeClr w14:val="tx1"/>
                          </w14:solidFill>
                        </w14:textFill>
                      </w:rPr>
                    </m:ctrlPr>
                  </m:e>
                </m:d>
                <m:r>
                  <m:rPr>
                    <m:sty m:val="p"/>
                  </m:rPr>
                  <w:rPr>
                    <w:rFonts w:hint="default" w:ascii="Cambria Math" w:hAnsi="Cambria Math"/>
                    <w:color w:val="000000" w:themeColor="text1"/>
                    <w:highlight w:val="none"/>
                    <w:lang w:val="en-US" w:eastAsia="zh-CN"/>
                    <w14:textFill>
                      <w14:solidFill>
                        <w14:schemeClr w14:val="tx1"/>
                      </w14:solidFill>
                    </w14:textFill>
                  </w:rPr>
                  <m:t>=</m:t>
                </m:r>
                <m:sSub>
                  <m:sSubPr>
                    <m:ctrlPr>
                      <w:rPr>
                        <w:rFonts w:ascii="Cambria Math" w:hAnsi="Cambria Math"/>
                        <w:color w:val="000000" w:themeColor="text1"/>
                        <w:highlight w:val="none"/>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p</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color w:val="000000" w:themeColor="text1"/>
                        <w:highlight w:val="none"/>
                        <w14:textFill>
                          <w14:solidFill>
                            <w14:schemeClr w14:val="tx1"/>
                          </w14:solidFill>
                        </w14:textFill>
                      </w:rPr>
                    </m:ctrlPr>
                  </m:dPr>
                  <m:e>
                    <m:sSub>
                      <m:sSubPr>
                        <m:ctrlPr>
                          <w:rPr>
                            <w:rFonts w:hint="default" w:ascii="Cambria Math" w:hAnsi="Cambria Math"/>
                            <w:b w:val="0"/>
                            <w:i w:val="0"/>
                            <w:color w:val="000000" w:themeColor="text1"/>
                            <w:highlight w:val="none"/>
                            <w:lang w:val="en-US" w:eastAsia="zh-CN"/>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r</m:t>
                        </m:r>
                        <m:ctrlPr>
                          <w:rPr>
                            <w:rFonts w:hint="default" w:ascii="Cambria Math" w:hAnsi="Cambria Math"/>
                            <w:b w:val="0"/>
                            <w:i w:val="0"/>
                            <w:color w:val="000000" w:themeColor="text1"/>
                            <w:highlight w:val="none"/>
                            <w:lang w:val="en-US" w:eastAsia="zh-CN"/>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0</m:t>
                        </m:r>
                        <m:ctrlPr>
                          <w:rPr>
                            <w:rFonts w:hint="default" w:ascii="Cambria Math" w:hAnsi="Cambria Math"/>
                            <w:b w:val="0"/>
                            <w:i w:val="0"/>
                            <w:color w:val="000000" w:themeColor="text1"/>
                            <w:highlight w:val="none"/>
                            <w:lang w:val="en-US" w:eastAsia="zh-CN"/>
                            <w14:textFill>
                              <w14:solidFill>
                                <w14:schemeClr w14:val="tx1"/>
                              </w14:solidFill>
                            </w14:textFill>
                          </w:rPr>
                        </m:ctrlPr>
                      </m:sub>
                    </m:sSub>
                    <m:ctrlPr>
                      <w:rPr>
                        <w:rFonts w:ascii="Cambria Math" w:hAnsi="Cambria Math"/>
                        <w:color w:val="000000" w:themeColor="text1"/>
                        <w:highlight w:val="none"/>
                        <w14:textFill>
                          <w14:solidFill>
                            <w14:schemeClr w14:val="tx1"/>
                          </w14:solidFill>
                        </w14:textFill>
                      </w:rPr>
                    </m:ctrlPr>
                  </m:e>
                </m:d>
                <m:r>
                  <m:rPr>
                    <m:sty m:val="p"/>
                  </m:rPr>
                  <w:rPr>
                    <w:rFonts w:hint="default" w:ascii="Cambria Math" w:hAnsi="Cambria Math"/>
                    <w:color w:val="000000" w:themeColor="text1"/>
                    <w:highlight w:val="none"/>
                    <w:lang w:val="en-US" w:eastAsia="zh-CN"/>
                    <w14:textFill>
                      <w14:solidFill>
                        <w14:schemeClr w14:val="tx1"/>
                      </w14:solidFill>
                    </w14:textFill>
                  </w:rPr>
                  <m:t>+20lg</m:t>
                </m:r>
                <m:d>
                  <m:dPr>
                    <m:ctrlPr>
                      <w:rPr>
                        <w:rFonts w:hint="default" w:ascii="Cambria Math" w:hAnsi="Cambria Math"/>
                        <w:b w:val="0"/>
                        <w:i w:val="0"/>
                        <w:color w:val="000000" w:themeColor="text1"/>
                        <w:highlight w:val="none"/>
                        <w:lang w:val="en-US" w:eastAsia="zh-CN"/>
                        <w14:textFill>
                          <w14:solidFill>
                            <w14:schemeClr w14:val="tx1"/>
                          </w14:solidFill>
                        </w14:textFill>
                      </w:rPr>
                    </m:ctrlPr>
                  </m:dPr>
                  <m:e>
                    <m:r>
                      <m:rPr>
                        <m:sty m:val="p"/>
                      </m:rPr>
                      <w:rPr>
                        <w:rFonts w:hint="default" w:ascii="Cambria Math" w:hAnsi="Cambria Math"/>
                        <w:color w:val="000000" w:themeColor="text1"/>
                        <w:highlight w:val="none"/>
                        <w:lang w:val="en-US" w:eastAsia="zh-CN"/>
                        <w14:textFill>
                          <w14:solidFill>
                            <w14:schemeClr w14:val="tx1"/>
                          </w14:solidFill>
                        </w14:textFill>
                      </w:rPr>
                      <m:t>r/</m:t>
                    </m:r>
                    <m:sSub>
                      <m:sSubPr>
                        <m:ctrlPr>
                          <w:rPr>
                            <w:rFonts w:hint="default" w:ascii="Cambria Math" w:hAnsi="Cambria Math"/>
                            <w:b w:val="0"/>
                            <w:i w:val="0"/>
                            <w:color w:val="000000" w:themeColor="text1"/>
                            <w:highlight w:val="none"/>
                            <w:lang w:val="en-US" w:eastAsia="zh-CN"/>
                            <w14:textFill>
                              <w14:solidFill>
                                <w14:schemeClr w14:val="tx1"/>
                              </w14:solidFill>
                            </w14:textFill>
                          </w:rPr>
                        </m:ctrlPr>
                      </m:sSubPr>
                      <m:e>
                        <m:r>
                          <m:rPr>
                            <m:sty m:val="p"/>
                          </m:rPr>
                          <w:rPr>
                            <w:rFonts w:hint="default" w:ascii="Cambria Math" w:hAnsi="Cambria Math"/>
                            <w:color w:val="000000" w:themeColor="text1"/>
                            <w:highlight w:val="none"/>
                            <w:lang w:val="en-US" w:eastAsia="zh-CN"/>
                            <w14:textFill>
                              <w14:solidFill>
                                <w14:schemeClr w14:val="tx1"/>
                              </w14:solidFill>
                            </w14:textFill>
                          </w:rPr>
                          <m:t>r</m:t>
                        </m:r>
                        <m:ctrlPr>
                          <w:rPr>
                            <w:rFonts w:hint="default" w:ascii="Cambria Math" w:hAnsi="Cambria Math"/>
                            <w:b w:val="0"/>
                            <w:i w:val="0"/>
                            <w:color w:val="000000" w:themeColor="text1"/>
                            <w:highlight w:val="none"/>
                            <w:lang w:val="en-US" w:eastAsia="zh-CN"/>
                            <w14:textFill>
                              <w14:solidFill>
                                <w14:schemeClr w14:val="tx1"/>
                              </w14:solidFill>
                            </w14:textFill>
                          </w:rPr>
                        </m:ctrlPr>
                      </m:e>
                      <m:sub>
                        <m:r>
                          <m:rPr>
                            <m:sty m:val="p"/>
                          </m:rPr>
                          <w:rPr>
                            <w:rFonts w:hint="default" w:ascii="Cambria Math" w:hAnsi="Cambria Math"/>
                            <w:color w:val="000000" w:themeColor="text1"/>
                            <w:highlight w:val="none"/>
                            <w:lang w:val="en-US" w:eastAsia="zh-CN"/>
                            <w14:textFill>
                              <w14:solidFill>
                                <w14:schemeClr w14:val="tx1"/>
                              </w14:solidFill>
                            </w14:textFill>
                          </w:rPr>
                          <m:t>0</m:t>
                        </m:r>
                        <m:ctrlPr>
                          <w:rPr>
                            <w:rFonts w:hint="default" w:ascii="Cambria Math" w:hAnsi="Cambria Math"/>
                            <w:b w:val="0"/>
                            <w:i w:val="0"/>
                            <w:color w:val="000000" w:themeColor="text1"/>
                            <w:highlight w:val="none"/>
                            <w:lang w:val="en-US" w:eastAsia="zh-CN"/>
                            <w14:textFill>
                              <w14:solidFill>
                                <w14:schemeClr w14:val="tx1"/>
                              </w14:solidFill>
                            </w14:textFill>
                          </w:rPr>
                        </m:ctrlPr>
                      </m:sub>
                    </m:sSub>
                    <m:ctrlPr>
                      <w:rPr>
                        <w:rFonts w:hint="default" w:ascii="Cambria Math" w:hAnsi="Cambria Math"/>
                        <w:b w:val="0"/>
                        <w:i w:val="0"/>
                        <w:color w:val="000000" w:themeColor="text1"/>
                        <w:highlight w:val="none"/>
                        <w:lang w:val="en-US" w:eastAsia="zh-CN"/>
                        <w14:textFill>
                          <w14:solidFill>
                            <w14:schemeClr w14:val="tx1"/>
                          </w14:solidFill>
                        </w14:textFill>
                      </w:rPr>
                    </m:ctrlPr>
                  </m:e>
                </m:d>
              </m:oMath>
            </m:oMathPara>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式中：L</w:t>
            </w:r>
            <w:r>
              <w:rPr>
                <w:rFonts w:hint="default"/>
                <w:color w:val="000000" w:themeColor="text1"/>
                <w:highlight w:val="none"/>
                <w:vertAlign w:val="subscript"/>
                <w14:textFill>
                  <w14:solidFill>
                    <w14:schemeClr w14:val="tx1"/>
                  </w14:solidFill>
                </w14:textFill>
              </w:rPr>
              <w:t>p</w:t>
            </w:r>
            <w:r>
              <w:rPr>
                <w:rFonts w:hint="default"/>
                <w:color w:val="000000" w:themeColor="text1"/>
                <w:highlight w:val="none"/>
                <w14:textFill>
                  <w14:solidFill>
                    <w14:schemeClr w14:val="tx1"/>
                  </w14:solidFill>
                </w14:textFill>
              </w:rPr>
              <w:t xml:space="preserve">(r) </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预测点处声压级，dB；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L</w:t>
            </w:r>
            <w:r>
              <w:rPr>
                <w:rFonts w:hint="default"/>
                <w:color w:val="000000" w:themeColor="text1"/>
                <w:highlight w:val="none"/>
                <w:vertAlign w:val="subscript"/>
                <w14:textFill>
                  <w14:solidFill>
                    <w14:schemeClr w14:val="tx1"/>
                  </w14:solidFill>
                </w14:textFill>
              </w:rPr>
              <w:t xml:space="preserve">p(r0) </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参考位置r0处的声压级，dB；</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 xml:space="preserve">r </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预测点距声源的距离；</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r</w:t>
            </w:r>
            <w:r>
              <w:rPr>
                <w:rFonts w:hint="default"/>
                <w:color w:val="000000" w:themeColor="text1"/>
                <w:highlight w:val="none"/>
                <w:vertAlign w:val="subscript"/>
                <w14:textFill>
                  <w14:solidFill>
                    <w14:schemeClr w14:val="tx1"/>
                  </w14:solidFill>
                </w14:textFill>
              </w:rPr>
              <w:t>0</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参考位置距声源的距离。</w:t>
            </w:r>
          </w:p>
          <w:p>
            <w:pPr>
              <w:pStyle w:val="44"/>
              <w:bidi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式中第二项表示了点声源的几何发散衰减：</w:t>
            </w:r>
          </w:p>
          <w:p>
            <w:pPr>
              <w:pStyle w:val="44"/>
              <w:bidi w:val="0"/>
              <w:jc w:val="center"/>
              <w:rPr>
                <w:rFonts w:hint="default"/>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position w:val="-12"/>
                <w:szCs w:val="24"/>
                <w:highlight w:val="none"/>
                <w14:textFill>
                  <w14:solidFill>
                    <w14:schemeClr w14:val="tx1"/>
                  </w14:solidFill>
                </w14:textFill>
              </w:rPr>
              <w:object>
                <v:shape id="_x0000_i1029" o:spt="75" type="#_x0000_t75" style="height:19.9pt;width:89.55pt;" o:ole="t" filled="f" o:preferrelative="t" stroked="f" coordsize="21600,21600">
                  <v:path/>
                  <v:fill on="f" focussize="0,0"/>
                  <v:stroke on="f"/>
                  <v:imagedata r:id="rId24" o:title=""/>
                  <o:lock v:ext="edit" aspectratio="t"/>
                  <w10:wrap type="none"/>
                  <w10:anchorlock/>
                </v:shape>
                <o:OLEObject Type="Embed" ProgID="Equation.3" ShapeID="_x0000_i1029" DrawAspect="Content" ObjectID="_1468075729" r:id="rId23">
                  <o:LockedField>false</o:LockedField>
                </o:OLEObject>
              </w:object>
            </w:r>
          </w:p>
          <w:p>
            <w:pPr>
              <w:pStyle w:val="44"/>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式中： Adiv——几何发散引起的A声级衰减量，dB</w:t>
            </w:r>
            <w:r>
              <w:rPr>
                <w:rFonts w:hint="eastAsia"/>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r</w:t>
            </w:r>
            <w:r>
              <w:rPr>
                <w:rFonts w:hint="default"/>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预测点距声源的距离</w:t>
            </w:r>
            <w:r>
              <w:rPr>
                <w:rFonts w:hint="default"/>
                <w:color w:val="000000" w:themeColor="text1"/>
                <w:highlight w:val="none"/>
                <w14:textFill>
                  <w14:solidFill>
                    <w14:schemeClr w14:val="tx1"/>
                  </w14:solidFill>
                </w14:textFill>
              </w:rPr>
              <w:t>，dB；</w:t>
            </w:r>
          </w:p>
          <w:p>
            <w:pPr>
              <w:pStyle w:val="44"/>
              <w:bidi w:val="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r0</w:t>
            </w:r>
            <w:r>
              <w:rPr>
                <w:rFonts w:hint="default"/>
                <w:color w:val="000000" w:themeColor="text1"/>
                <w:highlight w:val="none"/>
                <w14:textFill>
                  <w14:solidFill>
                    <w14:schemeClr w14:val="tx1"/>
                  </w14:solidFill>
                </w14:textFill>
              </w:rPr>
              <w:t>——参考位置</w:t>
            </w:r>
            <w:r>
              <w:rPr>
                <w:rFonts w:hint="eastAsia"/>
                <w:color w:val="000000" w:themeColor="text1"/>
                <w:highlight w:val="none"/>
                <w:lang w:val="en-US" w:eastAsia="zh-CN"/>
                <w14:textFill>
                  <w14:solidFill>
                    <w14:schemeClr w14:val="tx1"/>
                  </w14:solidFill>
                </w14:textFill>
              </w:rPr>
              <w:t>距声源的距离</w:t>
            </w:r>
            <w:r>
              <w:rPr>
                <w:rFonts w:hint="default"/>
                <w:color w:val="000000" w:themeColor="text1"/>
                <w:highlight w:val="none"/>
                <w14:textFill>
                  <w14:solidFill>
                    <w14:schemeClr w14:val="tx1"/>
                  </w14:solidFill>
                </w14:textFill>
              </w:rPr>
              <w:t>，dB；</w:t>
            </w:r>
          </w:p>
          <w:p>
            <w:pPr>
              <w:pStyle w:val="44"/>
              <w:bidi w:val="0"/>
              <w:rPr>
                <w:rFonts w:hint="default"/>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③</w:t>
            </w:r>
            <w:r>
              <w:rPr>
                <w:rFonts w:hint="default"/>
                <w:color w:val="000000" w:themeColor="text1"/>
                <w:highlight w:val="none"/>
                <w14:textFill>
                  <w14:solidFill>
                    <w14:schemeClr w14:val="tx1"/>
                  </w14:solidFill>
                </w14:textFill>
              </w:rPr>
              <w:t>总声级的计算</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设第i个室外声源在预测点产生的A声级为L</w:t>
            </w:r>
            <w:r>
              <w:rPr>
                <w:rFonts w:hint="default"/>
                <w:color w:val="000000" w:themeColor="text1"/>
                <w:highlight w:val="none"/>
                <w:vertAlign w:val="subscript"/>
                <w14:textFill>
                  <w14:solidFill>
                    <w14:schemeClr w14:val="tx1"/>
                  </w14:solidFill>
                </w14:textFill>
              </w:rPr>
              <w:t>Ain,i</w:t>
            </w:r>
            <w:r>
              <w:rPr>
                <w:rFonts w:hint="default"/>
                <w:color w:val="000000" w:themeColor="text1"/>
                <w:highlight w:val="none"/>
                <w14:textFill>
                  <w14:solidFill>
                    <w14:schemeClr w14:val="tx1"/>
                  </w14:solidFill>
                </w14:textFill>
              </w:rPr>
              <w:t>，在T时间内该声源工作时间为t</w:t>
            </w:r>
            <w:r>
              <w:rPr>
                <w:rFonts w:hint="default"/>
                <w:color w:val="000000" w:themeColor="text1"/>
                <w:highlight w:val="none"/>
                <w:vertAlign w:val="subscript"/>
                <w14:textFill>
                  <w14:solidFill>
                    <w14:schemeClr w14:val="tx1"/>
                  </w14:solidFill>
                </w14:textFill>
              </w:rPr>
              <w:t>in,i</w:t>
            </w:r>
            <w:r>
              <w:rPr>
                <w:rFonts w:hint="default"/>
                <w:color w:val="000000" w:themeColor="text1"/>
                <w:highlight w:val="none"/>
                <w14:textFill>
                  <w14:solidFill>
                    <w14:schemeClr w14:val="tx1"/>
                  </w14:solidFill>
                </w14:textFill>
              </w:rPr>
              <w:t>；设第j个等效室外声源在预测点产生的A声级为L</w:t>
            </w:r>
            <w:r>
              <w:rPr>
                <w:rFonts w:hint="default"/>
                <w:color w:val="000000" w:themeColor="text1"/>
                <w:highlight w:val="none"/>
                <w:vertAlign w:val="subscript"/>
                <w14:textFill>
                  <w14:solidFill>
                    <w14:schemeClr w14:val="tx1"/>
                  </w14:solidFill>
                </w14:textFill>
              </w:rPr>
              <w:t>Ajout,j</w:t>
            </w:r>
            <w:r>
              <w:rPr>
                <w:rFonts w:hint="default"/>
                <w:color w:val="000000" w:themeColor="text1"/>
                <w:highlight w:val="none"/>
                <w14:textFill>
                  <w14:solidFill>
                    <w14:schemeClr w14:val="tx1"/>
                  </w14:solidFill>
                </w14:textFill>
              </w:rPr>
              <w:t>，在T时间内该声源工作时间为t</w:t>
            </w:r>
            <w:r>
              <w:rPr>
                <w:rFonts w:hint="default"/>
                <w:color w:val="000000" w:themeColor="text1"/>
                <w:highlight w:val="none"/>
                <w:vertAlign w:val="subscript"/>
                <w14:textFill>
                  <w14:solidFill>
                    <w14:schemeClr w14:val="tx1"/>
                  </w14:solidFill>
                </w14:textFill>
              </w:rPr>
              <w:t>in,j</w:t>
            </w:r>
            <w:r>
              <w:rPr>
                <w:rFonts w:hint="default"/>
                <w:color w:val="000000" w:themeColor="text1"/>
                <w:highlight w:val="none"/>
                <w14:textFill>
                  <w14:solidFill>
                    <w14:schemeClr w14:val="tx1"/>
                  </w14:solidFill>
                </w14:textFill>
              </w:rPr>
              <w:t>，则预测点的总有效声级为：</w:t>
            </w:r>
          </w:p>
          <w:p>
            <w:pPr>
              <w:pStyle w:val="44"/>
              <w:bidi w:val="0"/>
              <w:jc w:val="center"/>
              <w:rPr>
                <w:rFonts w:hint="default"/>
                <w:color w:val="000000" w:themeColor="text1"/>
                <w:highlight w:val="none"/>
                <w:lang w:val="en-US"/>
                <w14:textFill>
                  <w14:solidFill>
                    <w14:schemeClr w14:val="tx1"/>
                  </w14:solidFill>
                </w14:textFill>
              </w:rPr>
            </w:pPr>
            <w:r>
              <w:rPr>
                <w:rFonts w:hint="default" w:ascii="Times New Roman" w:hAnsi="Times New Roman" w:eastAsia="宋体" w:cs="Times New Roman"/>
                <w:color w:val="000000" w:themeColor="text1"/>
                <w:position w:val="-30"/>
                <w:szCs w:val="24"/>
                <w:highlight w:val="none"/>
                <w14:textFill>
                  <w14:solidFill>
                    <w14:schemeClr w14:val="tx1"/>
                  </w14:solidFill>
                </w14:textFill>
              </w:rPr>
              <w:object>
                <v:shape id="_x0000_i1030" o:spt="75" type="#_x0000_t75" style="height:37.5pt;width:209.4pt;" o:ole="t" filled="f" o:preferrelative="t" stroked="f" coordsize="21600,21600">
                  <v:path/>
                  <v:fill on="f" focussize="0,0"/>
                  <v:stroke on="f"/>
                  <v:imagedata r:id="rId26" o:title=""/>
                  <o:lock v:ext="edit" aspectratio="t"/>
                  <w10:wrap type="none"/>
                  <w10:anchorlock/>
                </v:shape>
                <o:OLEObject Type="Embed" ProgID="Equation.3" ShapeID="_x0000_i1030" DrawAspect="Content" ObjectID="_1468075730" r:id="rId25">
                  <o:LockedField>false</o:LockedField>
                </o:OLEObject>
              </w:object>
            </w:r>
          </w:p>
          <w:p>
            <w:pPr>
              <w:pStyle w:val="44"/>
              <w:bidi w:val="0"/>
              <w:rPr>
                <w:rFonts w:hint="eastAsia"/>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式中：</w:t>
            </w: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31" o:spt="75" type="#_x0000_t75" style="height:19pt;width:22pt;" o:ole="t" filled="f" o:preferrelative="t" stroked="f" coordsize="21600,21600">
                  <v:path/>
                  <v:fill on="f" focussize="0,0"/>
                  <v:stroke on="f"/>
                  <v:imagedata r:id="rId28" o:title=""/>
                  <o:lock v:ext="edit" aspectratio="t"/>
                  <w10:wrap type="none"/>
                  <w10:anchorlock/>
                </v:shape>
                <o:OLEObject Type="Embed" ProgID="Equation.KSEE3" ShapeID="_x0000_i1031" DrawAspect="Content" ObjectID="_1468075731" r:id="rId27">
                  <o:LockedField>false</o:LockedField>
                </o:OLEObject>
              </w:object>
            </w:r>
            <w:r>
              <w:rPr>
                <w:rFonts w:hint="default"/>
                <w:color w:val="000000" w:themeColor="text1"/>
                <w:highlight w:val="none"/>
                <w14:textFill>
                  <w14:solidFill>
                    <w14:schemeClr w14:val="tx1"/>
                  </w14:solidFill>
                </w14:textFill>
              </w:rPr>
              <w:t>—建设项目声源在预测点产生的噪声贡献值，dB</w:t>
            </w:r>
            <w:r>
              <w:rPr>
                <w:rFonts w:hint="eastAsia"/>
                <w:color w:val="000000" w:themeColor="text1"/>
                <w:highlight w:val="none"/>
                <w:lang w:eastAsia="zh-CN"/>
                <w14:textFill>
                  <w14:solidFill>
                    <w14:schemeClr w14:val="tx1"/>
                  </w14:solidFill>
                </w14:textFill>
              </w:rPr>
              <w:t>；</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T —用于计算等效声级的时间，s； </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N —室外声源个数； </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t</w:t>
            </w:r>
            <w:r>
              <w:rPr>
                <w:rFonts w:hint="eastAsia"/>
                <w:color w:val="000000" w:themeColor="text1"/>
                <w:highlight w:val="none"/>
                <w:vertAlign w:val="subscript"/>
                <w:lang w:val="en-US" w:eastAsia="zh-CN"/>
                <w14:textFill>
                  <w14:solidFill>
                    <w14:schemeClr w14:val="tx1"/>
                  </w14:solidFill>
                </w14:textFill>
              </w:rPr>
              <w:t xml:space="preserve"> </w:t>
            </w:r>
            <w:r>
              <w:rPr>
                <w:rFonts w:hint="default"/>
                <w:color w:val="000000" w:themeColor="text1"/>
                <w:highlight w:val="none"/>
                <w:vertAlign w:val="subscript"/>
                <w:lang w:val="en-US" w:eastAsia="zh-CN"/>
                <w14:textFill>
                  <w14:solidFill>
                    <w14:schemeClr w14:val="tx1"/>
                  </w14:solidFill>
                </w14:textFill>
              </w:rPr>
              <w:t xml:space="preserve">i </w:t>
            </w:r>
            <w:r>
              <w:rPr>
                <w:rFonts w:hint="default"/>
                <w:color w:val="000000" w:themeColor="text1"/>
                <w:highlight w:val="none"/>
                <w:lang w:val="en-US" w:eastAsia="zh-CN"/>
                <w14:textFill>
                  <w14:solidFill>
                    <w14:schemeClr w14:val="tx1"/>
                  </w14:solidFill>
                </w14:textFill>
              </w:rPr>
              <w:t xml:space="preserve">—在T时间内 i 声源工作时间，s； </w:t>
            </w:r>
          </w:p>
          <w:p>
            <w:pPr>
              <w:pStyle w:val="44"/>
              <w:bidi w:val="0"/>
              <w:ind w:firstLine="1200" w:firstLineChars="50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M —等效室外声源个数； </w:t>
            </w:r>
          </w:p>
          <w:p>
            <w:pPr>
              <w:pStyle w:val="44"/>
              <w:bidi w:val="0"/>
              <w:ind w:firstLine="1200" w:firstLineChars="500"/>
              <w:rPr>
                <w:rFonts w:hint="eastAsia" w:eastAsia="宋体"/>
                <w:color w:val="000000" w:themeColor="text1"/>
                <w:highlight w:val="none"/>
                <w:lang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t </w:t>
            </w:r>
            <w:r>
              <w:rPr>
                <w:rFonts w:hint="default"/>
                <w:color w:val="000000" w:themeColor="text1"/>
                <w:highlight w:val="none"/>
                <w:vertAlign w:val="subscript"/>
                <w:lang w:val="en-US" w:eastAsia="zh-CN"/>
                <w14:textFill>
                  <w14:solidFill>
                    <w14:schemeClr w14:val="tx1"/>
                  </w14:solidFill>
                </w14:textFill>
              </w:rPr>
              <w:t>j</w:t>
            </w:r>
            <w:r>
              <w:rPr>
                <w:rFonts w:hint="default"/>
                <w:color w:val="000000" w:themeColor="text1"/>
                <w:highlight w:val="none"/>
                <w:lang w:val="en-US" w:eastAsia="zh-CN"/>
                <w14:textFill>
                  <w14:solidFill>
                    <w14:schemeClr w14:val="tx1"/>
                  </w14:solidFill>
                </w14:textFill>
              </w:rPr>
              <w:t xml:space="preserve"> —在T时间内 j 声源工作时间，s</w:t>
            </w:r>
            <w:r>
              <w:rPr>
                <w:rFonts w:hint="eastAsia"/>
                <w:color w:val="000000" w:themeColor="text1"/>
                <w:highlight w:val="none"/>
                <w:lang w:eastAsia="zh-CN"/>
                <w14:textFill>
                  <w14:solidFill>
                    <w14:schemeClr w14:val="tx1"/>
                  </w14:solidFill>
                </w14:textFill>
              </w:rPr>
              <w:t>。</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（4）预测结果 </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项目建成后的厂界噪声影响贡献值预测结果详见下表。</w:t>
            </w:r>
          </w:p>
          <w:p>
            <w:pPr>
              <w:pStyle w:val="45"/>
              <w:bidi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w:t>
            </w:r>
            <w:r>
              <w:rPr>
                <w:rFonts w:hint="eastAsia"/>
                <w:b/>
                <w:bCs/>
                <w:color w:val="000000" w:themeColor="text1"/>
                <w:highlight w:val="none"/>
                <w14:textFill>
                  <w14:solidFill>
                    <w14:schemeClr w14:val="tx1"/>
                  </w14:solidFill>
                </w14:textFill>
              </w:rPr>
              <w:t>4-</w:t>
            </w:r>
            <w:r>
              <w:rPr>
                <w:rFonts w:hint="eastAsia"/>
                <w:b/>
                <w:bCs/>
                <w:color w:val="000000" w:themeColor="text1"/>
                <w:highlight w:val="none"/>
                <w:lang w:val="en-US" w:eastAsia="zh-CN"/>
                <w14:textFill>
                  <w14:solidFill>
                    <w14:schemeClr w14:val="tx1"/>
                  </w14:solidFill>
                </w14:textFill>
              </w:rPr>
              <w:t>15</w:t>
            </w:r>
            <w:r>
              <w:rPr>
                <w:b/>
                <w:bCs/>
                <w:color w:val="000000" w:themeColor="text1"/>
                <w:highlight w:val="none"/>
                <w14:textFill>
                  <w14:solidFill>
                    <w14:schemeClr w14:val="tx1"/>
                  </w14:solidFill>
                </w14:textFill>
              </w:rPr>
              <w:t>厂界噪声</w:t>
            </w:r>
            <w:r>
              <w:rPr>
                <w:rFonts w:hint="eastAsia"/>
                <w:b/>
                <w:bCs/>
                <w:color w:val="000000" w:themeColor="text1"/>
                <w:highlight w:val="none"/>
                <w:lang w:eastAsia="zh-CN"/>
                <w14:textFill>
                  <w14:solidFill>
                    <w14:schemeClr w14:val="tx1"/>
                  </w14:solidFill>
                </w14:textFill>
              </w:rPr>
              <w:t>预测结果</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260"/>
              <w:gridCol w:w="2107"/>
              <w:gridCol w:w="1363"/>
              <w:gridCol w:w="1211"/>
              <w:gridCol w:w="13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37" w:type="pct"/>
                  <w:vMerge w:val="restar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建筑物名称</w:t>
                  </w:r>
                </w:p>
              </w:tc>
              <w:tc>
                <w:tcPr>
                  <w:tcW w:w="738" w:type="pct"/>
                  <w:vMerge w:val="restar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方位</w:t>
                  </w:r>
                </w:p>
              </w:tc>
              <w:tc>
                <w:tcPr>
                  <w:tcW w:w="1234" w:type="pct"/>
                  <w:vMerge w:val="restar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距离</w:t>
                  </w:r>
                </w:p>
              </w:tc>
              <w:tc>
                <w:tcPr>
                  <w:tcW w:w="798"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厂界贡献值dB（A）</w:t>
                  </w:r>
                </w:p>
              </w:tc>
              <w:tc>
                <w:tcPr>
                  <w:tcW w:w="709"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执行标准值</w:t>
                  </w:r>
                  <w:r>
                    <w:rPr>
                      <w:color w:val="000000" w:themeColor="text1"/>
                      <w:highlight w:val="none"/>
                      <w14:textFill>
                        <w14:solidFill>
                          <w14:schemeClr w14:val="tx1"/>
                        </w14:solidFill>
                      </w14:textFill>
                    </w:rPr>
                    <w:t>dB（A）</w:t>
                  </w:r>
                </w:p>
              </w:tc>
              <w:tc>
                <w:tcPr>
                  <w:tcW w:w="780" w:type="pct"/>
                  <w:vMerge w:val="restar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达标性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73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738"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1234" w:type="pct"/>
                  <w:vMerge w:val="continue"/>
                  <w:tcBorders>
                    <w:tl2br w:val="nil"/>
                    <w:tr2bl w:val="nil"/>
                  </w:tcBorders>
                  <w:noWrap w:val="0"/>
                  <w:vAlign w:val="center"/>
                </w:tcPr>
                <w:p>
                  <w:pPr>
                    <w:pStyle w:val="45"/>
                    <w:bidi w:val="0"/>
                    <w:rPr>
                      <w:rFonts w:hint="default"/>
                      <w:color w:val="000000" w:themeColor="text1"/>
                      <w:highlight w:val="none"/>
                      <w:lang w:eastAsia="zh-CN"/>
                      <w14:textFill>
                        <w14:solidFill>
                          <w14:schemeClr w14:val="tx1"/>
                        </w14:solidFill>
                      </w14:textFill>
                    </w:rPr>
                  </w:pPr>
                </w:p>
              </w:tc>
              <w:tc>
                <w:tcPr>
                  <w:tcW w:w="798"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default"/>
                      <w:color w:val="000000" w:themeColor="text1"/>
                      <w:highlight w:val="none"/>
                      <w:lang w:eastAsia="zh-CN"/>
                      <w14:textFill>
                        <w14:solidFill>
                          <w14:schemeClr w14:val="tx1"/>
                        </w14:solidFill>
                      </w14:textFill>
                    </w:rPr>
                    <w:t>昼间</w:t>
                  </w:r>
                </w:p>
              </w:tc>
              <w:tc>
                <w:tcPr>
                  <w:tcW w:w="709" w:type="pct"/>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昼间</w:t>
                  </w:r>
                </w:p>
              </w:tc>
              <w:tc>
                <w:tcPr>
                  <w:tcW w:w="780" w:type="pct"/>
                  <w:vMerge w:val="continue"/>
                  <w:tcBorders>
                    <w:tl2br w:val="nil"/>
                    <w:tr2bl w:val="nil"/>
                  </w:tcBorders>
                  <w:noWrap w:val="0"/>
                  <w:vAlign w:val="center"/>
                </w:tcPr>
                <w:p>
                  <w:pPr>
                    <w:pStyle w:val="45"/>
                    <w:bidi w:val="0"/>
                    <w:rPr>
                      <w:rFonts w:hint="eastAsia"/>
                      <w:color w:val="000000" w:themeColor="text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737" w:type="pct"/>
                  <w:vMerge w:val="restart"/>
                  <w:tcBorders>
                    <w:tl2br w:val="nil"/>
                    <w:tr2bl w:val="nil"/>
                  </w:tcBorders>
                  <w:noWrap w:val="0"/>
                  <w:vAlign w:val="center"/>
                </w:tcPr>
                <w:p>
                  <w:pPr>
                    <w:pStyle w:val="4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主车间</w:t>
                  </w:r>
                </w:p>
              </w:tc>
              <w:tc>
                <w:tcPr>
                  <w:tcW w:w="73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东</w:t>
                  </w:r>
                </w:p>
              </w:tc>
              <w:tc>
                <w:tcPr>
                  <w:tcW w:w="123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107</w:t>
                  </w:r>
                </w:p>
              </w:tc>
              <w:tc>
                <w:tcPr>
                  <w:tcW w:w="798"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p>
              </w:tc>
              <w:tc>
                <w:tcPr>
                  <w:tcW w:w="70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780"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73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73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南</w:t>
                  </w:r>
                </w:p>
              </w:tc>
              <w:tc>
                <w:tcPr>
                  <w:tcW w:w="123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151</w:t>
                  </w:r>
                </w:p>
              </w:tc>
              <w:tc>
                <w:tcPr>
                  <w:tcW w:w="798"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p>
              </w:tc>
              <w:tc>
                <w:tcPr>
                  <w:tcW w:w="709" w:type="pct"/>
                  <w:tcBorders>
                    <w:tl2br w:val="nil"/>
                    <w:tr2bl w:val="nil"/>
                  </w:tcBorders>
                  <w:noWrap w:val="0"/>
                  <w:vAlign w:val="center"/>
                </w:tcPr>
                <w:p>
                  <w:pPr>
                    <w:bidi w:val="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780"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73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73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西</w:t>
                  </w:r>
                </w:p>
              </w:tc>
              <w:tc>
                <w:tcPr>
                  <w:tcW w:w="123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28</w:t>
                  </w:r>
                </w:p>
              </w:tc>
              <w:tc>
                <w:tcPr>
                  <w:tcW w:w="798"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21.7</w:t>
                  </w:r>
                </w:p>
              </w:tc>
              <w:tc>
                <w:tcPr>
                  <w:tcW w:w="709" w:type="pct"/>
                  <w:tcBorders>
                    <w:tl2br w:val="nil"/>
                    <w:tr2bl w:val="nil"/>
                  </w:tcBorders>
                  <w:noWrap w:val="0"/>
                  <w:vAlign w:val="center"/>
                </w:tcPr>
                <w:p>
                  <w:pPr>
                    <w:bidi w:val="0"/>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780"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37" w:type="pct"/>
                  <w:vMerge w:val="continue"/>
                  <w:tcBorders>
                    <w:tl2br w:val="nil"/>
                    <w:tr2bl w:val="nil"/>
                  </w:tcBorders>
                  <w:noWrap w:val="0"/>
                  <w:vAlign w:val="center"/>
                </w:tcPr>
                <w:p>
                  <w:pPr>
                    <w:pStyle w:val="45"/>
                    <w:bidi w:val="0"/>
                    <w:rPr>
                      <w:color w:val="000000" w:themeColor="text1"/>
                      <w:highlight w:val="none"/>
                      <w14:textFill>
                        <w14:solidFill>
                          <w14:schemeClr w14:val="tx1"/>
                        </w14:solidFill>
                      </w14:textFill>
                    </w:rPr>
                  </w:pPr>
                </w:p>
              </w:tc>
              <w:tc>
                <w:tcPr>
                  <w:tcW w:w="738"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北</w:t>
                  </w:r>
                </w:p>
              </w:tc>
              <w:tc>
                <w:tcPr>
                  <w:tcW w:w="123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w:t>
                  </w:r>
                </w:p>
              </w:tc>
              <w:tc>
                <w:tcPr>
                  <w:tcW w:w="798"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22.7</w:t>
                  </w:r>
                </w:p>
              </w:tc>
              <w:tc>
                <w:tcPr>
                  <w:tcW w:w="709" w:type="pct"/>
                  <w:tcBorders>
                    <w:tl2br w:val="nil"/>
                    <w:tr2bl w:val="nil"/>
                  </w:tcBorders>
                  <w:noWrap w:val="0"/>
                  <w:vAlign w:val="center"/>
                </w:tcPr>
                <w:p>
                  <w:pPr>
                    <w:bidi w:val="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780" w:type="pct"/>
                  <w:tcBorders>
                    <w:tl2br w:val="nil"/>
                    <w:tr2bl w:val="nil"/>
                  </w:tcBorders>
                  <w:noWrap w:val="0"/>
                  <w:vAlign w:val="center"/>
                </w:tcPr>
                <w:p>
                  <w:pPr>
                    <w:pStyle w:val="45"/>
                    <w:bidi w:val="0"/>
                    <w:rPr>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达标</w:t>
                  </w:r>
                </w:p>
              </w:tc>
            </w:tr>
          </w:tbl>
          <w:p>
            <w:pPr>
              <w:pStyle w:val="44"/>
              <w:bidi w:val="0"/>
              <w:ind w:left="0" w:leftChars="0" w:firstLine="480" w:firstLineChars="20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根据上表数据表明，该项目投产后，噪声源产生的噪声通过减振、距离衰减、厂房隔声等措施后厂界东、北、南、西侧满足《工业企业厂界环境噪声排放标准》（GB12348-2008）中3类标准。对周围声环境影响较小。</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）噪声监测计划</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根据《排污单位自行监测技术指南 总则》（</w:t>
            </w:r>
            <w:r>
              <w:rPr>
                <w:rFonts w:hint="default"/>
                <w:color w:val="000000" w:themeColor="text1"/>
                <w:highlight w:val="none"/>
                <w:lang w:val="en-US" w:eastAsia="zh-CN"/>
                <w14:textFill>
                  <w14:solidFill>
                    <w14:schemeClr w14:val="tx1"/>
                  </w14:solidFill>
                </w14:textFill>
              </w:rPr>
              <w:t>HJ819-2017</w:t>
            </w:r>
            <w:r>
              <w:rPr>
                <w:rFonts w:hint="eastAsia"/>
                <w:color w:val="000000" w:themeColor="text1"/>
                <w:highlight w:val="none"/>
                <w:lang w:val="en-US" w:eastAsia="zh-CN"/>
                <w14:textFill>
                  <w14:solidFill>
                    <w14:schemeClr w14:val="tx1"/>
                  </w14:solidFill>
                </w14:textFill>
              </w:rPr>
              <w:t>）及《排污单位自行监测技术指南农副食品加工业》（HJ986-2018），并结合项目污染源分布、污染物性质与排放规律，以及厂区周边环境特征，制定污染源监测计划，噪声监测计划见下表。</w:t>
            </w:r>
          </w:p>
          <w:p>
            <w:pPr>
              <w:pStyle w:val="45"/>
              <w:bidi w:val="0"/>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表4-</w:t>
            </w:r>
            <w:r>
              <w:rPr>
                <w:rFonts w:hint="eastAsia"/>
                <w:b/>
                <w:bCs/>
                <w:color w:val="000000" w:themeColor="text1"/>
                <w:highlight w:val="none"/>
                <w:lang w:val="en-US" w:eastAsia="zh-CN"/>
                <w14:textFill>
                  <w14:solidFill>
                    <w14:schemeClr w14:val="tx1"/>
                  </w14:solidFill>
                </w14:textFill>
              </w:rPr>
              <w:t xml:space="preserve">16  </w:t>
            </w:r>
            <w:r>
              <w:rPr>
                <w:rFonts w:hint="eastAsia"/>
                <w:b/>
                <w:bCs/>
                <w:color w:val="000000" w:themeColor="text1"/>
                <w:highlight w:val="none"/>
                <w14:textFill>
                  <w14:solidFill>
                    <w14:schemeClr w14:val="tx1"/>
                  </w14:solidFill>
                </w14:textFill>
              </w:rPr>
              <w:t>噪声自行监测表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2134"/>
              <w:gridCol w:w="2134"/>
              <w:gridCol w:w="21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类别</w:t>
                  </w:r>
                </w:p>
              </w:tc>
              <w:tc>
                <w:tcPr>
                  <w:tcW w:w="1250" w:type="pct"/>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监测点位</w:t>
                  </w:r>
                </w:p>
              </w:tc>
              <w:tc>
                <w:tcPr>
                  <w:tcW w:w="1250" w:type="pct"/>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监测内容</w:t>
                  </w:r>
                </w:p>
              </w:tc>
              <w:tc>
                <w:tcPr>
                  <w:tcW w:w="1250" w:type="pct"/>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45"/>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噪声</w:t>
                  </w:r>
                </w:p>
              </w:tc>
              <w:tc>
                <w:tcPr>
                  <w:tcW w:w="1250" w:type="pct"/>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厂界</w:t>
                  </w:r>
                  <w:r>
                    <w:rPr>
                      <w:rFonts w:hint="eastAsia"/>
                      <w:color w:val="000000" w:themeColor="text1"/>
                      <w:highlight w:val="none"/>
                      <w:lang w:eastAsia="zh-CN"/>
                      <w14:textFill>
                        <w14:solidFill>
                          <w14:schemeClr w14:val="tx1"/>
                        </w14:solidFill>
                      </w14:textFill>
                    </w:rPr>
                    <w:t>外</w:t>
                  </w:r>
                  <w:r>
                    <w:rPr>
                      <w:rFonts w:hint="eastAsia"/>
                      <w:color w:val="000000" w:themeColor="text1"/>
                      <w:highlight w:val="none"/>
                      <w:lang w:val="en-US" w:eastAsia="zh-CN"/>
                      <w14:textFill>
                        <w14:solidFill>
                          <w14:schemeClr w14:val="tx1"/>
                        </w14:solidFill>
                      </w14:textFill>
                    </w:rPr>
                    <w:t>1m</w:t>
                  </w:r>
                </w:p>
              </w:tc>
              <w:tc>
                <w:tcPr>
                  <w:tcW w:w="1250" w:type="pct"/>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等效A 声级dB（A）</w:t>
                  </w:r>
                </w:p>
              </w:tc>
              <w:tc>
                <w:tcPr>
                  <w:tcW w:w="1250" w:type="pct"/>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1季度/次</w:t>
                  </w:r>
                </w:p>
              </w:tc>
            </w:tr>
          </w:tbl>
          <w:p>
            <w:pPr>
              <w:pStyle w:val="44"/>
              <w:bidi w:val="0"/>
              <w:ind w:left="0" w:leftChars="0" w:firstLine="0" w:firstLineChars="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4.2.4运营期固体废物影响分析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（1）生活垃圾</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项目职工100人，年工作为300天，生活垃圾产生量按</w:t>
            </w:r>
            <w:r>
              <w:rPr>
                <w:rFonts w:hint="default"/>
                <w:color w:val="000000" w:themeColor="text1"/>
                <w:highlight w:val="none"/>
                <w:lang w:val="en-US" w:eastAsia="zh-CN"/>
                <w14:textFill>
                  <w14:solidFill>
                    <w14:schemeClr w14:val="tx1"/>
                  </w14:solidFill>
                </w14:textFill>
              </w:rPr>
              <w:t>0.5kg/</w:t>
            </w:r>
            <w:r>
              <w:rPr>
                <w:rFonts w:hint="eastAsia"/>
                <w:color w:val="000000" w:themeColor="text1"/>
                <w:highlight w:val="none"/>
                <w:lang w:val="en-US" w:eastAsia="zh-CN"/>
                <w14:textFill>
                  <w14:solidFill>
                    <w14:schemeClr w14:val="tx1"/>
                  </w14:solidFill>
                </w14:textFill>
              </w:rPr>
              <w:t>人</w:t>
            </w:r>
            <w:r>
              <w:rPr>
                <w:rFonts w:hint="default"/>
                <w:color w:val="000000" w:themeColor="text1"/>
                <w:highlight w:val="none"/>
                <w:lang w:val="en-US" w:eastAsia="zh-CN"/>
                <w14:textFill>
                  <w14:solidFill>
                    <w14:schemeClr w14:val="tx1"/>
                  </w14:solidFill>
                </w14:textFill>
              </w:rPr>
              <w:t xml:space="preserve">·d </w:t>
            </w:r>
            <w:r>
              <w:rPr>
                <w:rFonts w:hint="eastAsia"/>
                <w:color w:val="000000" w:themeColor="text1"/>
                <w:highlight w:val="none"/>
                <w:lang w:val="en-US" w:eastAsia="zh-CN"/>
                <w14:textFill>
                  <w14:solidFill>
                    <w14:schemeClr w14:val="tx1"/>
                  </w14:solidFill>
                </w14:textFill>
              </w:rPr>
              <w:t>计，则项目生活垃圾产生总量约为15</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》（2024年）可知，废物类别为SW64，废物代码为900-002-S64，生活垃圾委托环卫部门清运处理。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（2）一般工业固废</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①筛分杂质</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本项目初清过程中会产生筛分杂质，主要是绳头、纸片、木屑等，杂质产生量按初清原料量的0.005</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计算，则杂质量约为2.1t/a，集中收集后外售处理。根据《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》（2024年）可知，废物类别为SW59，废物代码为900-099-S59</w:t>
            </w:r>
            <w:r>
              <w:rPr>
                <w:rFonts w:hint="default"/>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②金属杂质</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本项目永磁筒会筛选出原料中掺杂的金属杂质，杂质产生量按产品产量的0.005‰计算，本项目产品产量</w:t>
            </w: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lang w:val="en-US" w:eastAsia="zh-CN"/>
                <w14:textFill>
                  <w14:solidFill>
                    <w14:schemeClr w14:val="tx1"/>
                  </w14:solidFill>
                </w14:textFill>
              </w:rPr>
              <w:t>00000t，则杂质量约为</w:t>
            </w:r>
            <w:r>
              <w:rPr>
                <w:rFonts w:hint="eastAsia"/>
                <w:color w:val="000000" w:themeColor="text1"/>
                <w:highlight w:val="none"/>
                <w:lang w:val="en-US" w:eastAsia="zh-CN"/>
                <w14:textFill>
                  <w14:solidFill>
                    <w14:schemeClr w14:val="tx1"/>
                  </w14:solidFill>
                </w14:textFill>
              </w:rPr>
              <w:t>2.5</w:t>
            </w:r>
            <w:r>
              <w:rPr>
                <w:rFonts w:hint="default"/>
                <w:color w:val="000000" w:themeColor="text1"/>
                <w:highlight w:val="none"/>
                <w:lang w:val="en-US" w:eastAsia="zh-CN"/>
                <w14:textFill>
                  <w14:solidFill>
                    <w14:schemeClr w14:val="tx1"/>
                  </w14:solidFill>
                </w14:textFill>
              </w:rPr>
              <w:t>t/a，集中收集后外售处理。</w:t>
            </w:r>
            <w:r>
              <w:rPr>
                <w:rFonts w:hint="eastAsia"/>
                <w:color w:val="000000" w:themeColor="text1"/>
                <w:highlight w:val="none"/>
                <w:lang w:val="en-US" w:eastAsia="zh-CN"/>
                <w14:textFill>
                  <w14:solidFill>
                    <w14:schemeClr w14:val="tx1"/>
                  </w14:solidFill>
                </w14:textFill>
              </w:rPr>
              <w:t>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》（2024年）可知，废物类别为SW59，废物代码为900-099-S59</w:t>
            </w:r>
            <w:r>
              <w:rPr>
                <w:rFonts w:hint="default"/>
                <w:color w:val="000000" w:themeColor="text1"/>
                <w:highlight w:val="none"/>
                <w:lang w:val="en-US" w:eastAsia="zh-CN"/>
                <w14:textFill>
                  <w14:solidFill>
                    <w14:schemeClr w14:val="tx1"/>
                  </w14:solidFill>
                </w14:textFill>
              </w:rPr>
              <w:t>。</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w:t>
            </w:r>
            <w:r>
              <w:rPr>
                <w:rFonts w:hint="default"/>
                <w:color w:val="000000" w:themeColor="text1"/>
                <w:highlight w:val="none"/>
                <w:lang w:val="en-US" w:eastAsia="zh-CN"/>
                <w14:textFill>
                  <w14:solidFill>
                    <w14:schemeClr w14:val="tx1"/>
                  </w14:solidFill>
                </w14:textFill>
              </w:rPr>
              <w:t>废包装袋</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项目运营过程中原辅材料消耗拆包会产生一定量的废包装，年产生量约为0.</w:t>
            </w: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lang w:val="en-US" w:eastAsia="zh-CN"/>
                <w14:textFill>
                  <w14:solidFill>
                    <w14:schemeClr w14:val="tx1"/>
                  </w14:solidFill>
                </w14:textFill>
              </w:rPr>
              <w:t>t/a，集中收集后外售处理。</w:t>
            </w:r>
            <w:r>
              <w:rPr>
                <w:rFonts w:hint="eastAsia"/>
                <w:color w:val="000000" w:themeColor="text1"/>
                <w:highlight w:val="none"/>
                <w:lang w:val="en-US" w:eastAsia="zh-CN"/>
                <w14:textFill>
                  <w14:solidFill>
                    <w14:schemeClr w14:val="tx1"/>
                  </w14:solidFill>
                </w14:textFill>
              </w:rPr>
              <w:t>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》（2024年）可知，废物类别为SW59，废物代码为900-099-S59</w:t>
            </w:r>
            <w:r>
              <w:rPr>
                <w:rFonts w:hint="default"/>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④废布袋</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脉冲式布袋除尘器</w:t>
            </w:r>
            <w:r>
              <w:rPr>
                <w:rFonts w:hint="default"/>
                <w:color w:val="000000" w:themeColor="text1"/>
                <w:highlight w:val="none"/>
                <w:lang w:val="en-US" w:eastAsia="zh-CN"/>
                <w14:textFill>
                  <w14:solidFill>
                    <w14:schemeClr w14:val="tx1"/>
                  </w14:solidFill>
                </w14:textFill>
              </w:rPr>
              <w:t>内的布袋需要定期更换，根据建设单位提供的材料，废布袋 2 个月更新一次，废布袋产生量约 50t/a。</w:t>
            </w:r>
            <w:r>
              <w:rPr>
                <w:rFonts w:hint="eastAsia"/>
                <w:color w:val="000000" w:themeColor="text1"/>
                <w:highlight w:val="none"/>
                <w:lang w:val="en-US" w:eastAsia="zh-CN"/>
                <w14:textFill>
                  <w14:solidFill>
                    <w14:schemeClr w14:val="tx1"/>
                  </w14:solidFill>
                </w14:textFill>
              </w:rPr>
              <w:t>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》（2024年）可知，废物类别为SW59，废物代码为900-099-S59</w:t>
            </w:r>
            <w:r>
              <w:rPr>
                <w:rFonts w:hint="default"/>
                <w:color w:val="000000" w:themeColor="text1"/>
                <w:highlight w:val="none"/>
                <w:lang w:val="en-US" w:eastAsia="zh-CN"/>
                <w14:textFill>
                  <w14:solidFill>
                    <w14:schemeClr w14:val="tx1"/>
                  </w14:solidFill>
                </w14:textFill>
              </w:rPr>
              <w:t>。废布袋由厂家定期回收更换，厂区内不存储。</w:t>
            </w:r>
          </w:p>
          <w:p>
            <w:pPr>
              <w:pStyle w:val="44"/>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⑤除尘器除尘</w:t>
            </w:r>
            <w:r>
              <w:rPr>
                <w:rFonts w:hint="default"/>
                <w:color w:val="000000" w:themeColor="text1"/>
                <w:highlight w:val="none"/>
                <w:lang w:val="en-US" w:eastAsia="zh-CN"/>
                <w14:textFill>
                  <w14:solidFill>
                    <w14:schemeClr w14:val="tx1"/>
                  </w14:solidFill>
                </w14:textFill>
              </w:rPr>
              <w:t>灰</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生产工艺产生的颗粒物经收集后由除尘器处理，经前文计算，除尘器除尘灰量为</w:t>
            </w:r>
            <w:r>
              <w:rPr>
                <w:rFonts w:hint="eastAsia"/>
                <w:color w:val="000000" w:themeColor="text1"/>
                <w:highlight w:val="none"/>
                <w:lang w:val="en-US" w:eastAsia="zh-CN"/>
                <w14:textFill>
                  <w14:solidFill>
                    <w14:schemeClr w14:val="tx1"/>
                  </w14:solidFill>
                </w14:textFill>
              </w:rPr>
              <w:t>36.61</w:t>
            </w:r>
            <w:r>
              <w:rPr>
                <w:rFonts w:hint="default"/>
                <w:color w:val="000000" w:themeColor="text1"/>
                <w:highlight w:val="none"/>
                <w:lang w:val="en-US" w:eastAsia="zh-CN"/>
                <w14:textFill>
                  <w14:solidFill>
                    <w14:schemeClr w14:val="tx1"/>
                  </w14:solidFill>
                </w14:textFill>
              </w:rPr>
              <w:t>t/a，收集后统一回用于生产。</w:t>
            </w:r>
            <w:r>
              <w:rPr>
                <w:rFonts w:hint="eastAsia"/>
                <w:color w:val="000000" w:themeColor="text1"/>
                <w:highlight w:val="none"/>
                <w:lang w:val="en-US" w:eastAsia="zh-CN"/>
                <w14:textFill>
                  <w14:solidFill>
                    <w14:schemeClr w14:val="tx1"/>
                  </w14:solidFill>
                </w14:textFill>
              </w:rPr>
              <w:t>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》（2024年）可知，废物类别为SW59，废物代码为900-099-S59</w:t>
            </w:r>
            <w:r>
              <w:rPr>
                <w:rFonts w:hint="default"/>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⑥废离子交换树脂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本项目锅炉软化水由离子交换树脂制备，根据企业提供的材料，本项目废离子交换树脂产生量约为0.5t/a。根据《</w:t>
            </w:r>
            <w:r>
              <w:rPr>
                <w:rFonts w:ascii="宋体" w:hAnsi="宋体" w:eastAsia="宋体" w:cs="宋体"/>
                <w:color w:val="000000" w:themeColor="text1"/>
                <w:sz w:val="24"/>
                <w:szCs w:val="24"/>
                <w:highlight w:val="none"/>
                <w14:textFill>
                  <w14:solidFill>
                    <w14:schemeClr w14:val="tx1"/>
                  </w14:solidFill>
                </w14:textFill>
              </w:rPr>
              <w:t>固体废物分类与代码目录</w:t>
            </w:r>
            <w:r>
              <w:rPr>
                <w:rFonts w:hint="eastAsia"/>
                <w:color w:val="000000" w:themeColor="text1"/>
                <w:highlight w:val="none"/>
                <w:lang w:val="en-US" w:eastAsia="zh-CN"/>
                <w14:textFill>
                  <w14:solidFill>
                    <w14:schemeClr w14:val="tx1"/>
                  </w14:solidFill>
                </w14:textFill>
              </w:rPr>
              <w:t>》（2024年）可知，废物类别为SW59，废物代码为900-008-S59</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废离子交换树脂由厂家定期回收更换，厂区内不存储。</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危险废物</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①实验室废液</w:t>
            </w:r>
          </w:p>
          <w:p>
            <w:pPr>
              <w:pStyle w:val="4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本项目化验室进行产品检验过程中会产生化验室废液，废液主要为废酸、废碱等。根据《国家危险废物名录》（</w:t>
            </w:r>
            <w:r>
              <w:rPr>
                <w:rFonts w:hint="default"/>
                <w:color w:val="000000" w:themeColor="text1"/>
                <w:highlight w:val="none"/>
                <w:lang w:val="en-US" w:eastAsia="zh-CN"/>
                <w14:textFill>
                  <w14:solidFill>
                    <w14:schemeClr w14:val="tx1"/>
                  </w14:solidFill>
                </w14:textFill>
              </w:rPr>
              <w:t>2021</w:t>
            </w:r>
            <w:r>
              <w:rPr>
                <w:rFonts w:hint="eastAsia"/>
                <w:color w:val="000000" w:themeColor="text1"/>
                <w:highlight w:val="none"/>
                <w:lang w:val="en-US" w:eastAsia="zh-CN"/>
                <w14:textFill>
                  <w14:solidFill>
                    <w14:schemeClr w14:val="tx1"/>
                  </w14:solidFill>
                </w14:textFill>
              </w:rPr>
              <w:t>年版），化验室废包装物及废液属于“</w:t>
            </w:r>
            <w:r>
              <w:rPr>
                <w:rFonts w:hint="default"/>
                <w:color w:val="000000" w:themeColor="text1"/>
                <w:highlight w:val="none"/>
                <w:lang w:val="en-US" w:eastAsia="zh-CN"/>
                <w14:textFill>
                  <w14:solidFill>
                    <w14:schemeClr w14:val="tx1"/>
                  </w14:solidFill>
                </w14:textFill>
              </w:rPr>
              <w:t>HW49</w:t>
            </w:r>
            <w:r>
              <w:rPr>
                <w:rFonts w:hint="eastAsia"/>
                <w:color w:val="000000" w:themeColor="text1"/>
                <w:highlight w:val="none"/>
                <w:lang w:val="en-US" w:eastAsia="zh-CN"/>
                <w14:textFill>
                  <w14:solidFill>
                    <w14:schemeClr w14:val="tx1"/>
                  </w14:solidFill>
                </w14:textFill>
              </w:rPr>
              <w:t>其他废物”中“非特定行业”中“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危废代码为</w:t>
            </w:r>
            <w:r>
              <w:rPr>
                <w:rFonts w:hint="default"/>
                <w:color w:val="000000" w:themeColor="text1"/>
                <w:highlight w:val="none"/>
                <w:lang w:val="en-US" w:eastAsia="zh-CN"/>
                <w14:textFill>
                  <w14:solidFill>
                    <w14:schemeClr w14:val="tx1"/>
                  </w14:solidFill>
                </w14:textFill>
              </w:rPr>
              <w:t>900-047-49</w:t>
            </w:r>
            <w:r>
              <w:rPr>
                <w:rFonts w:hint="eastAsia"/>
                <w:color w:val="000000" w:themeColor="text1"/>
                <w:highlight w:val="none"/>
                <w:lang w:val="en-US" w:eastAsia="zh-CN"/>
                <w14:textFill>
                  <w14:solidFill>
                    <w14:schemeClr w14:val="tx1"/>
                  </w14:solidFill>
                </w14:textFill>
              </w:rPr>
              <w:t>，危险特性为</w:t>
            </w:r>
            <w:r>
              <w:rPr>
                <w:rFonts w:hint="default"/>
                <w:color w:val="000000" w:themeColor="text1"/>
                <w:highlight w:val="none"/>
                <w:lang w:val="en-US" w:eastAsia="zh-CN"/>
                <w14:textFill>
                  <w14:solidFill>
                    <w14:schemeClr w14:val="tx1"/>
                  </w14:solidFill>
                </w14:textFill>
              </w:rPr>
              <w:t>T</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C</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I</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R</w:t>
            </w:r>
            <w:r>
              <w:rPr>
                <w:rFonts w:hint="eastAsia"/>
                <w:color w:val="000000" w:themeColor="text1"/>
                <w:highlight w:val="none"/>
                <w:lang w:val="en-US" w:eastAsia="zh-CN"/>
                <w14:textFill>
                  <w14:solidFill>
                    <w14:schemeClr w14:val="tx1"/>
                  </w14:solidFill>
                </w14:textFill>
              </w:rPr>
              <w:t>。据企业提供资料，实验废液产生量为0.0035t/d，1.04t/a。化验室废液安全收集后在危险废物贮存点暂存，定期委托有资质单位安全处置。</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②废机油、废液压油、废齿轮油及废油桶</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本项目设备运行、维修中会使用机油</w:t>
            </w:r>
            <w:r>
              <w:rPr>
                <w:rFonts w:hint="eastAsia"/>
                <w:color w:val="000000" w:themeColor="text1"/>
                <w:highlight w:val="none"/>
                <w:lang w:val="en-US" w:eastAsia="zh-CN"/>
                <w14:textFill>
                  <w14:solidFill>
                    <w14:schemeClr w14:val="tx1"/>
                  </w14:solidFill>
                </w14:textFill>
              </w:rPr>
              <w:t>、液压油、齿轮油</w:t>
            </w:r>
            <w:r>
              <w:rPr>
                <w:rFonts w:hint="default"/>
                <w:color w:val="000000" w:themeColor="text1"/>
                <w:highlight w:val="none"/>
                <w:lang w:val="en-US" w:eastAsia="zh-CN"/>
                <w14:textFill>
                  <w14:solidFill>
                    <w14:schemeClr w14:val="tx1"/>
                  </w14:solidFill>
                </w14:textFill>
              </w:rPr>
              <w:t>，会产生废机油</w:t>
            </w:r>
            <w:r>
              <w:rPr>
                <w:rFonts w:hint="eastAsia"/>
                <w:color w:val="000000" w:themeColor="text1"/>
                <w:highlight w:val="none"/>
                <w:lang w:val="en-US" w:eastAsia="zh-CN"/>
                <w14:textFill>
                  <w14:solidFill>
                    <w14:schemeClr w14:val="tx1"/>
                  </w14:solidFill>
                </w14:textFill>
              </w:rPr>
              <w:t>、废液压油、废齿轮油</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根据《国家危险废物名录》（</w:t>
            </w:r>
            <w:r>
              <w:rPr>
                <w:rFonts w:hint="default"/>
                <w:color w:val="000000" w:themeColor="text1"/>
                <w:highlight w:val="none"/>
                <w:lang w:val="en-US" w:eastAsia="zh-CN"/>
                <w14:textFill>
                  <w14:solidFill>
                    <w14:schemeClr w14:val="tx1"/>
                  </w14:solidFill>
                </w14:textFill>
              </w:rPr>
              <w:t>2021</w:t>
            </w:r>
            <w:r>
              <w:rPr>
                <w:rFonts w:hint="eastAsia"/>
                <w:color w:val="000000" w:themeColor="text1"/>
                <w:highlight w:val="none"/>
                <w:lang w:val="en-US" w:eastAsia="zh-CN"/>
                <w14:textFill>
                  <w14:solidFill>
                    <w14:schemeClr w14:val="tx1"/>
                  </w14:solidFill>
                </w14:textFill>
              </w:rPr>
              <w:t>年版），</w:t>
            </w:r>
            <w:r>
              <w:rPr>
                <w:rFonts w:hint="default"/>
                <w:color w:val="000000" w:themeColor="text1"/>
                <w:highlight w:val="none"/>
                <w:lang w:val="en-US" w:eastAsia="zh-CN"/>
                <w14:textFill>
                  <w14:solidFill>
                    <w14:schemeClr w14:val="tx1"/>
                  </w14:solidFill>
                </w14:textFill>
              </w:rPr>
              <w:t>属于“HW08废矿物油与含矿物油废物”中“使用工业齿轮油进行机械设备润滑过程中产生的废润滑油”，废物代码为“900-217-08”，危险特性为T，I。本项目</w:t>
            </w:r>
            <w:r>
              <w:rPr>
                <w:rFonts w:hint="eastAsia"/>
                <w:color w:val="000000" w:themeColor="text1"/>
                <w:highlight w:val="none"/>
                <w:lang w:val="en-US" w:eastAsia="zh-CN"/>
                <w14:textFill>
                  <w14:solidFill>
                    <w14:schemeClr w14:val="tx1"/>
                  </w14:solidFill>
                </w14:textFill>
              </w:rPr>
              <w:t>废机油、废液压油、废齿轮油</w:t>
            </w:r>
            <w:r>
              <w:rPr>
                <w:rFonts w:hint="default"/>
                <w:color w:val="000000" w:themeColor="text1"/>
                <w:highlight w:val="none"/>
                <w:lang w:val="en-US" w:eastAsia="zh-CN"/>
                <w14:textFill>
                  <w14:solidFill>
                    <w14:schemeClr w14:val="tx1"/>
                  </w14:solidFill>
                </w14:textFill>
              </w:rPr>
              <w:t>产生</w:t>
            </w:r>
            <w:r>
              <w:rPr>
                <w:rStyle w:val="63"/>
                <w:rFonts w:hint="default"/>
                <w:color w:val="000000" w:themeColor="text1"/>
                <w:highlight w:val="none"/>
                <w:lang w:val="en-US" w:eastAsia="zh-CN"/>
                <w14:textFill>
                  <w14:solidFill>
                    <w14:schemeClr w14:val="tx1"/>
                  </w14:solidFill>
                </w14:textFill>
              </w:rPr>
              <w:t>量为0.5t/a，</w:t>
            </w:r>
            <w:r>
              <w:rPr>
                <w:rStyle w:val="63"/>
                <w:rFonts w:hint="eastAsia"/>
                <w:color w:val="000000" w:themeColor="text1"/>
                <w:highlight w:val="none"/>
                <w:lang w:val="en-US" w:eastAsia="zh-CN"/>
                <w14:textFill>
                  <w14:solidFill>
                    <w14:schemeClr w14:val="tx1"/>
                  </w14:solidFill>
                </w14:textFill>
              </w:rPr>
              <w:t>由设备厂家统一到厂维修，废机油、废液压油、废齿轮油</w:t>
            </w:r>
            <w:r>
              <w:rPr>
                <w:rStyle w:val="63"/>
                <w:rFonts w:hint="eastAsia"/>
                <w:color w:val="000000" w:themeColor="text1"/>
                <w:highlight w:val="none"/>
                <w14:textFill>
                  <w14:solidFill>
                    <w14:schemeClr w14:val="tx1"/>
                  </w14:solidFill>
                </w14:textFill>
              </w:rPr>
              <w:t>厂家回收带走</w:t>
            </w:r>
            <w:r>
              <w:rPr>
                <w:rStyle w:val="63"/>
                <w:rFonts w:hint="eastAsia"/>
                <w:color w:val="000000" w:themeColor="text1"/>
                <w:highlight w:val="none"/>
                <w:lang w:eastAsia="zh-CN"/>
                <w14:textFill>
                  <w14:solidFill>
                    <w14:schemeClr w14:val="tx1"/>
                  </w14:solidFill>
                </w14:textFill>
              </w:rPr>
              <w:t>，</w:t>
            </w:r>
            <w:r>
              <w:rPr>
                <w:rStyle w:val="63"/>
                <w:rFonts w:hint="eastAsia"/>
                <w:color w:val="000000" w:themeColor="text1"/>
                <w:highlight w:val="none"/>
                <w:lang w:val="en-US" w:eastAsia="zh-CN"/>
                <w14:textFill>
                  <w14:solidFill>
                    <w14:schemeClr w14:val="tx1"/>
                  </w14:solidFill>
                </w14:textFill>
              </w:rPr>
              <w:t>不在厂区内贮存</w:t>
            </w:r>
            <w:r>
              <w:rPr>
                <w:rFonts w:hint="default"/>
                <w:color w:val="000000" w:themeColor="text1"/>
                <w:highlight w:val="none"/>
                <w:lang w:val="en-US" w:eastAsia="zh-CN"/>
                <w14:textFill>
                  <w14:solidFill>
                    <w14:schemeClr w14:val="tx1"/>
                  </w14:solidFill>
                </w14:textFill>
              </w:rPr>
              <w:t>。本项目设备运行、维修中会产生废油桶，废油桶属于“HW49废特定行业”中“含有或沾染毒性、感染性危险废物的废弃包装物、容器、过滤吸附介质”，废物代码为“900-041-49”，危险特性为T/In。本项目废油桶产生量为</w:t>
            </w:r>
            <w:r>
              <w:rPr>
                <w:rFonts w:hint="eastAsia"/>
                <w:color w:val="000000" w:themeColor="text1"/>
                <w:highlight w:val="none"/>
                <w:lang w:val="en-US" w:eastAsia="zh-CN"/>
                <w14:textFill>
                  <w14:solidFill>
                    <w14:schemeClr w14:val="tx1"/>
                  </w14:solidFill>
                </w14:textFill>
              </w:rPr>
              <w:t>40</w:t>
            </w:r>
            <w:r>
              <w:rPr>
                <w:rFonts w:hint="default"/>
                <w:color w:val="000000" w:themeColor="text1"/>
                <w:highlight w:val="none"/>
                <w:lang w:val="en-US" w:eastAsia="zh-CN"/>
                <w14:textFill>
                  <w14:solidFill>
                    <w14:schemeClr w14:val="tx1"/>
                  </w14:solidFill>
                </w14:textFill>
              </w:rPr>
              <w:t>个/a（0.0</w:t>
            </w:r>
            <w:r>
              <w:rPr>
                <w:rFonts w:hint="eastAsia"/>
                <w:color w:val="000000" w:themeColor="text1"/>
                <w:highlight w:val="none"/>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t/a），</w:t>
            </w:r>
            <w:r>
              <w:rPr>
                <w:rStyle w:val="63"/>
                <w:rFonts w:hint="eastAsia"/>
                <w:color w:val="000000" w:themeColor="text1"/>
                <w:highlight w:val="none"/>
                <w:lang w:val="en-US" w:eastAsia="zh-CN"/>
                <w14:textFill>
                  <w14:solidFill>
                    <w14:schemeClr w14:val="tx1"/>
                  </w14:solidFill>
                </w14:textFill>
              </w:rPr>
              <w:t>由设备厂家统一到厂维修，废机桶</w:t>
            </w:r>
            <w:r>
              <w:rPr>
                <w:rStyle w:val="63"/>
                <w:rFonts w:hint="eastAsia"/>
                <w:color w:val="000000" w:themeColor="text1"/>
                <w:highlight w:val="none"/>
                <w14:textFill>
                  <w14:solidFill>
                    <w14:schemeClr w14:val="tx1"/>
                  </w14:solidFill>
                </w14:textFill>
              </w:rPr>
              <w:t>厂家回收带走</w:t>
            </w:r>
            <w:r>
              <w:rPr>
                <w:rStyle w:val="63"/>
                <w:rFonts w:hint="eastAsia"/>
                <w:color w:val="000000" w:themeColor="text1"/>
                <w:highlight w:val="none"/>
                <w:lang w:eastAsia="zh-CN"/>
                <w14:textFill>
                  <w14:solidFill>
                    <w14:schemeClr w14:val="tx1"/>
                  </w14:solidFill>
                </w14:textFill>
              </w:rPr>
              <w:t>，</w:t>
            </w:r>
            <w:r>
              <w:rPr>
                <w:rStyle w:val="63"/>
                <w:rFonts w:hint="eastAsia"/>
                <w:color w:val="000000" w:themeColor="text1"/>
                <w:highlight w:val="none"/>
                <w:lang w:val="en-US" w:eastAsia="zh-CN"/>
                <w14:textFill>
                  <w14:solidFill>
                    <w14:schemeClr w14:val="tx1"/>
                  </w14:solidFill>
                </w14:textFill>
              </w:rPr>
              <w:t>不在厂区内贮存</w:t>
            </w:r>
            <w:r>
              <w:rPr>
                <w:rFonts w:hint="default"/>
                <w:color w:val="000000" w:themeColor="text1"/>
                <w:highlight w:val="none"/>
                <w:lang w:val="en-US" w:eastAsia="zh-CN"/>
                <w14:textFill>
                  <w14:solidFill>
                    <w14:schemeClr w14:val="tx1"/>
                  </w14:solidFill>
                </w14:textFill>
              </w:rPr>
              <w:t>。</w:t>
            </w:r>
          </w:p>
          <w:p>
            <w:pPr>
              <w:pStyle w:val="45"/>
              <w:spacing w:line="360" w:lineRule="auto"/>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表4-1</w:t>
            </w:r>
            <w:r>
              <w:rPr>
                <w:rFonts w:hint="eastAsia"/>
                <w:b/>
                <w:bCs/>
                <w:color w:val="000000" w:themeColor="text1"/>
                <w:highlight w:val="none"/>
                <w:lang w:val="en-US" w:eastAsia="zh-CN"/>
                <w14:textFill>
                  <w14:solidFill>
                    <w14:schemeClr w14:val="tx1"/>
                  </w14:solidFill>
                </w14:textFill>
              </w:rPr>
              <w:t>7</w:t>
            </w:r>
            <w:r>
              <w:rPr>
                <w:b/>
                <w:bCs/>
                <w:color w:val="000000" w:themeColor="text1"/>
                <w:highlight w:val="none"/>
                <w14:textFill>
                  <w14:solidFill>
                    <w14:schemeClr w14:val="tx1"/>
                  </w14:solidFill>
                </w14:textFill>
              </w:rPr>
              <w:t xml:space="preserve">  项目危险废物情况一览表</w:t>
            </w:r>
          </w:p>
          <w:tbl>
            <w:tblPr>
              <w:tblStyle w:val="20"/>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637"/>
              <w:gridCol w:w="956"/>
              <w:gridCol w:w="1427"/>
              <w:gridCol w:w="927"/>
              <w:gridCol w:w="565"/>
              <w:gridCol w:w="483"/>
              <w:gridCol w:w="565"/>
              <w:gridCol w:w="899"/>
              <w:gridCol w:w="14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5" w:hRule="atLeast"/>
                <w:jc w:val="center"/>
              </w:trPr>
              <w:tc>
                <w:tcPr>
                  <w:tcW w:w="373"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贮存场所名称</w:t>
                  </w:r>
                </w:p>
              </w:tc>
              <w:tc>
                <w:tcPr>
                  <w:tcW w:w="373"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危险废物名称</w:t>
                  </w:r>
                </w:p>
              </w:tc>
              <w:tc>
                <w:tcPr>
                  <w:tcW w:w="560"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危险废物类别</w:t>
                  </w:r>
                </w:p>
              </w:tc>
              <w:tc>
                <w:tcPr>
                  <w:tcW w:w="836"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危险废物代码</w:t>
                  </w:r>
                </w:p>
              </w:tc>
              <w:tc>
                <w:tcPr>
                  <w:tcW w:w="543"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产生量（t/a）</w:t>
                  </w:r>
                </w:p>
              </w:tc>
              <w:tc>
                <w:tcPr>
                  <w:tcW w:w="331" w:type="pct"/>
                  <w:tcBorders>
                    <w:tl2br w:val="nil"/>
                    <w:tr2bl w:val="nil"/>
                  </w:tcBorders>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产生工序</w:t>
                  </w:r>
                </w:p>
              </w:tc>
              <w:tc>
                <w:tcPr>
                  <w:tcW w:w="283"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形态</w:t>
                  </w:r>
                </w:p>
              </w:tc>
              <w:tc>
                <w:tcPr>
                  <w:tcW w:w="331"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产废周期</w:t>
                  </w:r>
                </w:p>
              </w:tc>
              <w:tc>
                <w:tcPr>
                  <w:tcW w:w="527" w:type="pct"/>
                  <w:tcBorders>
                    <w:tl2br w:val="nil"/>
                    <w:tr2bl w:val="nil"/>
                  </w:tcBorders>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838"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73" w:type="pct"/>
                  <w:tcBorders>
                    <w:tl2br w:val="nil"/>
                    <w:tr2bl w:val="nil"/>
                  </w:tcBorders>
                  <w:noWrap w:val="0"/>
                  <w:vAlign w:val="center"/>
                </w:tcPr>
                <w:p>
                  <w:pPr>
                    <w:pStyle w:val="45"/>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危险废物</w:t>
                  </w:r>
                  <w:r>
                    <w:rPr>
                      <w:rFonts w:hint="eastAsia"/>
                      <w:color w:val="000000" w:themeColor="text1"/>
                      <w:highlight w:val="none"/>
                      <w:lang w:eastAsia="zh-CN"/>
                      <w14:textFill>
                        <w14:solidFill>
                          <w14:schemeClr w14:val="tx1"/>
                        </w14:solidFill>
                      </w14:textFill>
                    </w:rPr>
                    <w:t>贮存点</w:t>
                  </w:r>
                </w:p>
              </w:tc>
              <w:tc>
                <w:tcPr>
                  <w:tcW w:w="373" w:type="pct"/>
                  <w:tcBorders>
                    <w:tl2br w:val="nil"/>
                    <w:tr2bl w:val="nil"/>
                  </w:tcBorders>
                  <w:noWrap w:val="0"/>
                  <w:vAlign w:val="center"/>
                </w:tcPr>
                <w:p>
                  <w:pPr>
                    <w:pStyle w:val="45"/>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w:t>
                  </w:r>
                </w:p>
              </w:tc>
              <w:tc>
                <w:tcPr>
                  <w:tcW w:w="560"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HW49</w:t>
                  </w:r>
                </w:p>
              </w:tc>
              <w:tc>
                <w:tcPr>
                  <w:tcW w:w="836" w:type="pct"/>
                  <w:tcBorders>
                    <w:tl2br w:val="nil"/>
                    <w:tr2bl w:val="nil"/>
                  </w:tcBorders>
                  <w:noWrap w:val="0"/>
                  <w:vAlign w:val="center"/>
                </w:tcPr>
                <w:p>
                  <w:pPr>
                    <w:pStyle w:val="45"/>
                    <w:rPr>
                      <w:rFonts w:hint="default"/>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900-047-49</w:t>
                  </w:r>
                </w:p>
              </w:tc>
              <w:tc>
                <w:tcPr>
                  <w:tcW w:w="543" w:type="pct"/>
                  <w:tcBorders>
                    <w:tl2br w:val="nil"/>
                    <w:tr2bl w:val="nil"/>
                  </w:tcBorders>
                  <w:noWrap w:val="0"/>
                  <w:vAlign w:val="center"/>
                </w:tcPr>
                <w:p>
                  <w:pPr>
                    <w:pStyle w:val="45"/>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1.04</w:t>
                  </w:r>
                </w:p>
              </w:tc>
              <w:tc>
                <w:tcPr>
                  <w:tcW w:w="331"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化验分析</w:t>
                  </w:r>
                </w:p>
              </w:tc>
              <w:tc>
                <w:tcPr>
                  <w:tcW w:w="283" w:type="pct"/>
                  <w:tcBorders>
                    <w:tl2br w:val="nil"/>
                    <w:tr2bl w:val="nil"/>
                  </w:tcBorders>
                  <w:noWrap w:val="0"/>
                  <w:vAlign w:val="center"/>
                </w:tcPr>
                <w:p>
                  <w:pPr>
                    <w:pStyle w:val="45"/>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液态</w:t>
                  </w:r>
                </w:p>
              </w:tc>
              <w:tc>
                <w:tcPr>
                  <w:tcW w:w="331" w:type="pct"/>
                  <w:tcBorders>
                    <w:tl2br w:val="nil"/>
                    <w:tr2bl w:val="nil"/>
                  </w:tcBorders>
                  <w:noWrap w:val="0"/>
                  <w:vAlign w:val="center"/>
                </w:tcPr>
                <w:p>
                  <w:pPr>
                    <w:pStyle w:val="4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不定期</w:t>
                  </w:r>
                </w:p>
              </w:tc>
              <w:tc>
                <w:tcPr>
                  <w:tcW w:w="527" w:type="pct"/>
                  <w:tcBorders>
                    <w:tl2br w:val="nil"/>
                    <w:tr2bl w:val="nil"/>
                  </w:tcBorders>
                  <w:noWrap w:val="0"/>
                  <w:vAlign w:val="center"/>
                </w:tcPr>
                <w:p>
                  <w:pPr>
                    <w:pStyle w:val="45"/>
                    <w:rPr>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T/C/I/R</w:t>
                  </w:r>
                </w:p>
              </w:tc>
              <w:tc>
                <w:tcPr>
                  <w:tcW w:w="838" w:type="pct"/>
                  <w:tcBorders>
                    <w:tl2br w:val="nil"/>
                    <w:tr2bl w:val="nil"/>
                  </w:tcBorders>
                  <w:noWrap w:val="0"/>
                  <w:vAlign w:val="center"/>
                </w:tcPr>
                <w:p>
                  <w:pPr>
                    <w:pStyle w:val="45"/>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收集后在危险废物贮存点暂存，定期委托有资质单位安全处置</w:t>
                  </w:r>
                </w:p>
              </w:tc>
            </w:tr>
          </w:tbl>
          <w:p>
            <w:pPr>
              <w:topLinePunct/>
              <w:adjustRightInd w:val="0"/>
              <w:snapToGrid w:val="0"/>
              <w:spacing w:after="187" w:afterLines="6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eastAsia="宋体" w:cs="Times New Roman"/>
                <w:b/>
                <w:color w:val="000000" w:themeColor="text1"/>
                <w:sz w:val="21"/>
                <w:szCs w:val="21"/>
                <w:highlight w:val="none"/>
                <w:lang w:val="en-US" w:eastAsia="zh-CN"/>
                <w14:textFill>
                  <w14:solidFill>
                    <w14:schemeClr w14:val="tx1"/>
                  </w14:solidFill>
                </w14:textFill>
              </w:rPr>
              <w:t>1</w:t>
            </w:r>
            <w:r>
              <w:rPr>
                <w:rFonts w:hint="eastAsia" w:cs="Times New Roman"/>
                <w:b/>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建设项目危险废物贮存场所基本情况表</w:t>
            </w:r>
          </w:p>
          <w:tbl>
            <w:tblPr>
              <w:tblStyle w:val="20"/>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17"/>
              <w:gridCol w:w="1020"/>
              <w:gridCol w:w="776"/>
              <w:gridCol w:w="1196"/>
              <w:gridCol w:w="628"/>
              <w:gridCol w:w="933"/>
              <w:gridCol w:w="930"/>
              <w:gridCol w:w="730"/>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249"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序号</w:t>
                  </w:r>
                </w:p>
              </w:tc>
              <w:tc>
                <w:tcPr>
                  <w:tcW w:w="596"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贮存场所（设施）</w:t>
                  </w:r>
                </w:p>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名称</w:t>
                  </w:r>
                </w:p>
              </w:tc>
              <w:tc>
                <w:tcPr>
                  <w:tcW w:w="59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危险废物名称</w:t>
                  </w:r>
                </w:p>
              </w:tc>
              <w:tc>
                <w:tcPr>
                  <w:tcW w:w="455"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危险废物类别</w:t>
                  </w:r>
                </w:p>
              </w:tc>
              <w:tc>
                <w:tcPr>
                  <w:tcW w:w="701"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危险废物代码</w:t>
                  </w:r>
                </w:p>
              </w:tc>
              <w:tc>
                <w:tcPr>
                  <w:tcW w:w="36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位置</w:t>
                  </w:r>
                </w:p>
              </w:tc>
              <w:tc>
                <w:tcPr>
                  <w:tcW w:w="547"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占地面积</w:t>
                  </w:r>
                </w:p>
              </w:tc>
              <w:tc>
                <w:tcPr>
                  <w:tcW w:w="545"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贮存方式</w:t>
                  </w:r>
                </w:p>
              </w:tc>
              <w:tc>
                <w:tcPr>
                  <w:tcW w:w="42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贮存</w:t>
                  </w:r>
                </w:p>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能力</w:t>
                  </w:r>
                </w:p>
              </w:tc>
              <w:tc>
                <w:tcPr>
                  <w:tcW w:w="509"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贮存</w:t>
                  </w:r>
                </w:p>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9"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1</w:t>
                  </w:r>
                </w:p>
              </w:tc>
              <w:tc>
                <w:tcPr>
                  <w:tcW w:w="596" w:type="pct"/>
                  <w:tcBorders>
                    <w:tl2br w:val="nil"/>
                    <w:tr2bl w:val="nil"/>
                  </w:tcBorders>
                  <w:noWrap w:val="0"/>
                  <w:vAlign w:val="center"/>
                </w:tcPr>
                <w:p>
                  <w:pPr>
                    <w:pStyle w:val="45"/>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color w:val="000000" w:themeColor="text1"/>
                      <w:highlight w:val="none"/>
                      <w14:textFill>
                        <w14:solidFill>
                          <w14:schemeClr w14:val="tx1"/>
                        </w14:solidFill>
                      </w14:textFill>
                    </w:rPr>
                    <w:t>危险废物</w:t>
                  </w:r>
                  <w:r>
                    <w:rPr>
                      <w:rFonts w:hint="eastAsia"/>
                      <w:color w:val="000000" w:themeColor="text1"/>
                      <w:highlight w:val="none"/>
                      <w:lang w:eastAsia="zh-CN"/>
                      <w14:textFill>
                        <w14:solidFill>
                          <w14:schemeClr w14:val="tx1"/>
                        </w14:solidFill>
                      </w14:textFill>
                    </w:rPr>
                    <w:t>贮存点</w:t>
                  </w:r>
                </w:p>
              </w:tc>
              <w:tc>
                <w:tcPr>
                  <w:tcW w:w="598" w:type="pct"/>
                  <w:tcBorders>
                    <w:tl2br w:val="nil"/>
                    <w:tr2bl w:val="nil"/>
                  </w:tcBorders>
                  <w:noWrap w:val="0"/>
                  <w:vAlign w:val="center"/>
                </w:tcPr>
                <w:p>
                  <w:pPr>
                    <w:pStyle w:val="45"/>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w:t>
                  </w:r>
                </w:p>
              </w:tc>
              <w:tc>
                <w:tcPr>
                  <w:tcW w:w="455" w:type="pct"/>
                  <w:tcBorders>
                    <w:tl2br w:val="nil"/>
                    <w:tr2bl w:val="nil"/>
                  </w:tcBorders>
                  <w:noWrap w:val="0"/>
                  <w:vAlign w:val="center"/>
                </w:tcPr>
                <w:p>
                  <w:pPr>
                    <w:pStyle w:val="45"/>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color w:val="000000" w:themeColor="text1"/>
                      <w:highlight w:val="none"/>
                      <w14:textFill>
                        <w14:solidFill>
                          <w14:schemeClr w14:val="tx1"/>
                        </w14:solidFill>
                      </w14:textFill>
                    </w:rPr>
                    <w:t>HW49</w:t>
                  </w:r>
                </w:p>
              </w:tc>
              <w:tc>
                <w:tcPr>
                  <w:tcW w:w="701" w:type="pct"/>
                  <w:tcBorders>
                    <w:tl2br w:val="nil"/>
                    <w:tr2bl w:val="nil"/>
                  </w:tcBorders>
                  <w:noWrap w:val="0"/>
                  <w:vAlign w:val="center"/>
                </w:tcPr>
                <w:p>
                  <w:pPr>
                    <w:pStyle w:val="45"/>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color w:val="000000" w:themeColor="text1"/>
                      <w:highlight w:val="none"/>
                      <w14:textFill>
                        <w14:solidFill>
                          <w14:schemeClr w14:val="tx1"/>
                        </w14:solidFill>
                      </w14:textFill>
                    </w:rPr>
                    <w:t>900-047-49</w:t>
                  </w:r>
                </w:p>
              </w:tc>
              <w:tc>
                <w:tcPr>
                  <w:tcW w:w="36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厂区</w:t>
                  </w:r>
                  <w:r>
                    <w:rPr>
                      <w:rFonts w:hint="eastAsia" w:cs="Times New Roman"/>
                      <w:color w:val="000000" w:themeColor="text1"/>
                      <w:kern w:val="0"/>
                      <w:sz w:val="21"/>
                      <w:szCs w:val="21"/>
                      <w:highlight w:val="none"/>
                      <w:lang w:eastAsia="zh-CN"/>
                      <w14:textFill>
                        <w14:solidFill>
                          <w14:schemeClr w14:val="tx1"/>
                        </w14:solidFill>
                      </w14:textFill>
                    </w:rPr>
                    <w:t>西北</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侧</w:t>
                  </w:r>
                </w:p>
              </w:tc>
              <w:tc>
                <w:tcPr>
                  <w:tcW w:w="547"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10</w:t>
                  </w:r>
                  <w:r>
                    <w:rPr>
                      <w:rFonts w:hint="eastAsia" w:cs="Times New Roman"/>
                      <w:color w:val="000000" w:themeColor="text1"/>
                      <w:kern w:val="0"/>
                      <w:sz w:val="21"/>
                      <w:szCs w:val="21"/>
                      <w:highlight w:val="none"/>
                      <w:lang w:val="en-US" w:eastAsia="zh-CN"/>
                      <w14:textFill>
                        <w14:solidFill>
                          <w14:schemeClr w14:val="tx1"/>
                        </w14:solidFill>
                      </w14:textFill>
                    </w:rPr>
                    <w:t>m</w:t>
                  </w:r>
                  <w:r>
                    <w:rPr>
                      <w:rFonts w:hint="eastAsia" w:cs="Times New Roman"/>
                      <w:color w:val="000000" w:themeColor="text1"/>
                      <w:kern w:val="0"/>
                      <w:sz w:val="21"/>
                      <w:szCs w:val="21"/>
                      <w:highlight w:val="none"/>
                      <w:vertAlign w:val="superscript"/>
                      <w:lang w:val="en-US" w:eastAsia="zh-CN"/>
                      <w14:textFill>
                        <w14:solidFill>
                          <w14:schemeClr w14:val="tx1"/>
                        </w14:solidFill>
                      </w14:textFill>
                    </w:rPr>
                    <w:t>2</w:t>
                  </w:r>
                </w:p>
              </w:tc>
              <w:tc>
                <w:tcPr>
                  <w:tcW w:w="545"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桶装</w:t>
                  </w:r>
                </w:p>
              </w:tc>
              <w:tc>
                <w:tcPr>
                  <w:tcW w:w="42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2t</w:t>
                  </w:r>
                </w:p>
              </w:tc>
              <w:tc>
                <w:tcPr>
                  <w:tcW w:w="509"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1次/半年</w:t>
                  </w:r>
                </w:p>
              </w:tc>
            </w:tr>
          </w:tbl>
          <w:p>
            <w:pPr>
              <w:pStyle w:val="44"/>
              <w:bidi w:val="0"/>
              <w:jc w:val="center"/>
              <w:rPr>
                <w:color w:val="000000" w:themeColor="text1"/>
                <w:highlight w:val="none"/>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 xml:space="preserve">表 </w:t>
            </w:r>
            <w:r>
              <w:rPr>
                <w:rFonts w:hint="default"/>
                <w:b/>
                <w:bCs/>
                <w:color w:val="000000" w:themeColor="text1"/>
                <w:sz w:val="21"/>
                <w:szCs w:val="21"/>
                <w:highlight w:val="none"/>
                <w:lang w:val="en-US" w:eastAsia="zh-CN"/>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19</w:t>
            </w:r>
            <w:r>
              <w:rPr>
                <w:rFonts w:hint="default"/>
                <w:b/>
                <w:bCs/>
                <w:color w:val="000000" w:themeColor="text1"/>
                <w:sz w:val="21"/>
                <w:szCs w:val="21"/>
                <w:highlight w:val="none"/>
                <w:lang w:val="en-US" w:eastAsia="zh-CN"/>
                <w14:textFill>
                  <w14:solidFill>
                    <w14:schemeClr w14:val="tx1"/>
                  </w14:solidFill>
                </w14:textFill>
              </w:rPr>
              <w:t xml:space="preserve"> </w:t>
            </w:r>
            <w:r>
              <w:rPr>
                <w:rFonts w:hint="eastAsia"/>
                <w:b/>
                <w:bCs/>
                <w:color w:val="000000" w:themeColor="text1"/>
                <w:sz w:val="21"/>
                <w:szCs w:val="21"/>
                <w:highlight w:val="none"/>
                <w:lang w:val="en-US" w:eastAsia="zh-CN"/>
                <w14:textFill>
                  <w14:solidFill>
                    <w14:schemeClr w14:val="tx1"/>
                  </w14:solidFill>
                </w14:textFill>
              </w:rPr>
              <w:t>本项目固体废物污染源源强核算结果及相关参数一览表</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6"/>
              <w:gridCol w:w="982"/>
              <w:gridCol w:w="1211"/>
              <w:gridCol w:w="1183"/>
              <w:gridCol w:w="2109"/>
              <w:gridCol w:w="763"/>
              <w:gridCol w:w="19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序号</w:t>
                  </w:r>
                </w:p>
              </w:tc>
              <w:tc>
                <w:tcPr>
                  <w:tcW w:w="57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名称</w:t>
                  </w:r>
                </w:p>
              </w:tc>
              <w:tc>
                <w:tcPr>
                  <w:tcW w:w="709"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类别代码</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产生量（t/a）</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暂存方式</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eastAsia="宋体"/>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形态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生活垃圾</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900-002-S64</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暂存于垃圾桶内</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定期委托环卫部门清运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筛分杂质</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900-099-S59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集中收集后存放于一般工业固体废物暂存间内</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金属杂质</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900-099-S59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集中收集后存放于一般工业固体废物暂存间内</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废包装袋</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900-099-S59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集中收集后存放于一般工业固体废物暂存间内</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废布袋</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900-099-S59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s="Times New Roman"/>
                      <w:b w:val="0"/>
                      <w:bCs/>
                      <w:color w:val="000000" w:themeColor="text1"/>
                      <w:kern w:val="0"/>
                      <w:sz w:val="21"/>
                      <w:szCs w:val="21"/>
                      <w:highlight w:val="none"/>
                      <w:lang w:val="en-US" w:eastAsia="zh-CN"/>
                      <w14:textFill>
                        <w14:solidFill>
                          <w14:schemeClr w14:val="tx1"/>
                        </w14:solidFill>
                      </w14:textFill>
                    </w:rPr>
                  </w:pPr>
                  <w:r>
                    <w:rPr>
                      <w:rFonts w:hint="eastAsia" w:cs="Times New Roman"/>
                      <w:b w:val="0"/>
                      <w:bCs/>
                      <w:color w:val="000000" w:themeColor="text1"/>
                      <w:kern w:val="0"/>
                      <w:sz w:val="21"/>
                      <w:szCs w:val="21"/>
                      <w:highlight w:val="none"/>
                      <w:lang w:val="en-US" w:eastAsia="zh-CN"/>
                      <w14:textFill>
                        <w14:solidFill>
                          <w14:schemeClr w14:val="tx1"/>
                        </w14:solidFill>
                      </w14:textFill>
                    </w:rPr>
                    <w:t>50</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
                      <w14:textFill>
                        <w14:solidFill>
                          <w14:schemeClr w14:val="tx1"/>
                        </w14:solidFill>
                      </w14:textFill>
                    </w:rPr>
                    <w:t>/</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highlight w:val="none"/>
                      <w:lang w:val="en-US" w:eastAsia="zh-CN"/>
                      <w14:textFill>
                        <w14:solidFill>
                          <w14:schemeClr w14:val="tx1"/>
                        </w14:solidFill>
                      </w14:textFill>
                    </w:rPr>
                    <w:t>由厂家定期回收更换，厂区内不存储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除尘器除尘</w:t>
                  </w:r>
                  <w:r>
                    <w:rPr>
                      <w:rFonts w:hint="default"/>
                      <w:color w:val="000000" w:themeColor="text1"/>
                      <w:highlight w:val="none"/>
                      <w:lang w:val="en-US" w:eastAsia="zh-CN"/>
                      <w14:textFill>
                        <w14:solidFill>
                          <w14:schemeClr w14:val="tx1"/>
                        </w14:solidFill>
                      </w14:textFill>
                    </w:rPr>
                    <w:t>灰</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900-099-S59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36.61</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集中收集后存放于一般工业固体废物暂存间内</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废离子交换树脂</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900-008-S59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由厂家定期回收更换，厂区内不存储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900-047-49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集中收集后在危险废物贮存点暂存</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液态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定期委托有资质单位安全处置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废机油、废液压油、废齿轮油</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900-217-08</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液态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由设备厂家到厂维修，厂家回收带走，不在厂区内贮存。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575" w:type="pct"/>
                  <w:noWrap w:val="0"/>
                  <w:tcMar>
                    <w:left w:w="57" w:type="dxa"/>
                    <w:right w:w="57"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废油桶</w:t>
                  </w:r>
                </w:p>
              </w:tc>
              <w:tc>
                <w:tcPr>
                  <w:tcW w:w="709" w:type="pct"/>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900-041-49</w:t>
                  </w:r>
                </w:p>
              </w:tc>
              <w:tc>
                <w:tcPr>
                  <w:tcW w:w="693"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c>
                <w:tcPr>
                  <w:tcW w:w="1235"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447"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固态</w:t>
                  </w:r>
                </w:p>
              </w:tc>
              <w:tc>
                <w:tcPr>
                  <w:tcW w:w="1140" w:type="pct"/>
                  <w:noWrap w:val="0"/>
                  <w:tcMar>
                    <w:left w:w="57" w:type="dxa"/>
                    <w:right w:w="57" w:type="dxa"/>
                  </w:tcMar>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由</w:t>
                  </w:r>
                  <w:r>
                    <w:rPr>
                      <w:rFonts w:hint="default"/>
                      <w:color w:val="000000" w:themeColor="text1"/>
                      <w:highlight w:val="none"/>
                      <w:lang w:val="en-US" w:eastAsia="zh-CN"/>
                      <w14:textFill>
                        <w14:solidFill>
                          <w14:schemeClr w14:val="tx1"/>
                        </w14:solidFill>
                      </w14:textFill>
                    </w:rPr>
                    <w:t>设备厂家统一到厂维修，厂家回收带走，不在厂区内贮存。</w:t>
                  </w:r>
                </w:p>
              </w:tc>
            </w:tr>
          </w:tbl>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本项目新建15m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（5×3m）一般固废暂存间，1F，高度3m，位于主车间北侧，封闭建设。</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项目固体废物收纳、存放、处理过程应按照以下管理措施执行：</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1、建立完善的固体废物管理制度，生活垃圾定时清扫，定时收集；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2、厂区各处设生活垃圾桶，厂内设立一般工业固废收集点，统一收集；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3、生产设备产生的一般工业固废按照环评要求处理，严禁私自处理；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4、贮存、处置场的使用单位，应建立档案制度。应将入场的一般工业固体废物的种类和数量以及下列资料。详细记录在案，长期保存，供随时查阅。</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般固体废物存放在一般固废贮存点，分区存放，不得随意倾倒或者堆放。总体来说，本项目一般工业固废均得到综合利用或妥善处理，其控制措施经济、实用、有效，均符合《一般工业固体废弃物贮存、处置场污染控制标准》（公告[2013]第 36 号）中的有关废渣的处理规定。因此本项目对一般工业固废的控制措施是可行的。</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本项目危险废物年产生量10t 以下，不进行危险废物自行利用处置，无危险废物经营许可证，因此界定为危险废物简化管理单位，应建设危险废物贮存点。本项目设置1座危险废物贮存点，面积为10m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（4×2.5m）</w:t>
            </w:r>
            <w:r>
              <w:rPr>
                <w:rFonts w:hint="eastAsia"/>
                <w:color w:val="000000" w:themeColor="text1"/>
                <w:highlight w:val="none"/>
                <w:lang w:val="en-US" w:eastAsia="zh-CN"/>
                <w14:textFill>
                  <w14:solidFill>
                    <w14:schemeClr w14:val="tx1"/>
                  </w14:solidFill>
                </w14:textFill>
              </w:rPr>
              <w:t>，1F，高3m，位于主车间西北侧。本项目建设后，危险废物产生量为1.04t/a。最大贮存容量为2t，可容纳全厂1年的危废储量。</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4</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危险废物贮存点管理要求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1）危险废物贮存场所环境影响</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①按照《危险废物贮存污染控制标准》(GB18597-2023)，本项目危废贮存点所处地质条件稳定且已采取防渗措施，结合区域环境条件，危废贮存点选址的可行性。</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②本项目危废贮存点可容纳全厂1年的危险废物储量。本项目危废贮存点的储存能力满足要求。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③本项目危废贮存点内危险废物均密闭保存，废物贮存过程中不会对环境空气、地表水、地下水、土壤以及环境敏感保护目标造成影响。</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2）危险废物收集、贮存措施</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建设单位设置危废贮存点1处，本次评价要求，建设单位应按照《危险废物贮存污染控制标准》(GB18597-2023)要求进行危废贮存点建设。</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中华人民共和国固体废物污染环境防治法》中“第四章危险废物污染环境防治的特别规定”，该项目应执行以下规定:对危险废物的容器和包装以及收集、贮存、处置危险废物的设施、场所，必须设置危险废物识别标志；必须按照国家有关规定申报登记;必须按照国家有关规定处置，不处置的，由所在地县级以上人民政府环境保护行政主管部门责令限期改正，逾期不处置或者处置不符合国家有关规定的，由所在地县级以上地方人民政府环境保护行政主管部门指定单位按照国家有关规定处置，处置费用由产生危险废物单位承担。</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对危险废物的收集、暂存按国家标准有如下要求：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①危险废物的收集包装</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a)有符合要求的包装容器、收集人员的个人防护设备；</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b)危险废物的收集容器应在醒目位置贴有危险废物标签，在收集场所醒目的地方设置危险废物警告标识。所有收集容器必须密闭；</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c)危险废物标签应标明以下信息：主要化学成分或危险废物名称、数量、物理形态、危险类别、安全措施以及危险废物产生单位名称、地址、联系人及电话。</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危险废物管理标识见下图。</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7"/>
              <w:gridCol w:w="4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7" w:type="dxa"/>
                  <w:tcBorders>
                    <w:tl2br w:val="nil"/>
                    <w:tr2bl w:val="nil"/>
                  </w:tcBorders>
                </w:tcPr>
                <w:p>
                  <w:pPr>
                    <w:pStyle w:val="44"/>
                    <w:keepNext w:val="0"/>
                    <w:keepLines w:val="0"/>
                    <w:pageBreakBefore w:val="0"/>
                    <w:widowControl/>
                    <w:kinsoku/>
                    <w:wordWrap/>
                    <w:overflowPunct/>
                    <w:topLinePunct w:val="0"/>
                    <w:autoSpaceDE/>
                    <w:autoSpaceDN/>
                    <w:bidi w:val="0"/>
                    <w:adjustRightInd/>
                    <w:snapToGrid/>
                    <w:ind w:firstLine="0" w:firstLineChars="0"/>
                    <w:textAlignment w:val="auto"/>
                    <w:rPr>
                      <w:rFonts w:hint="eastAsia"/>
                      <w:color w:val="000000" w:themeColor="text1"/>
                      <w:highlight w:val="none"/>
                      <w:vertAlign w:val="baseli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501900" cy="1580515"/>
                        <wp:effectExtent l="0" t="0" r="12700" b="635"/>
                        <wp:docPr id="1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pic:cNvPicPr>
                              </pic:nvPicPr>
                              <pic:blipFill>
                                <a:blip r:embed="rId29"/>
                                <a:stretch>
                                  <a:fillRect/>
                                </a:stretch>
                              </pic:blipFill>
                              <pic:spPr>
                                <a:xfrm>
                                  <a:off x="0" y="0"/>
                                  <a:ext cx="2501900" cy="1580515"/>
                                </a:xfrm>
                                <a:prstGeom prst="rect">
                                  <a:avLst/>
                                </a:prstGeom>
                                <a:noFill/>
                                <a:ln>
                                  <a:noFill/>
                                </a:ln>
                              </pic:spPr>
                            </pic:pic>
                          </a:graphicData>
                        </a:graphic>
                      </wp:inline>
                    </w:drawing>
                  </w:r>
                </w:p>
              </w:tc>
              <w:tc>
                <w:tcPr>
                  <w:tcW w:w="4268" w:type="dxa"/>
                  <w:tcBorders>
                    <w:tl2br w:val="nil"/>
                    <w:tr2bl w:val="nil"/>
                  </w:tcBorders>
                  <w:vAlign w:val="center"/>
                </w:tcPr>
                <w:p>
                  <w:pPr>
                    <w:pStyle w:val="4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color w:val="000000" w:themeColor="text1"/>
                      <w:highlight w:val="none"/>
                      <w:vertAlign w:val="baseli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600835" cy="1587500"/>
                        <wp:effectExtent l="0" t="0" r="18415" b="1270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30"/>
                                <a:stretch>
                                  <a:fillRect/>
                                </a:stretch>
                              </pic:blipFill>
                              <pic:spPr>
                                <a:xfrm>
                                  <a:off x="0" y="0"/>
                                  <a:ext cx="1600835" cy="158750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7" w:type="dxa"/>
                  <w:tcBorders>
                    <w:tl2br w:val="nil"/>
                    <w:tr2bl w:val="nil"/>
                  </w:tcBorders>
                </w:tcPr>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危险废物贮存图形符号</w:t>
                  </w:r>
                </w:p>
              </w:tc>
              <w:tc>
                <w:tcPr>
                  <w:tcW w:w="4268" w:type="dxa"/>
                  <w:tcBorders>
                    <w:tl2br w:val="nil"/>
                    <w:tr2bl w:val="nil"/>
                  </w:tcBorders>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危险废物标签标识</w:t>
                  </w:r>
                </w:p>
              </w:tc>
            </w:tr>
          </w:tbl>
          <w:p>
            <w:pPr>
              <w:pStyle w:val="44"/>
              <w:bidi w:val="0"/>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图4-1 危险废物管理标识图</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②危险废物的暂存要求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险废物堆放场应满足《危险废物贮存污染控制标准》(GB18597-2023)有关规定，本项目危废贮存点基本情况见表4-11。危废贮存点应做到以下几点：①用以存放装载液体、半固体危险废物容器的地方，必须有耐腐蚀的硬化地面，且表面无裂隙；②基础必须防渗，防渗层为至少1m厚黏土层(渗透系数≤10</w:t>
            </w:r>
            <w:r>
              <w:rPr>
                <w:rFonts w:hint="eastAsia"/>
                <w:color w:val="000000" w:themeColor="text1"/>
                <w:highlight w:val="none"/>
                <w:vertAlign w:val="superscript"/>
                <w:lang w:val="en-US" w:eastAsia="zh-CN"/>
                <w14:textFill>
                  <w14:solidFill>
                    <w14:schemeClr w14:val="tx1"/>
                  </w14:solidFill>
                </w14:textFill>
              </w:rPr>
              <w:t>-7</w:t>
            </w:r>
            <w:r>
              <w:rPr>
                <w:rFonts w:hint="eastAsia"/>
                <w:color w:val="000000" w:themeColor="text1"/>
                <w:highlight w:val="none"/>
                <w:lang w:val="en-US" w:eastAsia="zh-CN"/>
                <w14:textFill>
                  <w14:solidFill>
                    <w14:schemeClr w14:val="tx1"/>
                  </w14:solidFill>
                </w14:textFill>
              </w:rPr>
              <w:t>cm/s)，或2mm厚高密度聚乙烯，或至少2mm厚的其他人工材料(渗透系数≤10</w:t>
            </w:r>
            <w:r>
              <w:rPr>
                <w:rFonts w:hint="eastAsia"/>
                <w:color w:val="000000" w:themeColor="text1"/>
                <w:highlight w:val="none"/>
                <w:vertAlign w:val="superscript"/>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cm/s)；③危险废物的贮存设施、场所以及危险废物的容器和包装物，必须在明显位置设置危险废物识别标志；④危险废物的贮存设备和设施必须具有防风、防雨、防晒、防渗漏等功能，场所应有雨棚或围堰、围墙；⑤项目投产运行后，应与有危废处置资质的单位签订危废协议，定期将危废交由有资质单位处置。⑥应配备通讯设备、照明设施、安全防护服装及工具，并设有报警装置和应急防护设施。⑦应及时清运贮存的危险废物，实时贮存量不应超过3吨。</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3）危险废物处置、转运管理要求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器皿及设备前两次清洗废液、废弃研发样品、废弃试剂瓶、废弃药品包装袋、废滤膜、废活性炭、污泥作为危废，应由具有《危险废物经营许可证》并可以处置该类废物的单位进行处理处置，并严格执行危险废物转移联单制度，在危险废物转移前三日内报告移出地环境保护行政主管部门，并同时将预期到达时间报告接受地环境保护行政主管部门。</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4）危险废物贮存点环境管理要求</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①贮存点应具有固定的区域边界，并应采取与其他区域进行隔离的措施。</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②贮存点应采取防风、防雨、防晒和防止危险废物流失、扬散等措施。</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③贮存点贮存的危险废物应置于容器或包装物中，不应直接散堆。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④贮存点应根据危险废物的形态、物理化学性质、包装形式等，采取防渗、防漏等污染防治措施或采用具有相应功能的装置。</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⑤贮存点应及时清运贮存的危险废物，实时贮存量不应超过3吨。</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危险废物的收集、暂存、处置均按照《危险废物贮存污染控制标准》（GB18597-2023）及《危险废物收集、贮存、运输技术规范》（HJ2025-2012）、《危险废物转移联单管理办法》等有关规定执行，具备环境可行性。在采取相应的措施以后，本项目产生的危险废物不会对环境造成二次污染。</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综上，本项目产生的固废通过采取相应的处理措施，可得到清洁、合理的处置，去向明确，不会产生二次污染，不会对周边环境产生影响。</w:t>
            </w:r>
          </w:p>
          <w:p>
            <w:pPr>
              <w:pStyle w:val="44"/>
              <w:keepNext w:val="0"/>
              <w:keepLines w:val="0"/>
              <w:pageBreakBefore w:val="0"/>
              <w:widowControl/>
              <w:kinsoku/>
              <w:wordWrap/>
              <w:overflowPunct/>
              <w:topLinePunct w:val="0"/>
              <w:autoSpaceDE/>
              <w:autoSpaceDN/>
              <w:bidi w:val="0"/>
              <w:adjustRightInd/>
              <w:snapToGrid/>
              <w:ind w:left="479" w:leftChars="228" w:firstLine="0" w:firstLineChars="0"/>
              <w:textAlignment w:val="auto"/>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4.2.5地下水、土壤</w:t>
            </w:r>
            <w:r>
              <w:rPr>
                <w:rFonts w:hint="default"/>
                <w:color w:val="000000" w:themeColor="text1"/>
                <w:highlight w:val="none"/>
                <w:lang w:val="en-US" w:eastAsia="zh-CN"/>
                <w14:textFill>
                  <w14:solidFill>
                    <w14:schemeClr w14:val="tx1"/>
                  </w14:solidFill>
                </w14:textFill>
              </w:rPr>
              <w:br w:type="textWrapping"/>
            </w: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地下水</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本项目原料和产品多为固态，且储存于封闭的原料车间和成品车间内，采取袋装、桶装或钢板仓散装方式储存，且原料、产品中不含有毒有害物质及重金属等，基本不会对地下水环境造成影响</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地下水污染源主要是化粪池可能发生的渗漏</w:t>
            </w:r>
            <w:r>
              <w:rPr>
                <w:rFonts w:hint="eastAsia"/>
                <w:color w:val="000000" w:themeColor="text1"/>
                <w:highlight w:val="none"/>
                <w:lang w:val="en-US" w:eastAsia="zh-CN"/>
                <w14:textFill>
                  <w14:solidFill>
                    <w14:schemeClr w14:val="tx1"/>
                  </w14:solidFill>
                </w14:textFill>
              </w:rPr>
              <w:t>、动植物油储罐、危险废物贮存点发生泄漏</w:t>
            </w:r>
            <w:r>
              <w:rPr>
                <w:rFonts w:hint="default"/>
                <w:color w:val="000000" w:themeColor="text1"/>
                <w:highlight w:val="none"/>
                <w:lang w:val="en-US" w:eastAsia="zh-CN"/>
                <w14:textFill>
                  <w14:solidFill>
                    <w14:schemeClr w14:val="tx1"/>
                  </w14:solidFill>
                </w14:textFill>
              </w:rPr>
              <w:t>。</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土壤</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本项目运营期废气污染物主要为颗粒物、二氧化硫、氮氧化物，废气经处理后排放量较少；同时，企业在厂区内采取绿化措施，因此大气沉降对周边土壤环境较小。</w:t>
            </w:r>
          </w:p>
          <w:p>
            <w:pPr>
              <w:pStyle w:val="44"/>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企业针对可能对地下水造成影响的各环节，根据《环境影响评价技术导则 地下水环境》（HJ610-2016）分区依据，将本项目分为重点防渗区、一般污染区和简单防渗区三个区域，具体分区情况见</w:t>
            </w:r>
            <w:r>
              <w:rPr>
                <w:rFonts w:hint="eastAsia"/>
                <w:color w:val="000000" w:themeColor="text1"/>
                <w:highlight w:val="none"/>
                <w:lang w:val="en-US" w:eastAsia="zh-CN"/>
                <w14:textFill>
                  <w14:solidFill>
                    <w14:schemeClr w14:val="tx1"/>
                  </w14:solidFill>
                </w14:textFill>
              </w:rPr>
              <w:t>下表</w:t>
            </w:r>
            <w:r>
              <w:rPr>
                <w:rFonts w:hint="default"/>
                <w:color w:val="000000" w:themeColor="text1"/>
                <w:highlight w:val="none"/>
                <w:lang w:val="en-US" w:eastAsia="zh-CN"/>
                <w14:textFill>
                  <w14:solidFill>
                    <w14:schemeClr w14:val="tx1"/>
                  </w14:solidFill>
                </w14:textFill>
              </w:rPr>
              <w:t>。</w:t>
            </w:r>
          </w:p>
          <w:p>
            <w:pPr>
              <w:pStyle w:val="50"/>
              <w:bidi w:val="0"/>
              <w:jc w:val="center"/>
              <w:rPr>
                <w:rFonts w:eastAsiaTheme="minorEastAsia"/>
                <w:b/>
                <w:color w:val="000000" w:themeColor="text1"/>
                <w:sz w:val="21"/>
                <w:szCs w:val="21"/>
                <w:highlight w:val="none"/>
                <w14:textFill>
                  <w14:solidFill>
                    <w14:schemeClr w14:val="tx1"/>
                  </w14:solidFill>
                </w14:textFill>
              </w:rPr>
            </w:pPr>
            <w:r>
              <w:rPr>
                <w:rFonts w:eastAsiaTheme="minorEastAsia"/>
                <w:b/>
                <w:color w:val="000000" w:themeColor="text1"/>
                <w:sz w:val="21"/>
                <w:szCs w:val="21"/>
                <w:highlight w:val="none"/>
                <w14:textFill>
                  <w14:solidFill>
                    <w14:schemeClr w14:val="tx1"/>
                  </w14:solidFill>
                </w14:textFill>
              </w:rPr>
              <w:t>表4-</w:t>
            </w:r>
            <w:r>
              <w:rPr>
                <w:rFonts w:hint="eastAsia" w:eastAsiaTheme="minorEastAsia"/>
                <w:b/>
                <w:color w:val="000000" w:themeColor="text1"/>
                <w:sz w:val="21"/>
                <w:szCs w:val="21"/>
                <w:highlight w:val="none"/>
                <w:lang w:val="en-US" w:eastAsia="zh-CN"/>
                <w14:textFill>
                  <w14:solidFill>
                    <w14:schemeClr w14:val="tx1"/>
                  </w14:solidFill>
                </w14:textFill>
              </w:rPr>
              <w:t>20</w:t>
            </w:r>
            <w:r>
              <w:rPr>
                <w:rFonts w:eastAsiaTheme="minorEastAsia"/>
                <w:b/>
                <w:color w:val="000000" w:themeColor="text1"/>
                <w:sz w:val="21"/>
                <w:szCs w:val="21"/>
                <w:highlight w:val="none"/>
                <w14:textFill>
                  <w14:solidFill>
                    <w14:schemeClr w14:val="tx1"/>
                  </w14:solidFill>
                </w14:textFill>
              </w:rPr>
              <w:t xml:space="preserve"> 分区防渗措施一览表</w:t>
            </w:r>
          </w:p>
          <w:tbl>
            <w:tblPr>
              <w:tblStyle w:val="20"/>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4206"/>
              <w:gridCol w:w="32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0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eastAsiaTheme="minorEastAsia"/>
                      <w:b w:val="0"/>
                      <w:bCs/>
                      <w:color w:val="000000" w:themeColor="text1"/>
                      <w:kern w:val="0"/>
                      <w:sz w:val="21"/>
                      <w:szCs w:val="21"/>
                      <w:highlight w:val="none"/>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污染区</w:t>
                  </w:r>
                </w:p>
              </w:tc>
              <w:tc>
                <w:tcPr>
                  <w:tcW w:w="158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eastAsiaTheme="minorEastAsia"/>
                      <w:b w:val="0"/>
                      <w:bCs/>
                      <w:color w:val="000000" w:themeColor="text1"/>
                      <w:kern w:val="0"/>
                      <w:sz w:val="21"/>
                      <w:szCs w:val="21"/>
                      <w:highlight w:val="none"/>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构筑物名称</w:t>
                  </w:r>
                </w:p>
              </w:tc>
              <w:tc>
                <w:tcPr>
                  <w:tcW w:w="2507" w:type="pct"/>
                  <w:tcBorders>
                    <w:tl2br w:val="nil"/>
                    <w:tr2bl w:val="nil"/>
                  </w:tcBorders>
                  <w:vAlign w:val="center"/>
                </w:tcPr>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eastAsiaTheme="minorEastAsia"/>
                      <w:b w:val="0"/>
                      <w:bCs/>
                      <w:color w:val="000000" w:themeColor="text1"/>
                      <w:kern w:val="0"/>
                      <w:sz w:val="21"/>
                      <w:szCs w:val="21"/>
                      <w:highlight w:val="none"/>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908"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snapToGrid/>
                    <w:ind w:left="0" w:leftChars="0" w:right="0" w:rightChars="0"/>
                    <w:jc w:val="center"/>
                    <w:textAlignment w:val="auto"/>
                    <w:rPr>
                      <w:rFonts w:hint="eastAsia" w:eastAsiaTheme="minorEastAsia"/>
                      <w:b w:val="0"/>
                      <w:bCs/>
                      <w:color w:val="000000" w:themeColor="text1"/>
                      <w:kern w:val="0"/>
                      <w:sz w:val="21"/>
                      <w:szCs w:val="21"/>
                      <w:highlight w:val="none"/>
                      <w:lang w:eastAsia="zh-CN"/>
                      <w14:textFill>
                        <w14:solidFill>
                          <w14:schemeClr w14:val="tx1"/>
                        </w14:solidFill>
                      </w14:textFill>
                    </w:rPr>
                  </w:pPr>
                  <w:r>
                    <w:rPr>
                      <w:rFonts w:hint="eastAsia" w:eastAsiaTheme="minorEastAsia"/>
                      <w:b w:val="0"/>
                      <w:bCs/>
                      <w:color w:val="000000" w:themeColor="text1"/>
                      <w:kern w:val="0"/>
                      <w:sz w:val="21"/>
                      <w:szCs w:val="21"/>
                      <w:highlight w:val="none"/>
                      <w:lang w:eastAsia="zh-CN"/>
                      <w14:textFill>
                        <w14:solidFill>
                          <w14:schemeClr w14:val="tx1"/>
                        </w14:solidFill>
                      </w14:textFill>
                    </w:rPr>
                    <w:t>简单防渗</w:t>
                  </w:r>
                </w:p>
              </w:tc>
              <w:tc>
                <w:tcPr>
                  <w:tcW w:w="1584"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ind w:left="0" w:leftChars="0" w:right="0" w:rightChars="0"/>
                    <w:jc w:val="center"/>
                    <w:textAlignment w:val="auto"/>
                    <w:rPr>
                      <w:rFonts w:hint="eastAsia" w:eastAsiaTheme="minorEastAsia"/>
                      <w:b w:val="0"/>
                      <w:bCs/>
                      <w:color w:val="000000" w:themeColor="text1"/>
                      <w:sz w:val="21"/>
                      <w:szCs w:val="21"/>
                      <w:highlight w:val="none"/>
                      <w:lang w:val="en-US" w:eastAsia="zh-CN"/>
                      <w14:textFill>
                        <w14:solidFill>
                          <w14:schemeClr w14:val="tx1"/>
                        </w14:solidFill>
                      </w14:textFill>
                    </w:rPr>
                  </w:pPr>
                  <w:r>
                    <w:rPr>
                      <w:rFonts w:hint="eastAsia" w:eastAsiaTheme="minorEastAsia"/>
                      <w:b w:val="0"/>
                      <w:bCs/>
                      <w:color w:val="000000" w:themeColor="text1"/>
                      <w:sz w:val="21"/>
                      <w:szCs w:val="21"/>
                      <w:highlight w:val="none"/>
                      <w:lang w:eastAsia="zh-CN"/>
                      <w14:textFill>
                        <w14:solidFill>
                          <w14:schemeClr w14:val="tx1"/>
                        </w14:solidFill>
                      </w14:textFill>
                    </w:rPr>
                    <w:t>主厂房、锅炉房</w:t>
                  </w:r>
                </w:p>
              </w:tc>
              <w:tc>
                <w:tcPr>
                  <w:tcW w:w="2507" w:type="pct"/>
                  <w:tcBorders>
                    <w:tl2br w:val="nil"/>
                    <w:tr2bl w:val="nil"/>
                  </w:tcBorders>
                  <w:vAlign w:val="center"/>
                </w:tcPr>
                <w:p>
                  <w:pPr>
                    <w:keepNext w:val="0"/>
                    <w:keepLines w:val="0"/>
                    <w:pageBreakBefore w:val="0"/>
                    <w:kinsoku/>
                    <w:wordWrap/>
                    <w:overflowPunct/>
                    <w:topLinePunct w:val="0"/>
                    <w:autoSpaceDE/>
                    <w:autoSpaceDN/>
                    <w:bidi w:val="0"/>
                    <w:snapToGrid/>
                    <w:ind w:left="0" w:leftChars="0" w:right="0" w:rightChars="0"/>
                    <w:jc w:val="center"/>
                    <w:textAlignment w:val="auto"/>
                    <w:rPr>
                      <w:rFonts w:hint="eastAsia" w:eastAsiaTheme="minorEastAsia"/>
                      <w:b w:val="0"/>
                      <w:bCs/>
                      <w:color w:val="000000" w:themeColor="text1"/>
                      <w:kern w:val="0"/>
                      <w:sz w:val="21"/>
                      <w:szCs w:val="21"/>
                      <w:highlight w:val="none"/>
                      <w:lang w:val="en-US" w:eastAsia="zh-CN"/>
                      <w14:textFill>
                        <w14:solidFill>
                          <w14:schemeClr w14:val="tx1"/>
                        </w14:solidFill>
                      </w14:textFill>
                    </w:rPr>
                  </w:pPr>
                  <w:r>
                    <w:rPr>
                      <w:rFonts w:hint="eastAsia" w:eastAsiaTheme="minorEastAsia"/>
                      <w:b w:val="0"/>
                      <w:bCs/>
                      <w:color w:val="000000" w:themeColor="text1"/>
                      <w:kern w:val="0"/>
                      <w:sz w:val="21"/>
                      <w:szCs w:val="2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90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eastAsiaTheme="minorEastAsia"/>
                      <w:b w:val="0"/>
                      <w:bCs/>
                      <w:color w:val="000000" w:themeColor="text1"/>
                      <w:kern w:val="0"/>
                      <w:sz w:val="21"/>
                      <w:szCs w:val="21"/>
                      <w:highlight w:val="none"/>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一般</w:t>
                  </w:r>
                </w:p>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ascii="Times New Roman" w:hAnsi="Times New Roman" w:cs="Times New Roman" w:eastAsiaTheme="minorEastAsia"/>
                      <w:b w:val="0"/>
                      <w:bCs/>
                      <w:color w:val="000000" w:themeColor="text1"/>
                      <w:kern w:val="0"/>
                      <w:sz w:val="21"/>
                      <w:szCs w:val="21"/>
                      <w:highlight w:val="none"/>
                      <w:lang w:val="en-US" w:eastAsia="zh-CN" w:bidi="ar-SA"/>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防渗区</w:t>
                  </w:r>
                </w:p>
              </w:tc>
              <w:tc>
                <w:tcPr>
                  <w:tcW w:w="1584"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ind w:left="0" w:leftChars="0" w:right="0" w:rightChars="0"/>
                    <w:jc w:val="center"/>
                    <w:textAlignment w:val="auto"/>
                    <w:rPr>
                      <w:rFonts w:hint="default" w:ascii="Times New Roman" w:hAnsi="Times New Roman" w:cs="Times New Roman" w:eastAsiaTheme="minorEastAsia"/>
                      <w:b w:val="0"/>
                      <w:bCs/>
                      <w:color w:val="000000" w:themeColor="text1"/>
                      <w:kern w:val="0"/>
                      <w:sz w:val="21"/>
                      <w:szCs w:val="21"/>
                      <w:highlight w:val="none"/>
                      <w:lang w:val="en-US" w:eastAsia="zh-CN" w:bidi="ar-SA"/>
                      <w14:textFill>
                        <w14:solidFill>
                          <w14:schemeClr w14:val="tx1"/>
                        </w14:solidFill>
                      </w14:textFill>
                    </w:rPr>
                  </w:pPr>
                  <w:r>
                    <w:rPr>
                      <w:rFonts w:hint="eastAsia" w:eastAsiaTheme="minorEastAsia"/>
                      <w:b w:val="0"/>
                      <w:bCs/>
                      <w:color w:val="000000" w:themeColor="text1"/>
                      <w:sz w:val="21"/>
                      <w:szCs w:val="21"/>
                      <w:highlight w:val="none"/>
                      <w:lang w:eastAsia="zh-CN"/>
                      <w14:textFill>
                        <w14:solidFill>
                          <w14:schemeClr w14:val="tx1"/>
                        </w14:solidFill>
                      </w14:textFill>
                    </w:rPr>
                    <w:t>化粪池、隔油池、一般工业固体废物暂存间</w:t>
                  </w:r>
                </w:p>
              </w:tc>
              <w:tc>
                <w:tcPr>
                  <w:tcW w:w="2507" w:type="pct"/>
                  <w:tcBorders>
                    <w:tl2br w:val="nil"/>
                    <w:tr2bl w:val="nil"/>
                  </w:tcBorders>
                  <w:vAlign w:val="center"/>
                </w:tcPr>
                <w:p>
                  <w:pPr>
                    <w:keepNext w:val="0"/>
                    <w:keepLines w:val="0"/>
                    <w:pageBreakBefore w:val="0"/>
                    <w:widowControl/>
                    <w:kinsoku/>
                    <w:wordWrap/>
                    <w:overflowPunct/>
                    <w:topLinePunct w:val="0"/>
                    <w:autoSpaceDE/>
                    <w:autoSpaceDN/>
                    <w:bidi w:val="0"/>
                    <w:snapToGrid/>
                    <w:ind w:left="0" w:leftChars="0" w:right="0" w:rightChars="0"/>
                    <w:jc w:val="center"/>
                    <w:textAlignment w:val="auto"/>
                    <w:rPr>
                      <w:rFonts w:ascii="Times New Roman" w:hAnsi="Times New Roman" w:cs="Times New Roman" w:eastAsiaTheme="minorEastAsia"/>
                      <w:b w:val="0"/>
                      <w:bCs/>
                      <w:color w:val="000000" w:themeColor="text1"/>
                      <w:kern w:val="0"/>
                      <w:sz w:val="21"/>
                      <w:szCs w:val="21"/>
                      <w:highlight w:val="none"/>
                      <w:lang w:val="en-US" w:eastAsia="zh-CN" w:bidi="ar-SA"/>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等效黏土防渗层Mb≥1.5m，K≤10</w:t>
                  </w:r>
                  <w:r>
                    <w:rPr>
                      <w:rFonts w:eastAsiaTheme="minorEastAsia"/>
                      <w:b w:val="0"/>
                      <w:bCs/>
                      <w:color w:val="000000" w:themeColor="text1"/>
                      <w:kern w:val="0"/>
                      <w:sz w:val="21"/>
                      <w:szCs w:val="21"/>
                      <w:highlight w:val="none"/>
                      <w:vertAlign w:val="superscript"/>
                      <w14:textFill>
                        <w14:solidFill>
                          <w14:schemeClr w14:val="tx1"/>
                        </w14:solidFill>
                      </w14:textFill>
                    </w:rPr>
                    <w:t>-7</w:t>
                  </w:r>
                  <w:r>
                    <w:rPr>
                      <w:rFonts w:eastAsiaTheme="minorEastAsia"/>
                      <w:b w:val="0"/>
                      <w:bCs/>
                      <w:color w:val="000000" w:themeColor="text1"/>
                      <w:kern w:val="0"/>
                      <w:sz w:val="21"/>
                      <w:szCs w:val="21"/>
                      <w:highlight w:val="none"/>
                      <w14:textFill>
                        <w14:solidFill>
                          <w14:schemeClr w14:val="tx1"/>
                        </w14:solidFill>
                      </w14:textFill>
                    </w:rPr>
                    <w:t>cm/s；或参照GB16889执行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908" w:type="pct"/>
                  <w:vAlign w:val="center"/>
                </w:tcPr>
                <w:p>
                  <w:pPr>
                    <w:keepNext w:val="0"/>
                    <w:keepLines w:val="0"/>
                    <w:pageBreakBefore w:val="0"/>
                    <w:kinsoku/>
                    <w:wordWrap/>
                    <w:overflowPunct/>
                    <w:topLinePunct w:val="0"/>
                    <w:autoSpaceDE/>
                    <w:autoSpaceDN/>
                    <w:bidi w:val="0"/>
                    <w:snapToGrid/>
                    <w:ind w:left="0" w:leftChars="0" w:right="0" w:rightChars="0"/>
                    <w:jc w:val="center"/>
                    <w:textAlignment w:val="auto"/>
                    <w:rPr>
                      <w:rFonts w:eastAsiaTheme="minorEastAsia"/>
                      <w:b w:val="0"/>
                      <w:bCs/>
                      <w:color w:val="000000" w:themeColor="text1"/>
                      <w:sz w:val="21"/>
                      <w:szCs w:val="21"/>
                      <w:highlight w:val="none"/>
                      <w14:textFill>
                        <w14:solidFill>
                          <w14:schemeClr w14:val="tx1"/>
                        </w14:solidFill>
                      </w14:textFill>
                    </w:rPr>
                  </w:pPr>
                  <w:r>
                    <w:rPr>
                      <w:rFonts w:eastAsiaTheme="minorEastAsia"/>
                      <w:b w:val="0"/>
                      <w:bCs/>
                      <w:color w:val="000000" w:themeColor="text1"/>
                      <w:sz w:val="21"/>
                      <w:szCs w:val="21"/>
                      <w:highlight w:val="none"/>
                      <w14:textFill>
                        <w14:solidFill>
                          <w14:schemeClr w14:val="tx1"/>
                        </w14:solidFill>
                      </w14:textFill>
                    </w:rPr>
                    <w:t>重点</w:t>
                  </w:r>
                </w:p>
                <w:p>
                  <w:pPr>
                    <w:keepNext w:val="0"/>
                    <w:keepLines w:val="0"/>
                    <w:pageBreakBefore w:val="0"/>
                    <w:kinsoku/>
                    <w:wordWrap/>
                    <w:overflowPunct/>
                    <w:topLinePunct w:val="0"/>
                    <w:autoSpaceDE/>
                    <w:autoSpaceDN/>
                    <w:bidi w:val="0"/>
                    <w:snapToGrid/>
                    <w:ind w:left="0" w:leftChars="0" w:right="0" w:rightChars="0"/>
                    <w:jc w:val="center"/>
                    <w:textAlignment w:val="auto"/>
                    <w:rPr>
                      <w:rFonts w:ascii="Times New Roman" w:hAnsi="Times New Roman" w:cs="Times New Roman" w:eastAsiaTheme="minorEastAsia"/>
                      <w:b w:val="0"/>
                      <w:bCs/>
                      <w:color w:val="000000" w:themeColor="text1"/>
                      <w:kern w:val="0"/>
                      <w:sz w:val="21"/>
                      <w:szCs w:val="21"/>
                      <w:highlight w:val="none"/>
                      <w:lang w:val="en-US" w:eastAsia="zh-CN" w:bidi="ar-SA"/>
                      <w14:textFill>
                        <w14:solidFill>
                          <w14:schemeClr w14:val="tx1"/>
                        </w14:solidFill>
                      </w14:textFill>
                    </w:rPr>
                  </w:pPr>
                  <w:r>
                    <w:rPr>
                      <w:rFonts w:eastAsiaTheme="minorEastAsia"/>
                      <w:b w:val="0"/>
                      <w:bCs/>
                      <w:color w:val="000000" w:themeColor="text1"/>
                      <w:sz w:val="21"/>
                      <w:szCs w:val="21"/>
                      <w:highlight w:val="none"/>
                      <w14:textFill>
                        <w14:solidFill>
                          <w14:schemeClr w14:val="tx1"/>
                        </w14:solidFill>
                      </w14:textFill>
                    </w:rPr>
                    <w:t>防渗区</w:t>
                  </w:r>
                </w:p>
              </w:tc>
              <w:tc>
                <w:tcPr>
                  <w:tcW w:w="1584" w:type="pct"/>
                  <w:vAlign w:val="center"/>
                </w:tcPr>
                <w:p>
                  <w:pPr>
                    <w:keepNext w:val="0"/>
                    <w:keepLines w:val="0"/>
                    <w:pageBreakBefore w:val="0"/>
                    <w:kinsoku/>
                    <w:wordWrap/>
                    <w:overflowPunct/>
                    <w:topLinePunct w:val="0"/>
                    <w:autoSpaceDE/>
                    <w:autoSpaceDN/>
                    <w:bidi w:val="0"/>
                    <w:adjustRightInd w:val="0"/>
                    <w:snapToGrid/>
                    <w:ind w:left="0" w:leftChars="0" w:right="0" w:rightChars="0"/>
                    <w:jc w:val="center"/>
                    <w:textAlignment w:val="auto"/>
                    <w:rPr>
                      <w:rFonts w:hint="eastAsia" w:ascii="Times New Roman" w:hAnsi="Times New Roman" w:cs="Times New Roman" w:eastAsiaTheme="minorEastAsia"/>
                      <w:b w:val="0"/>
                      <w:bCs/>
                      <w:color w:val="000000" w:themeColor="text1"/>
                      <w:kern w:val="2"/>
                      <w:sz w:val="21"/>
                      <w:szCs w:val="21"/>
                      <w:highlight w:val="none"/>
                      <w:lang w:val="en-US" w:eastAsia="zh-CN" w:bidi="ar-SA"/>
                      <w14:textFill>
                        <w14:solidFill>
                          <w14:schemeClr w14:val="tx1"/>
                        </w14:solidFill>
                      </w14:textFill>
                    </w:rPr>
                  </w:pPr>
                  <w:r>
                    <w:rPr>
                      <w:rFonts w:hint="eastAsia" w:cs="Times New Roman" w:eastAsiaTheme="minorEastAsia"/>
                      <w:b w:val="0"/>
                      <w:bCs/>
                      <w:color w:val="000000" w:themeColor="text1"/>
                      <w:kern w:val="2"/>
                      <w:sz w:val="21"/>
                      <w:szCs w:val="21"/>
                      <w:highlight w:val="none"/>
                      <w:lang w:val="en-US" w:eastAsia="zh-CN" w:bidi="ar-SA"/>
                      <w14:textFill>
                        <w14:solidFill>
                          <w14:schemeClr w14:val="tx1"/>
                        </w14:solidFill>
                      </w14:textFill>
                    </w:rPr>
                    <w:t>油储罐区、危险废物贮存点</w:t>
                  </w:r>
                </w:p>
              </w:tc>
              <w:tc>
                <w:tcPr>
                  <w:tcW w:w="2507" w:type="pct"/>
                  <w:vAlign w:val="center"/>
                </w:tcPr>
                <w:p>
                  <w:pPr>
                    <w:keepNext w:val="0"/>
                    <w:keepLines w:val="0"/>
                    <w:pageBreakBefore w:val="0"/>
                    <w:kinsoku/>
                    <w:wordWrap/>
                    <w:overflowPunct/>
                    <w:topLinePunct w:val="0"/>
                    <w:autoSpaceDE/>
                    <w:autoSpaceDN/>
                    <w:bidi w:val="0"/>
                    <w:snapToGrid/>
                    <w:ind w:left="0" w:leftChars="0" w:right="0" w:rightChars="0"/>
                    <w:jc w:val="center"/>
                    <w:textAlignment w:val="auto"/>
                    <w:rPr>
                      <w:rFonts w:ascii="Times New Roman" w:hAnsi="Times New Roman" w:cs="Times New Roman" w:eastAsiaTheme="minorEastAsia"/>
                      <w:b w:val="0"/>
                      <w:bCs/>
                      <w:color w:val="000000" w:themeColor="text1"/>
                      <w:kern w:val="0"/>
                      <w:sz w:val="21"/>
                      <w:szCs w:val="21"/>
                      <w:highlight w:val="none"/>
                      <w:lang w:val="en-US" w:eastAsia="zh-CN" w:bidi="ar-SA"/>
                      <w14:textFill>
                        <w14:solidFill>
                          <w14:schemeClr w14:val="tx1"/>
                        </w14:solidFill>
                      </w14:textFill>
                    </w:rPr>
                  </w:pPr>
                  <w:r>
                    <w:rPr>
                      <w:rFonts w:eastAsiaTheme="minorEastAsia"/>
                      <w:b w:val="0"/>
                      <w:bCs/>
                      <w:color w:val="000000" w:themeColor="text1"/>
                      <w:kern w:val="0"/>
                      <w:sz w:val="21"/>
                      <w:szCs w:val="21"/>
                      <w:highlight w:val="none"/>
                      <w14:textFill>
                        <w14:solidFill>
                          <w14:schemeClr w14:val="tx1"/>
                        </w14:solidFill>
                      </w14:textFill>
                    </w:rPr>
                    <w:t>等效黏土防渗层Mb≥6.0m，K≤10</w:t>
                  </w:r>
                  <w:r>
                    <w:rPr>
                      <w:rFonts w:eastAsiaTheme="minorEastAsia"/>
                      <w:b w:val="0"/>
                      <w:bCs/>
                      <w:color w:val="000000" w:themeColor="text1"/>
                      <w:kern w:val="0"/>
                      <w:sz w:val="21"/>
                      <w:szCs w:val="21"/>
                      <w:highlight w:val="none"/>
                      <w:vertAlign w:val="superscript"/>
                      <w14:textFill>
                        <w14:solidFill>
                          <w14:schemeClr w14:val="tx1"/>
                        </w14:solidFill>
                      </w14:textFill>
                    </w:rPr>
                    <w:t>-7</w:t>
                  </w:r>
                  <w:r>
                    <w:rPr>
                      <w:rFonts w:eastAsiaTheme="minorEastAsia"/>
                      <w:b w:val="0"/>
                      <w:bCs/>
                      <w:color w:val="000000" w:themeColor="text1"/>
                      <w:kern w:val="0"/>
                      <w:sz w:val="21"/>
                      <w:szCs w:val="21"/>
                      <w:highlight w:val="none"/>
                      <w14:textFill>
                        <w14:solidFill>
                          <w14:schemeClr w14:val="tx1"/>
                        </w14:solidFill>
                      </w14:textFill>
                    </w:rPr>
                    <w:t>cm/s；或参照GB18598执行</w:t>
                  </w:r>
                </w:p>
              </w:tc>
            </w:tr>
          </w:tbl>
          <w:p>
            <w:pPr>
              <w:pStyle w:val="50"/>
              <w:bidi w:val="0"/>
              <w:ind w:left="0" w:leftChars="0" w:firstLine="0" w:firstLineChars="0"/>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 xml:space="preserve">4..2.6生态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本项目位于</w:t>
            </w:r>
            <w:r>
              <w:rPr>
                <w:rFonts w:hint="default"/>
                <w:color w:val="000000" w:themeColor="text1"/>
                <w:highlight w:val="none"/>
                <w14:textFill>
                  <w14:solidFill>
                    <w14:schemeClr w14:val="tx1"/>
                  </w14:solidFill>
                </w14:textFill>
              </w:rPr>
              <w:t>辽宁</w:t>
            </w:r>
            <w:r>
              <w:rPr>
                <w:rFonts w:hint="eastAsia"/>
                <w:color w:val="000000" w:themeColor="text1"/>
                <w:highlight w:val="none"/>
                <w14:textFill>
                  <w14:solidFill>
                    <w14:schemeClr w14:val="tx1"/>
                  </w14:solidFill>
                </w14:textFill>
              </w:rPr>
              <w:t>省</w:t>
            </w:r>
            <w:r>
              <w:rPr>
                <w:rFonts w:hint="eastAsia"/>
                <w:color w:val="000000" w:themeColor="text1"/>
                <w:highlight w:val="none"/>
                <w:lang w:val="en-US" w:eastAsia="zh-CN"/>
                <w14:textFill>
                  <w14:solidFill>
                    <w14:schemeClr w14:val="tx1"/>
                  </w14:solidFill>
                </w14:textFill>
              </w:rPr>
              <w:t>鞍山</w:t>
            </w:r>
            <w:r>
              <w:rPr>
                <w:rFonts w:hint="eastAsia"/>
                <w:color w:val="000000" w:themeColor="text1"/>
                <w:highlight w:val="none"/>
                <w14:textFill>
                  <w14:solidFill>
                    <w14:schemeClr w14:val="tx1"/>
                  </w14:solidFill>
                </w14:textFill>
              </w:rPr>
              <w:t>市</w:t>
            </w:r>
            <w:r>
              <w:rPr>
                <w:rFonts w:hint="eastAsia"/>
                <w:color w:val="000000" w:themeColor="text1"/>
                <w:highlight w:val="none"/>
                <w:lang w:val="en-US" w:eastAsia="zh-CN"/>
                <w14:textFill>
                  <w14:solidFill>
                    <w14:schemeClr w14:val="tx1"/>
                  </w14:solidFill>
                </w14:textFill>
              </w:rPr>
              <w:t>台安</w:t>
            </w:r>
            <w:r>
              <w:rPr>
                <w:rFonts w:hint="eastAsia"/>
                <w:color w:val="000000" w:themeColor="text1"/>
                <w:highlight w:val="none"/>
                <w14:textFill>
                  <w14:solidFill>
                    <w14:schemeClr w14:val="tx1"/>
                  </w14:solidFill>
                </w14:textFill>
              </w:rPr>
              <w:t>县</w:t>
            </w:r>
            <w:r>
              <w:rPr>
                <w:rFonts w:hint="eastAsia"/>
                <w:color w:val="000000" w:themeColor="text1"/>
                <w:highlight w:val="none"/>
                <w:lang w:val="en-US" w:eastAsia="zh-CN"/>
                <w14:textFill>
                  <w14:solidFill>
                    <w14:schemeClr w14:val="tx1"/>
                  </w14:solidFill>
                </w14:textFill>
              </w:rPr>
              <w:t>工业园区内，不属于产业园区外建设项目新增用地且用地范围内含有生态环境保护目标的情况；本项目营运期各污染物均通过切实有效的治理措施处理后达标排放，对生态环境影响较小。</w:t>
            </w:r>
          </w:p>
          <w:p>
            <w:pPr>
              <w:pStyle w:val="44"/>
              <w:numPr>
                <w:ilvl w:val="0"/>
                <w:numId w:val="0"/>
              </w:numPr>
              <w:bidi w:val="0"/>
              <w:ind w:left="0" w:leftChars="0" w:firstLine="0" w:firstLineChars="0"/>
              <w:rPr>
                <w:rFonts w:hint="default"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4.</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.2.</w:t>
            </w:r>
            <w:r>
              <w:rPr>
                <w:rFonts w:hint="eastAsia" w:cs="Times New Roman"/>
                <w:b/>
                <w:bCs/>
                <w:color w:val="000000" w:themeColor="text1"/>
                <w:kern w:val="2"/>
                <w:sz w:val="24"/>
                <w:szCs w:val="24"/>
                <w:highlight w:val="none"/>
                <w:lang w:val="en-US" w:eastAsia="zh-CN" w:bidi="ar-SA"/>
                <w14:textFill>
                  <w14:solidFill>
                    <w14:schemeClr w14:val="tx1"/>
                  </w14:solidFill>
                </w14:textFill>
              </w:rPr>
              <w:t>7环境风险</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（1）环境风险识别与分析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根据对企业的生产特征分析，结合物质危险性识别，根据不同的功能系统划分功能单元，对企业的生产过程潜在危险性及危险途径进行识别，具体见下表。</w:t>
            </w:r>
          </w:p>
          <w:p>
            <w:pPr>
              <w:pStyle w:val="50"/>
              <w:bidi w:val="0"/>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表4-21  环境风险物质情况</w:t>
            </w:r>
          </w:p>
          <w:tbl>
            <w:tblPr>
              <w:tblStyle w:val="2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1"/>
              <w:gridCol w:w="2133"/>
              <w:gridCol w:w="2135"/>
              <w:gridCol w:w="21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危险单元</w:t>
                  </w:r>
                </w:p>
              </w:tc>
              <w:tc>
                <w:tcPr>
                  <w:tcW w:w="124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风险类别</w:t>
                  </w:r>
                </w:p>
              </w:tc>
              <w:tc>
                <w:tcPr>
                  <w:tcW w:w="1250"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主要风险物质</w:t>
                  </w:r>
                </w:p>
              </w:tc>
              <w:tc>
                <w:tcPr>
                  <w:tcW w:w="1251"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主要危害对象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天然气管道</w:t>
                  </w:r>
                </w:p>
              </w:tc>
              <w:tc>
                <w:tcPr>
                  <w:tcW w:w="124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火灾爆炸</w:t>
                  </w:r>
                </w:p>
              </w:tc>
              <w:tc>
                <w:tcPr>
                  <w:tcW w:w="1250"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天然气</w:t>
                  </w:r>
                </w:p>
              </w:tc>
              <w:tc>
                <w:tcPr>
                  <w:tcW w:w="1251"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restar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主车间</w:t>
                  </w:r>
                </w:p>
              </w:tc>
              <w:tc>
                <w:tcPr>
                  <w:tcW w:w="124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火灾爆炸</w:t>
                  </w:r>
                </w:p>
              </w:tc>
              <w:tc>
                <w:tcPr>
                  <w:tcW w:w="1250" w:type="pct"/>
                  <w:tcBorders>
                    <w:tl2br w:val="nil"/>
                    <w:tr2bl w:val="nil"/>
                  </w:tcBorders>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机油</w:t>
                  </w:r>
                </w:p>
              </w:tc>
              <w:tc>
                <w:tcPr>
                  <w:tcW w:w="1251" w:type="pct"/>
                  <w:tcBorders>
                    <w:tl2br w:val="nil"/>
                    <w:tr2bl w:val="nil"/>
                  </w:tcBorders>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1249" w:type="pct"/>
                  <w:tcBorders>
                    <w:tl2br w:val="nil"/>
                    <w:tr2bl w:val="nil"/>
                  </w:tcBorders>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火灾爆炸</w:t>
                  </w:r>
                </w:p>
              </w:tc>
              <w:tc>
                <w:tcPr>
                  <w:tcW w:w="1250" w:type="pct"/>
                  <w:tcBorders>
                    <w:tl2br w:val="nil"/>
                    <w:tr2bl w:val="nil"/>
                  </w:tcBorders>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液压油</w:t>
                  </w:r>
                </w:p>
              </w:tc>
              <w:tc>
                <w:tcPr>
                  <w:tcW w:w="1251" w:type="pct"/>
                  <w:tcBorders>
                    <w:tl2br w:val="nil"/>
                    <w:tr2bl w:val="nil"/>
                  </w:tcBorders>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p>
              </w:tc>
              <w:tc>
                <w:tcPr>
                  <w:tcW w:w="0" w:type="auto"/>
                  <w:vAlign w:val="center"/>
                </w:tcPr>
                <w:p>
                  <w:pPr>
                    <w:pStyle w:val="50"/>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火灾爆炸</w:t>
                  </w:r>
                </w:p>
              </w:tc>
              <w:tc>
                <w:tcPr>
                  <w:tcW w:w="0" w:type="auto"/>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齿轮油</w:t>
                  </w:r>
                </w:p>
              </w:tc>
              <w:tc>
                <w:tcPr>
                  <w:tcW w:w="0" w:type="auto"/>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环境空气</w:t>
                  </w:r>
                </w:p>
              </w:tc>
            </w:tr>
          </w:tbl>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本项目天然气采用管道供应，场内不设储罐，厂内天然气最大储存量为管道内天然气贮存量，</w:t>
            </w:r>
            <w:r>
              <w:rPr>
                <w:rFonts w:hint="eastAsia"/>
                <w:color w:val="000000" w:themeColor="text1"/>
                <w:highlight w:val="none"/>
                <w:lang w:eastAsia="zh-CN"/>
                <w14:textFill>
                  <w14:solidFill>
                    <w14:schemeClr w14:val="tx1"/>
                  </w14:solidFill>
                </w14:textFill>
              </w:rPr>
              <w:t>天然气管道管径</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08</w:t>
            </w:r>
            <w:r>
              <w:rPr>
                <w:rFonts w:hint="eastAsia"/>
                <w:color w:val="000000" w:themeColor="text1"/>
                <w:highlight w:val="none"/>
                <w:lang w:val="en-US" w:eastAsia="zh-CN"/>
                <w14:textFill>
                  <w14:solidFill>
                    <w14:schemeClr w14:val="tx1"/>
                  </w14:solidFill>
                </w14:textFill>
              </w:rPr>
              <w:t>mm</w:t>
            </w:r>
            <w:r>
              <w:rPr>
                <w:rFonts w:hint="eastAsia"/>
                <w:color w:val="000000" w:themeColor="text1"/>
                <w:highlight w:val="none"/>
                <w:lang w:eastAsia="zh-CN"/>
                <w14:textFill>
                  <w14:solidFill>
                    <w14:schemeClr w14:val="tx1"/>
                  </w14:solidFill>
                </w14:textFill>
              </w:rPr>
              <w:t xml:space="preserve">，长度80 </w:t>
            </w:r>
            <w:r>
              <w:rPr>
                <w:rFonts w:hint="eastAsia"/>
                <w:color w:val="000000" w:themeColor="text1"/>
                <w:highlight w:val="none"/>
                <w:lang w:val="en-US" w:eastAsia="zh-CN"/>
                <w14:textFill>
                  <w14:solidFill>
                    <w14:schemeClr w14:val="tx1"/>
                  </w14:solidFill>
                </w14:textFill>
              </w:rPr>
              <w:t>m，天然气密度为0</w:t>
            </w:r>
            <w:r>
              <w:rPr>
                <w:rFonts w:hint="default"/>
                <w:color w:val="000000" w:themeColor="text1"/>
                <w:highlight w:val="none"/>
                <w:lang w:val="en-US" w:eastAsia="zh-CN"/>
                <w14:textFill>
                  <w14:solidFill>
                    <w14:schemeClr w14:val="tx1"/>
                  </w14:solidFill>
                </w14:textFill>
              </w:rPr>
              <w:t>.814kg/Nm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，即最大储存量0.35</w:t>
            </w:r>
            <w:r>
              <w:rPr>
                <w:rFonts w:hint="default"/>
                <w:color w:val="000000" w:themeColor="text1"/>
                <w:highlight w:val="none"/>
                <w:lang w:val="en-US" w:eastAsia="zh-CN"/>
                <w14:textFill>
                  <w14:solidFill>
                    <w14:schemeClr w14:val="tx1"/>
                  </w14:solidFill>
                </w14:textFill>
              </w:rPr>
              <w:t>t</w:t>
            </w:r>
            <w:r>
              <w:rPr>
                <w:rFonts w:hint="eastAsia"/>
                <w:color w:val="000000" w:themeColor="text1"/>
                <w:highlight w:val="none"/>
                <w:lang w:val="en-US" w:eastAsia="zh-CN"/>
                <w14:textFill>
                  <w14:solidFill>
                    <w14:schemeClr w14:val="tx1"/>
                  </w14:solidFill>
                </w14:textFill>
              </w:rPr>
              <w:t>，天然气主要成分为甲烷，因此天然气参照甲烷的临界量。</w:t>
            </w:r>
          </w:p>
          <w:p>
            <w:pPr>
              <w:pStyle w:val="4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本项目风险物质数量与临界量比值Q计算见</w:t>
            </w:r>
            <w:r>
              <w:rPr>
                <w:rFonts w:hint="eastAsia"/>
                <w:color w:val="000000" w:themeColor="text1"/>
                <w:highlight w:val="none"/>
                <w:lang w:eastAsia="zh-CN"/>
                <w14:textFill>
                  <w14:solidFill>
                    <w14:schemeClr w14:val="tx1"/>
                  </w14:solidFill>
                </w14:textFill>
              </w:rPr>
              <w:t>下表</w:t>
            </w:r>
            <w:r>
              <w:rPr>
                <w:rFonts w:hint="eastAsia"/>
                <w:color w:val="000000" w:themeColor="text1"/>
                <w:highlight w:val="none"/>
                <w14:textFill>
                  <w14:solidFill>
                    <w14:schemeClr w14:val="tx1"/>
                  </w14:solidFill>
                </w14:textFill>
              </w:rPr>
              <w:t>。</w:t>
            </w:r>
          </w:p>
          <w:p>
            <w:pPr>
              <w:pStyle w:val="44"/>
              <w:bidi w:val="0"/>
              <w:jc w:val="center"/>
              <w:rPr>
                <w:rFonts w:hint="eastAsia"/>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表4</w:t>
            </w:r>
            <w:r>
              <w:rPr>
                <w:rFonts w:hint="eastAsia"/>
                <w:b/>
                <w:bCs/>
                <w:color w:val="000000" w:themeColor="text1"/>
                <w:sz w:val="21"/>
                <w:szCs w:val="21"/>
                <w:highlight w:val="none"/>
                <w:lang w:val="en-US" w:eastAsia="zh-CN"/>
                <w14:textFill>
                  <w14:solidFill>
                    <w14:schemeClr w14:val="tx1"/>
                  </w14:solidFill>
                </w14:textFill>
              </w:rPr>
              <w:t>-22</w:t>
            </w:r>
            <w:r>
              <w:rPr>
                <w:rFonts w:hint="eastAsia"/>
                <w:b/>
                <w:bCs/>
                <w:color w:val="000000" w:themeColor="text1"/>
                <w:sz w:val="21"/>
                <w:szCs w:val="21"/>
                <w:highlight w:val="none"/>
                <w14:textFill>
                  <w14:solidFill>
                    <w14:schemeClr w14:val="tx1"/>
                  </w14:solidFill>
                </w14:textFill>
              </w:rPr>
              <w:t xml:space="preserve"> 建设项目</w:t>
            </w:r>
            <w:r>
              <w:rPr>
                <w:b/>
                <w:bCs/>
                <w:color w:val="000000" w:themeColor="text1"/>
                <w:sz w:val="21"/>
                <w:szCs w:val="21"/>
                <w:highlight w:val="none"/>
                <w14:textFill>
                  <w14:solidFill>
                    <w14:schemeClr w14:val="tx1"/>
                  </w14:solidFill>
                </w14:textFill>
              </w:rPr>
              <w:t>Q</w:t>
            </w:r>
            <w:r>
              <w:rPr>
                <w:rFonts w:hint="eastAsia"/>
                <w:b/>
                <w:bCs/>
                <w:color w:val="000000" w:themeColor="text1"/>
                <w:sz w:val="21"/>
                <w:szCs w:val="21"/>
                <w:highlight w:val="none"/>
                <w14:textFill>
                  <w14:solidFill>
                    <w14:schemeClr w14:val="tx1"/>
                  </w14:solidFill>
                </w14:textFill>
              </w:rPr>
              <w:t>值一览表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2673"/>
              <w:gridCol w:w="1316"/>
              <w:gridCol w:w="1640"/>
              <w:gridCol w:w="998"/>
              <w:gridCol w:w="12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1566"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 危险物质名称     </w:t>
                  </w:r>
                </w:p>
              </w:tc>
              <w:tc>
                <w:tcPr>
                  <w:tcW w:w="771"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CAS号</w:t>
                  </w:r>
                </w:p>
              </w:tc>
              <w:tc>
                <w:tcPr>
                  <w:tcW w:w="961"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最大存在总量qn/t</w:t>
                  </w:r>
                </w:p>
              </w:tc>
              <w:tc>
                <w:tcPr>
                  <w:tcW w:w="584"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临界量Qn/t</w:t>
                  </w:r>
                </w:p>
              </w:tc>
              <w:tc>
                <w:tcPr>
                  <w:tcW w:w="714"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pPr>
                    <w:pStyle w:val="4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1566" w:type="pct"/>
                  <w:tcBorders>
                    <w:tl2br w:val="nil"/>
                    <w:tr2bl w:val="nil"/>
                  </w:tcBorders>
                  <w:noWrap w:val="0"/>
                  <w:vAlign w:val="center"/>
                </w:tcPr>
                <w:p>
                  <w:pPr>
                    <w:pStyle w:val="45"/>
                    <w:bidi w:val="0"/>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甲烷</w:t>
                  </w:r>
                </w:p>
              </w:tc>
              <w:tc>
                <w:tcPr>
                  <w:tcW w:w="771"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10049-04-4</w:t>
                  </w:r>
                </w:p>
              </w:tc>
              <w:tc>
                <w:tcPr>
                  <w:tcW w:w="961"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0.35</w:t>
                  </w:r>
                </w:p>
              </w:tc>
              <w:tc>
                <w:tcPr>
                  <w:tcW w:w="584" w:type="pct"/>
                  <w:tcBorders>
                    <w:tl2br w:val="nil"/>
                    <w:tr2bl w:val="nil"/>
                  </w:tcBorders>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0.5</w:t>
                  </w:r>
                </w:p>
              </w:tc>
              <w:tc>
                <w:tcPr>
                  <w:tcW w:w="714"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p>
              </w:tc>
              <w:tc>
                <w:tcPr>
                  <w:tcW w:w="1566"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机油</w:t>
                  </w:r>
                </w:p>
              </w:tc>
              <w:tc>
                <w:tcPr>
                  <w:tcW w:w="771" w:type="pct"/>
                  <w:tcBorders>
                    <w:tl2br w:val="nil"/>
                    <w:tr2bl w:val="nil"/>
                  </w:tcBorders>
                  <w:noWrap w:val="0"/>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61" w:type="pct"/>
                  <w:tcBorders>
                    <w:tl2br w:val="nil"/>
                    <w:tr2bl w:val="nil"/>
                  </w:tcBorders>
                  <w:noWrap w:val="0"/>
                  <w:vAlign w:val="center"/>
                </w:tcPr>
                <w:p>
                  <w:pPr>
                    <w:pStyle w:val="45"/>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w:t>
                  </w:r>
                </w:p>
              </w:tc>
              <w:tc>
                <w:tcPr>
                  <w:tcW w:w="584"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2500</w:t>
                  </w:r>
                </w:p>
              </w:tc>
              <w:tc>
                <w:tcPr>
                  <w:tcW w:w="71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p>
              </w:tc>
              <w:tc>
                <w:tcPr>
                  <w:tcW w:w="1566"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液压油</w:t>
                  </w:r>
                </w:p>
              </w:tc>
              <w:tc>
                <w:tcPr>
                  <w:tcW w:w="771"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61" w:type="pct"/>
                  <w:tcBorders>
                    <w:tl2br w:val="nil"/>
                    <w:tr2bl w:val="nil"/>
                  </w:tcBorders>
                  <w:noWrap w:val="0"/>
                  <w:vAlign w:val="center"/>
                </w:tcPr>
                <w:p>
                  <w:pPr>
                    <w:pStyle w:val="45"/>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0.25</w:t>
                  </w:r>
                </w:p>
              </w:tc>
              <w:tc>
                <w:tcPr>
                  <w:tcW w:w="584"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2500</w:t>
                  </w:r>
                </w:p>
              </w:tc>
              <w:tc>
                <w:tcPr>
                  <w:tcW w:w="71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p>
              </w:tc>
              <w:tc>
                <w:tcPr>
                  <w:tcW w:w="1566" w:type="pct"/>
                  <w:tcBorders>
                    <w:tl2br w:val="nil"/>
                    <w:tr2bl w:val="nil"/>
                  </w:tcBorders>
                  <w:noWrap w:val="0"/>
                  <w:vAlign w:val="center"/>
                </w:tcPr>
                <w:p>
                  <w:pPr>
                    <w:pStyle w:val="45"/>
                    <w:bidi w:val="0"/>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齿轮油</w:t>
                  </w:r>
                </w:p>
              </w:tc>
              <w:tc>
                <w:tcPr>
                  <w:tcW w:w="771" w:type="pct"/>
                  <w:tcBorders>
                    <w:tl2br w:val="nil"/>
                    <w:tr2bl w:val="nil"/>
                  </w:tcBorders>
                  <w:noWrap w:val="0"/>
                  <w:vAlign w:val="center"/>
                </w:tcPr>
                <w:p>
                  <w:pPr>
                    <w:pStyle w:val="4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961" w:type="pct"/>
                  <w:tcBorders>
                    <w:tl2br w:val="nil"/>
                    <w:tr2bl w:val="nil"/>
                  </w:tcBorders>
                  <w:noWrap w:val="0"/>
                  <w:vAlign w:val="center"/>
                </w:tcPr>
                <w:p>
                  <w:pPr>
                    <w:pStyle w:val="45"/>
                    <w:bidi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0.2</w:t>
                  </w:r>
                </w:p>
              </w:tc>
              <w:tc>
                <w:tcPr>
                  <w:tcW w:w="584"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2500</w:t>
                  </w:r>
                </w:p>
              </w:tc>
              <w:tc>
                <w:tcPr>
                  <w:tcW w:w="714" w:type="pct"/>
                  <w:tcBorders>
                    <w:tl2br w:val="nil"/>
                    <w:tr2bl w:val="nil"/>
                  </w:tcBorders>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85" w:type="pct"/>
                  <w:gridSpan w:val="5"/>
                  <w:tcBorders>
                    <w:tl2br w:val="nil"/>
                    <w:tr2bl w:val="nil"/>
                  </w:tcBorders>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 xml:space="preserve">项目Q值∑ </w:t>
                  </w:r>
                </w:p>
              </w:tc>
              <w:tc>
                <w:tcPr>
                  <w:tcW w:w="714" w:type="pct"/>
                  <w:tcBorders>
                    <w:tl2br w:val="nil"/>
                    <w:tr2bl w:val="nil"/>
                  </w:tcBorders>
                  <w:noWrap w:val="0"/>
                  <w:vAlign w:val="center"/>
                </w:tcPr>
                <w:p>
                  <w:pPr>
                    <w:pStyle w:val="4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0.7</w:t>
                  </w:r>
                </w:p>
              </w:tc>
            </w:tr>
          </w:tbl>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由上表可知，项目Q值=0.</w:t>
            </w:r>
            <w:r>
              <w:rPr>
                <w:rFonts w:hint="eastAsia"/>
                <w:color w:val="000000" w:themeColor="text1"/>
                <w:highlight w:val="none"/>
                <w:lang w:val="en-US" w:eastAsia="zh-CN"/>
                <w14:textFill>
                  <w14:solidFill>
                    <w14:schemeClr w14:val="tx1"/>
                  </w14:solidFill>
                </w14:textFill>
              </w:rPr>
              <w:t>70022</w:t>
            </w:r>
            <w:r>
              <w:rPr>
                <w:rFonts w:hint="eastAsia"/>
                <w:color w:val="000000" w:themeColor="text1"/>
                <w:highlight w:val="none"/>
                <w14:textFill>
                  <w14:solidFill>
                    <w14:schemeClr w14:val="tx1"/>
                  </w14:solidFill>
                </w14:textFill>
              </w:rPr>
              <w:t>＜1，因此，无需设置专项评</w:t>
            </w:r>
            <w:r>
              <w:rPr>
                <w:rFonts w:hint="eastAsia"/>
                <w:color w:val="000000" w:themeColor="text1"/>
                <w:highlight w:val="none"/>
                <w:lang w:eastAsia="zh-CN"/>
                <w14:textFill>
                  <w14:solidFill>
                    <w14:schemeClr w14:val="tx1"/>
                  </w14:solidFill>
                </w14:textFill>
              </w:rPr>
              <w:t>价。</w:t>
            </w:r>
          </w:p>
          <w:p>
            <w:pPr>
              <w:pStyle w:val="44"/>
              <w:numPr>
                <w:ilvl w:val="0"/>
                <w:numId w:val="0"/>
              </w:numPr>
              <w:bidi w:val="0"/>
              <w:ind w:firstLine="480" w:firstLineChars="200"/>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环境风险影响分析</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存在的主要风险为天然气发生泄漏、火灾、爆炸等危害，当出现天然气管道破裂事故时，可能带来下列危害：天然气若立即着火即产生燃烧热辐射，在危害距离内的人会受到热辐射伤害；天然气若未立即着火可形成爆炸气体云团，遇火就会发生爆炸，在危险距离以内，人会受到爆炸冲击波的伤害，建筑物会受到损伤；若天然气超过一定浓度时可能会导致泄漏点附近人员窒息。</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泄漏：本项目厂区内管道天然气暂存量较少，泄漏对周围大气、地表水及地下水影响较小。</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火灾、爆炸：天然气为易燃气体，与空气能形成爆炸性混合物，容易发生火灾爆炸，除爆炸冲击波和热辐射伤害之外，火灾和爆炸过程中天然气燃烧后主要产生水、CO、CO</w:t>
            </w:r>
            <w:r>
              <w:rPr>
                <w:rFonts w:hint="eastAsia"/>
                <w:color w:val="000000" w:themeColor="text1"/>
                <w:highlight w:val="none"/>
                <w:vertAlign w:val="sub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等物质，对下风向一定范围内的空气环境质量产生影响。发生火灾后，救援过程中产生的消防废水如果控制不当，可能进入雨水管网或下渗，造成地表水和地下水污染。</w:t>
            </w:r>
          </w:p>
          <w:p>
            <w:pPr>
              <w:pStyle w:val="44"/>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（3）环境风险防范措施 </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①天然气输送管道的设计、布置须符合相关要求，必须与其他构筑物有足够的间隔距离。厂区总平面布置须符合防范事故要求，有应急救援设施及救援通道、应急疏散及避难所，</w:t>
            </w:r>
            <w:r>
              <w:rPr>
                <w:rFonts w:hint="eastAsia" w:ascii="宋体" w:hAnsi="宋体" w:cs="宋体"/>
                <w:color w:val="000000" w:themeColor="text1"/>
                <w:szCs w:val="21"/>
                <w:highlight w:val="none"/>
                <w14:textFill>
                  <w14:solidFill>
                    <w14:schemeClr w14:val="tx1"/>
                  </w14:solidFill>
                </w14:textFill>
              </w:rPr>
              <w:t>配备一定数量的干粉灭火器</w:t>
            </w:r>
            <w:r>
              <w:rPr>
                <w:rFonts w:hint="eastAsia" w:ascii="宋体" w:hAnsi="宋体" w:cs="宋体"/>
                <w:color w:val="000000" w:themeColor="text1"/>
                <w:szCs w:val="21"/>
                <w:highlight w:val="none"/>
                <w:lang w:eastAsia="zh-CN"/>
                <w14:textFill>
                  <w14:solidFill>
                    <w14:schemeClr w14:val="tx1"/>
                  </w14:solidFill>
                </w14:textFill>
              </w:rPr>
              <w:t>等消防器材</w:t>
            </w:r>
            <w:r>
              <w:rPr>
                <w:rFonts w:hint="eastAsia"/>
                <w:color w:val="000000" w:themeColor="text1"/>
                <w:highlight w:val="none"/>
                <w:lang w:val="en-US" w:eastAsia="zh-CN"/>
                <w14:textFill>
                  <w14:solidFill>
                    <w14:schemeClr w14:val="tx1"/>
                  </w14:solidFill>
                </w14:textFill>
              </w:rPr>
              <w:t>。</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②如果管路、阀门、软管发生泄漏，在查明原因并消除缺陷之前应停止与泄漏部位相关的作业。</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③加强巡检，巡检除应注意借助有关检漏工具或仪器发现管道泄漏迹象外，更积极的做法是还要记录和报告可能对管道存在潜在的危害。</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④阀的关闭原则上应从上游开始进行，若燃气在输送中，不能急速关闭阀门。</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⑤建立有效的通报系统。此系统最基本要求为运转时间、记录保存、通报方法、非上班时间通报方法和通报的及时性，最重要的是接到通报后的回应。</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⑥应急预案</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根据《辽宁省突发环境事件应急预案备案行业名录（试行）》（辽环综函〔2020〕192号）文件要求，建设单位应当尽快编制（或委托相关技术单位编制）突发环境事件应急预案。建设单位的突发环境事件应急预案的编制、评估、备案和实施等，应按《企业事业单位突发环境事件应急备案管理办法（试行）》（环发〔2015〕4号）等相关规定执行。</w:t>
            </w:r>
          </w:p>
          <w:p>
            <w:pPr>
              <w:pStyle w:val="4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本项目不存在重大危险源，项目发生风险的几率很小，对危险废物采取相应的防范措施，控制其风险，加强对全体员工防范事故风险能力的培训，可降低风险发生的几率和造成的影响。本项目风险处于可接受水平，风险管理</w:t>
            </w:r>
            <w:r>
              <w:rPr>
                <w:rFonts w:hint="eastAsia"/>
                <w:color w:val="000000" w:themeColor="text1"/>
                <w:highlight w:val="none"/>
                <w:lang w:val="en-US" w:eastAsia="zh-CN"/>
                <w14:textFill>
                  <w14:solidFill>
                    <w14:schemeClr w14:val="tx1"/>
                  </w14:solidFill>
                </w14:textFill>
              </w:rPr>
              <w:t>措施有效、可靠，从风险角度而言是可行的。</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4.2.8环境管理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为切实加强环境保护工作，搞好全厂污染源的监控，需配备专职或兼职环保管理人员2人，负责企业环保工作，其职责如下：</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①贯彻执行《中华人民共和国环境保护法》及其相关法律、法规，按国家的环保政策、环境标准及环境监测要求，制定环境管理规章制度，并监督执行；</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②掌握本企业各污染源治理措施工艺、设备、运行及维护等资料，掌握废物综合利用情况，建立污染控制管理档案；</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③检查企业环保设施的运行情况，领导和组织本企业的环境监测工作，制定应急防范措施，一旦发生风险排污应及时组织好污染监测工作，并分析原因，总结经验教训，杜绝污染事故的发生；</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④制定生产过程中各项污染物排放指标以及环保设施的运行参数，定期考核统计；</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⑤推广应用先进的环保技术和经验，组织开展环保专业技术培训，搞好环境保护的宣传工作，增强全厂人员的环境保护意识；</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⑥根据《固定污染源排污许可分类管理名录(2019年版)》，本项目应做好排污许可登记工作；</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⑦根据《建设项目竣工环境保护验收暂行办法》的规定，建设项目竣工后，建设单位应当如实查验、监测、记录建设项目环境保护设施的建设和调试情况，编制验收监测报告；</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⑧监督本项目环保设施的安装、调试等工作，坚持“三同时”原则，保证环保设施设计、施工、运行与主体工程同时进行；</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⑨环境管理台账，设置专职人员开展台账记录、整理、维护和管理工作。记录应按照电子化储存和纸质储存两种形式同步管理，保存期限不少于5年以上，做好原辅料、生产运行、废气治理设施、废气排放、固体废物管理等台账管理工作；</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⑩增强职工全员环保意识，组织开展本企业的应急预案培训和演练，杜绝生产过程中污染事故的发生。</w:t>
            </w:r>
          </w:p>
          <w:p>
            <w:pPr>
              <w:pStyle w:val="44"/>
              <w:bidi w:val="0"/>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4.2.9保投资核算</w:t>
            </w:r>
          </w:p>
          <w:p>
            <w:pPr>
              <w:pStyle w:val="44"/>
              <w:bidi w:val="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本次项目总投资12000万元，其中环保投资约71.5万元，环保投资占项目总投资0.60%。建设项目环保投资具体见下表。</w:t>
            </w:r>
          </w:p>
          <w:p>
            <w:pPr>
              <w:pStyle w:val="58"/>
              <w:keepNext w:val="0"/>
              <w:keepLines w:val="0"/>
              <w:pageBreakBefore w:val="0"/>
              <w:widowControl w:val="0"/>
              <w:kinsoku/>
              <w:wordWrap/>
              <w:overflowPunct/>
              <w:topLinePunct w:val="0"/>
              <w:autoSpaceDE/>
              <w:autoSpaceDN/>
              <w:bidi w:val="0"/>
              <w:adjustRightInd w:val="0"/>
              <w:snapToGrid w:val="0"/>
              <w:spacing w:before="72" w:beforeLines="30" w:line="240" w:lineRule="auto"/>
              <w:ind w:firstLine="0"/>
              <w:jc w:val="center"/>
              <w:textAlignment w:val="auto"/>
              <w:rPr>
                <w:rFonts w:hint="eastAsia"/>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表</w:t>
            </w:r>
            <w:r>
              <w:rPr>
                <w:rFonts w:hint="eastAsia"/>
                <w:b/>
                <w:bCs/>
                <w:color w:val="000000" w:themeColor="text1"/>
                <w:sz w:val="21"/>
                <w:szCs w:val="21"/>
                <w:highlight w:val="none"/>
                <w14:textFill>
                  <w14:solidFill>
                    <w14:schemeClr w14:val="tx1"/>
                  </w14:solidFill>
                </w14:textFill>
              </w:rPr>
              <w:t>4-</w:t>
            </w:r>
            <w:r>
              <w:rPr>
                <w:rFonts w:hint="eastAsia"/>
                <w:b/>
                <w:bCs/>
                <w:color w:val="000000" w:themeColor="text1"/>
                <w:sz w:val="21"/>
                <w:szCs w:val="21"/>
                <w:highlight w:val="none"/>
                <w:lang w:val="en-US" w:eastAsia="zh-CN"/>
                <w14:textFill>
                  <w14:solidFill>
                    <w14:schemeClr w14:val="tx1"/>
                  </w14:solidFill>
                </w14:textFill>
              </w:rPr>
              <w:t xml:space="preserve">23 </w:t>
            </w:r>
            <w:r>
              <w:rPr>
                <w:b/>
                <w:bCs/>
                <w:color w:val="000000" w:themeColor="text1"/>
                <w:sz w:val="21"/>
                <w:szCs w:val="21"/>
                <w:highlight w:val="none"/>
                <w14:textFill>
                  <w14:solidFill>
                    <w14:schemeClr w14:val="tx1"/>
                  </w14:solidFill>
                </w14:textFill>
              </w:rPr>
              <w:t>环保投资估算一览表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1"/>
              <w:gridCol w:w="946"/>
              <w:gridCol w:w="5161"/>
              <w:gridCol w:w="1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b w:val="0"/>
                      <w:bCs w:val="0"/>
                      <w:color w:val="000000" w:themeColor="text1"/>
                      <w:sz w:val="21"/>
                      <w:szCs w:val="21"/>
                      <w:highlight w:val="none"/>
                      <w:lang w:val="zh-CN"/>
                      <w14:textFill>
                        <w14:solidFill>
                          <w14:schemeClr w14:val="tx1"/>
                        </w14:solidFill>
                      </w14:textFill>
                    </w:rPr>
                  </w:pPr>
                  <w:r>
                    <w:rPr>
                      <w:rFonts w:hint="eastAsia"/>
                      <w:b w:val="0"/>
                      <w:bCs w:val="0"/>
                      <w:color w:val="000000" w:themeColor="text1"/>
                      <w:sz w:val="21"/>
                      <w:szCs w:val="21"/>
                      <w:highlight w:val="none"/>
                      <w:lang w:val="zh-CN"/>
                      <w14:textFill>
                        <w14:solidFill>
                          <w14:schemeClr w14:val="tx1"/>
                        </w14:solidFill>
                      </w14:textFill>
                    </w:rPr>
                    <w:t>时段</w:t>
                  </w:r>
                </w:p>
              </w:tc>
              <w:tc>
                <w:tcPr>
                  <w:tcW w:w="5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zh-CN" w:eastAsia="zh-CN" w:bidi="ar-SA"/>
                      <w14:textFill>
                        <w14:solidFill>
                          <w14:schemeClr w14:val="tx1"/>
                        </w14:solidFill>
                      </w14:textFill>
                    </w:rPr>
                  </w:pPr>
                  <w:r>
                    <w:rPr>
                      <w:b w:val="0"/>
                      <w:bCs w:val="0"/>
                      <w:color w:val="000000" w:themeColor="text1"/>
                      <w:sz w:val="21"/>
                      <w:szCs w:val="21"/>
                      <w:highlight w:val="none"/>
                      <w:lang w:val="zh-CN"/>
                      <w14:textFill>
                        <w14:solidFill>
                          <w14:schemeClr w14:val="tx1"/>
                        </w14:solidFill>
                      </w14:textFill>
                    </w:rPr>
                    <w:t>类型</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b w:val="0"/>
                      <w:bCs w:val="0"/>
                      <w:color w:val="000000" w:themeColor="text1"/>
                      <w:sz w:val="21"/>
                      <w:szCs w:val="21"/>
                      <w:highlight w:val="none"/>
                      <w14:textFill>
                        <w14:solidFill>
                          <w14:schemeClr w14:val="tx1"/>
                        </w14:solidFill>
                      </w14:textFill>
                    </w:rPr>
                    <w:t>环保设施</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zh-CN" w:eastAsia="zh-CN" w:bidi="ar-SA"/>
                      <w14:textFill>
                        <w14:solidFill>
                          <w14:schemeClr w14:val="tx1"/>
                        </w14:solidFill>
                      </w14:textFill>
                    </w:rPr>
                  </w:pPr>
                  <w:r>
                    <w:rPr>
                      <w:b w:val="0"/>
                      <w:bCs w:val="0"/>
                      <w:color w:val="000000" w:themeColor="text1"/>
                      <w:sz w:val="21"/>
                      <w:szCs w:val="21"/>
                      <w:highlight w:val="none"/>
                      <w14:textFill>
                        <w14:solidFill>
                          <w14:schemeClr w14:val="tx1"/>
                        </w14:solidFill>
                      </w14:textFill>
                    </w:rPr>
                    <w:t>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施工期</w:t>
                  </w:r>
                </w:p>
              </w:tc>
              <w:tc>
                <w:tcPr>
                  <w:tcW w:w="5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废气</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沿施工场地设置高2.5m围挡</w:t>
                  </w:r>
                  <w:r>
                    <w:rPr>
                      <w:rFonts w:hint="eastAsia"/>
                      <w:b w:val="0"/>
                      <w:bCs w:val="0"/>
                      <w:color w:val="000000" w:themeColor="text1"/>
                      <w:kern w:val="2"/>
                      <w:sz w:val="21"/>
                      <w:szCs w:val="21"/>
                      <w:highlight w:val="none"/>
                      <w:lang w:val="en-US" w:eastAsia="zh-CN" w:bidi="ar-SA"/>
                      <w14:textFill>
                        <w14:solidFill>
                          <w14:schemeClr w14:val="tx1"/>
                        </w14:solidFill>
                      </w14:textFill>
                    </w:rPr>
                    <w:t>、防尘网、洒水抑尘</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p>
              </w:tc>
              <w:tc>
                <w:tcPr>
                  <w:tcW w:w="5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废水</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新建临时化粪池、沉淀池各1个</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运营期</w:t>
                  </w:r>
                </w:p>
              </w:tc>
              <w:tc>
                <w:tcPr>
                  <w:tcW w:w="55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sz w:val="21"/>
                      <w:szCs w:val="21"/>
                      <w:highlight w:val="none"/>
                      <w14:textFill>
                        <w14:solidFill>
                          <w14:schemeClr w14:val="tx1"/>
                        </w14:solidFill>
                      </w14:textFill>
                    </w:rPr>
                    <w:t>废气</w:t>
                  </w:r>
                </w:p>
              </w:tc>
              <w:tc>
                <w:tcPr>
                  <w:tcW w:w="3023" w:type="pct"/>
                  <w:tcBorders>
                    <w:tl2br w:val="nil"/>
                    <w:tr2bl w:val="nil"/>
                  </w:tcBorders>
                  <w:noWrap w:val="0"/>
                  <w:vAlign w:val="center"/>
                </w:tcPr>
                <w:p>
                  <w:pPr>
                    <w:pStyle w:val="9"/>
                    <w:jc w:val="center"/>
                    <w:rPr>
                      <w:rFonts w:hint="default"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新增</w:t>
                  </w:r>
                  <w:r>
                    <w:rPr>
                      <w:rFonts w:hint="eastAsia"/>
                      <w:b w:val="0"/>
                      <w:bCs w:val="0"/>
                      <w:color w:val="000000" w:themeColor="text1"/>
                      <w:kern w:val="2"/>
                      <w:sz w:val="21"/>
                      <w:szCs w:val="21"/>
                      <w:highlight w:val="none"/>
                      <w:lang w:val="en-US" w:eastAsia="zh-CN" w:bidi="ar-SA"/>
                      <w14:textFill>
                        <w14:solidFill>
                          <w14:schemeClr w14:val="tx1"/>
                        </w14:solidFill>
                      </w14:textFill>
                    </w:rPr>
                    <w:t>13个脉冲式布袋除尘器</w:t>
                  </w:r>
                  <w:r>
                    <w:rPr>
                      <w:rFonts w:hint="eastAsia"/>
                      <w:color w:val="000000" w:themeColor="text1"/>
                      <w:sz w:val="21"/>
                      <w:szCs w:val="21"/>
                      <w:highlight w:val="none"/>
                      <w:lang w:val="en-US" w:eastAsia="zh-CN"/>
                      <w14:textFill>
                        <w14:solidFill>
                          <w14:schemeClr w14:val="tx1"/>
                        </w14:solidFill>
                      </w14:textFill>
                    </w:rPr>
                    <w:t>+集气罩+15m排气筒</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3023" w:type="pct"/>
                  <w:tcBorders>
                    <w:tl2br w:val="nil"/>
                    <w:tr2bl w:val="nil"/>
                  </w:tcBorders>
                  <w:noWrap w:val="0"/>
                  <w:vAlign w:val="center"/>
                </w:tcPr>
                <w:p>
                  <w:pPr>
                    <w:pStyle w:val="9"/>
                    <w:jc w:val="center"/>
                    <w:rPr>
                      <w:rFonts w:hint="eastAsia"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新增</w:t>
                  </w:r>
                  <w:r>
                    <w:rPr>
                      <w:rFonts w:hint="eastAsia"/>
                      <w:b w:val="0"/>
                      <w:bCs w:val="0"/>
                      <w:color w:val="000000" w:themeColor="text1"/>
                      <w:kern w:val="2"/>
                      <w:sz w:val="21"/>
                      <w:szCs w:val="21"/>
                      <w:highlight w:val="none"/>
                      <w:lang w:val="en-US" w:eastAsia="zh-CN" w:bidi="ar-SA"/>
                      <w14:textFill>
                        <w14:solidFill>
                          <w14:schemeClr w14:val="tx1"/>
                        </w14:solidFill>
                      </w14:textFill>
                    </w:rPr>
                    <w:t>3个脉冲刹克龙除尘器</w:t>
                  </w:r>
                  <w:r>
                    <w:rPr>
                      <w:rFonts w:hint="eastAsia"/>
                      <w:color w:val="000000" w:themeColor="text1"/>
                      <w:sz w:val="21"/>
                      <w:szCs w:val="21"/>
                      <w:highlight w:val="none"/>
                      <w:lang w:val="en-US" w:eastAsia="zh-CN"/>
                      <w14:textFill>
                        <w14:solidFill>
                          <w14:schemeClr w14:val="tx1"/>
                        </w14:solidFill>
                      </w14:textFill>
                    </w:rPr>
                    <w:t>+15m排气筒</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3023" w:type="pct"/>
                  <w:tcBorders>
                    <w:tl2br w:val="nil"/>
                    <w:tr2bl w:val="nil"/>
                  </w:tcBorders>
                  <w:noWrap w:val="0"/>
                  <w:vAlign w:val="center"/>
                </w:tcPr>
                <w:p>
                  <w:pPr>
                    <w:pStyle w:val="9"/>
                    <w:jc w:val="center"/>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新增1套燃气锅炉低氮燃烧器+8m高排气筒</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3023" w:type="pct"/>
                  <w:tcBorders>
                    <w:tl2br w:val="nil"/>
                    <w:tr2bl w:val="nil"/>
                  </w:tcBorders>
                  <w:noWrap w:val="0"/>
                  <w:vAlign w:val="center"/>
                </w:tcPr>
                <w:p>
                  <w:pPr>
                    <w:pStyle w:val="9"/>
                    <w:jc w:val="center"/>
                    <w:rPr>
                      <w:rFonts w:hint="eastAsia"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新增食堂油烟净化器</w:t>
                  </w:r>
                  <w:r>
                    <w:rPr>
                      <w:rFonts w:hint="eastAsia"/>
                      <w:color w:val="000000" w:themeColor="text1"/>
                      <w:sz w:val="21"/>
                      <w:szCs w:val="21"/>
                      <w:highlight w:val="none"/>
                      <w:lang w:val="en-US" w:eastAsia="zh-CN"/>
                      <w14:textFill>
                        <w14:solidFill>
                          <w14:schemeClr w14:val="tx1"/>
                        </w14:solidFill>
                      </w14:textFill>
                    </w:rPr>
                    <w:t>+楼顶排气筒</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废水</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新增1个化粪池</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新增食堂隔油池</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lang w:eastAsia="zh-CN"/>
                      <w14:textFill>
                        <w14:solidFill>
                          <w14:schemeClr w14:val="tx1"/>
                        </w14:solidFill>
                      </w14:textFill>
                    </w:rPr>
                  </w:pP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新增1个排污口</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b w:val="0"/>
                      <w:bCs w:val="0"/>
                      <w:color w:val="000000" w:themeColor="text1"/>
                      <w:sz w:val="21"/>
                      <w:szCs w:val="21"/>
                      <w:highlight w:val="none"/>
                      <w14:textFill>
                        <w14:solidFill>
                          <w14:schemeClr w14:val="tx1"/>
                        </w14:solidFill>
                      </w14:textFill>
                    </w:rPr>
                  </w:pPr>
                </w:p>
              </w:tc>
              <w:tc>
                <w:tcPr>
                  <w:tcW w:w="5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b w:val="0"/>
                      <w:bCs w:val="0"/>
                      <w:color w:val="000000" w:themeColor="text1"/>
                      <w:sz w:val="21"/>
                      <w:szCs w:val="21"/>
                      <w:highlight w:val="none"/>
                      <w14:textFill>
                        <w14:solidFill>
                          <w14:schemeClr w14:val="tx1"/>
                        </w14:solidFill>
                      </w14:textFill>
                    </w:rPr>
                    <w:t>噪声</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固定设备设置隔声减振措施</w:t>
                  </w:r>
                  <w:r>
                    <w:rPr>
                      <w:rFonts w:hint="eastAsia"/>
                      <w:color w:val="000000" w:themeColor="text1"/>
                      <w:sz w:val="21"/>
                      <w:szCs w:val="21"/>
                      <w:highlight w:val="none"/>
                      <w:lang w:eastAsia="zh-CN"/>
                      <w14:textFill>
                        <w14:solidFill>
                          <w14:schemeClr w14:val="tx1"/>
                        </w14:solidFill>
                      </w14:textFill>
                    </w:rPr>
                    <w:t>、风机消声</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55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sz w:val="21"/>
                      <w:szCs w:val="21"/>
                      <w:highlight w:val="none"/>
                      <w14:textFill>
                        <w14:solidFill>
                          <w14:schemeClr w14:val="tx1"/>
                        </w14:solidFill>
                      </w14:textFill>
                    </w:rPr>
                    <w:t>固废</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eastAsia="宋体"/>
                      <w:b w:val="0"/>
                      <w:bCs w:val="0"/>
                      <w:color w:val="000000" w:themeColor="text1"/>
                      <w:kern w:val="2"/>
                      <w:sz w:val="21"/>
                      <w:szCs w:val="21"/>
                      <w:highlight w:val="none"/>
                      <w:lang w:val="en-US" w:eastAsia="zh-CN" w:bidi="ar-SA"/>
                      <w14:textFill>
                        <w14:solidFill>
                          <w14:schemeClr w14:val="tx1"/>
                        </w14:solidFill>
                      </w14:textFill>
                    </w:rPr>
                    <w:t>新增</w:t>
                  </w:r>
                  <w:r>
                    <w:rPr>
                      <w:rFonts w:hint="eastAsia"/>
                      <w:b w:val="0"/>
                      <w:bCs w:val="0"/>
                      <w:color w:val="000000" w:themeColor="text1"/>
                      <w:kern w:val="2"/>
                      <w:sz w:val="21"/>
                      <w:szCs w:val="21"/>
                      <w:highlight w:val="none"/>
                      <w:lang w:val="en-US" w:eastAsia="zh-CN" w:bidi="ar-SA"/>
                      <w14:textFill>
                        <w14:solidFill>
                          <w14:schemeClr w14:val="tx1"/>
                        </w14:solidFill>
                      </w14:textFill>
                    </w:rPr>
                    <w:t>10</w:t>
                  </w:r>
                  <w:r>
                    <w:rPr>
                      <w:rFonts w:hint="eastAsia" w:eastAsia="宋体"/>
                      <w:b w:val="0"/>
                      <w:bCs w:val="0"/>
                      <w:color w:val="000000" w:themeColor="text1"/>
                      <w:kern w:val="2"/>
                      <w:sz w:val="21"/>
                      <w:szCs w:val="21"/>
                      <w:highlight w:val="none"/>
                      <w:lang w:val="en-US" w:eastAsia="zh-CN" w:bidi="ar-SA"/>
                      <w14:textFill>
                        <w14:solidFill>
                          <w14:schemeClr w14:val="tx1"/>
                        </w14:solidFill>
                      </w14:textFill>
                    </w:rPr>
                    <w:t>个生活垃圾桶</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新增1个15m</w:t>
                  </w:r>
                  <w:r>
                    <w:rPr>
                      <w:rFonts w:hint="eastAsia"/>
                      <w:b w:val="0"/>
                      <w:bCs w:val="0"/>
                      <w:color w:val="000000" w:themeColor="text1"/>
                      <w:kern w:val="2"/>
                      <w:sz w:val="21"/>
                      <w:szCs w:val="21"/>
                      <w:highlight w:val="none"/>
                      <w:vertAlign w:val="superscript"/>
                      <w:lang w:val="en-US" w:eastAsia="zh-CN" w:bidi="ar-SA"/>
                      <w14:textFill>
                        <w14:solidFill>
                          <w14:schemeClr w14:val="tx1"/>
                        </w14:solidFill>
                      </w14:textFill>
                    </w:rPr>
                    <w:t>2</w:t>
                  </w:r>
                  <w:r>
                    <w:rPr>
                      <w:rFonts w:hint="eastAsia"/>
                      <w:b w:val="0"/>
                      <w:bCs w:val="0"/>
                      <w:color w:val="000000" w:themeColor="text1"/>
                      <w:kern w:val="2"/>
                      <w:sz w:val="21"/>
                      <w:szCs w:val="21"/>
                      <w:highlight w:val="none"/>
                      <w:lang w:val="en-US" w:eastAsia="zh-CN" w:bidi="ar-SA"/>
                      <w14:textFill>
                        <w14:solidFill>
                          <w14:schemeClr w14:val="tx1"/>
                        </w14:solidFill>
                      </w14:textFill>
                    </w:rPr>
                    <w:t>的一般工业固体废物暂存间</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5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新增1个10m</w:t>
                  </w:r>
                  <w:r>
                    <w:rPr>
                      <w:rFonts w:hint="eastAsia"/>
                      <w:b w:val="0"/>
                      <w:bCs w:val="0"/>
                      <w:color w:val="000000" w:themeColor="text1"/>
                      <w:kern w:val="2"/>
                      <w:sz w:val="21"/>
                      <w:szCs w:val="21"/>
                      <w:highlight w:val="none"/>
                      <w:vertAlign w:val="superscript"/>
                      <w:lang w:val="en-US" w:eastAsia="zh-CN" w:bidi="ar-SA"/>
                      <w14:textFill>
                        <w14:solidFill>
                          <w14:schemeClr w14:val="tx1"/>
                        </w14:solidFill>
                      </w14:textFill>
                    </w:rPr>
                    <w:t>2</w:t>
                  </w:r>
                  <w:r>
                    <w:rPr>
                      <w:rFonts w:hint="eastAsia"/>
                      <w:b w:val="0"/>
                      <w:bCs w:val="0"/>
                      <w:color w:val="000000" w:themeColor="text1"/>
                      <w:kern w:val="2"/>
                      <w:sz w:val="21"/>
                      <w:szCs w:val="21"/>
                      <w:highlight w:val="none"/>
                      <w:lang w:val="en-US" w:eastAsia="zh-CN" w:bidi="ar-SA"/>
                      <w14:textFill>
                        <w14:solidFill>
                          <w14:schemeClr w14:val="tx1"/>
                        </w14:solidFill>
                      </w14:textFill>
                    </w:rPr>
                    <w:t>的危险废物贮存点</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b w:val="0"/>
                      <w:bCs w:val="0"/>
                      <w:color w:val="000000" w:themeColor="text1"/>
                      <w:sz w:val="21"/>
                      <w:szCs w:val="21"/>
                      <w:highlight w:val="none"/>
                      <w14:textFill>
                        <w14:solidFill>
                          <w14:schemeClr w14:val="tx1"/>
                        </w14:solidFill>
                      </w14:textFill>
                    </w:rPr>
                  </w:pPr>
                </w:p>
              </w:tc>
              <w:tc>
                <w:tcPr>
                  <w:tcW w:w="5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防渗</w:t>
                  </w:r>
                </w:p>
              </w:tc>
              <w:tc>
                <w:tcPr>
                  <w:tcW w:w="30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eastAsia="宋体"/>
                      <w:b w:val="0"/>
                      <w:bCs w:val="0"/>
                      <w:color w:val="000000" w:themeColor="text1"/>
                      <w:kern w:val="2"/>
                      <w:sz w:val="21"/>
                      <w:szCs w:val="21"/>
                      <w:highlight w:val="none"/>
                      <w:lang w:val="en-US" w:eastAsia="zh-CN" w:bidi="ar-SA"/>
                      <w14:textFill>
                        <w14:solidFill>
                          <w14:schemeClr w14:val="tx1"/>
                        </w14:solidFill>
                      </w14:textFill>
                    </w:rPr>
                  </w:pPr>
                  <w:r>
                    <w:rPr>
                      <w:rFonts w:hint="eastAsia"/>
                      <w:b w:val="0"/>
                      <w:bCs w:val="0"/>
                      <w:color w:val="000000" w:themeColor="text1"/>
                      <w:kern w:val="2"/>
                      <w:sz w:val="21"/>
                      <w:szCs w:val="21"/>
                      <w:highlight w:val="none"/>
                      <w:lang w:val="en-US" w:eastAsia="zh-CN" w:bidi="ar-SA"/>
                      <w14:textFill>
                        <w14:solidFill>
                          <w14:schemeClr w14:val="tx1"/>
                        </w14:solidFill>
                      </w14:textFill>
                    </w:rPr>
                    <w:t>储油罐区、危险废物贮存点重点防渗，化粪池、隔油池、一般工业固体废物暂存间</w:t>
                  </w:r>
                  <w:r>
                    <w:rPr>
                      <w:rFonts w:hint="eastAsia" w:eastAsiaTheme="minorEastAsia"/>
                      <w:b w:val="0"/>
                      <w:bCs/>
                      <w:color w:val="000000" w:themeColor="text1"/>
                      <w:sz w:val="21"/>
                      <w:szCs w:val="21"/>
                      <w:highlight w:val="none"/>
                      <w:lang w:val="en-US" w:eastAsia="zh-CN"/>
                      <w14:textFill>
                        <w14:solidFill>
                          <w14:schemeClr w14:val="tx1"/>
                        </w14:solidFill>
                      </w14:textFill>
                    </w:rPr>
                    <w:t>一般防渗、</w:t>
                  </w:r>
                  <w:r>
                    <w:rPr>
                      <w:rFonts w:hint="eastAsia"/>
                      <w:b w:val="0"/>
                      <w:bCs w:val="0"/>
                      <w:color w:val="000000" w:themeColor="text1"/>
                      <w:kern w:val="2"/>
                      <w:sz w:val="21"/>
                      <w:szCs w:val="21"/>
                      <w:highlight w:val="none"/>
                      <w:lang w:val="en-US" w:eastAsia="zh-CN" w:bidi="ar-SA"/>
                      <w14:textFill>
                        <w14:solidFill>
                          <w14:schemeClr w14:val="tx1"/>
                        </w14:solidFill>
                      </w14:textFill>
                    </w:rPr>
                    <w:t>主车间、锅炉房</w:t>
                  </w:r>
                  <w:r>
                    <w:rPr>
                      <w:rFonts w:hint="eastAsia" w:eastAsiaTheme="minorEastAsia"/>
                      <w:b w:val="0"/>
                      <w:bCs/>
                      <w:color w:val="000000" w:themeColor="text1"/>
                      <w:sz w:val="21"/>
                      <w:szCs w:val="21"/>
                      <w:highlight w:val="none"/>
                      <w:lang w:val="en-US" w:eastAsia="zh-CN"/>
                      <w14:textFill>
                        <w14:solidFill>
                          <w14:schemeClr w14:val="tx1"/>
                        </w14:solidFill>
                      </w14:textFill>
                    </w:rPr>
                    <w:t>简单防渗</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eastAsia="宋体"/>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6"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b w:val="0"/>
                      <w:bCs w:val="0"/>
                      <w:color w:val="000000" w:themeColor="text1"/>
                      <w:kern w:val="2"/>
                      <w:sz w:val="21"/>
                      <w:szCs w:val="21"/>
                      <w:highlight w:val="none"/>
                      <w:lang w:val="en-US" w:eastAsia="zh-CN" w:bidi="ar-SA"/>
                      <w14:textFill>
                        <w14:solidFill>
                          <w14:schemeClr w14:val="tx1"/>
                        </w14:solidFill>
                      </w14:textFill>
                    </w:rPr>
                  </w:pPr>
                  <w:r>
                    <w:rPr>
                      <w:b w:val="0"/>
                      <w:bCs w:val="0"/>
                      <w:color w:val="000000" w:themeColor="text1"/>
                      <w:sz w:val="21"/>
                      <w:szCs w:val="21"/>
                      <w:highlight w:val="none"/>
                      <w14:textFill>
                        <w14:solidFill>
                          <w14:schemeClr w14:val="tx1"/>
                        </w14:solidFill>
                      </w14:textFill>
                    </w:rPr>
                    <w:t>合计</w:t>
                  </w:r>
                </w:p>
              </w:tc>
              <w:tc>
                <w:tcPr>
                  <w:tcW w:w="10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71.5</w:t>
                  </w:r>
                </w:p>
              </w:tc>
            </w:tr>
          </w:tbl>
          <w:p>
            <w:pPr>
              <w:pStyle w:val="44"/>
              <w:ind w:firstLine="0" w:firstLineChars="0"/>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4.2.10</w:t>
            </w:r>
            <w:r>
              <w:rPr>
                <w:rFonts w:hint="eastAsia"/>
                <w:b/>
                <w:bCs/>
                <w:color w:val="000000" w:themeColor="text1"/>
                <w:highlight w:val="none"/>
                <w:lang w:eastAsia="zh-CN"/>
                <w14:textFill>
                  <w14:solidFill>
                    <w14:schemeClr w14:val="tx1"/>
                  </w14:solidFill>
                </w14:textFill>
              </w:rPr>
              <w:t>三本账</w:t>
            </w:r>
          </w:p>
          <w:p>
            <w:pPr>
              <w:pStyle w:val="44"/>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建设项目</w:t>
            </w:r>
            <w:r>
              <w:rPr>
                <w:rFonts w:hint="eastAsia"/>
                <w:color w:val="000000" w:themeColor="text1"/>
                <w:highlight w:val="none"/>
                <w:lang w:val="en-US" w:eastAsia="zh-CN"/>
                <w14:textFill>
                  <w14:solidFill>
                    <w14:schemeClr w14:val="tx1"/>
                  </w14:solidFill>
                </w14:textFill>
              </w:rPr>
              <w:t>三本帐</w:t>
            </w:r>
            <w:r>
              <w:rPr>
                <w:rFonts w:hint="default"/>
                <w:color w:val="000000" w:themeColor="text1"/>
                <w:highlight w:val="none"/>
                <w14:textFill>
                  <w14:solidFill>
                    <w14:schemeClr w14:val="tx1"/>
                  </w14:solidFill>
                </w14:textFill>
              </w:rPr>
              <w:t>内容见</w:t>
            </w:r>
            <w:r>
              <w:rPr>
                <w:rFonts w:hint="eastAsia"/>
                <w:color w:val="000000" w:themeColor="text1"/>
                <w:highlight w:val="none"/>
                <w:lang w:eastAsia="zh-CN"/>
                <w14:textFill>
                  <w14:solidFill>
                    <w14:schemeClr w14:val="tx1"/>
                  </w14:solidFill>
                </w14:textFill>
              </w:rPr>
              <w:t>下表</w:t>
            </w:r>
            <w:r>
              <w:rPr>
                <w:rFonts w:hint="default"/>
                <w:color w:val="000000" w:themeColor="text1"/>
                <w:highlight w:val="none"/>
                <w14:textFill>
                  <w14:solidFill>
                    <w14:schemeClr w14:val="tx1"/>
                  </w14:solidFill>
                </w14:textFill>
              </w:rPr>
              <w:t>。</w:t>
            </w:r>
          </w:p>
          <w:p>
            <w:pPr>
              <w:pStyle w:val="45"/>
              <w:keepNext w:val="0"/>
              <w:keepLines w:val="0"/>
              <w:pageBreakBefore w:val="0"/>
              <w:widowControl w:val="0"/>
              <w:kinsoku/>
              <w:wordWrap/>
              <w:overflowPunct/>
              <w:topLinePunct w:val="0"/>
              <w:autoSpaceDE w:val="0"/>
              <w:autoSpaceDN w:val="0"/>
              <w:bidi w:val="0"/>
              <w:adjustRightInd w:val="0"/>
              <w:snapToGrid w:val="0"/>
              <w:spacing w:line="360" w:lineRule="auto"/>
              <w:jc w:val="right"/>
              <w:textAlignment w:val="auto"/>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表4</w:t>
            </w:r>
            <w:r>
              <w:rPr>
                <w:b/>
                <w:bCs/>
                <w:color w:val="000000" w:themeColor="text1"/>
                <w:highlight w:val="none"/>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24</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技改前后污染物排放</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三本账</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 xml:space="preserve">分析表 </w:t>
            </w:r>
            <w:r>
              <w:rPr>
                <w:rFonts w:hint="eastAsia"/>
                <w:b/>
                <w:bCs/>
                <w:color w:val="000000" w:themeColor="text1"/>
                <w:highlight w:val="none"/>
                <w:lang w:val="en-US" w:eastAsia="zh-CN"/>
                <w14:textFill>
                  <w14:solidFill>
                    <w14:schemeClr w14:val="tx1"/>
                  </w14:solidFill>
                </w14:textFill>
              </w:rPr>
              <w:t xml:space="preserve">       </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单位:</w:t>
            </w:r>
            <w:r>
              <w:rPr>
                <w:b/>
                <w:bCs/>
                <w:color w:val="000000" w:themeColor="text1"/>
                <w:highlight w:val="none"/>
                <w14:textFill>
                  <w14:solidFill>
                    <w14:schemeClr w14:val="tx1"/>
                  </w14:solidFill>
                </w14:textFill>
              </w:rPr>
              <w:t xml:space="preserve"> t</w:t>
            </w:r>
            <w:r>
              <w:rPr>
                <w:rFonts w:hint="eastAsia"/>
                <w:b/>
                <w:bCs/>
                <w:color w:val="000000" w:themeColor="text1"/>
                <w:highlight w:val="none"/>
                <w14:textFill>
                  <w14:solidFill>
                    <w14:schemeClr w14:val="tx1"/>
                  </w14:solidFill>
                </w14:textFill>
              </w:rPr>
              <w:t>/a</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271"/>
              <w:gridCol w:w="1225"/>
              <w:gridCol w:w="1261"/>
              <w:gridCol w:w="750"/>
              <w:gridCol w:w="1261"/>
              <w:gridCol w:w="13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bookmarkStart w:id="2" w:name="_Hlk126713930"/>
                  <w:r>
                    <w:rPr>
                      <w:rFonts w:hint="eastAsia"/>
                      <w:color w:val="000000" w:themeColor="text1"/>
                      <w:sz w:val="21"/>
                      <w:szCs w:val="21"/>
                      <w:highlight w:val="none"/>
                      <w14:textFill>
                        <w14:solidFill>
                          <w14:schemeClr w14:val="tx1"/>
                        </w14:solidFill>
                      </w14:textFill>
                    </w:rPr>
                    <w:t>类别</w:t>
                  </w:r>
                </w:p>
              </w:tc>
              <w:tc>
                <w:tcPr>
                  <w:tcW w:w="1330"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主要污染物</w:t>
                  </w:r>
                </w:p>
              </w:tc>
              <w:tc>
                <w:tcPr>
                  <w:tcW w:w="717"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现有</w:t>
                  </w:r>
                  <w:r>
                    <w:rPr>
                      <w:rFonts w:hint="eastAsia"/>
                      <w:color w:val="000000" w:themeColor="text1"/>
                      <w:sz w:val="21"/>
                      <w:szCs w:val="21"/>
                      <w:highlight w:val="none"/>
                      <w:lang w:eastAsia="zh-CN"/>
                      <w14:textFill>
                        <w14:solidFill>
                          <w14:schemeClr w14:val="tx1"/>
                        </w14:solidFill>
                      </w14:textFill>
                    </w:rPr>
                    <w:t>一期</w:t>
                  </w:r>
                  <w:r>
                    <w:rPr>
                      <w:rFonts w:hint="eastAsia"/>
                      <w:color w:val="000000" w:themeColor="text1"/>
                      <w:sz w:val="21"/>
                      <w:szCs w:val="21"/>
                      <w:highlight w:val="none"/>
                      <w14:textFill>
                        <w14:solidFill>
                          <w14:schemeClr w14:val="tx1"/>
                        </w14:solidFill>
                      </w14:textFill>
                    </w:rPr>
                    <w:t>工程排放量</w:t>
                  </w:r>
                </w:p>
              </w:tc>
              <w:tc>
                <w:tcPr>
                  <w:tcW w:w="738"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本次技改项目排放量</w:t>
                  </w:r>
                </w:p>
              </w:tc>
              <w:tc>
                <w:tcPr>
                  <w:tcW w:w="439"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以新带老削减量</w:t>
                  </w:r>
                </w:p>
              </w:tc>
              <w:tc>
                <w:tcPr>
                  <w:tcW w:w="738"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技改后全厂排放量</w:t>
                  </w:r>
                </w:p>
              </w:tc>
              <w:tc>
                <w:tcPr>
                  <w:tcW w:w="785" w:type="pct"/>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排放增减量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restar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废气</w:t>
                  </w:r>
                </w:p>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颗粒物</w:t>
                  </w:r>
                </w:p>
              </w:tc>
              <w:tc>
                <w:tcPr>
                  <w:tcW w:w="717"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c>
                <w:tcPr>
                  <w:tcW w:w="785"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rFonts w:hint="eastAsia"/>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二氧化硫</w:t>
                  </w:r>
                </w:p>
              </w:tc>
              <w:tc>
                <w:tcPr>
                  <w:tcW w:w="717" w:type="pct"/>
                  <w:tcBorders>
                    <w:tl2br w:val="nil"/>
                    <w:tr2bl w:val="nil"/>
                  </w:tcBorders>
                  <w:noWrap w:val="0"/>
                  <w:vAlign w:val="center"/>
                </w:tcPr>
                <w:p>
                  <w:pPr>
                    <w:pStyle w:val="45"/>
                    <w:ind w:firstLine="0" w:firstLineChars="0"/>
                    <w:rPr>
                      <w:rFonts w:hint="default"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c>
                <w:tcPr>
                  <w:tcW w:w="785" w:type="pct"/>
                  <w:tcBorders>
                    <w:tl2br w:val="nil"/>
                    <w:tr2bl w:val="nil"/>
                  </w:tcBorders>
                  <w:noWrap w:val="0"/>
                  <w:vAlign w:val="center"/>
                </w:tcPr>
                <w:p>
                  <w:pPr>
                    <w:pStyle w:val="39"/>
                    <w:spacing w:beforeLines="0" w:afterLines="0" w:line="240" w:lineRule="auto"/>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vMerge w:val="continue"/>
                  <w:tcBorders>
                    <w:tl2br w:val="nil"/>
                    <w:tr2bl w:val="nil"/>
                  </w:tcBorders>
                  <w:noWrap w:val="0"/>
                  <w:vAlign w:val="center"/>
                </w:tcPr>
                <w:p>
                  <w:pPr>
                    <w:pStyle w:val="45"/>
                    <w:bidi w:val="0"/>
                    <w:rPr>
                      <w:rFonts w:hint="eastAsia"/>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氮氧化物</w:t>
                  </w:r>
                </w:p>
              </w:tc>
              <w:tc>
                <w:tcPr>
                  <w:tcW w:w="717"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0.84</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0.84</w:t>
                  </w:r>
                </w:p>
              </w:tc>
              <w:tc>
                <w:tcPr>
                  <w:tcW w:w="785"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油烟</w:t>
                  </w:r>
                </w:p>
              </w:tc>
              <w:tc>
                <w:tcPr>
                  <w:tcW w:w="717"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c>
                <w:tcPr>
                  <w:tcW w:w="785" w:type="pct"/>
                  <w:tcBorders>
                    <w:tl2br w:val="nil"/>
                    <w:tr2bl w:val="nil"/>
                  </w:tcBorders>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restart"/>
                  <w:tcBorders>
                    <w:tl2br w:val="nil"/>
                    <w:tr2bl w:val="nil"/>
                  </w:tcBorders>
                  <w:noWrap w:val="0"/>
                  <w:vAlign w:val="center"/>
                </w:tcPr>
                <w:p>
                  <w:pPr>
                    <w:pStyle w:val="39"/>
                    <w:spacing w:beforeLines="0" w:afterLines="0" w:line="240" w:lineRule="auto"/>
                    <w:rPr>
                      <w:rFonts w:hint="eastAsia"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废水</w:t>
                  </w:r>
                </w:p>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氨氮</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c>
                <w:tcPr>
                  <w:tcW w:w="785"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动植物油</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磷酸盐</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restart"/>
                  <w:tcBorders>
                    <w:tl2br w:val="nil"/>
                    <w:tr2bl w:val="nil"/>
                  </w:tcBorders>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一般工业</w:t>
                  </w:r>
                </w:p>
                <w:p>
                  <w:pPr>
                    <w:pStyle w:val="39"/>
                    <w:spacing w:beforeLines="0" w:afterLines="0" w:line="240" w:lineRule="auto"/>
                    <w:rPr>
                      <w:color w:val="000000" w:themeColor="text1"/>
                      <w:sz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固体废物</w:t>
                  </w:r>
                </w:p>
              </w:tc>
              <w:tc>
                <w:tcPr>
                  <w:tcW w:w="1330" w:type="pct"/>
                  <w:tcBorders>
                    <w:tl2br w:val="nil"/>
                    <w:tr2bl w:val="nil"/>
                  </w:tcBorders>
                  <w:noWrap w:val="0"/>
                  <w:vAlign w:val="center"/>
                </w:tcPr>
                <w:p>
                  <w:pPr>
                    <w:keepNext w:val="0"/>
                    <w:keepLines w:val="0"/>
                    <w:widowControl/>
                    <w:suppressLineNumbers w:val="0"/>
                    <w:jc w:val="center"/>
                    <w:textAlignment w:val="center"/>
                    <w:rPr>
                      <w:rFonts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生活垃圾</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筛分杂质</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金属杂质</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废包装袋</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废布袋</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785"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除尘器除尘灰</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center"/>
                </w:tcPr>
                <w:p>
                  <w:pPr>
                    <w:pStyle w:val="45"/>
                    <w:bidi w:val="0"/>
                    <w:rPr>
                      <w:rFonts w:hint="eastAsia"/>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废离子交换树脂</w:t>
                  </w:r>
                </w:p>
              </w:tc>
              <w:tc>
                <w:tcPr>
                  <w:tcW w:w="717"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78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bookmarkEnd w:id="2"/>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restart"/>
                  <w:tcBorders>
                    <w:tl2br w:val="nil"/>
                    <w:tr2bl w:val="nil"/>
                  </w:tcBorders>
                  <w:noWrap w:val="0"/>
                  <w:vAlign w:val="center"/>
                </w:tcPr>
                <w:p>
                  <w:pPr>
                    <w:pStyle w:val="39"/>
                    <w:spacing w:beforeLines="0" w:afterLines="0" w:line="240" w:lineRule="auto"/>
                    <w:rPr>
                      <w:rFonts w:hint="default" w:ascii="宋体"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 w:val="21"/>
                      <w:szCs w:val="21"/>
                      <w:highlight w:val="none"/>
                      <w:lang w:val="en-US" w:eastAsia="zh-CN" w:bidi="ar-SA"/>
                      <w14:textFill>
                        <w14:solidFill>
                          <w14:schemeClr w14:val="tx1"/>
                        </w14:solidFill>
                      </w14:textFill>
                    </w:rPr>
                    <w:t>危险废物</w:t>
                  </w:r>
                </w:p>
              </w:tc>
              <w:tc>
                <w:tcPr>
                  <w:tcW w:w="133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c>
                <w:tcPr>
                  <w:tcW w:w="785"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top"/>
                </w:tcPr>
                <w:p>
                  <w:pPr>
                    <w:pStyle w:val="45"/>
                    <w:bidi w:val="0"/>
                    <w:rPr>
                      <w:rFonts w:hint="eastAsia"/>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废机油、废液压油、废齿轮油</w:t>
                  </w:r>
                </w:p>
              </w:tc>
              <w:tc>
                <w:tcPr>
                  <w:tcW w:w="717"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439" w:type="pct"/>
                  <w:tcBorders>
                    <w:tl2br w:val="nil"/>
                    <w:tr2bl w:val="nil"/>
                  </w:tcBorders>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785"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9" w:type="pct"/>
                  <w:vMerge w:val="continue"/>
                  <w:tcBorders>
                    <w:tl2br w:val="nil"/>
                    <w:tr2bl w:val="nil"/>
                  </w:tcBorders>
                  <w:noWrap w:val="0"/>
                  <w:vAlign w:val="top"/>
                </w:tcPr>
                <w:p>
                  <w:pPr>
                    <w:pStyle w:val="45"/>
                    <w:bidi w:val="0"/>
                    <w:rPr>
                      <w:rFonts w:hint="eastAsia"/>
                      <w:color w:val="000000" w:themeColor="text1"/>
                      <w:sz w:val="21"/>
                      <w:szCs w:val="21"/>
                      <w:highlight w:val="none"/>
                      <w14:textFill>
                        <w14:solidFill>
                          <w14:schemeClr w14:val="tx1"/>
                        </w14:solidFill>
                      </w14:textFill>
                    </w:rPr>
                  </w:pPr>
                </w:p>
              </w:tc>
              <w:tc>
                <w:tcPr>
                  <w:tcW w:w="133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废油桶</w:t>
                  </w:r>
                </w:p>
              </w:tc>
              <w:tc>
                <w:tcPr>
                  <w:tcW w:w="717"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c>
                <w:tcPr>
                  <w:tcW w:w="439" w:type="pct"/>
                  <w:tcBorders>
                    <w:tl2br w:val="nil"/>
                    <w:tr2bl w:val="nil"/>
                  </w:tcBorders>
                  <w:noWrap w:val="0"/>
                  <w:vAlign w:val="center"/>
                </w:tcPr>
                <w:p>
                  <w:pPr>
                    <w:pStyle w:val="45"/>
                    <w:ind w:firstLine="0" w:firstLineChars="0"/>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738"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c>
                <w:tcPr>
                  <w:tcW w:w="785" w:type="pct"/>
                  <w:tcBorders>
                    <w:tl2br w:val="nil"/>
                    <w:tr2bl w:val="nil"/>
                  </w:tcBorders>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r>
          </w:tbl>
          <w:p>
            <w:pPr>
              <w:pStyle w:val="44"/>
              <w:numPr>
                <w:ilvl w:val="0"/>
                <w:numId w:val="0"/>
              </w:numPr>
              <w:bidi w:val="0"/>
              <w:ind w:leftChars="0"/>
              <w:rPr>
                <w:rFonts w:hint="default" w:cs="Times New Roman"/>
                <w:b/>
                <w:bCs/>
                <w:color w:val="000000" w:themeColor="text1"/>
                <w:kern w:val="2"/>
                <w:sz w:val="24"/>
                <w:szCs w:val="24"/>
                <w:highlight w:val="none"/>
                <w:lang w:val="en-US" w:eastAsia="zh-CN" w:bidi="ar-SA"/>
                <w14:textFill>
                  <w14:solidFill>
                    <w14:schemeClr w14:val="tx1"/>
                  </w14:solidFill>
                </w14:textFill>
              </w:rPr>
            </w:pPr>
          </w:p>
        </w:tc>
      </w:tr>
    </w:tbl>
    <w:p>
      <w:pPr>
        <w:adjustRightInd w:val="0"/>
        <w:snapToGrid w:val="0"/>
        <w:spacing w:line="360" w:lineRule="auto"/>
        <w:rPr>
          <w:rFonts w:hint="eastAsia" w:ascii="宋体" w:cs="宋体"/>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五、</w:t>
      </w:r>
      <w:bookmarkStart w:id="3"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3"/>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755"/>
        <w:gridCol w:w="1755"/>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ind w:firstLine="84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内容</w:t>
            </w:r>
          </w:p>
          <w:p>
            <w:pPr>
              <w:adjustRightInd w:val="0"/>
              <w:snapToGrid w:val="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要素</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排放口(编号、</w:t>
            </w:r>
          </w:p>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名称)/污染源</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污染物项目</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环境保护措施</w:t>
            </w:r>
          </w:p>
        </w:tc>
        <w:tc>
          <w:tcPr>
            <w:tcW w:w="1757"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大气环境</w:t>
            </w:r>
          </w:p>
        </w:tc>
        <w:tc>
          <w:tcPr>
            <w:tcW w:w="1755" w:type="dxa"/>
            <w:noWrap w:val="0"/>
            <w:vAlign w:val="center"/>
          </w:tcPr>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燃气锅炉（</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DA001</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颗粒物、二氧化硫、氮氧化物</w:t>
            </w:r>
          </w:p>
        </w:tc>
        <w:tc>
          <w:tcPr>
            <w:tcW w:w="1755" w:type="dxa"/>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低氮燃烧</w:t>
            </w:r>
            <w:r>
              <w:rPr>
                <w:rFonts w:hint="eastAsia"/>
                <w:color w:val="000000" w:themeColor="text1"/>
                <w:highlight w:val="none"/>
                <w:lang w:val="en-US" w:eastAsia="zh-CN"/>
                <w14:textFill>
                  <w14:solidFill>
                    <w14:schemeClr w14:val="tx1"/>
                  </w14:solidFill>
                </w14:textFill>
              </w:rPr>
              <w:t>+8m高排气筒</w:t>
            </w:r>
          </w:p>
        </w:tc>
        <w:tc>
          <w:tcPr>
            <w:tcW w:w="1757"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《锅炉大气污染物排放标准》（</w:t>
            </w:r>
            <w:r>
              <w:rPr>
                <w:rFonts w:hint="default"/>
                <w:color w:val="000000" w:themeColor="text1"/>
                <w:highlight w:val="none"/>
                <w:lang w:val="en-US" w:eastAsia="zh-CN"/>
                <w14:textFill>
                  <w14:solidFill>
                    <w14:schemeClr w14:val="tx1"/>
                  </w14:solidFill>
                </w14:textFill>
              </w:rPr>
              <w:t>GB13271-2014</w:t>
            </w:r>
            <w:r>
              <w:rPr>
                <w:rFonts w:hint="eastAsia"/>
                <w:color w:val="000000" w:themeColor="text1"/>
                <w:highlight w:val="none"/>
                <w:lang w:val="en-US" w:eastAsia="zh-CN"/>
                <w14:textFill>
                  <w14:solidFill>
                    <w14:schemeClr w14:val="tx1"/>
                  </w14:solidFill>
                </w14:textFill>
              </w:rPr>
              <w:t xml:space="preserve">） 表 </w:t>
            </w:r>
            <w:r>
              <w:rPr>
                <w:rFonts w:hint="default"/>
                <w:color w:val="000000" w:themeColor="text1"/>
                <w:highlight w:val="none"/>
                <w:lang w:val="en-US" w:eastAsia="zh-CN"/>
                <w14:textFill>
                  <w14:solidFill>
                    <w14:schemeClr w14:val="tx1"/>
                  </w14:solidFill>
                </w14:textFill>
              </w:rPr>
              <w:t xml:space="preserve">3 </w:t>
            </w:r>
            <w:r>
              <w:rPr>
                <w:rFonts w:hint="eastAsia"/>
                <w:color w:val="000000" w:themeColor="text1"/>
                <w:highlight w:val="none"/>
                <w:lang w:val="en-US" w:eastAsia="zh-CN"/>
                <w14:textFill>
                  <w14:solidFill>
                    <w14:schemeClr w14:val="tx1"/>
                  </w14:solidFill>
                </w14:textFill>
              </w:rPr>
              <w:t>中燃气锅炉特别排放限值要求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食堂（</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DA002</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油烟</w:t>
            </w:r>
          </w:p>
        </w:tc>
        <w:tc>
          <w:tcPr>
            <w:tcW w:w="1755" w:type="dxa"/>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油烟净化器</w:t>
            </w:r>
            <w:r>
              <w:rPr>
                <w:rFonts w:hint="eastAsia"/>
                <w:color w:val="000000" w:themeColor="text1"/>
                <w:highlight w:val="none"/>
                <w:lang w:val="en-US" w:eastAsia="zh-CN"/>
                <w14:textFill>
                  <w14:solidFill>
                    <w14:schemeClr w14:val="tx1"/>
                  </w14:solidFill>
                </w14:textFill>
              </w:rPr>
              <w:t>+引至楼顶排放</w:t>
            </w:r>
          </w:p>
        </w:tc>
        <w:tc>
          <w:tcPr>
            <w:tcW w:w="1757"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《饮食业油烟排放标准（试行）》（</w:t>
            </w:r>
            <w:r>
              <w:rPr>
                <w:rFonts w:hint="eastAsia"/>
                <w:color w:val="000000" w:themeColor="text1"/>
                <w:highlight w:val="none"/>
                <w:lang w:val="en-US" w:eastAsia="zh-CN"/>
                <w14:textFill>
                  <w14:solidFill>
                    <w14:schemeClr w14:val="tx1"/>
                  </w14:solidFill>
                </w14:textFill>
              </w:rPr>
              <w:t>GB18483-2001</w:t>
            </w:r>
            <w:r>
              <w:rPr>
                <w:rFonts w:hint="eastAsia"/>
                <w:color w:val="000000" w:themeColor="text1"/>
                <w:highlight w:val="none"/>
                <w:lang w:eastAsia="zh-CN"/>
                <w14:textFill>
                  <w14:solidFill>
                    <w14:schemeClr w14:val="tx1"/>
                  </w14:solidFill>
                </w14:textFill>
              </w:rPr>
              <w:t>）中小型标准要求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卸料工序</w:t>
            </w:r>
          </w:p>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脉冲式布袋除尘器</w:t>
            </w:r>
            <w:r>
              <w:rPr>
                <w:rFonts w:hint="eastAsia"/>
                <w:color w:val="000000" w:themeColor="text1"/>
                <w:highlight w:val="none"/>
                <w:lang w:val="en-US" w:eastAsia="zh-CN"/>
                <w14:textFill>
                  <w14:solidFill>
                    <w14:schemeClr w14:val="tx1"/>
                  </w14:solidFill>
                </w14:textFill>
              </w:rPr>
              <w:t>+15m高排气筒</w:t>
            </w:r>
          </w:p>
        </w:tc>
        <w:tc>
          <w:tcPr>
            <w:tcW w:w="1757" w:type="dxa"/>
            <w:vMerge w:val="restart"/>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《大气污染物综合排放标准》（</w:t>
            </w:r>
            <w:r>
              <w:rPr>
                <w:rFonts w:hint="default"/>
                <w:color w:val="000000" w:themeColor="text1"/>
                <w:highlight w:val="none"/>
                <w:lang w:val="en-US" w:eastAsia="zh-CN"/>
                <w14:textFill>
                  <w14:solidFill>
                    <w14:schemeClr w14:val="tx1"/>
                  </w14:solidFill>
                </w14:textFill>
              </w:rPr>
              <w:t>GB16297-1996</w:t>
            </w:r>
            <w:r>
              <w:rPr>
                <w:rFonts w:hint="eastAsia"/>
                <w:color w:val="000000" w:themeColor="text1"/>
                <w:highlight w:val="none"/>
                <w:lang w:val="en-US" w:eastAsia="zh-CN"/>
                <w14:textFill>
                  <w14:solidFill>
                    <w14:schemeClr w14:val="tx1"/>
                  </w14:solidFill>
                </w14:textFill>
              </w:rPr>
              <w:t xml:space="preserve">）表 </w:t>
            </w:r>
            <w:r>
              <w:rPr>
                <w:rFonts w:hint="default"/>
                <w:color w:val="000000" w:themeColor="text1"/>
                <w:highlight w:val="none"/>
                <w:lang w:val="en-US" w:eastAsia="zh-CN"/>
                <w14:textFill>
                  <w14:solidFill>
                    <w14:schemeClr w14:val="tx1"/>
                  </w14:solidFill>
                </w14:textFill>
              </w:rPr>
              <w:t xml:space="preserve">2 </w:t>
            </w:r>
            <w:r>
              <w:rPr>
                <w:rFonts w:hint="eastAsia"/>
                <w:color w:val="000000" w:themeColor="text1"/>
                <w:highlight w:val="none"/>
                <w:lang w:val="en-US" w:eastAsia="zh-CN"/>
                <w14:textFill>
                  <w14:solidFill>
                    <w14:schemeClr w14:val="tx1"/>
                  </w14:solidFill>
                </w14:textFill>
              </w:rPr>
              <w:t>中二级排放标准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投料工序</w:t>
            </w:r>
          </w:p>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DA004</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脉冲式布袋除尘器+15m高排气筒</w:t>
            </w:r>
          </w:p>
        </w:tc>
        <w:tc>
          <w:tcPr>
            <w:tcW w:w="1757"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粉碎工序</w:t>
            </w:r>
          </w:p>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DA005</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脉冲式布袋除尘器+15m高排气筒</w:t>
            </w:r>
          </w:p>
        </w:tc>
        <w:tc>
          <w:tcPr>
            <w:tcW w:w="1757"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配料混合工序</w:t>
            </w:r>
          </w:p>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DA006</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脉冲式布袋除尘器+15m高排气筒</w:t>
            </w:r>
          </w:p>
        </w:tc>
        <w:tc>
          <w:tcPr>
            <w:tcW w:w="1757"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制粒冷却工序</w:t>
            </w:r>
          </w:p>
          <w:p>
            <w:pPr>
              <w:keepNext w:val="0"/>
              <w:keepLines w:val="0"/>
              <w:widowControl/>
              <w:suppressLineNumbers w:val="0"/>
              <w:jc w:val="center"/>
              <w:textAlignment w:val="center"/>
              <w:rPr>
                <w:rFonts w:hint="eastAsia" w:ascii="宋体" w:hAnsi="宋体" w:cs="宋体"/>
                <w:color w:val="000000" w:themeColor="text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DA007</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脉冲刹克龙除尘器+15m高排气筒</w:t>
            </w:r>
          </w:p>
        </w:tc>
        <w:tc>
          <w:tcPr>
            <w:tcW w:w="1757"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包装工序</w:t>
            </w:r>
          </w:p>
          <w:p>
            <w:pPr>
              <w:keepNext w:val="0"/>
              <w:keepLines w:val="0"/>
              <w:widowControl/>
              <w:suppressLineNumbers w:val="0"/>
              <w:jc w:val="center"/>
              <w:textAlignment w:val="center"/>
              <w:rPr>
                <w:rFonts w:hint="eastAsia"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DA0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08）</w:t>
            </w:r>
          </w:p>
        </w:tc>
        <w:tc>
          <w:tcPr>
            <w:tcW w:w="1755" w:type="dxa"/>
            <w:noWrap w:val="0"/>
            <w:vAlign w:val="center"/>
          </w:tcPr>
          <w:p>
            <w:pPr>
              <w:adjustRightInd w:val="0"/>
              <w:snapToGrid w:val="0"/>
              <w:jc w:val="center"/>
              <w:rPr>
                <w:rFonts w:hint="eastAsia"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pStyle w:val="4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脉冲式布袋除尘器+15m高排气筒</w:t>
            </w:r>
          </w:p>
        </w:tc>
        <w:tc>
          <w:tcPr>
            <w:tcW w:w="1757"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vMerge w:val="restart"/>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无组织</w:t>
            </w:r>
          </w:p>
        </w:tc>
        <w:tc>
          <w:tcPr>
            <w:tcW w:w="1755" w:type="dxa"/>
            <w:noWrap w:val="0"/>
            <w:vAlign w:val="center"/>
          </w:tcPr>
          <w:p>
            <w:pPr>
              <w:adjustRightInd w:val="0"/>
              <w:snapToGrid w:val="0"/>
              <w:jc w:val="center"/>
              <w:rPr>
                <w:rFonts w:hint="eastAsia" w:ascii="宋体" w:hAnsi="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颗粒物</w:t>
            </w:r>
          </w:p>
        </w:tc>
        <w:tc>
          <w:tcPr>
            <w:tcW w:w="1755" w:type="dxa"/>
            <w:noWrap w:val="0"/>
            <w:vAlign w:val="center"/>
          </w:tcPr>
          <w:p>
            <w:pPr>
              <w:adjustRightInd w:val="0"/>
              <w:snapToGrid w:val="0"/>
              <w:jc w:val="center"/>
              <w:rPr>
                <w:rFonts w:hint="default" w:ascii="宋体" w:hAnsi="宋体" w:cs="宋体"/>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w:t>
            </w:r>
          </w:p>
        </w:tc>
        <w:tc>
          <w:tcPr>
            <w:tcW w:w="1757"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《大气污染物综合排放标准》（</w:t>
            </w:r>
            <w:r>
              <w:rPr>
                <w:rFonts w:hint="default"/>
                <w:color w:val="000000" w:themeColor="text1"/>
                <w:highlight w:val="none"/>
                <w:lang w:val="en-US" w:eastAsia="zh-CN"/>
                <w14:textFill>
                  <w14:solidFill>
                    <w14:schemeClr w14:val="tx1"/>
                  </w14:solidFill>
                </w14:textFill>
              </w:rPr>
              <w:t>GB16297-1996</w:t>
            </w:r>
            <w:r>
              <w:rPr>
                <w:rFonts w:hint="eastAsia"/>
                <w:color w:val="000000" w:themeColor="text1"/>
                <w:highlight w:val="none"/>
                <w:lang w:val="en-US" w:eastAsia="zh-CN"/>
                <w14:textFill>
                  <w14:solidFill>
                    <w14:schemeClr w14:val="tx1"/>
                  </w14:solidFill>
                </w14:textFill>
              </w:rPr>
              <w:t xml:space="preserve">）表 </w:t>
            </w:r>
            <w:r>
              <w:rPr>
                <w:rFonts w:hint="default"/>
                <w:color w:val="000000" w:themeColor="text1"/>
                <w:highlight w:val="none"/>
                <w:lang w:val="en-US" w:eastAsia="zh-CN"/>
                <w14:textFill>
                  <w14:solidFill>
                    <w14:schemeClr w14:val="tx1"/>
                  </w14:solidFill>
                </w14:textFill>
              </w:rPr>
              <w:t xml:space="preserve">2 </w:t>
            </w:r>
            <w:r>
              <w:rPr>
                <w:rFonts w:hint="eastAsia"/>
                <w:color w:val="000000" w:themeColor="text1"/>
                <w:highlight w:val="none"/>
                <w:lang w:val="en-US" w:eastAsia="zh-CN"/>
                <w14:textFill>
                  <w14:solidFill>
                    <w14:schemeClr w14:val="tx1"/>
                  </w14:solidFill>
                </w14:textFill>
              </w:rPr>
              <w:t>中二级排放标准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p>
        </w:tc>
        <w:tc>
          <w:tcPr>
            <w:tcW w:w="1755" w:type="dxa"/>
            <w:vMerge w:val="continue"/>
            <w:noWrap w:val="0"/>
            <w:vAlign w:val="center"/>
          </w:tcPr>
          <w:p>
            <w:pPr>
              <w:keepNext w:val="0"/>
              <w:keepLines w:val="0"/>
              <w:widowControl/>
              <w:suppressLineNumbers w:val="0"/>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755" w:type="dxa"/>
            <w:noWrap w:val="0"/>
            <w:vAlign w:val="center"/>
          </w:tcPr>
          <w:p>
            <w:pPr>
              <w:adjustRightInd w:val="0"/>
              <w:snapToGrid w:val="0"/>
              <w:jc w:val="center"/>
              <w:rPr>
                <w:rFonts w:hint="eastAsia" w:ascii="宋体" w:hAnsi="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臭气浓度</w:t>
            </w:r>
          </w:p>
        </w:tc>
        <w:tc>
          <w:tcPr>
            <w:tcW w:w="1755" w:type="dxa"/>
            <w:noWrap w:val="0"/>
            <w:vAlign w:val="center"/>
          </w:tcPr>
          <w:p>
            <w:pPr>
              <w:adjustRightInd w:val="0"/>
              <w:snapToGrid w:val="0"/>
              <w:jc w:val="center"/>
              <w:rPr>
                <w:rFonts w:hint="eastAsia" w:ascii="宋体" w:hAnsi="宋体" w:cs="宋体"/>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通风换气</w:t>
            </w:r>
          </w:p>
        </w:tc>
        <w:tc>
          <w:tcPr>
            <w:tcW w:w="1757" w:type="dxa"/>
            <w:noWrap w:val="0"/>
            <w:vAlign w:val="center"/>
          </w:tcPr>
          <w:p>
            <w:pPr>
              <w:adjustRightInd w:val="0"/>
              <w:snapToGrid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《恶臭污染物排放标准》（GB14554-93）中表1标准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地表水环境</w:t>
            </w:r>
          </w:p>
        </w:tc>
        <w:tc>
          <w:tcPr>
            <w:tcW w:w="1755"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综合废水（</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DW001</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w:t>
            </w:r>
          </w:p>
        </w:tc>
        <w:tc>
          <w:tcPr>
            <w:tcW w:w="1755" w:type="dxa"/>
            <w:noWrap w:val="0"/>
            <w:vAlign w:val="center"/>
          </w:tcPr>
          <w:p>
            <w:pPr>
              <w:adjustRightInd w:val="0"/>
              <w:snapToGrid w:val="0"/>
              <w:jc w:val="center"/>
              <w:rPr>
                <w:rFonts w:hint="default" w:ascii="宋体" w:hAnsi="宋体" w:eastAsia="宋体" w:cs="宋体"/>
                <w:color w:val="000000" w:themeColor="text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pH、COD、氨氮、SS、BOD、动植物油</w:t>
            </w:r>
            <w:r>
              <w:rPr>
                <w:rFonts w:hint="eastAsia" w:cs="宋体"/>
                <w:color w:val="000000" w:themeColor="text1"/>
                <w:sz w:val="21"/>
                <w:szCs w:val="21"/>
                <w:highlight w:val="none"/>
                <w:lang w:val="en-US" w:eastAsia="zh-CN"/>
                <w14:textFill>
                  <w14:solidFill>
                    <w14:schemeClr w14:val="tx1"/>
                  </w14:solidFill>
                </w14:textFill>
              </w:rPr>
              <w:t>、磷酸盐</w:t>
            </w:r>
          </w:p>
        </w:tc>
        <w:tc>
          <w:tcPr>
            <w:tcW w:w="1755" w:type="dxa"/>
            <w:noWrap w:val="0"/>
            <w:vAlign w:val="center"/>
          </w:tcPr>
          <w:p>
            <w:pPr>
              <w:adjustRightInd w:val="0"/>
              <w:snapToGrid w:val="0"/>
              <w:jc w:val="center"/>
              <w:rPr>
                <w:rFonts w:hint="eastAsia" w:ascii="宋体" w:hAnsi="宋体" w:eastAsia="宋体" w:cs="宋体"/>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eastAsia="zh-CN"/>
                <w14:textFill>
                  <w14:solidFill>
                    <w14:schemeClr w14:val="tx1"/>
                  </w14:solidFill>
                </w14:textFill>
              </w:rPr>
              <w:t>食堂污水经隔油池后同生活污水和</w:t>
            </w:r>
            <w:r>
              <w:rPr>
                <w:color w:val="000000" w:themeColor="text1"/>
                <w:highlight w:val="none"/>
                <w14:textFill>
                  <w14:solidFill>
                    <w14:schemeClr w14:val="tx1"/>
                  </w14:solidFill>
                </w14:textFill>
              </w:rPr>
              <w:t>锅炉排污水+软化处理废水</w:t>
            </w:r>
            <w:r>
              <w:rPr>
                <w:rFonts w:hint="eastAsia"/>
                <w:color w:val="000000" w:themeColor="text1"/>
                <w:highlight w:val="none"/>
                <w:lang w:eastAsia="zh-CN"/>
                <w14:textFill>
                  <w14:solidFill>
                    <w14:schemeClr w14:val="tx1"/>
                  </w14:solidFill>
                </w14:textFill>
              </w:rPr>
              <w:t>经化粪池处理后排入园区污水处理厂</w:t>
            </w:r>
          </w:p>
        </w:tc>
        <w:tc>
          <w:tcPr>
            <w:tcW w:w="1757"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pH执行《污水综合排放标准》（GB8978-1996），其余污染物执行《辽宁省污水综合排放标准》（DB21/1627-2008）中排入污水处理厂标准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声环境</w:t>
            </w:r>
          </w:p>
        </w:tc>
        <w:tc>
          <w:tcPr>
            <w:tcW w:w="1755"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生产设备</w:t>
            </w:r>
          </w:p>
        </w:tc>
        <w:tc>
          <w:tcPr>
            <w:tcW w:w="175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噪声</w:t>
            </w:r>
          </w:p>
        </w:tc>
        <w:tc>
          <w:tcPr>
            <w:tcW w:w="1755" w:type="dxa"/>
            <w:noWrap w:val="0"/>
            <w:vAlign w:val="center"/>
          </w:tcPr>
          <w:p>
            <w:pPr>
              <w:pStyle w:val="50"/>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选用低噪声设备、采取相应的减振、降噪、隔声、距离衰减、风机消声等措施</w:t>
            </w:r>
          </w:p>
        </w:tc>
        <w:tc>
          <w:tcPr>
            <w:tcW w:w="1757" w:type="dxa"/>
            <w:noWrap w:val="0"/>
            <w:vAlign w:val="center"/>
          </w:tcPr>
          <w:p>
            <w:pPr>
              <w:pStyle w:val="50"/>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《工业企业厂界环境噪声排放标准》（ </w:t>
            </w:r>
            <w:r>
              <w:rPr>
                <w:rFonts w:hint="default"/>
                <w:color w:val="000000" w:themeColor="text1"/>
                <w:highlight w:val="none"/>
                <w:lang w:val="en-US" w:eastAsia="zh-CN"/>
                <w14:textFill>
                  <w14:solidFill>
                    <w14:schemeClr w14:val="tx1"/>
                  </w14:solidFill>
                </w14:textFill>
              </w:rPr>
              <w:t>GB12348-2008</w:t>
            </w:r>
            <w:r>
              <w:rPr>
                <w:rFonts w:hint="eastAsia"/>
                <w:color w:val="000000" w:themeColor="text1"/>
                <w:highlight w:val="none"/>
                <w:lang w:val="en-US" w:eastAsia="zh-CN"/>
                <w14:textFill>
                  <w14:solidFill>
                    <w14:schemeClr w14:val="tx1"/>
                  </w14:solidFill>
                </w14:textFill>
              </w:rPr>
              <w:t>）3类标准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电磁辐射</w:t>
            </w:r>
          </w:p>
        </w:tc>
        <w:tc>
          <w:tcPr>
            <w:tcW w:w="175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75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75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75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固体废物</w:t>
            </w:r>
          </w:p>
        </w:tc>
        <w:tc>
          <w:tcPr>
            <w:tcW w:w="7022" w:type="dxa"/>
            <w:gridSpan w:val="4"/>
            <w:noWrap w:val="0"/>
            <w:vAlign w:val="center"/>
          </w:tcPr>
          <w:p>
            <w:pPr>
              <w:pStyle w:val="45"/>
              <w:bidi w:val="0"/>
              <w:jc w:val="left"/>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生活垃圾由环卫部门统一清运。金属杂质、废包装袋</w:t>
            </w:r>
            <w:r>
              <w:rPr>
                <w:rFonts w:hint="default"/>
                <w:color w:val="000000" w:themeColor="text1"/>
                <w:highlight w:val="none"/>
                <w:lang w:val="en-US" w:eastAsia="zh-CN"/>
                <w14:textFill>
                  <w14:solidFill>
                    <w14:schemeClr w14:val="tx1"/>
                  </w14:solidFill>
                </w14:textFill>
              </w:rPr>
              <w:t>集中收集后外售处理。</w:t>
            </w:r>
            <w:r>
              <w:rPr>
                <w:rFonts w:hint="eastAsia"/>
                <w:color w:val="000000" w:themeColor="text1"/>
                <w:highlight w:val="none"/>
                <w:lang w:val="en-US" w:eastAsia="zh-CN"/>
                <w14:textFill>
                  <w14:solidFill>
                    <w14:schemeClr w14:val="tx1"/>
                  </w14:solidFill>
                </w14:textFill>
              </w:rPr>
              <w:t>废布袋、废离子交换树脂由厂家定期回收更换，厂区内不存储。除尘器除尘灰收集后回用于生产。实验室废液收集后暂存于危险废物贮存点，委托有资质单位处理，废机油、废液压油、废齿轮油及废油桶由</w:t>
            </w:r>
            <w:r>
              <w:rPr>
                <w:rFonts w:hint="default"/>
                <w:color w:val="000000" w:themeColor="text1"/>
                <w:highlight w:val="none"/>
                <w:lang w:val="en-US" w:eastAsia="zh-CN"/>
                <w14:textFill>
                  <w14:solidFill>
                    <w14:schemeClr w14:val="tx1"/>
                  </w14:solidFill>
                </w14:textFill>
              </w:rPr>
              <w:t>设备厂家统一到厂维修，厂家回收带走，不在厂区内贮存。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土壤及地下水</w:t>
            </w:r>
          </w:p>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污染防治措施</w:t>
            </w:r>
          </w:p>
        </w:tc>
        <w:tc>
          <w:tcPr>
            <w:tcW w:w="7022" w:type="dxa"/>
            <w:gridSpan w:val="4"/>
            <w:noWrap w:val="0"/>
            <w:vAlign w:val="center"/>
          </w:tcPr>
          <w:p>
            <w:pPr>
              <w:pStyle w:val="45"/>
              <w:bidi w:val="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主车间、锅炉房简单防渗，化粪池、隔油池、一般工业固体废物暂存间一般防渗处理，应满足等效黏土防渗层Mb≥1.5m，K≤10</w:t>
            </w:r>
            <w:r>
              <w:rPr>
                <w:rFonts w:hint="eastAsia"/>
                <w:color w:val="000000" w:themeColor="text1"/>
                <w:highlight w:val="none"/>
                <w:vertAlign w:val="superscript"/>
                <w:lang w:eastAsia="zh-CN"/>
                <w14:textFill>
                  <w14:solidFill>
                    <w14:schemeClr w14:val="tx1"/>
                  </w14:solidFill>
                </w14:textFill>
              </w:rPr>
              <w:t>-7</w:t>
            </w:r>
            <w:r>
              <w:rPr>
                <w:rFonts w:hint="eastAsia"/>
                <w:color w:val="000000" w:themeColor="text1"/>
                <w:highlight w:val="none"/>
                <w:lang w:eastAsia="zh-CN"/>
                <w14:textFill>
                  <w14:solidFill>
                    <w14:schemeClr w14:val="tx1"/>
                  </w14:solidFill>
                </w14:textFill>
              </w:rPr>
              <w:t>cm/s；或参照GB16889执行。动植物油储罐区、危险废物贮存点重点防渗处理应满足等效黏土防渗层Mb≥6.0m，K≤10</w:t>
            </w:r>
            <w:r>
              <w:rPr>
                <w:rFonts w:hint="eastAsia"/>
                <w:color w:val="000000" w:themeColor="text1"/>
                <w:highlight w:val="none"/>
                <w:vertAlign w:val="superscript"/>
                <w:lang w:eastAsia="zh-CN"/>
                <w14:textFill>
                  <w14:solidFill>
                    <w14:schemeClr w14:val="tx1"/>
                  </w14:solidFill>
                </w14:textFill>
              </w:rPr>
              <w:t>-7</w:t>
            </w:r>
            <w:r>
              <w:rPr>
                <w:rFonts w:hint="eastAsia"/>
                <w:color w:val="000000" w:themeColor="text1"/>
                <w:highlight w:val="none"/>
                <w:lang w:eastAsia="zh-CN"/>
                <w14:textFill>
                  <w14:solidFill>
                    <w14:schemeClr w14:val="tx1"/>
                  </w14:solidFill>
                </w14:textFill>
              </w:rPr>
              <w:t>cm/s；或参照GB18598执行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生态保护措施</w:t>
            </w:r>
          </w:p>
        </w:tc>
        <w:tc>
          <w:tcPr>
            <w:tcW w:w="7022" w:type="dxa"/>
            <w:gridSpan w:val="4"/>
            <w:noWrap w:val="0"/>
            <w:vAlign w:val="center"/>
          </w:tcPr>
          <w:p>
            <w:pPr>
              <w:adjustRightInd w:val="0"/>
              <w:snapToGrid w:val="0"/>
              <w:jc w:val="center"/>
              <w:rPr>
                <w:rFonts w:hint="eastAsia" w:ascii="宋体" w:hAnsi="宋体" w:eastAsia="宋体" w:cs="宋体"/>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环境风险</w:t>
            </w:r>
          </w:p>
          <w:p>
            <w:pPr>
              <w:adjustRightInd w:val="0"/>
              <w:snapToGrid w:val="0"/>
              <w:jc w:val="center"/>
              <w:rPr>
                <w:rFonts w:hint="eastAsia"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防范措施</w:t>
            </w:r>
          </w:p>
        </w:tc>
        <w:tc>
          <w:tcPr>
            <w:tcW w:w="7022" w:type="dxa"/>
            <w:gridSpan w:val="4"/>
            <w:noWrap w:val="0"/>
            <w:vAlign w:val="center"/>
          </w:tcPr>
          <w:p>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本项目危险物质为天然气</w:t>
            </w:r>
            <w:r>
              <w:rPr>
                <w:rFonts w:hint="eastAsia" w:ascii="宋体" w:hAnsi="宋体" w:cs="宋体"/>
                <w:color w:val="000000" w:themeColor="text1"/>
                <w:szCs w:val="21"/>
                <w:highlight w:val="none"/>
                <w:lang w:eastAsia="zh-CN"/>
                <w14:textFill>
                  <w14:solidFill>
                    <w14:schemeClr w14:val="tx1"/>
                  </w14:solidFill>
                </w14:textFill>
              </w:rPr>
              <w:t>及</w:t>
            </w:r>
            <w:r>
              <w:rPr>
                <w:rFonts w:hint="eastAsia"/>
                <w:color w:val="000000" w:themeColor="text1"/>
                <w:highlight w:val="none"/>
                <w:lang w:val="en-US" w:eastAsia="zh-CN"/>
                <w14:textFill>
                  <w14:solidFill>
                    <w14:schemeClr w14:val="tx1"/>
                  </w14:solidFill>
                </w14:textFill>
              </w:rPr>
              <w:t>机油、液压油、齿轮油</w:t>
            </w:r>
            <w:r>
              <w:rPr>
                <w:rFonts w:hint="eastAsia" w:ascii="宋体" w:hAnsi="宋体" w:cs="宋体"/>
                <w:color w:val="000000" w:themeColor="text1"/>
                <w:szCs w:val="21"/>
                <w:highlight w:val="none"/>
                <w14:textFill>
                  <w14:solidFill>
                    <w14:schemeClr w14:val="tx1"/>
                  </w14:solidFill>
                </w14:textFill>
              </w:rPr>
              <w:t>，不构成重大危险源。在认真落实本报告提出的各项风险防范和应急措施后,项目的风险处于可防控的水平。加强废气治理设施的日常运行管理及维护，建立台账管理制度，确保治理设施正常稳定运行。加强用火管理，厂区内严禁烟火，配备一定数量的干粉灭火器</w:t>
            </w:r>
            <w:r>
              <w:rPr>
                <w:rFonts w:hint="eastAsia" w:ascii="宋体" w:hAnsi="宋体" w:cs="宋体"/>
                <w:color w:val="000000" w:themeColor="text1"/>
                <w:szCs w:val="21"/>
                <w:highlight w:val="none"/>
                <w:lang w:eastAsia="zh-CN"/>
                <w14:textFill>
                  <w14:solidFill>
                    <w14:schemeClr w14:val="tx1"/>
                  </w14:solidFill>
                </w14:textFill>
              </w:rPr>
              <w:t>等消防器材</w:t>
            </w:r>
            <w:r>
              <w:rPr>
                <w:rFonts w:hint="eastAsia" w:ascii="宋体" w:hAnsi="宋体" w:cs="宋体"/>
                <w:color w:val="000000" w:themeColor="text1"/>
                <w:szCs w:val="21"/>
                <w:highlight w:val="none"/>
                <w14:textFill>
                  <w14:solidFill>
                    <w14:schemeClr w14:val="tx1"/>
                  </w14:solidFill>
                </w14:textFill>
              </w:rPr>
              <w:t>，锅炉房内配备燃气泄漏报警器，并定期检查确保其可正常使用，加强电气设备及线路检查,防止线路和设备老化造成的引发事故;制定严格的生产操作规程，加强作业工人的安全教育，杜绝工作失误造成的事故。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其他环境</w:t>
            </w:r>
          </w:p>
          <w:p>
            <w:pPr>
              <w:adjustRightInd w:val="0"/>
              <w:snapToGrid w:val="0"/>
              <w:jc w:val="center"/>
              <w:rPr>
                <w:rFonts w:hint="eastAsia"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管理要求</w:t>
            </w:r>
          </w:p>
        </w:tc>
        <w:tc>
          <w:tcPr>
            <w:tcW w:w="7022" w:type="dxa"/>
            <w:gridSpan w:val="4"/>
            <w:noWrap w:val="0"/>
            <w:vAlign w:val="center"/>
          </w:tcPr>
          <w:p>
            <w:pPr>
              <w:pStyle w:val="45"/>
              <w:keepNext w:val="0"/>
              <w:keepLines w:val="0"/>
              <w:pageBreakBefore w:val="0"/>
              <w:widowControl w:val="0"/>
              <w:kinsoku/>
              <w:wordWrap/>
              <w:overflowPunct/>
              <w:topLinePunct w:val="0"/>
              <w:autoSpaceDE/>
              <w:autoSpaceDN/>
              <w:bidi w:val="0"/>
              <w:adjustRightInd/>
              <w:snapToGrid/>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1、排污许可</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根据《排污许可管理办法(试行)》及《固定污染源排污许可分类管理名录(2019年版)》相关规定，应在产生排污行为前按照规定取得排污许可登记管理。</w:t>
            </w:r>
          </w:p>
          <w:p>
            <w:pPr>
              <w:pStyle w:val="45"/>
              <w:keepNext w:val="0"/>
              <w:keepLines w:val="0"/>
              <w:pageBreakBefore w:val="0"/>
              <w:widowControl w:val="0"/>
              <w:kinsoku/>
              <w:wordWrap/>
              <w:overflowPunct/>
              <w:topLinePunct w:val="0"/>
              <w:autoSpaceDE/>
              <w:autoSpaceDN/>
              <w:bidi w:val="0"/>
              <w:adjustRightInd/>
              <w:snapToGrid/>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2、排放口规范化</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（1）排污口位置：排污口位置必须合理确定，按环监〔1996〕470 号文件要求进行规范化管理。</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排污口监控：对主要废气排放口（排气筒）、废水排放口实行定期监控，以便及时掌握污染源动态，预防污染事故的发生；同时所有排气筒应设有观测、取样、维修通道，采样孔和采样平台、楼梯等设置，设置应符合《污染源监测技术规范》和《固定源废气监测技术规范》要求。</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（3）排污口立标：项目污染物排放口应按国家</w:t>
            </w:r>
            <w:r>
              <w:rPr>
                <w:color w:val="000000" w:themeColor="text1"/>
                <w:highlight w:val="none"/>
                <w14:textFill>
                  <w14:solidFill>
                    <w14:schemeClr w14:val="tx1"/>
                  </w14:solidFill>
                </w14:textFill>
              </w:rPr>
              <w:t>《环境保护图形标志》（GB15562.1-1995，GB15562.2-</w:t>
            </w:r>
            <w:r>
              <w:rPr>
                <w:rFonts w:hint="eastAsia"/>
                <w:color w:val="000000" w:themeColor="text1"/>
                <w:highlight w:val="none"/>
                <w:lang w:val="en-US" w:eastAsia="zh-CN"/>
                <w14:textFill>
                  <w14:solidFill>
                    <w14:schemeClr w14:val="tx1"/>
                  </w14:solidFill>
                </w14:textFill>
              </w:rPr>
              <w:t>2020</w:t>
            </w:r>
            <w:r>
              <w:rPr>
                <w:rFonts w:hint="eastAsia"/>
                <w:color w:val="000000" w:themeColor="text1"/>
                <w:highlight w:val="none"/>
                <w14:textFill>
                  <w14:solidFill>
                    <w14:schemeClr w14:val="tx1"/>
                  </w14:solidFill>
                </w14:textFill>
              </w:rPr>
              <w:t>），设置国家环境保护总局统一制作的环境保护图形标志牌，见</w:t>
            </w:r>
            <w:r>
              <w:rPr>
                <w:rFonts w:hint="eastAsia"/>
                <w:color w:val="000000" w:themeColor="text1"/>
                <w:highlight w:val="none"/>
                <w:lang w:eastAsia="zh-CN"/>
                <w14:textFill>
                  <w14:solidFill>
                    <w14:schemeClr w14:val="tx1"/>
                  </w14:solidFill>
                </w14:textFill>
              </w:rPr>
              <w:t>图</w:t>
            </w:r>
            <w:r>
              <w:rPr>
                <w:rFonts w:hint="eastAsia"/>
                <w:color w:val="000000" w:themeColor="text1"/>
                <w:highlight w:val="none"/>
                <w:lang w:val="en-US" w:eastAsia="zh-CN"/>
                <w14:textFill>
                  <w14:solidFill>
                    <w14:schemeClr w14:val="tx1"/>
                  </w14:solidFill>
                </w14:textFill>
              </w:rPr>
              <w:t>5-1</w:t>
            </w:r>
            <w:r>
              <w:rPr>
                <w:rFonts w:hint="eastAsia"/>
                <w:color w:val="000000" w:themeColor="text1"/>
                <w:highlight w:val="none"/>
                <w14:textFill>
                  <w14:solidFill>
                    <w14:schemeClr w14:val="tx1"/>
                  </w14:solidFill>
                </w14:textFill>
              </w:rPr>
              <w:t>。</w:t>
            </w:r>
          </w:p>
          <w:p>
            <w:pPr>
              <w:pStyle w:val="45"/>
              <w:keepNext w:val="0"/>
              <w:keepLines w:val="0"/>
              <w:pageBreakBefore w:val="0"/>
              <w:widowControl w:val="0"/>
              <w:kinsoku/>
              <w:wordWrap/>
              <w:overflowPunct/>
              <w:topLinePunct w:val="0"/>
              <w:autoSpaceDE/>
              <w:autoSpaceDN/>
              <w:bidi w:val="0"/>
              <w:adjustRightInd/>
              <w:snapToGrid/>
              <w:jc w:val="both"/>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712512" behindDoc="0" locked="0" layoutInCell="1" allowOverlap="1">
                  <wp:simplePos x="0" y="0"/>
                  <wp:positionH relativeFrom="column">
                    <wp:posOffset>3495675</wp:posOffset>
                  </wp:positionH>
                  <wp:positionV relativeFrom="paragraph">
                    <wp:posOffset>1172845</wp:posOffset>
                  </wp:positionV>
                  <wp:extent cx="772160" cy="791845"/>
                  <wp:effectExtent l="0" t="0" r="8890" b="8255"/>
                  <wp:wrapNone/>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31"/>
                          <a:stretch>
                            <a:fillRect/>
                          </a:stretch>
                        </pic:blipFill>
                        <pic:spPr>
                          <a:xfrm>
                            <a:off x="0" y="0"/>
                            <a:ext cx="772160" cy="791845"/>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4319270" cy="2245360"/>
                  <wp:effectExtent l="0" t="0" r="5080" b="254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2"/>
                          <a:stretch>
                            <a:fillRect/>
                          </a:stretch>
                        </pic:blipFill>
                        <pic:spPr>
                          <a:xfrm>
                            <a:off x="0" y="0"/>
                            <a:ext cx="4319270" cy="2245360"/>
                          </a:xfrm>
                          <a:prstGeom prst="rect">
                            <a:avLst/>
                          </a:prstGeom>
                          <a:noFill/>
                          <a:ln>
                            <a:noFill/>
                          </a:ln>
                        </pic:spPr>
                      </pic:pic>
                    </a:graphicData>
                  </a:graphic>
                </wp:inline>
              </w:drawing>
            </w:r>
          </w:p>
          <w:p>
            <w:pPr>
              <w:pStyle w:val="45"/>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图</w:t>
            </w:r>
            <w:r>
              <w:rPr>
                <w:rFonts w:hint="eastAsia"/>
                <w:b/>
                <w:bCs/>
                <w:color w:val="000000" w:themeColor="text1"/>
                <w:highlight w:val="none"/>
                <w:lang w:val="en-US" w:eastAsia="zh-CN"/>
                <w14:textFill>
                  <w14:solidFill>
                    <w14:schemeClr w14:val="tx1"/>
                  </w14:solidFill>
                </w14:textFill>
              </w:rPr>
              <w:t>5-1排放口图形标志</w:t>
            </w:r>
          </w:p>
          <w:p>
            <w:pPr>
              <w:pStyle w:val="45"/>
              <w:keepNext w:val="0"/>
              <w:keepLines w:val="0"/>
              <w:pageBreakBefore w:val="0"/>
              <w:widowControl w:val="0"/>
              <w:kinsoku/>
              <w:wordWrap/>
              <w:overflowPunct/>
              <w:topLinePunct w:val="0"/>
              <w:autoSpaceDE/>
              <w:autoSpaceDN/>
              <w:bidi w:val="0"/>
              <w:adjustRightInd/>
              <w:snapToGrid/>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3、环境管理</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了贯彻执行国家环保法的有关法律法规，对项目“三废”排放实行监控，确保建设项目社会、经济、环境效益协调发展，协助地方环保职能部门工作，为厂区的生产管理和环境管理提供保证。建设单位需设置专门的环境管理人员，以对厂区内的环境问题进行管理和监测。</w:t>
            </w:r>
          </w:p>
          <w:p>
            <w:pPr>
              <w:pStyle w:val="45"/>
              <w:keepNext w:val="0"/>
              <w:keepLines w:val="0"/>
              <w:pageBreakBefore w:val="0"/>
              <w:widowControl w:val="0"/>
              <w:kinsoku/>
              <w:wordWrap/>
              <w:overflowPunct/>
              <w:topLinePunct w:val="0"/>
              <w:autoSpaceDE/>
              <w:autoSpaceDN/>
              <w:bidi w:val="0"/>
              <w:adjustRightInd/>
              <w:snapToGrid/>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4、竣工环境保护设施验收</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根据《建设项目竣工环境保护验收暂行办法》的规定，建设项目竣工后，建设单位应当如实查验、监测、记载建设项目环境保护设施的建设和调试情况，编制验收监测报告。</w:t>
            </w:r>
          </w:p>
          <w:p>
            <w:pPr>
              <w:pStyle w:val="45"/>
              <w:keepNext w:val="0"/>
              <w:keepLines w:val="0"/>
              <w:pageBreakBefore w:val="0"/>
              <w:widowControl w:val="0"/>
              <w:kinsoku/>
              <w:wordWrap/>
              <w:overflowPunct/>
              <w:topLinePunct w:val="0"/>
              <w:autoSpaceDE/>
              <w:autoSpaceDN/>
              <w:bidi w:val="0"/>
              <w:adjustRightInd/>
              <w:snapToGrid/>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5、运行台账</w:t>
            </w:r>
          </w:p>
          <w:p>
            <w:pPr>
              <w:pStyle w:val="45"/>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污单位应按照HJ944要求建立环境管理台账制度,落实环境管理台账记录的责任单位和责任人，明确工作职责，包括台账的记录、整理、维护和管理等，台账记录频次和内容须满足排污许可证环境管理要求,并对台账记录结果的真实性、完整性和规范性负责。排污单位环境管理台账应真实记录基本信息、生产设施运行管理信息、污染防治措施运行管理信息、监测记录信息及其他环境管理信息等。生产设施、污染防治设施、排放口编码应与排污许可证副本中载明的编码一致。</w:t>
            </w:r>
          </w:p>
        </w:tc>
      </w:tr>
    </w:tbl>
    <w:p>
      <w:pPr>
        <w:pStyle w:val="17"/>
        <w:jc w:val="center"/>
        <w:outlineLvl w:val="0"/>
        <w:rPr>
          <w:rFonts w:ascii="黑体" w:hAnsi="黑体" w:eastAsia="黑体"/>
          <w:snapToGrid w:val="0"/>
          <w:color w:val="000000" w:themeColor="text1"/>
          <w:sz w:val="30"/>
          <w:szCs w:val="30"/>
          <w:highlight w:val="none"/>
          <w14:textFill>
            <w14:solidFill>
              <w14:schemeClr w14:val="tx1"/>
            </w14:solidFill>
          </w14:textFill>
        </w:rPr>
      </w:pPr>
      <w:r>
        <w:rPr>
          <w:snapToGrid w:val="0"/>
          <w:color w:val="000000" w:themeColor="text1"/>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六、结论</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pStyle w:val="44"/>
              <w:bidi w:val="0"/>
              <w:rPr>
                <w:rFonts w:ascii="宋体" w:cs="宋体"/>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的建设符合“三线一单”管理及相关规划的要求，项目在认真落实“三同时”的前提下，运营过程中只要认真贯彻执行国家的环保法律、法规，切实落实本次环评提出的各项环保措施，对污染源采取各项治理措施后废气、废水、噪声可达标排放，固体废物合理处置，对周围环境影响较小。从环保角度出发，本项目的建设是可行的。</w:t>
            </w:r>
          </w:p>
        </w:tc>
      </w:tr>
    </w:tbl>
    <w:p>
      <w:pPr>
        <w:rPr>
          <w:rFonts w:ascii="宋体"/>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highlight w:val="none"/>
          <w14:textFill>
            <w14:solidFill>
              <w14:schemeClr w14:val="tx1"/>
            </w14:solidFill>
          </w14:textFill>
        </w:rPr>
      </w:pPr>
      <w:r>
        <w:rPr>
          <w:rFonts w:hint="eastAsia" w:ascii="黑体" w:hAnsi="黑体" w:eastAsia="黑体"/>
          <w:snapToGrid w:val="0"/>
          <w:color w:val="000000" w:themeColor="text1"/>
          <w:sz w:val="32"/>
          <w:szCs w:val="32"/>
          <w:highlight w:val="none"/>
          <w14:textFill>
            <w14:solidFill>
              <w14:schemeClr w14:val="tx1"/>
            </w14:solidFill>
          </w14:textFill>
        </w:rPr>
        <w:t>附表</w:t>
      </w:r>
    </w:p>
    <w:p>
      <w:pPr>
        <w:pStyle w:val="17"/>
        <w:adjustRightInd w:val="0"/>
        <w:snapToGrid w:val="0"/>
        <w:spacing w:before="0" w:beforeAutospacing="0" w:after="0" w:afterAutospacing="0" w:line="552" w:lineRule="auto"/>
        <w:jc w:val="center"/>
        <w:outlineLvl w:val="0"/>
        <w:rPr>
          <w:rFonts w:hint="eastAsia" w:ascii="方正小标宋_GBK" w:hAnsi="黑体" w:eastAsia="方正小标宋_GBK"/>
          <w:snapToGrid w:val="0"/>
          <w:color w:val="000000" w:themeColor="text1"/>
          <w:sz w:val="38"/>
          <w:szCs w:val="38"/>
          <w:highlight w:val="none"/>
          <w14:textFill>
            <w14:solidFill>
              <w14:schemeClr w14:val="tx1"/>
            </w14:solidFill>
          </w14:textFill>
        </w:rPr>
      </w:pPr>
      <w:r>
        <w:rPr>
          <w:rFonts w:hint="eastAsia" w:ascii="方正小标宋_GBK" w:hAnsi="黑体" w:eastAsia="方正小标宋_GBK"/>
          <w:snapToGrid w:val="0"/>
          <w:color w:val="000000" w:themeColor="text1"/>
          <w:sz w:val="38"/>
          <w:szCs w:val="38"/>
          <w:highlight w:val="none"/>
          <w14:textFill>
            <w14:solidFill>
              <w14:schemeClr w14:val="tx1"/>
            </w14:solidFill>
          </w14:textFill>
        </w:rPr>
        <w:t>建设项目污染物排放量汇总表</w:t>
      </w:r>
    </w:p>
    <w:tbl>
      <w:tblPr>
        <w:tblStyle w:val="2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39"/>
              <w:spacing w:beforeLines="0" w:afterLines="0" w:line="240" w:lineRule="auto"/>
              <w:jc w:val="right"/>
              <w:rPr>
                <w:rFonts w:hint="eastAsia" w:ascii="黑体" w:hAnsi="黑体" w:eastAsia="黑体" w:cs="宋体"/>
                <w:snapToGrid w:val="0"/>
                <w:color w:val="000000" w:themeColor="text1"/>
                <w:spacing w:val="-6"/>
                <w:kern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Cs w:val="21"/>
                <w:highlight w:val="none"/>
                <w14:textFill>
                  <w14:solidFill>
                    <w14:schemeClr w14:val="tx1"/>
                  </w14:solidFill>
                </w14:textFill>
              </w:rPr>
              <w:t>项目</w:t>
            </w:r>
          </w:p>
          <w:p>
            <w:pPr>
              <w:pStyle w:val="39"/>
              <w:spacing w:beforeLines="0" w:afterLines="0" w:line="240" w:lineRule="auto"/>
              <w:jc w:val="left"/>
              <w:rPr>
                <w:rFonts w:hint="eastAsia" w:ascii="黑体" w:hAnsi="黑体" w:eastAsia="黑体" w:cs="宋体"/>
                <w:snapToGrid w:val="0"/>
                <w:color w:val="000000" w:themeColor="text1"/>
                <w:spacing w:val="-6"/>
                <w:kern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Cs w:val="21"/>
                <w:highlight w:val="none"/>
                <w14:textFill>
                  <w14:solidFill>
                    <w14:schemeClr w14:val="tx1"/>
                  </w14:solidFill>
                </w14:textFill>
              </w:rPr>
              <w:t>分类</w:t>
            </w:r>
          </w:p>
        </w:tc>
        <w:tc>
          <w:tcPr>
            <w:tcW w:w="1417" w:type="dxa"/>
            <w:noWrap w:val="0"/>
            <w:tcMar>
              <w:left w:w="28" w:type="dxa"/>
              <w:right w:w="28" w:type="dxa"/>
            </w:tcMar>
            <w:vAlign w:val="center"/>
          </w:tcPr>
          <w:p>
            <w:pPr>
              <w:pStyle w:val="39"/>
              <w:spacing w:beforeLines="0" w:afterLines="0" w:line="240" w:lineRule="auto"/>
              <w:rPr>
                <w:rFonts w:hint="eastAsia" w:ascii="黑体" w:hAnsi="黑体" w:eastAsia="黑体" w:cs="宋体"/>
                <w:snapToGrid w:val="0"/>
                <w:color w:val="000000" w:themeColor="text1"/>
                <w:spacing w:val="-6"/>
                <w:kern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Cs w:val="21"/>
                <w:highlight w:val="none"/>
                <w14:textFill>
                  <w14:solidFill>
                    <w14:schemeClr w14:val="tx1"/>
                  </w14:solidFill>
                </w14:textFill>
              </w:rPr>
              <w:t>污染物名称</w:t>
            </w:r>
          </w:p>
        </w:tc>
        <w:tc>
          <w:tcPr>
            <w:tcW w:w="1701" w:type="dxa"/>
            <w:noWrap w:val="0"/>
            <w:tcMar>
              <w:left w:w="28" w:type="dxa"/>
              <w:right w:w="28" w:type="dxa"/>
            </w:tcMar>
            <w:vAlign w:val="center"/>
          </w:tcPr>
          <w:p>
            <w:pPr>
              <w:pStyle w:val="39"/>
              <w:spacing w:beforeLines="0" w:afterLines="0" w:line="240" w:lineRule="auto"/>
              <w:rPr>
                <w:rFonts w:hint="eastAsia"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现有工程</w:t>
            </w:r>
          </w:p>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Cs w:val="21"/>
                <w:highlight w:val="none"/>
                <w14:textFill>
                  <w14:solidFill>
                    <w14:schemeClr w14:val="tx1"/>
                  </w14:solidFill>
                </w14:textFill>
              </w:rPr>
              <w:t>体</w:t>
            </w:r>
            <w:r>
              <w:rPr>
                <w:rFonts w:ascii="黑体" w:hAnsi="黑体" w:eastAsia="黑体"/>
                <w:snapToGrid w:val="0"/>
                <w:color w:val="000000" w:themeColor="text1"/>
                <w:spacing w:val="-6"/>
                <w:kern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Cs w:val="21"/>
                <w:highlight w:val="none"/>
                <w14:textFill>
                  <w14:solidFill>
                    <w14:schemeClr w14:val="tx1"/>
                  </w14:solidFill>
                </w14:textFill>
              </w:rPr>
              <w:t>物</w:t>
            </w:r>
            <w:r>
              <w:rPr>
                <w:rFonts w:ascii="黑体" w:hAnsi="黑体" w:eastAsia="黑体"/>
                <w:snapToGrid w:val="0"/>
                <w:color w:val="000000" w:themeColor="text1"/>
                <w:spacing w:val="-6"/>
                <w:kern w:val="21"/>
                <w:szCs w:val="21"/>
                <w:highlight w:val="none"/>
                <w14:textFill>
                  <w14:solidFill>
                    <w14:schemeClr w14:val="tx1"/>
                  </w14:solidFill>
                </w14:textFill>
              </w:rPr>
              <w:t>产生量）</w:t>
            </w:r>
            <w:r>
              <w:rPr>
                <w:rFonts w:ascii="黑体" w:hAnsi="黑体" w:eastAsia="黑体"/>
                <w:snapToGrid w:val="0"/>
                <w:color w:val="000000" w:themeColor="text1"/>
                <w:spacing w:val="-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Cs w:val="21"/>
                <w:highlight w:val="none"/>
                <w14:textFill>
                  <w14:solidFill>
                    <w14:schemeClr w14:val="tx1"/>
                  </w14:solidFill>
                </w14:textFill>
              </w:rPr>
              <w:instrText xml:space="preserve"> = 1 \* GB3 \* MERGEFORMAT </w:instrText>
            </w:r>
            <w:r>
              <w:rPr>
                <w:rFonts w:ascii="黑体" w:hAnsi="黑体" w:eastAsia="黑体"/>
                <w:snapToGrid w:val="0"/>
                <w:color w:val="000000" w:themeColor="text1"/>
                <w:spacing w:val="-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①</w:t>
            </w:r>
            <w:r>
              <w:rPr>
                <w:rFonts w:ascii="黑体" w:hAnsi="黑体" w:eastAsia="黑体"/>
                <w:snapToGrid w:val="0"/>
                <w:color w:val="000000" w:themeColor="text1"/>
                <w:spacing w:val="-6"/>
                <w:kern w:val="21"/>
                <w:szCs w:val="21"/>
                <w:highlight w:val="none"/>
                <w14:textFill>
                  <w14:solidFill>
                    <w14:schemeClr w14:val="tx1"/>
                  </w14:solidFill>
                </w14:textFill>
              </w:rPr>
              <w:fldChar w:fldCharType="end"/>
            </w:r>
          </w:p>
        </w:tc>
        <w:tc>
          <w:tcPr>
            <w:tcW w:w="1276" w:type="dxa"/>
            <w:noWrap w:val="0"/>
            <w:tcMar>
              <w:left w:w="28" w:type="dxa"/>
              <w:right w:w="28" w:type="dxa"/>
            </w:tcMar>
            <w:vAlign w:val="center"/>
          </w:tcPr>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现有工程</w:t>
            </w:r>
          </w:p>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许可排放量</w:t>
            </w:r>
          </w:p>
          <w:p>
            <w:pPr>
              <w:pStyle w:val="39"/>
              <w:spacing w:beforeLines="0" w:afterLines="0"/>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Cs w:val="21"/>
                <w:highlight w:val="none"/>
                <w14:textFill>
                  <w14:solidFill>
                    <w14:schemeClr w14:val="tx1"/>
                  </w14:solidFill>
                </w14:textFill>
              </w:rPr>
              <w:instrText xml:space="preserve"> = 2 \* GB3 \* MERGEFORMAT </w:instrText>
            </w:r>
            <w:r>
              <w:rPr>
                <w:rFonts w:ascii="黑体" w:hAnsi="黑体" w:eastAsia="黑体"/>
                <w:snapToGrid w:val="0"/>
                <w:color w:val="000000" w:themeColor="text1"/>
                <w:spacing w:val="-6"/>
                <w:kern w:val="21"/>
                <w:szCs w:val="21"/>
                <w:highlight w:val="none"/>
                <w14:textFill>
                  <w14:solidFill>
                    <w14:schemeClr w14:val="tx1"/>
                  </w14:solidFill>
                </w14:textFill>
              </w:rPr>
              <w:fldChar w:fldCharType="separate"/>
            </w:r>
            <w:r>
              <w:rPr>
                <w:rFonts w:hint="eastAsia" w:ascii="黑体" w:hAnsi="黑体" w:eastAsia="黑体" w:cs="宋体"/>
                <w:snapToGrid w:val="0"/>
                <w:color w:val="000000" w:themeColor="text1"/>
                <w:spacing w:val="-6"/>
                <w:kern w:val="21"/>
                <w:szCs w:val="21"/>
                <w:highlight w:val="none"/>
                <w14:textFill>
                  <w14:solidFill>
                    <w14:schemeClr w14:val="tx1"/>
                  </w14:solidFill>
                </w14:textFill>
              </w:rPr>
              <w:t>②</w:t>
            </w:r>
            <w:r>
              <w:rPr>
                <w:rFonts w:ascii="黑体" w:hAnsi="黑体" w:eastAsia="黑体"/>
                <w:snapToGrid w:val="0"/>
                <w:color w:val="000000" w:themeColor="text1"/>
                <w:spacing w:val="-6"/>
                <w:kern w:val="21"/>
                <w:szCs w:val="21"/>
                <w:highlight w:val="none"/>
                <w14:textFill>
                  <w14:solidFill>
                    <w14:schemeClr w14:val="tx1"/>
                  </w14:solidFill>
                </w14:textFill>
              </w:rPr>
              <w:fldChar w:fldCharType="end"/>
            </w:r>
          </w:p>
        </w:tc>
        <w:tc>
          <w:tcPr>
            <w:tcW w:w="1701" w:type="dxa"/>
            <w:noWrap w:val="0"/>
            <w:tcMar>
              <w:left w:w="28" w:type="dxa"/>
              <w:right w:w="28" w:type="dxa"/>
            </w:tcMar>
            <w:vAlign w:val="center"/>
          </w:tcPr>
          <w:p>
            <w:pPr>
              <w:pStyle w:val="39"/>
              <w:spacing w:beforeLines="0" w:afterLines="0" w:line="240" w:lineRule="auto"/>
              <w:rPr>
                <w:rFonts w:hint="eastAsia"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在建工程</w:t>
            </w:r>
          </w:p>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Cs w:val="21"/>
                <w:highlight w:val="none"/>
                <w14:textFill>
                  <w14:solidFill>
                    <w14:schemeClr w14:val="tx1"/>
                  </w14:solidFill>
                </w14:textFill>
              </w:rPr>
              <w:t>体</w:t>
            </w:r>
            <w:r>
              <w:rPr>
                <w:rFonts w:ascii="黑体" w:hAnsi="黑体" w:eastAsia="黑体"/>
                <w:snapToGrid w:val="0"/>
                <w:color w:val="000000" w:themeColor="text1"/>
                <w:spacing w:val="-6"/>
                <w:kern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Cs w:val="21"/>
                <w:highlight w:val="none"/>
                <w14:textFill>
                  <w14:solidFill>
                    <w14:schemeClr w14:val="tx1"/>
                  </w14:solidFill>
                </w14:textFill>
              </w:rPr>
              <w:t>物</w:t>
            </w:r>
            <w:r>
              <w:rPr>
                <w:rFonts w:ascii="黑体" w:hAnsi="黑体" w:eastAsia="黑体"/>
                <w:snapToGrid w:val="0"/>
                <w:color w:val="000000" w:themeColor="text1"/>
                <w:spacing w:val="-6"/>
                <w:kern w:val="21"/>
                <w:szCs w:val="21"/>
                <w:highlight w:val="none"/>
                <w14:textFill>
                  <w14:solidFill>
                    <w14:schemeClr w14:val="tx1"/>
                  </w14:solidFill>
                </w14:textFill>
              </w:rPr>
              <w:t>产生量）</w:t>
            </w:r>
            <w:r>
              <w:rPr>
                <w:rFonts w:ascii="黑体" w:hAnsi="黑体" w:eastAsia="黑体"/>
                <w:snapToGrid w:val="0"/>
                <w:color w:val="000000" w:themeColor="text1"/>
                <w:spacing w:val="-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Cs w:val="21"/>
                <w:highlight w:val="none"/>
                <w14:textFill>
                  <w14:solidFill>
                    <w14:schemeClr w14:val="tx1"/>
                  </w14:solidFill>
                </w14:textFill>
              </w:rPr>
              <w:instrText xml:space="preserve"> = 3 \* GB3 \* MERGEFORMAT </w:instrText>
            </w:r>
            <w:r>
              <w:rPr>
                <w:rFonts w:ascii="黑体" w:hAnsi="黑体" w:eastAsia="黑体"/>
                <w:snapToGrid w:val="0"/>
                <w:color w:val="000000" w:themeColor="text1"/>
                <w:spacing w:val="-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③</w:t>
            </w:r>
            <w:r>
              <w:rPr>
                <w:rFonts w:ascii="黑体" w:hAnsi="黑体" w:eastAsia="黑体"/>
                <w:snapToGrid w:val="0"/>
                <w:color w:val="000000" w:themeColor="text1"/>
                <w:spacing w:val="-6"/>
                <w:kern w:val="21"/>
                <w:szCs w:val="21"/>
                <w:highlight w:val="none"/>
                <w14:textFill>
                  <w14:solidFill>
                    <w14:schemeClr w14:val="tx1"/>
                  </w14:solidFill>
                </w14:textFill>
              </w:rPr>
              <w:fldChar w:fldCharType="end"/>
            </w:r>
          </w:p>
        </w:tc>
        <w:tc>
          <w:tcPr>
            <w:tcW w:w="1559" w:type="dxa"/>
            <w:noWrap w:val="0"/>
            <w:tcMar>
              <w:left w:w="28" w:type="dxa"/>
              <w:right w:w="28" w:type="dxa"/>
            </w:tcMar>
            <w:vAlign w:val="center"/>
          </w:tcPr>
          <w:p>
            <w:pPr>
              <w:pStyle w:val="39"/>
              <w:spacing w:beforeLines="0" w:afterLines="0" w:line="240" w:lineRule="auto"/>
              <w:rPr>
                <w:rFonts w:hint="eastAsia"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本项目</w:t>
            </w:r>
          </w:p>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Cs w:val="21"/>
                <w:highlight w:val="none"/>
                <w14:textFill>
                  <w14:solidFill>
                    <w14:schemeClr w14:val="tx1"/>
                  </w14:solidFill>
                </w14:textFill>
              </w:rPr>
              <w:t>体</w:t>
            </w:r>
            <w:r>
              <w:rPr>
                <w:rFonts w:ascii="黑体" w:hAnsi="黑体" w:eastAsia="黑体"/>
                <w:snapToGrid w:val="0"/>
                <w:color w:val="000000" w:themeColor="text1"/>
                <w:spacing w:val="-6"/>
                <w:kern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Cs w:val="21"/>
                <w:highlight w:val="none"/>
                <w14:textFill>
                  <w14:solidFill>
                    <w14:schemeClr w14:val="tx1"/>
                  </w14:solidFill>
                </w14:textFill>
              </w:rPr>
              <w:t>物</w:t>
            </w:r>
            <w:r>
              <w:rPr>
                <w:rFonts w:ascii="黑体" w:hAnsi="黑体" w:eastAsia="黑体"/>
                <w:snapToGrid w:val="0"/>
                <w:color w:val="000000" w:themeColor="text1"/>
                <w:spacing w:val="-6"/>
                <w:kern w:val="21"/>
                <w:szCs w:val="21"/>
                <w:highlight w:val="none"/>
                <w14:textFill>
                  <w14:solidFill>
                    <w14:schemeClr w14:val="tx1"/>
                  </w14:solidFill>
                </w14:textFill>
              </w:rPr>
              <w:t>产生量）</w:t>
            </w:r>
            <w:r>
              <w:rPr>
                <w:rFonts w:ascii="黑体" w:hAnsi="黑体" w:eastAsia="黑体"/>
                <w:snapToGrid w:val="0"/>
                <w:color w:val="000000" w:themeColor="text1"/>
                <w:spacing w:val="-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Cs w:val="21"/>
                <w:highlight w:val="none"/>
                <w14:textFill>
                  <w14:solidFill>
                    <w14:schemeClr w14:val="tx1"/>
                  </w14:solidFill>
                </w14:textFill>
              </w:rPr>
              <w:instrText xml:space="preserve"> = 4 \* GB3 \* MERGEFORMAT </w:instrText>
            </w:r>
            <w:r>
              <w:rPr>
                <w:rFonts w:ascii="黑体" w:hAnsi="黑体" w:eastAsia="黑体"/>
                <w:snapToGrid w:val="0"/>
                <w:color w:val="000000" w:themeColor="text1"/>
                <w:spacing w:val="-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④</w:t>
            </w:r>
            <w:r>
              <w:rPr>
                <w:rFonts w:ascii="黑体" w:hAnsi="黑体" w:eastAsia="黑体"/>
                <w:snapToGrid w:val="0"/>
                <w:color w:val="000000" w:themeColor="text1"/>
                <w:spacing w:val="-6"/>
                <w:kern w:val="21"/>
                <w:szCs w:val="21"/>
                <w:highlight w:val="none"/>
                <w14:textFill>
                  <w14:solidFill>
                    <w14:schemeClr w14:val="tx1"/>
                  </w14:solidFill>
                </w14:textFill>
              </w:rPr>
              <w:fldChar w:fldCharType="end"/>
            </w:r>
          </w:p>
        </w:tc>
        <w:tc>
          <w:tcPr>
            <w:tcW w:w="1761" w:type="dxa"/>
            <w:noWrap w:val="0"/>
            <w:tcMar>
              <w:left w:w="28" w:type="dxa"/>
              <w:right w:w="28" w:type="dxa"/>
            </w:tcMar>
            <w:vAlign w:val="center"/>
          </w:tcPr>
          <w:p>
            <w:pPr>
              <w:pStyle w:val="39"/>
              <w:spacing w:beforeLines="0" w:afterLines="0" w:line="240" w:lineRule="auto"/>
              <w:rPr>
                <w:rFonts w:hint="eastAsia" w:ascii="黑体" w:hAnsi="黑体" w:eastAsia="黑体"/>
                <w:snapToGrid w:val="0"/>
                <w:color w:val="000000" w:themeColor="text1"/>
                <w:spacing w:val="-16"/>
                <w:kern w:val="21"/>
                <w:szCs w:val="21"/>
                <w:highlight w:val="none"/>
                <w14:textFill>
                  <w14:solidFill>
                    <w14:schemeClr w14:val="tx1"/>
                  </w14:solidFill>
                </w14:textFill>
              </w:rPr>
            </w:pPr>
            <w:r>
              <w:rPr>
                <w:rFonts w:ascii="黑体" w:hAnsi="黑体" w:eastAsia="黑体"/>
                <w:snapToGrid w:val="0"/>
                <w:color w:val="000000" w:themeColor="text1"/>
                <w:spacing w:val="-16"/>
                <w:kern w:val="21"/>
                <w:szCs w:val="21"/>
                <w:highlight w:val="none"/>
                <w14:textFill>
                  <w14:solidFill>
                    <w14:schemeClr w14:val="tx1"/>
                  </w14:solidFill>
                </w14:textFill>
              </w:rPr>
              <w:t>以新带老削减量</w:t>
            </w:r>
          </w:p>
          <w:p>
            <w:pPr>
              <w:pStyle w:val="39"/>
              <w:spacing w:beforeLines="0" w:afterLines="0" w:line="240" w:lineRule="auto"/>
              <w:rPr>
                <w:rFonts w:ascii="黑体" w:hAnsi="黑体" w:eastAsia="黑体"/>
                <w:snapToGrid w:val="0"/>
                <w:color w:val="000000" w:themeColor="text1"/>
                <w:spacing w:val="-16"/>
                <w:kern w:val="21"/>
                <w:szCs w:val="21"/>
                <w:highlight w:val="none"/>
                <w14:textFill>
                  <w14:solidFill>
                    <w14:schemeClr w14:val="tx1"/>
                  </w14:solidFill>
                </w14:textFill>
              </w:rPr>
            </w:pPr>
            <w:r>
              <w:rPr>
                <w:rFonts w:ascii="黑体" w:hAnsi="黑体" w:eastAsia="黑体"/>
                <w:snapToGrid w:val="0"/>
                <w:color w:val="000000" w:themeColor="text1"/>
                <w:spacing w:val="-16"/>
                <w:kern w:val="21"/>
                <w:szCs w:val="21"/>
                <w:highlight w:val="none"/>
                <w14:textFill>
                  <w14:solidFill>
                    <w14:schemeClr w14:val="tx1"/>
                  </w14:solidFill>
                </w14:textFill>
              </w:rPr>
              <w:t>（新建项目不填）</w:t>
            </w:r>
            <w:r>
              <w:rPr>
                <w:rFonts w:ascii="黑体" w:hAnsi="黑体" w:eastAsia="黑体"/>
                <w:snapToGrid w:val="0"/>
                <w:color w:val="000000" w:themeColor="text1"/>
                <w:spacing w:val="-1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16"/>
                <w:kern w:val="21"/>
                <w:szCs w:val="21"/>
                <w:highlight w:val="none"/>
                <w14:textFill>
                  <w14:solidFill>
                    <w14:schemeClr w14:val="tx1"/>
                  </w14:solidFill>
                </w14:textFill>
              </w:rPr>
              <w:instrText xml:space="preserve"> = 5 \* GB3 \* MERGEFORMAT </w:instrText>
            </w:r>
            <w:r>
              <w:rPr>
                <w:rFonts w:ascii="黑体" w:hAnsi="黑体" w:eastAsia="黑体"/>
                <w:snapToGrid w:val="0"/>
                <w:color w:val="000000" w:themeColor="text1"/>
                <w:spacing w:val="-1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⑤</w:t>
            </w:r>
            <w:r>
              <w:rPr>
                <w:rFonts w:ascii="黑体" w:hAnsi="黑体" w:eastAsia="黑体"/>
                <w:snapToGrid w:val="0"/>
                <w:color w:val="000000" w:themeColor="text1"/>
                <w:spacing w:val="-16"/>
                <w:kern w:val="21"/>
                <w:szCs w:val="21"/>
                <w:highlight w:val="none"/>
                <w14:textFill>
                  <w14:solidFill>
                    <w14:schemeClr w14:val="tx1"/>
                  </w14:solidFill>
                </w14:textFill>
              </w:rPr>
              <w:fldChar w:fldCharType="end"/>
            </w:r>
          </w:p>
        </w:tc>
        <w:tc>
          <w:tcPr>
            <w:tcW w:w="1959" w:type="dxa"/>
            <w:noWrap w:val="0"/>
            <w:tcMar>
              <w:left w:w="28" w:type="dxa"/>
              <w:right w:w="28" w:type="dxa"/>
            </w:tcMar>
            <w:vAlign w:val="center"/>
          </w:tcPr>
          <w:p>
            <w:pPr>
              <w:pStyle w:val="39"/>
              <w:spacing w:beforeLines="0" w:afterLines="0" w:line="240" w:lineRule="auto"/>
              <w:rPr>
                <w:rFonts w:hint="eastAsia" w:ascii="黑体" w:hAnsi="黑体" w:eastAsia="黑体"/>
                <w:snapToGrid w:val="0"/>
                <w:color w:val="000000" w:themeColor="text1"/>
                <w:spacing w:val="-16"/>
                <w:kern w:val="21"/>
                <w:szCs w:val="21"/>
                <w:highlight w:val="none"/>
                <w14:textFill>
                  <w14:solidFill>
                    <w14:schemeClr w14:val="tx1"/>
                  </w14:solidFill>
                </w14:textFill>
              </w:rPr>
            </w:pPr>
            <w:r>
              <w:rPr>
                <w:rFonts w:ascii="黑体" w:hAnsi="黑体" w:eastAsia="黑体"/>
                <w:snapToGrid w:val="0"/>
                <w:color w:val="000000" w:themeColor="text1"/>
                <w:spacing w:val="-16"/>
                <w:kern w:val="21"/>
                <w:szCs w:val="21"/>
                <w:highlight w:val="none"/>
                <w14:textFill>
                  <w14:solidFill>
                    <w14:schemeClr w14:val="tx1"/>
                  </w14:solidFill>
                </w14:textFill>
              </w:rPr>
              <w:t>本项目建成后</w:t>
            </w:r>
          </w:p>
          <w:p>
            <w:pPr>
              <w:pStyle w:val="39"/>
              <w:spacing w:beforeLines="0" w:afterLines="0" w:line="240" w:lineRule="auto"/>
              <w:rPr>
                <w:rFonts w:ascii="黑体" w:hAnsi="黑体" w:eastAsia="黑体"/>
                <w:snapToGrid w:val="0"/>
                <w:color w:val="000000" w:themeColor="text1"/>
                <w:spacing w:val="-16"/>
                <w:kern w:val="21"/>
                <w:szCs w:val="21"/>
                <w:highlight w:val="none"/>
                <w14:textFill>
                  <w14:solidFill>
                    <w14:schemeClr w14:val="tx1"/>
                  </w14:solidFill>
                </w14:textFill>
              </w:rPr>
            </w:pPr>
            <w:r>
              <w:rPr>
                <w:rFonts w:hint="eastAsia" w:ascii="黑体" w:hAnsi="黑体" w:eastAsia="黑体"/>
                <w:snapToGrid w:val="0"/>
                <w:color w:val="000000" w:themeColor="text1"/>
                <w:spacing w:val="-16"/>
                <w:kern w:val="21"/>
                <w:szCs w:val="21"/>
                <w:highlight w:val="none"/>
                <w14:textFill>
                  <w14:solidFill>
                    <w14:schemeClr w14:val="tx1"/>
                  </w14:solidFill>
                </w14:textFill>
              </w:rPr>
              <w:t>全厂</w:t>
            </w:r>
            <w:r>
              <w:rPr>
                <w:rFonts w:ascii="黑体" w:hAnsi="黑体" w:eastAsia="黑体"/>
                <w:snapToGrid w:val="0"/>
                <w:color w:val="000000" w:themeColor="text1"/>
                <w:spacing w:val="-16"/>
                <w:kern w:val="21"/>
                <w:szCs w:val="21"/>
                <w:highlight w:val="none"/>
                <w14:textFill>
                  <w14:solidFill>
                    <w14:schemeClr w14:val="tx1"/>
                  </w14:solidFill>
                </w14:textFill>
              </w:rPr>
              <w:t>排放量（固</w:t>
            </w:r>
            <w:r>
              <w:rPr>
                <w:rFonts w:hint="eastAsia" w:ascii="黑体" w:hAnsi="黑体" w:eastAsia="黑体"/>
                <w:snapToGrid w:val="0"/>
                <w:color w:val="000000" w:themeColor="text1"/>
                <w:spacing w:val="-16"/>
                <w:kern w:val="21"/>
                <w:szCs w:val="21"/>
                <w:highlight w:val="none"/>
                <w14:textFill>
                  <w14:solidFill>
                    <w14:schemeClr w14:val="tx1"/>
                  </w14:solidFill>
                </w14:textFill>
              </w:rPr>
              <w:t>体</w:t>
            </w:r>
            <w:r>
              <w:rPr>
                <w:rFonts w:ascii="黑体" w:hAnsi="黑体" w:eastAsia="黑体"/>
                <w:snapToGrid w:val="0"/>
                <w:color w:val="000000" w:themeColor="text1"/>
                <w:spacing w:val="-16"/>
                <w:kern w:val="21"/>
                <w:szCs w:val="21"/>
                <w:highlight w:val="none"/>
                <w14:textFill>
                  <w14:solidFill>
                    <w14:schemeClr w14:val="tx1"/>
                  </w14:solidFill>
                </w14:textFill>
              </w:rPr>
              <w:t>废</w:t>
            </w:r>
            <w:r>
              <w:rPr>
                <w:rFonts w:hint="eastAsia" w:ascii="黑体" w:hAnsi="黑体" w:eastAsia="黑体"/>
                <w:snapToGrid w:val="0"/>
                <w:color w:val="000000" w:themeColor="text1"/>
                <w:spacing w:val="-16"/>
                <w:kern w:val="21"/>
                <w:szCs w:val="21"/>
                <w:highlight w:val="none"/>
                <w14:textFill>
                  <w14:solidFill>
                    <w14:schemeClr w14:val="tx1"/>
                  </w14:solidFill>
                </w14:textFill>
              </w:rPr>
              <w:t>物</w:t>
            </w:r>
            <w:r>
              <w:rPr>
                <w:rFonts w:ascii="黑体" w:hAnsi="黑体" w:eastAsia="黑体"/>
                <w:snapToGrid w:val="0"/>
                <w:color w:val="000000" w:themeColor="text1"/>
                <w:spacing w:val="-16"/>
                <w:kern w:val="21"/>
                <w:szCs w:val="21"/>
                <w:highlight w:val="none"/>
                <w14:textFill>
                  <w14:solidFill>
                    <w14:schemeClr w14:val="tx1"/>
                  </w14:solidFill>
                </w14:textFill>
              </w:rPr>
              <w:t>产生量）</w:t>
            </w:r>
            <w:r>
              <w:rPr>
                <w:rFonts w:ascii="黑体" w:hAnsi="黑体" w:eastAsia="黑体"/>
                <w:snapToGrid w:val="0"/>
                <w:color w:val="000000" w:themeColor="text1"/>
                <w:spacing w:val="-1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16"/>
                <w:kern w:val="21"/>
                <w:szCs w:val="21"/>
                <w:highlight w:val="none"/>
                <w14:textFill>
                  <w14:solidFill>
                    <w14:schemeClr w14:val="tx1"/>
                  </w14:solidFill>
                </w14:textFill>
              </w:rPr>
              <w:instrText xml:space="preserve"> = 6 \* GB3 \* MERGEFORMAT </w:instrText>
            </w:r>
            <w:r>
              <w:rPr>
                <w:rFonts w:ascii="黑体" w:hAnsi="黑体" w:eastAsia="黑体"/>
                <w:snapToGrid w:val="0"/>
                <w:color w:val="000000" w:themeColor="text1"/>
                <w:spacing w:val="-1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⑥</w:t>
            </w:r>
            <w:r>
              <w:rPr>
                <w:rFonts w:ascii="黑体" w:hAnsi="黑体" w:eastAsia="黑体"/>
                <w:snapToGrid w:val="0"/>
                <w:color w:val="000000" w:themeColor="text1"/>
                <w:spacing w:val="-16"/>
                <w:kern w:val="21"/>
                <w:szCs w:val="21"/>
                <w:highlight w:val="none"/>
                <w14:textFill>
                  <w14:solidFill>
                    <w14:schemeClr w14:val="tx1"/>
                  </w14:solidFill>
                </w14:textFill>
              </w:rPr>
              <w:fldChar w:fldCharType="end"/>
            </w:r>
          </w:p>
        </w:tc>
        <w:tc>
          <w:tcPr>
            <w:tcW w:w="826" w:type="dxa"/>
            <w:noWrap w:val="0"/>
            <w:tcMar>
              <w:left w:w="28" w:type="dxa"/>
              <w:right w:w="28" w:type="dxa"/>
            </w:tcMar>
            <w:vAlign w:val="center"/>
          </w:tcPr>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t>变化量</w:t>
            </w:r>
          </w:p>
          <w:p>
            <w:pPr>
              <w:pStyle w:val="39"/>
              <w:spacing w:beforeLines="0" w:afterLines="0" w:line="240" w:lineRule="auto"/>
              <w:rPr>
                <w:rFonts w:ascii="黑体" w:hAnsi="黑体" w:eastAsia="黑体"/>
                <w:snapToGrid w:val="0"/>
                <w:color w:val="000000" w:themeColor="text1"/>
                <w:spacing w:val="-6"/>
                <w:kern w:val="21"/>
                <w:szCs w:val="21"/>
                <w:highlight w:val="none"/>
                <w14:textFill>
                  <w14:solidFill>
                    <w14:schemeClr w14:val="tx1"/>
                  </w14:solidFill>
                </w14:textFill>
              </w:rPr>
            </w:pPr>
            <w:r>
              <w:rPr>
                <w:rFonts w:ascii="黑体" w:hAnsi="黑体" w:eastAsia="黑体"/>
                <w:snapToGrid w:val="0"/>
                <w:color w:val="000000" w:themeColor="text1"/>
                <w:spacing w:val="-6"/>
                <w:kern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Cs w:val="21"/>
                <w:highlight w:val="none"/>
                <w14:textFill>
                  <w14:solidFill>
                    <w14:schemeClr w14:val="tx1"/>
                  </w14:solidFill>
                </w14:textFill>
              </w:rPr>
              <w:instrText xml:space="preserve"> = 7 \* GB3 \* MERGEFORMAT </w:instrText>
            </w:r>
            <w:r>
              <w:rPr>
                <w:rFonts w:ascii="黑体" w:hAnsi="黑体" w:eastAsia="黑体"/>
                <w:snapToGrid w:val="0"/>
                <w:color w:val="000000" w:themeColor="text1"/>
                <w:spacing w:val="-6"/>
                <w:kern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Cs w:val="21"/>
                <w:highlight w:val="none"/>
                <w14:textFill>
                  <w14:solidFill>
                    <w14:schemeClr w14:val="tx1"/>
                  </w14:solidFill>
                </w14:textFill>
              </w:rPr>
              <w:t>⑦</w:t>
            </w:r>
            <w:r>
              <w:rPr>
                <w:rFonts w:ascii="黑体" w:hAnsi="黑体" w:eastAsia="黑体"/>
                <w:snapToGrid w:val="0"/>
                <w:color w:val="000000" w:themeColor="text1"/>
                <w:spacing w:val="-6"/>
                <w:kern w:val="21"/>
                <w:szCs w:val="21"/>
                <w:highlight w:val="none"/>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废气</w:t>
            </w:r>
          </w:p>
        </w:tc>
        <w:tc>
          <w:tcPr>
            <w:tcW w:w="1417" w:type="dxa"/>
            <w:noWrap w:val="0"/>
            <w:vAlign w:val="center"/>
          </w:tcPr>
          <w:p>
            <w:pPr>
              <w:pStyle w:val="39"/>
              <w:spacing w:beforeLines="0" w:afterLines="0" w:line="240" w:lineRule="auto"/>
              <w:rPr>
                <w:rFonts w:hint="eastAsia" w:hAnsi="宋体" w:eastAsia="宋体" w:cs="宋体"/>
                <w:snapToGrid w:val="0"/>
                <w:color w:val="000000" w:themeColor="text1"/>
                <w:kern w:val="21"/>
                <w:szCs w:val="21"/>
                <w:highlight w:val="none"/>
                <w:lang w:eastAsia="zh-CN"/>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颗粒物</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c>
          <w:tcPr>
            <w:tcW w:w="82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+5.602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pStyle w:val="39"/>
              <w:spacing w:beforeLines="0" w:afterLines="0" w:line="240" w:lineRule="auto"/>
              <w:rPr>
                <w:rFonts w:hint="eastAsia" w:hAnsi="宋体" w:eastAsia="宋体" w:cs="宋体"/>
                <w:snapToGrid w:val="0"/>
                <w:color w:val="000000" w:themeColor="text1"/>
                <w:kern w:val="21"/>
                <w:szCs w:val="21"/>
                <w:highlight w:val="none"/>
                <w:lang w:eastAsia="zh-CN"/>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二氧化硫</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c>
          <w:tcPr>
            <w:tcW w:w="82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pStyle w:val="39"/>
              <w:spacing w:beforeLines="0" w:afterLines="0" w:line="240" w:lineRule="auto"/>
              <w:rPr>
                <w:rFonts w:hint="eastAsia" w:hAnsi="宋体" w:eastAsia="宋体" w:cs="宋体"/>
                <w:snapToGrid w:val="0"/>
                <w:color w:val="000000" w:themeColor="text1"/>
                <w:kern w:val="21"/>
                <w:szCs w:val="21"/>
                <w:highlight w:val="none"/>
                <w:lang w:eastAsia="zh-CN"/>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氮氧化物</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14:textFill>
                  <w14:solidFill>
                    <w14:schemeClr w14:val="tx1"/>
                  </w14:solidFill>
                </w14:textFill>
              </w:rPr>
              <w:t>0.84</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w:t>
            </w:r>
          </w:p>
        </w:tc>
        <w:tc>
          <w:tcPr>
            <w:tcW w:w="19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14:textFill>
                  <w14:solidFill>
                    <w14:schemeClr w14:val="tx1"/>
                  </w14:solidFill>
                </w14:textFill>
              </w:rPr>
              <w:t>0.84</w:t>
            </w:r>
          </w:p>
        </w:tc>
        <w:tc>
          <w:tcPr>
            <w:tcW w:w="82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14:textFill>
                  <w14:solidFill>
                    <w14:schemeClr w14:val="tx1"/>
                  </w14:solidFill>
                </w14:textFill>
              </w:rPr>
              <w:t>+0.84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pStyle w:val="39"/>
              <w:spacing w:beforeLines="0" w:afterLines="0" w:line="240" w:lineRule="auto"/>
              <w:rPr>
                <w:rFonts w:hint="eastAsia" w:hAnsi="宋体" w:eastAsia="宋体" w:cs="宋体"/>
                <w:snapToGrid w:val="0"/>
                <w:color w:val="000000" w:themeColor="text1"/>
                <w:kern w:val="21"/>
                <w:szCs w:val="21"/>
                <w:highlight w:val="none"/>
                <w:lang w:eastAsia="zh-CN"/>
                <w14:textFill>
                  <w14:solidFill>
                    <w14:schemeClr w14:val="tx1"/>
                  </w14:solidFill>
                </w14:textFill>
              </w:rPr>
            </w:pPr>
            <w:r>
              <w:rPr>
                <w:rFonts w:hint="eastAsia" w:hAnsi="宋体" w:cs="宋体"/>
                <w:snapToGrid w:val="0"/>
                <w:color w:val="000000" w:themeColor="text1"/>
                <w:kern w:val="21"/>
                <w:szCs w:val="21"/>
                <w:highlight w:val="none"/>
                <w:lang w:eastAsia="zh-CN"/>
                <w14:textFill>
                  <w14:solidFill>
                    <w14:schemeClr w14:val="tx1"/>
                  </w14:solidFill>
                </w14:textFill>
              </w:rPr>
              <w:t>油烟</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c>
          <w:tcPr>
            <w:tcW w:w="82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+0.0036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废水</w:t>
            </w: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氨氮</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hAnsi="宋体" w:cs="宋体"/>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hAnsi="宋体" w:cs="宋体"/>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0.98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动植物油</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0.13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磷酸盐</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c>
          <w:tcPr>
            <w:tcW w:w="826" w:type="dxa"/>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snapToGrid w:val="0"/>
                <w:color w:val="000000" w:themeColor="text1"/>
                <w:kern w:val="21"/>
                <w:sz w:val="21"/>
                <w:szCs w:val="21"/>
                <w:highlight w:val="none"/>
                <w:lang w:val="en-US" w:eastAsia="zh-CN" w:bidi="ar-SA"/>
                <w14:textFill>
                  <w14:solidFill>
                    <w14:schemeClr w14:val="tx1"/>
                  </w14:solidFill>
                </w14:textFill>
              </w:rPr>
              <w:t>+0.0195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一般工业</w:t>
            </w:r>
          </w:p>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固体废物</w:t>
            </w: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生活垃圾</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筛分杂质</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826" w:type="dxa"/>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金属杂质</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废包装袋</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废布袋</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Ansi="宋体" w:cs="宋体"/>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除尘器除尘灰</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c>
          <w:tcPr>
            <w:tcW w:w="1761" w:type="dxa"/>
            <w:noWrap w:val="0"/>
            <w:vAlign w:val="center"/>
          </w:tcPr>
          <w:p>
            <w:pPr>
              <w:pStyle w:val="39"/>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废离子交换树脂</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8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危险废物</w:t>
            </w:r>
          </w:p>
        </w:tc>
        <w:tc>
          <w:tcPr>
            <w:tcW w:w="141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实验室废液</w:t>
            </w:r>
          </w:p>
        </w:tc>
        <w:tc>
          <w:tcPr>
            <w:tcW w:w="1701" w:type="dxa"/>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c>
          <w:tcPr>
            <w:tcW w:w="826"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+1.04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废机油、废液压油、废齿轮油</w:t>
            </w:r>
          </w:p>
        </w:tc>
        <w:tc>
          <w:tcPr>
            <w:tcW w:w="1701" w:type="dxa"/>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c>
          <w:tcPr>
            <w:tcW w:w="826"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9"/>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废油桶</w:t>
            </w:r>
          </w:p>
        </w:tc>
        <w:tc>
          <w:tcPr>
            <w:tcW w:w="1701" w:type="dxa"/>
            <w:noWrap w:val="0"/>
            <w:vAlign w:val="center"/>
          </w:tcPr>
          <w:p>
            <w:pPr>
              <w:pStyle w:val="45"/>
              <w:ind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0</w:t>
            </w:r>
          </w:p>
        </w:tc>
        <w:tc>
          <w:tcPr>
            <w:tcW w:w="1276"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c>
          <w:tcPr>
            <w:tcW w:w="1761" w:type="dxa"/>
            <w:noWrap w:val="0"/>
            <w:vAlign w:val="center"/>
          </w:tcPr>
          <w:p>
            <w:pPr>
              <w:pStyle w:val="39"/>
              <w:spacing w:beforeLines="0" w:afterLines="0" w:line="240" w:lineRule="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p>
        </w:tc>
        <w:tc>
          <w:tcPr>
            <w:tcW w:w="1959"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c>
          <w:tcPr>
            <w:tcW w:w="826" w:type="dxa"/>
            <w:noWrap w:val="0"/>
            <w:vAlign w:val="center"/>
          </w:tcPr>
          <w:p>
            <w:pPr>
              <w:pStyle w:val="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cs="Times New Roman"/>
                <w:b w:val="0"/>
                <w:bCs/>
                <w:color w:val="000000" w:themeColor="text1"/>
                <w:kern w:val="0"/>
                <w:sz w:val="21"/>
                <w:szCs w:val="21"/>
                <w:highlight w:val="none"/>
                <w:lang w:val="en-US" w:eastAsia="zh-CN" w:bidi="ar-SA"/>
                <w14:textFill>
                  <w14:solidFill>
                    <w14:schemeClr w14:val="tx1"/>
                  </w14:solidFill>
                </w14:textFill>
              </w:rPr>
              <w:t>+0.04</w:t>
            </w:r>
          </w:p>
        </w:tc>
      </w:tr>
    </w:tbl>
    <w:p>
      <w:pPr>
        <w:pStyle w:val="39"/>
        <w:spacing w:before="192" w:beforeLines="80" w:after="24"/>
        <w:jc w:val="left"/>
        <w:rPr>
          <w:rFonts w:hint="eastAsia" w:hAnsi="宋体"/>
          <w:snapToGrid w:val="0"/>
          <w:color w:val="000000" w:themeColor="text1"/>
          <w:spacing w:val="-6"/>
          <w:kern w:val="21"/>
          <w:szCs w:val="21"/>
          <w:highlight w:val="none"/>
          <w14:textFill>
            <w14:solidFill>
              <w14:schemeClr w14:val="tx1"/>
            </w14:solidFill>
          </w14:textFill>
        </w:rPr>
      </w:pPr>
      <w:r>
        <w:rPr>
          <w:rFonts w:hAnsi="宋体"/>
          <w:snapToGrid w:val="0"/>
          <w:color w:val="000000" w:themeColor="text1"/>
          <w:kern w:val="21"/>
          <w:szCs w:val="21"/>
          <w:highlight w:val="none"/>
          <w14:textFill>
            <w14:solidFill>
              <w14:schemeClr w14:val="tx1"/>
            </w14:solidFill>
          </w14:textFill>
        </w:rPr>
        <w:t>注：</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3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③</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4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④</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5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⑤</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7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⑦</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p>
    <w:p>
      <w:pPr>
        <w:rPr>
          <w:rFonts w:hint="eastAsia"/>
          <w:color w:val="000000" w:themeColor="text1"/>
          <w:highlight w:val="none"/>
          <w14:textFill>
            <w14:solidFill>
              <w14:schemeClr w14:val="tx1"/>
            </w14:solidFill>
          </w14:textFill>
        </w:rPr>
      </w:pPr>
    </w:p>
    <w:p>
      <w:pPr>
        <w:rPr>
          <w:rFonts w:hint="eastAsia"/>
          <w:color w:val="000000" w:themeColor="text1"/>
          <w:highlight w:val="none"/>
          <w14:textFill>
            <w14:solidFill>
              <w14:schemeClr w14:val="tx1"/>
            </w14:solidFill>
          </w14:textFill>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outlineLvl w:val="0"/>
        <w:rPr>
          <w:color w:val="000000" w:themeColor="text1"/>
          <w:highlight w:val="none"/>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1 委托书</w:t>
      </w:r>
    </w:p>
    <w:p>
      <w:pPr>
        <w:pStyle w:val="15"/>
        <w:rPr>
          <w:color w:val="000000" w:themeColor="text1"/>
          <w:highlight w:val="none"/>
          <w14:textFill>
            <w14:solidFill>
              <w14:schemeClr w14:val="tx1"/>
            </w14:solidFill>
          </w14:textFill>
        </w:rPr>
      </w:pPr>
    </w:p>
    <w:p>
      <w:pPr>
        <w:rPr>
          <w:rFonts w:hint="eastAsia"/>
          <w:color w:val="000000" w:themeColor="text1"/>
          <w:highlight w:val="none"/>
          <w:lang w:val="en-US" w:eastAsia="zh-CN"/>
          <w14:textFill>
            <w14:solidFill>
              <w14:schemeClr w14:val="tx1"/>
            </w14:solidFill>
          </w14:textFill>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000000" w:themeColor="text1"/>
          <w:highlight w:val="none"/>
          <w:lang w:val="en-US" w:eastAsia="zh-CN"/>
          <w14:textFill>
            <w14:solidFill>
              <w14:schemeClr w14:val="tx1"/>
            </w14:solidFill>
          </w14:textFill>
        </w:rPr>
        <w:drawing>
          <wp:inline distT="0" distB="0" distL="114300" distR="114300">
            <wp:extent cx="5490210" cy="6899910"/>
            <wp:effectExtent l="0" t="0" r="15240" b="15240"/>
            <wp:docPr id="59" name="图片 59" descr="fcf343ae4c02ecb088f5510502635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cf343ae4c02ecb088f5510502635c6"/>
                    <pic:cNvPicPr>
                      <a:picLocks noChangeAspect="1"/>
                    </pic:cNvPicPr>
                  </pic:nvPicPr>
                  <pic:blipFill>
                    <a:blip r:embed="rId33"/>
                    <a:srcRect t="9396" b="19635"/>
                    <a:stretch>
                      <a:fillRect/>
                    </a:stretch>
                  </pic:blipFill>
                  <pic:spPr>
                    <a:xfrm>
                      <a:off x="0" y="0"/>
                      <a:ext cx="5490210" cy="6899910"/>
                    </a:xfrm>
                    <a:prstGeom prst="rect">
                      <a:avLst/>
                    </a:prstGeom>
                  </pic:spPr>
                </pic:pic>
              </a:graphicData>
            </a:graphic>
          </wp:inline>
        </w:drawing>
      </w:r>
    </w:p>
    <w:p>
      <w:pPr>
        <w:outlineLvl w:val="0"/>
        <w:rPr>
          <w:rFonts w:hint="default"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2备案证明</w:t>
      </w:r>
    </w:p>
    <w:p>
      <w:pPr>
        <w:rPr>
          <w:rFonts w:hint="eastAsia" w:ascii="宋体" w:hAnsi="宋体" w:eastAsia="黑体"/>
          <w:color w:val="000000" w:themeColor="text1"/>
          <w:highlight w:val="none"/>
          <w:lang w:eastAsia="zh-CN"/>
          <w14:textFill>
            <w14:solidFill>
              <w14:schemeClr w14:val="tx1"/>
            </w14:solidFill>
          </w14:textFill>
        </w:rPr>
      </w:pPr>
      <w:r>
        <w:rPr>
          <w:rFonts w:hint="eastAsia" w:ascii="宋体" w:hAnsi="宋体" w:eastAsia="黑体"/>
          <w:color w:val="000000" w:themeColor="text1"/>
          <w:highlight w:val="none"/>
          <w:lang w:eastAsia="zh-CN"/>
          <w14:textFill>
            <w14:solidFill>
              <w14:schemeClr w14:val="tx1"/>
            </w14:solidFill>
          </w14:textFill>
        </w:rPr>
        <w:drawing>
          <wp:inline distT="0" distB="0" distL="114300" distR="114300">
            <wp:extent cx="5512435" cy="8115300"/>
            <wp:effectExtent l="0" t="0" r="12065" b="0"/>
            <wp:docPr id="2" name="图片 3" descr="4d73a622c3355ae1058c46b1bb4e1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4d73a622c3355ae1058c46b1bb4e1c2"/>
                    <pic:cNvPicPr>
                      <a:picLocks noChangeAspect="1"/>
                    </pic:cNvPicPr>
                  </pic:nvPicPr>
                  <pic:blipFill>
                    <a:blip r:embed="rId34"/>
                    <a:stretch>
                      <a:fillRect/>
                    </a:stretch>
                  </pic:blipFill>
                  <pic:spPr>
                    <a:xfrm>
                      <a:off x="0" y="0"/>
                      <a:ext cx="5512435" cy="8115300"/>
                    </a:xfrm>
                    <a:prstGeom prst="rect">
                      <a:avLst/>
                    </a:prstGeom>
                    <a:noFill/>
                    <a:ln>
                      <a:noFill/>
                    </a:ln>
                  </pic:spPr>
                </pic:pic>
              </a:graphicData>
            </a:graphic>
          </wp:inline>
        </w:drawing>
      </w:r>
    </w:p>
    <w:p>
      <w:pPr>
        <w:outlineLvl w:val="0"/>
        <w:rPr>
          <w:rFonts w:hint="default"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3 选址意见</w:t>
      </w:r>
    </w:p>
    <w:p>
      <w:pPr>
        <w:rPr>
          <w:rFonts w:hint="eastAsia" w:ascii="Times New Roman" w:hAnsi="Times New Roman" w:eastAsia="仿宋"/>
          <w:color w:val="000000" w:themeColor="text1"/>
          <w:sz w:val="32"/>
          <w:szCs w:val="32"/>
          <w:highlight w:val="none"/>
          <w:lang w:eastAsia="zh-CN"/>
          <w14:textFill>
            <w14:solidFill>
              <w14:schemeClr w14:val="tx1"/>
            </w14:solidFill>
          </w14:textFill>
        </w:rPr>
      </w:pPr>
      <w:r>
        <w:rPr>
          <w:rFonts w:hint="eastAsia" w:ascii="Times New Roman" w:hAnsi="Times New Roman" w:eastAsia="仿宋"/>
          <w:color w:val="000000" w:themeColor="text1"/>
          <w:sz w:val="32"/>
          <w:szCs w:val="32"/>
          <w:highlight w:val="none"/>
          <w:lang w:eastAsia="zh-CN"/>
          <w14:textFill>
            <w14:solidFill>
              <w14:schemeClr w14:val="tx1"/>
            </w14:solidFill>
          </w14:textFill>
        </w:rPr>
        <w:drawing>
          <wp:inline distT="0" distB="0" distL="114300" distR="114300">
            <wp:extent cx="5544185" cy="7562215"/>
            <wp:effectExtent l="0" t="0" r="18415" b="635"/>
            <wp:docPr id="4" name="图片 6" descr="6e95dc27c395a538ce8cee76b09ea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6e95dc27c395a538ce8cee76b09ea5f"/>
                    <pic:cNvPicPr>
                      <a:picLocks noChangeAspect="1"/>
                    </pic:cNvPicPr>
                  </pic:nvPicPr>
                  <pic:blipFill>
                    <a:blip r:embed="rId35"/>
                    <a:srcRect l="3008" r="1669" b="2489"/>
                    <a:stretch>
                      <a:fillRect/>
                    </a:stretch>
                  </pic:blipFill>
                  <pic:spPr>
                    <a:xfrm>
                      <a:off x="0" y="0"/>
                      <a:ext cx="5544185" cy="7562215"/>
                    </a:xfrm>
                    <a:prstGeom prst="rect">
                      <a:avLst/>
                    </a:prstGeom>
                    <a:noFill/>
                    <a:ln>
                      <a:noFill/>
                    </a:ln>
                  </pic:spPr>
                </pic:pic>
              </a:graphicData>
            </a:graphic>
          </wp:inline>
        </w:drawing>
      </w:r>
    </w:p>
    <w:p>
      <w:pPr>
        <w:rPr>
          <w:rFonts w:hint="eastAsia" w:ascii="Times New Roman" w:hAnsi="Times New Roman" w:eastAsia="仿宋"/>
          <w:color w:val="000000" w:themeColor="text1"/>
          <w:sz w:val="32"/>
          <w:szCs w:val="32"/>
          <w:highlight w:val="none"/>
          <w:lang w:eastAsia="zh-CN"/>
          <w14:textFill>
            <w14:solidFill>
              <w14:schemeClr w14:val="tx1"/>
            </w14:solidFill>
          </w14:textFill>
        </w:rPr>
      </w:pPr>
    </w:p>
    <w:p>
      <w:pPr>
        <w:rPr>
          <w:rFonts w:hint="eastAsia" w:ascii="Times New Roman" w:hAnsi="Times New Roman" w:eastAsia="仿宋"/>
          <w:color w:val="000000" w:themeColor="text1"/>
          <w:sz w:val="32"/>
          <w:szCs w:val="32"/>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仿宋"/>
          <w:color w:val="000000" w:themeColor="text1"/>
          <w:sz w:val="32"/>
          <w:szCs w:val="32"/>
          <w:highlight w:val="none"/>
          <w:lang w:eastAsia="zh-CN"/>
          <w14:textFill>
            <w14:solidFill>
              <w14:schemeClr w14:val="tx1"/>
            </w14:solidFill>
          </w14:textFill>
        </w:rPr>
        <w:drawing>
          <wp:inline distT="0" distB="0" distL="114300" distR="114300">
            <wp:extent cx="5600700" cy="7829550"/>
            <wp:effectExtent l="0" t="0" r="0" b="0"/>
            <wp:docPr id="125" name="图片 125" descr="4e5624ea03af9f803955b6b8fa34b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4e5624ea03af9f803955b6b8fa34b28"/>
                    <pic:cNvPicPr>
                      <a:picLocks noChangeAspect="1"/>
                    </pic:cNvPicPr>
                  </pic:nvPicPr>
                  <pic:blipFill>
                    <a:blip r:embed="rId36"/>
                    <a:stretch>
                      <a:fillRect/>
                    </a:stretch>
                  </pic:blipFill>
                  <pic:spPr>
                    <a:xfrm>
                      <a:off x="0" y="0"/>
                      <a:ext cx="5600700" cy="7829550"/>
                    </a:xfrm>
                    <a:prstGeom prst="rect">
                      <a:avLst/>
                    </a:prstGeom>
                  </pic:spPr>
                </pic:pic>
              </a:graphicData>
            </a:graphic>
          </wp:inline>
        </w:drawing>
      </w:r>
    </w:p>
    <w:p>
      <w:pPr>
        <w:outlineLvl w:val="0"/>
        <w:rPr>
          <w:rFonts w:hint="default"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4 土地证</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629275" cy="7854315"/>
            <wp:effectExtent l="0" t="0" r="9525" b="1333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37"/>
                    <a:srcRect r="2260"/>
                    <a:stretch>
                      <a:fillRect/>
                    </a:stretch>
                  </pic:blipFill>
                  <pic:spPr>
                    <a:xfrm>
                      <a:off x="0" y="0"/>
                      <a:ext cx="5629275" cy="785431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23560" cy="7608570"/>
            <wp:effectExtent l="0" t="0" r="15240" b="1143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38"/>
                    <a:stretch>
                      <a:fillRect/>
                    </a:stretch>
                  </pic:blipFill>
                  <pic:spPr>
                    <a:xfrm>
                      <a:off x="0" y="0"/>
                      <a:ext cx="5623560" cy="7608570"/>
                    </a:xfrm>
                    <a:prstGeom prst="rect">
                      <a:avLst/>
                    </a:prstGeom>
                    <a:noFill/>
                    <a:ln>
                      <a:noFill/>
                    </a:ln>
                  </pic:spPr>
                </pic:pic>
              </a:graphicData>
            </a:graphic>
          </wp:inline>
        </w:drawing>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604510" cy="7461250"/>
            <wp:effectExtent l="0" t="0" r="15240" b="635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39"/>
                    <a:stretch>
                      <a:fillRect/>
                    </a:stretch>
                  </pic:blipFill>
                  <pic:spPr>
                    <a:xfrm>
                      <a:off x="0" y="0"/>
                      <a:ext cx="5604510" cy="7461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1970" cy="7586980"/>
            <wp:effectExtent l="0" t="0" r="17780" b="1397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40"/>
                    <a:stretch>
                      <a:fillRect/>
                    </a:stretch>
                  </pic:blipFill>
                  <pic:spPr>
                    <a:xfrm>
                      <a:off x="0" y="0"/>
                      <a:ext cx="5601970" cy="75869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36260" cy="7665720"/>
            <wp:effectExtent l="0" t="0" r="2540" b="1143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41"/>
                    <a:stretch>
                      <a:fillRect/>
                    </a:stretch>
                  </pic:blipFill>
                  <pic:spPr>
                    <a:xfrm>
                      <a:off x="0" y="0"/>
                      <a:ext cx="5636260" cy="7665720"/>
                    </a:xfrm>
                    <a:prstGeom prst="rect">
                      <a:avLst/>
                    </a:prstGeom>
                    <a:noFill/>
                    <a:ln>
                      <a:noFill/>
                    </a:ln>
                  </pic:spPr>
                </pic:pic>
              </a:graphicData>
            </a:graphic>
          </wp:inline>
        </w:drawing>
      </w:r>
    </w:p>
    <w:p>
      <w:pPr>
        <w:outlineLvl w:val="0"/>
        <w:rPr>
          <w:rFonts w:hint="eastAsia"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 xml:space="preserve">5 </w:t>
      </w:r>
      <w:r>
        <w:rPr>
          <w:rFonts w:hint="eastAsia" w:eastAsia="仿宋" w:cs="Times New Roman"/>
          <w:b/>
          <w:bCs/>
          <w:color w:val="000000" w:themeColor="text1"/>
          <w:sz w:val="32"/>
          <w:szCs w:val="32"/>
          <w:highlight w:val="none"/>
          <w:lang w:val="en-US" w:eastAsia="zh-CN"/>
          <w14:textFill>
            <w14:solidFill>
              <w14:schemeClr w14:val="tx1"/>
            </w14:solidFill>
          </w14:textFill>
        </w:rPr>
        <w:t>转让协议</w:t>
      </w:r>
    </w:p>
    <w:p>
      <w:pPr>
        <w:pStyle w:val="1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85765" cy="7658735"/>
            <wp:effectExtent l="0" t="0" r="635" b="1841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2"/>
                    <a:stretch>
                      <a:fillRect/>
                    </a:stretch>
                  </pic:blipFill>
                  <pic:spPr>
                    <a:xfrm>
                      <a:off x="0" y="0"/>
                      <a:ext cx="5485765" cy="7658735"/>
                    </a:xfrm>
                    <a:prstGeom prst="rect">
                      <a:avLst/>
                    </a:prstGeom>
                    <a:noFill/>
                    <a:ln>
                      <a:noFill/>
                    </a:ln>
                  </pic:spPr>
                </pic:pic>
              </a:graphicData>
            </a:graphic>
          </wp:inline>
        </w:drawing>
      </w:r>
    </w:p>
    <w:p>
      <w:pPr>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14975" cy="7617460"/>
            <wp:effectExtent l="0" t="0" r="9525" b="254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3"/>
                    <a:stretch>
                      <a:fillRect/>
                    </a:stretch>
                  </pic:blipFill>
                  <pic:spPr>
                    <a:xfrm>
                      <a:off x="0" y="0"/>
                      <a:ext cx="5514975" cy="761746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52440" cy="7597140"/>
            <wp:effectExtent l="0" t="0" r="10160" b="381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44"/>
                    <a:stretch>
                      <a:fillRect/>
                    </a:stretch>
                  </pic:blipFill>
                  <pic:spPr>
                    <a:xfrm>
                      <a:off x="0" y="0"/>
                      <a:ext cx="5552440" cy="7597140"/>
                    </a:xfrm>
                    <a:prstGeom prst="rect">
                      <a:avLst/>
                    </a:prstGeom>
                    <a:noFill/>
                    <a:ln>
                      <a:noFill/>
                    </a:ln>
                  </pic:spPr>
                </pic:pic>
              </a:graphicData>
            </a:graphic>
          </wp:inline>
        </w:drawing>
      </w:r>
    </w:p>
    <w:p>
      <w:pP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br w:type="page"/>
      </w:r>
    </w:p>
    <w:p>
      <w:pPr>
        <w:outlineLvl w:val="0"/>
        <w:rPr>
          <w:rFonts w:hint="default"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eastAsia="仿宋" w:cs="Times New Roman"/>
          <w:b/>
          <w:bCs/>
          <w:color w:val="000000" w:themeColor="text1"/>
          <w:sz w:val="32"/>
          <w:szCs w:val="32"/>
          <w:highlight w:val="none"/>
          <w:lang w:val="en-US" w:eastAsia="zh-CN"/>
          <w14:textFill>
            <w14:solidFill>
              <w14:schemeClr w14:val="tx1"/>
            </w14:solidFill>
          </w14:textFill>
        </w:rPr>
        <w:t xml:space="preserve">附件6 </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三线一单查询表</w:t>
      </w:r>
    </w:p>
    <w:p>
      <w:pPr>
        <w:rPr>
          <w:rFonts w:hint="eastAsia"/>
          <w:color w:val="000000" w:themeColor="text1"/>
          <w:highlight w:val="none"/>
          <w:lang w:eastAsia="zh-CN"/>
          <w14:textFill>
            <w14:solidFill>
              <w14:schemeClr w14:val="tx1"/>
            </w14:solidFill>
          </w14:textFill>
        </w:rPr>
      </w:pPr>
    </w:p>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920990" cy="5087620"/>
            <wp:effectExtent l="0" t="0" r="17780" b="3810"/>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45"/>
                    <a:stretch>
                      <a:fillRect/>
                    </a:stretch>
                  </pic:blipFill>
                  <pic:spPr>
                    <a:xfrm rot="16200000">
                      <a:off x="0" y="0"/>
                      <a:ext cx="7920990" cy="5087620"/>
                    </a:xfrm>
                    <a:prstGeom prst="rect">
                      <a:avLst/>
                    </a:prstGeom>
                    <a:noFill/>
                    <a:ln>
                      <a:noFill/>
                    </a:ln>
                  </pic:spPr>
                </pic:pic>
              </a:graphicData>
            </a:graphic>
          </wp:inline>
        </w:drawing>
      </w:r>
    </w:p>
    <w:p>
      <w:pPr>
        <w:pStyle w:val="15"/>
        <w:jc w:val="center"/>
        <w:rPr>
          <w:rFonts w:hint="eastAsia"/>
          <w:color w:val="000000" w:themeColor="text1"/>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8350250" cy="5363845"/>
            <wp:effectExtent l="0" t="0" r="8255" b="12700"/>
            <wp:docPr id="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pic:cNvPicPr>
                      <a:picLocks noChangeAspect="1"/>
                    </pic:cNvPicPr>
                  </pic:nvPicPr>
                  <pic:blipFill>
                    <a:blip r:embed="rId46"/>
                    <a:stretch>
                      <a:fillRect/>
                    </a:stretch>
                  </pic:blipFill>
                  <pic:spPr>
                    <a:xfrm rot="16200000">
                      <a:off x="0" y="0"/>
                      <a:ext cx="8350250" cy="5363845"/>
                    </a:xfrm>
                    <a:prstGeom prst="rect">
                      <a:avLst/>
                    </a:prstGeom>
                    <a:noFill/>
                    <a:ln>
                      <a:noFill/>
                    </a:ln>
                  </pic:spPr>
                </pic:pic>
              </a:graphicData>
            </a:graphic>
          </wp:inline>
        </w:drawing>
      </w:r>
    </w:p>
    <w:p>
      <w:pPr>
        <w:outlineLvl w:val="0"/>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eastAsia="仿宋" w:cs="Times New Roman"/>
          <w:b/>
          <w:bCs/>
          <w:color w:val="000000" w:themeColor="text1"/>
          <w:sz w:val="32"/>
          <w:szCs w:val="32"/>
          <w:highlight w:val="none"/>
          <w:lang w:val="en-US" w:eastAsia="zh-CN"/>
          <w14:textFill>
            <w14:solidFill>
              <w14:schemeClr w14:val="tx1"/>
            </w14:solidFill>
          </w14:textFill>
        </w:rPr>
        <w:t>7</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 xml:space="preserve"> </w:t>
      </w:r>
      <w:r>
        <w:rPr>
          <w:rFonts w:hint="eastAsia" w:eastAsia="仿宋" w:cs="Times New Roman"/>
          <w:b/>
          <w:bCs/>
          <w:color w:val="000000" w:themeColor="text1"/>
          <w:sz w:val="32"/>
          <w:szCs w:val="32"/>
          <w:highlight w:val="none"/>
          <w:lang w:val="en-US" w:eastAsia="zh-CN"/>
          <w14:textFill>
            <w14:solidFill>
              <w14:schemeClr w14:val="tx1"/>
            </w14:solidFill>
          </w14:textFill>
        </w:rPr>
        <w:t>引用检测报</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告</w:t>
      </w:r>
    </w:p>
    <w:p>
      <w:pPr>
        <w:rPr>
          <w:rFonts w:hint="eastAsia"/>
          <w:color w:val="000000" w:themeColor="text1"/>
          <w:highlight w:val="none"/>
          <w:lang w:eastAsia="zh-CN"/>
          <w14:textFill>
            <w14:solidFill>
              <w14:schemeClr w14:val="tx1"/>
            </w14:solidFill>
          </w14:textFill>
        </w:rPr>
      </w:pP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47"/>
                    <a:stretch>
                      <a:fillRect/>
                    </a:stretch>
                  </pic:blipFill>
                  <pic:spPr>
                    <a:xfrm>
                      <a:off x="0" y="0"/>
                      <a:ext cx="5264785" cy="7444740"/>
                    </a:xfrm>
                    <a:prstGeom prst="rect">
                      <a:avLst/>
                    </a:prstGeom>
                    <a:noFill/>
                    <a:ln>
                      <a:noFill/>
                    </a:ln>
                  </pic:spPr>
                </pic:pic>
              </a:graphicData>
            </a:graphic>
          </wp:inline>
        </w:drawing>
      </w: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p>
    <w:p>
      <w:pPr>
        <w:pStyle w:val="8"/>
        <w:ind w:firstLine="0"/>
        <w:outlineLvl w:val="9"/>
        <w:rPr>
          <w:rFonts w:hint="default" w:ascii="Times New Roman" w:hAnsi="Times New Roman" w:cs="Times New Roman"/>
          <w:b/>
          <w:bCs/>
          <w:color w:val="000000" w:themeColor="text1"/>
          <w:sz w:val="24"/>
          <w:szCs w:val="24"/>
          <w:highlight w:val="none"/>
          <w:lang w:val="en-US"/>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
                    <pic:cNvPicPr>
                      <a:picLocks noChangeAspect="1"/>
                    </pic:cNvPicPr>
                  </pic:nvPicPr>
                  <pic:blipFill>
                    <a:blip r:embed="rId48"/>
                    <a:stretch>
                      <a:fillRect/>
                    </a:stretch>
                  </pic:blipFill>
                  <pic:spPr>
                    <a:xfrm>
                      <a:off x="0" y="0"/>
                      <a:ext cx="5264785" cy="7444740"/>
                    </a:xfrm>
                    <a:prstGeom prst="rect">
                      <a:avLst/>
                    </a:prstGeom>
                    <a:noFill/>
                    <a:ln>
                      <a:noFill/>
                    </a:ln>
                  </pic:spPr>
                </pic:pic>
              </a:graphicData>
            </a:graphic>
          </wp:inline>
        </w:drawing>
      </w: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49"/>
                    <a:stretch>
                      <a:fillRect/>
                    </a:stretch>
                  </pic:blipFill>
                  <pic:spPr>
                    <a:xfrm>
                      <a:off x="0" y="0"/>
                      <a:ext cx="5264785" cy="7444740"/>
                    </a:xfrm>
                    <a:prstGeom prst="rect">
                      <a:avLst/>
                    </a:prstGeom>
                    <a:noFill/>
                    <a:ln>
                      <a:noFill/>
                    </a:ln>
                  </pic:spPr>
                </pic:pic>
              </a:graphicData>
            </a:graphic>
          </wp:inline>
        </w:drawing>
      </w: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
                    <pic:cNvPicPr>
                      <a:picLocks noChangeAspect="1"/>
                    </pic:cNvPicPr>
                  </pic:nvPicPr>
                  <pic:blipFill>
                    <a:blip r:embed="rId50"/>
                    <a:stretch>
                      <a:fillRect/>
                    </a:stretch>
                  </pic:blipFill>
                  <pic:spPr>
                    <a:xfrm>
                      <a:off x="0" y="0"/>
                      <a:ext cx="5264785" cy="7444740"/>
                    </a:xfrm>
                    <a:prstGeom prst="rect">
                      <a:avLst/>
                    </a:prstGeom>
                    <a:noFill/>
                    <a:ln>
                      <a:noFill/>
                    </a:ln>
                  </pic:spPr>
                </pic:pic>
              </a:graphicData>
            </a:graphic>
          </wp:inline>
        </w:drawing>
      </w:r>
    </w:p>
    <w:p>
      <w:pPr>
        <w:pStyle w:val="8"/>
        <w:ind w:firstLine="0"/>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6"/>
                    <pic:cNvPicPr>
                      <a:picLocks noChangeAspect="1"/>
                    </pic:cNvPicPr>
                  </pic:nvPicPr>
                  <pic:blipFill>
                    <a:blip r:embed="rId51"/>
                    <a:stretch>
                      <a:fillRect/>
                    </a:stretch>
                  </pic:blipFill>
                  <pic:spPr>
                    <a:xfrm>
                      <a:off x="0" y="0"/>
                      <a:ext cx="5264785" cy="7444740"/>
                    </a:xfrm>
                    <a:prstGeom prst="rect">
                      <a:avLst/>
                    </a:prstGeom>
                    <a:noFill/>
                    <a:ln>
                      <a:noFill/>
                    </a:ln>
                  </pic:spPr>
                </pic:pic>
              </a:graphicData>
            </a:graphic>
          </wp:inline>
        </w:drawing>
      </w: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p>
    <w:p>
      <w:pPr>
        <w:pStyle w:val="8"/>
        <w:ind w:firstLine="0"/>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4785" cy="7444740"/>
            <wp:effectExtent l="0" t="0" r="12065" b="3810"/>
            <wp:docPr id="1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pic:cNvPicPr>
                      <a:picLocks noChangeAspect="1"/>
                    </pic:cNvPicPr>
                  </pic:nvPicPr>
                  <pic:blipFill>
                    <a:blip r:embed="rId52"/>
                    <a:stretch>
                      <a:fillRect/>
                    </a:stretch>
                  </pic:blipFill>
                  <pic:spPr>
                    <a:xfrm>
                      <a:off x="0" y="0"/>
                      <a:ext cx="5264785" cy="7444740"/>
                    </a:xfrm>
                    <a:prstGeom prst="rect">
                      <a:avLst/>
                    </a:prstGeom>
                    <a:noFill/>
                    <a:ln>
                      <a:noFill/>
                    </a:ln>
                  </pic:spPr>
                </pic:pic>
              </a:graphicData>
            </a:graphic>
          </wp:inline>
        </w:drawing>
      </w:r>
    </w:p>
    <w:p>
      <w:pPr>
        <w:outlineLvl w:val="9"/>
        <w:rPr>
          <w:color w:val="000000" w:themeColor="text1"/>
          <w:highlight w:val="none"/>
          <w14:textFill>
            <w14:solidFill>
              <w14:schemeClr w14:val="tx1"/>
            </w14:solidFill>
          </w14:textFill>
        </w:rPr>
      </w:pPr>
    </w:p>
    <w:p>
      <w:pPr>
        <w:outlineLvl w:val="9"/>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outlineLvl w:val="0"/>
        <w:rPr>
          <w:rFonts w:hint="default" w:ascii="Times New Roman" w:hAnsi="Times New Roman" w:eastAsia="仿宋" w:cs="Times New Roman"/>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cs="Times New Roman"/>
          <w:b/>
          <w:bCs/>
          <w:color w:val="000000" w:themeColor="text1"/>
          <w:sz w:val="32"/>
          <w:szCs w:val="32"/>
          <w:highlight w:val="none"/>
          <w:lang w:val="en-US" w:eastAsia="zh-CN"/>
          <w14:textFill>
            <w14:solidFill>
              <w14:schemeClr w14:val="tx1"/>
            </w14:solidFill>
          </w14:textFill>
        </w:rPr>
        <w:t>8 天然气成分报告</w:t>
      </w:r>
    </w:p>
    <w:p>
      <w:pPr>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87365" cy="7751445"/>
            <wp:effectExtent l="0" t="0" r="13335" b="190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53"/>
                    <a:stretch>
                      <a:fillRect/>
                    </a:stretch>
                  </pic:blipFill>
                  <pic:spPr>
                    <a:xfrm>
                      <a:off x="0" y="0"/>
                      <a:ext cx="5587365" cy="7751445"/>
                    </a:xfrm>
                    <a:prstGeom prst="rect">
                      <a:avLst/>
                    </a:prstGeom>
                    <a:noFill/>
                    <a:ln>
                      <a:noFill/>
                    </a:ln>
                  </pic:spPr>
                </pic:pic>
              </a:graphicData>
            </a:graphic>
          </wp:inline>
        </w:drawing>
      </w:r>
    </w:p>
    <w:p>
      <w:pPr>
        <w:outlineLvl w:val="9"/>
        <w:rPr>
          <w:color w:val="000000" w:themeColor="text1"/>
          <w:highlight w:val="none"/>
          <w14:textFill>
            <w14:solidFill>
              <w14:schemeClr w14:val="tx1"/>
            </w14:solidFill>
          </w14:textFill>
        </w:rPr>
      </w:pPr>
    </w:p>
    <w:p>
      <w:pPr>
        <w:outlineLvl w:val="0"/>
        <w:rPr>
          <w:rFonts w:hint="default"/>
          <w:color w:val="000000" w:themeColor="text1"/>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619750" cy="7974330"/>
            <wp:effectExtent l="0" t="0" r="0" b="762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54"/>
                    <a:stretch>
                      <a:fillRect/>
                    </a:stretch>
                  </pic:blipFill>
                  <pic:spPr>
                    <a:xfrm>
                      <a:off x="0" y="0"/>
                      <a:ext cx="5619750" cy="797433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3400" cy="8095615"/>
            <wp:effectExtent l="0" t="0" r="6350" b="635"/>
            <wp:docPr id="111" name="图片 111" descr="d4910c09f455db7aec69e4ab8f0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4910c09f455db7aec69e4ab8f02621"/>
                    <pic:cNvPicPr>
                      <a:picLocks noChangeAspect="1"/>
                    </pic:cNvPicPr>
                  </pic:nvPicPr>
                  <pic:blipFill>
                    <a:blip r:embed="rId55"/>
                    <a:stretch>
                      <a:fillRect/>
                    </a:stretch>
                  </pic:blipFill>
                  <pic:spPr>
                    <a:xfrm>
                      <a:off x="0" y="0"/>
                      <a:ext cx="5613400" cy="8095615"/>
                    </a:xfrm>
                    <a:prstGeom prst="rect">
                      <a:avLst/>
                    </a:prstGeom>
                  </pic:spPr>
                </pic:pic>
              </a:graphicData>
            </a:graphic>
          </wp:inline>
        </w:drawing>
      </w:r>
      <w:r>
        <w:rPr>
          <w:color w:val="000000" w:themeColor="text1"/>
          <w:highlight w:val="none"/>
          <w14:textFill>
            <w14:solidFill>
              <w14:schemeClr w14:val="tx1"/>
            </w14:solidFill>
          </w14:textFill>
        </w:rPr>
        <w:drawing>
          <wp:inline distT="0" distB="0" distL="114300" distR="114300">
            <wp:extent cx="5590540" cy="7998460"/>
            <wp:effectExtent l="0" t="0" r="10160" b="254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56"/>
                    <a:stretch>
                      <a:fillRect/>
                    </a:stretch>
                  </pic:blipFill>
                  <pic:spPr>
                    <a:xfrm>
                      <a:off x="0" y="0"/>
                      <a:ext cx="5590540" cy="7998460"/>
                    </a:xfrm>
                    <a:prstGeom prst="rect">
                      <a:avLst/>
                    </a:prstGeom>
                    <a:noFill/>
                    <a:ln>
                      <a:noFill/>
                    </a:ln>
                  </pic:spPr>
                </pic:pic>
              </a:graphicData>
            </a:graphic>
          </wp:inline>
        </w:drawing>
      </w:r>
    </w:p>
    <w:p>
      <w:pPr>
        <w:outlineLvl w:val="0"/>
        <w:rPr>
          <w:rFonts w:hint="eastAsia" w:eastAsia="仿宋"/>
          <w:b/>
          <w:bCs/>
          <w:color w:val="000000" w:themeColor="text1"/>
          <w:sz w:val="32"/>
          <w:szCs w:val="32"/>
          <w:highlight w:val="none"/>
          <w:lang w:val="en-US" w:eastAsia="zh-CN"/>
          <w14:textFill>
            <w14:solidFill>
              <w14:schemeClr w14:val="tx1"/>
            </w14:solidFill>
          </w14:textFill>
        </w:rPr>
      </w:pPr>
      <w:r>
        <w:rPr>
          <w:rFonts w:hint="eastAsia" w:eastAsia="仿宋"/>
          <w:b/>
          <w:bCs/>
          <w:color w:val="000000" w:themeColor="text1"/>
          <w:sz w:val="32"/>
          <w:szCs w:val="32"/>
          <w:highlight w:val="none"/>
          <w:lang w:eastAsia="zh-CN"/>
          <w14:textFill>
            <w14:solidFill>
              <w14:schemeClr w14:val="tx1"/>
            </w14:solidFill>
          </w14:textFill>
        </w:rPr>
        <w:t>附件</w:t>
      </w:r>
      <w:r>
        <w:rPr>
          <w:rFonts w:hint="eastAsia" w:eastAsia="仿宋"/>
          <w:b/>
          <w:bCs/>
          <w:color w:val="000000" w:themeColor="text1"/>
          <w:sz w:val="32"/>
          <w:szCs w:val="32"/>
          <w:highlight w:val="none"/>
          <w:lang w:val="en-US" w:eastAsia="zh-CN"/>
          <w14:textFill>
            <w14:solidFill>
              <w14:schemeClr w14:val="tx1"/>
            </w14:solidFill>
          </w14:textFill>
        </w:rPr>
        <w:t>9产品标准</w:t>
      </w:r>
    </w:p>
    <w:p>
      <w:pPr>
        <w:rPr>
          <w:rFonts w:hint="default"/>
          <w:color w:val="000000" w:themeColor="text1"/>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511800" cy="7632700"/>
            <wp:effectExtent l="0" t="0" r="12700" b="635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57"/>
                    <a:stretch>
                      <a:fillRect/>
                    </a:stretch>
                  </pic:blipFill>
                  <pic:spPr>
                    <a:xfrm>
                      <a:off x="0" y="0"/>
                      <a:ext cx="5511800" cy="76327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05450" cy="7285990"/>
            <wp:effectExtent l="0" t="0" r="0" b="1016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58"/>
                    <a:stretch>
                      <a:fillRect/>
                    </a:stretch>
                  </pic:blipFill>
                  <pic:spPr>
                    <a:xfrm>
                      <a:off x="0" y="0"/>
                      <a:ext cx="5505450" cy="728599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95925" cy="7546340"/>
            <wp:effectExtent l="0" t="0" r="9525" b="1651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59"/>
                    <a:stretch>
                      <a:fillRect/>
                    </a:stretch>
                  </pic:blipFill>
                  <pic:spPr>
                    <a:xfrm>
                      <a:off x="0" y="0"/>
                      <a:ext cx="5495925" cy="75463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71490" cy="7522845"/>
            <wp:effectExtent l="0" t="0" r="10160" b="190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60"/>
                    <a:stretch>
                      <a:fillRect/>
                    </a:stretch>
                  </pic:blipFill>
                  <pic:spPr>
                    <a:xfrm>
                      <a:off x="0" y="0"/>
                      <a:ext cx="5571490" cy="75228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53075" cy="6656705"/>
            <wp:effectExtent l="0" t="0" r="9525" b="1079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61"/>
                    <a:stretch>
                      <a:fillRect/>
                    </a:stretch>
                  </pic:blipFill>
                  <pic:spPr>
                    <a:xfrm>
                      <a:off x="0" y="0"/>
                      <a:ext cx="5553075" cy="665670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9590" cy="7776210"/>
            <wp:effectExtent l="0" t="0" r="10160" b="15240"/>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62"/>
                    <a:stretch>
                      <a:fillRect/>
                    </a:stretch>
                  </pic:blipFill>
                  <pic:spPr>
                    <a:xfrm>
                      <a:off x="0" y="0"/>
                      <a:ext cx="5609590" cy="777621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38775" cy="7097395"/>
            <wp:effectExtent l="0" t="0" r="9525" b="8255"/>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63"/>
                    <a:stretch>
                      <a:fillRect/>
                    </a:stretch>
                  </pic:blipFill>
                  <pic:spPr>
                    <a:xfrm>
                      <a:off x="0" y="0"/>
                      <a:ext cx="5438775" cy="709739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39105" cy="7625080"/>
            <wp:effectExtent l="0" t="0" r="4445" b="1397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64"/>
                    <a:stretch>
                      <a:fillRect/>
                    </a:stretch>
                  </pic:blipFill>
                  <pic:spPr>
                    <a:xfrm>
                      <a:off x="0" y="0"/>
                      <a:ext cx="5539105" cy="7625080"/>
                    </a:xfrm>
                    <a:prstGeom prst="rect">
                      <a:avLst/>
                    </a:prstGeom>
                    <a:noFill/>
                    <a:ln>
                      <a:noFill/>
                    </a:ln>
                  </pic:spPr>
                </pic:pic>
              </a:graphicData>
            </a:graphic>
          </wp:inline>
        </w:drawing>
      </w:r>
    </w:p>
    <w:p>
      <w:pPr>
        <w:outlineLvl w:val="0"/>
        <w:rPr>
          <w:rFonts w:hint="eastAsia" w:eastAsia="仿宋"/>
          <w:b/>
          <w:bCs/>
          <w:color w:val="000000" w:themeColor="text1"/>
          <w:sz w:val="32"/>
          <w:szCs w:val="32"/>
          <w:highlight w:val="none"/>
          <w:lang w:eastAsia="zh-CN"/>
          <w14:textFill>
            <w14:solidFill>
              <w14:schemeClr w14:val="tx1"/>
            </w14:solidFill>
          </w14:textFill>
        </w:r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w:t>
      </w:r>
      <w:r>
        <w:rPr>
          <w:rFonts w:hint="eastAsia" w:eastAsia="仿宋"/>
          <w:b/>
          <w:bCs/>
          <w:color w:val="000000" w:themeColor="text1"/>
          <w:sz w:val="32"/>
          <w:szCs w:val="32"/>
          <w:highlight w:val="none"/>
          <w:lang w:eastAsia="zh-CN"/>
          <w14:textFill>
            <w14:solidFill>
              <w14:schemeClr w14:val="tx1"/>
            </w14:solidFill>
          </w14:textFill>
        </w:rPr>
        <w:t>件</w:t>
      </w:r>
      <w:r>
        <w:rPr>
          <w:rFonts w:hint="eastAsia" w:eastAsia="仿宋"/>
          <w:b/>
          <w:bCs/>
          <w:color w:val="000000" w:themeColor="text1"/>
          <w:sz w:val="32"/>
          <w:szCs w:val="32"/>
          <w:highlight w:val="none"/>
          <w:lang w:val="en-US" w:eastAsia="zh-CN"/>
          <w14:textFill>
            <w14:solidFill>
              <w14:schemeClr w14:val="tx1"/>
            </w14:solidFill>
          </w14:textFill>
        </w:rPr>
        <w:t>10</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 xml:space="preserve"> </w:t>
      </w:r>
      <w:r>
        <w:rPr>
          <w:rFonts w:hint="eastAsia" w:eastAsia="仿宋"/>
          <w:b/>
          <w:bCs/>
          <w:color w:val="000000" w:themeColor="text1"/>
          <w:sz w:val="32"/>
          <w:szCs w:val="32"/>
          <w:highlight w:val="none"/>
          <w:lang w:val="en-US" w:eastAsia="zh-CN"/>
          <w14:textFill>
            <w14:solidFill>
              <w14:schemeClr w14:val="tx1"/>
            </w14:solidFill>
          </w14:textFill>
        </w:rPr>
        <w:t>园区</w:t>
      </w:r>
      <w:r>
        <w:rPr>
          <w:rFonts w:hint="eastAsia" w:eastAsia="仿宋"/>
          <w:b/>
          <w:bCs/>
          <w:color w:val="000000" w:themeColor="text1"/>
          <w:sz w:val="32"/>
          <w:szCs w:val="32"/>
          <w:highlight w:val="none"/>
          <w:lang w:eastAsia="zh-CN"/>
          <w14:textFill>
            <w14:solidFill>
              <w14:schemeClr w14:val="tx1"/>
            </w14:solidFill>
          </w14:textFill>
        </w:rPr>
        <w:t>规划环评审查意见</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89575" cy="7903845"/>
            <wp:effectExtent l="0" t="0" r="15875" b="190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65"/>
                    <a:stretch>
                      <a:fillRect/>
                    </a:stretch>
                  </pic:blipFill>
                  <pic:spPr>
                    <a:xfrm>
                      <a:off x="0" y="0"/>
                      <a:ext cx="5489575" cy="79038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94325" cy="8368665"/>
            <wp:effectExtent l="0" t="0" r="15875" b="1333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66"/>
                    <a:stretch>
                      <a:fillRect/>
                    </a:stretch>
                  </pic:blipFill>
                  <pic:spPr>
                    <a:xfrm>
                      <a:off x="0" y="0"/>
                      <a:ext cx="5394325" cy="83686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06720" cy="7471410"/>
            <wp:effectExtent l="0" t="0" r="17780" b="1524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67"/>
                    <a:stretch>
                      <a:fillRect/>
                    </a:stretch>
                  </pic:blipFill>
                  <pic:spPr>
                    <a:xfrm>
                      <a:off x="0" y="0"/>
                      <a:ext cx="5506720" cy="747141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75605" cy="7231380"/>
            <wp:effectExtent l="0" t="0" r="10795" b="762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68"/>
                    <a:stretch>
                      <a:fillRect/>
                    </a:stretch>
                  </pic:blipFill>
                  <pic:spPr>
                    <a:xfrm>
                      <a:off x="0" y="0"/>
                      <a:ext cx="5475605" cy="7231380"/>
                    </a:xfrm>
                    <a:prstGeom prst="rect">
                      <a:avLst/>
                    </a:prstGeom>
                    <a:noFill/>
                    <a:ln>
                      <a:noFill/>
                    </a:ln>
                  </pic:spPr>
                </pic:pic>
              </a:graphicData>
            </a:graphic>
          </wp:inline>
        </w:drawing>
      </w:r>
    </w:p>
    <w:p>
      <w:pPr>
        <w:pStyle w:val="15"/>
        <w:rPr>
          <w:color w:val="000000" w:themeColor="text1"/>
          <w:highlight w:val="none"/>
          <w14:textFill>
            <w14:solidFill>
              <w14:schemeClr w14:val="tx1"/>
            </w14:solidFill>
          </w14:textFill>
        </w:rPr>
      </w:pPr>
    </w:p>
    <w:p>
      <w:pPr>
        <w:rPr>
          <w:rFonts w:hint="eastAsia"/>
          <w:color w:val="000000" w:themeColor="text1"/>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outlineLvl w:val="0"/>
        <w:rPr>
          <w:rFonts w:hint="eastAsia" w:eastAsia="仿宋"/>
          <w:b/>
          <w:bCs/>
          <w:color w:val="000000" w:themeColor="text1"/>
          <w:sz w:val="32"/>
          <w:szCs w:val="32"/>
          <w:highlight w:val="none"/>
          <w:lang w:eastAsia="zh-CN"/>
          <w14:textFill>
            <w14:solidFill>
              <w14:schemeClr w14:val="tx1"/>
            </w14:solidFill>
          </w14:textFill>
        </w:r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w:t>
      </w:r>
      <w:r>
        <w:rPr>
          <w:rFonts w:hint="eastAsia" w:eastAsia="仿宋"/>
          <w:b/>
          <w:bCs/>
          <w:color w:val="000000" w:themeColor="text1"/>
          <w:sz w:val="32"/>
          <w:szCs w:val="32"/>
          <w:highlight w:val="none"/>
          <w:lang w:eastAsia="zh-CN"/>
          <w14:textFill>
            <w14:solidFill>
              <w14:schemeClr w14:val="tx1"/>
            </w14:solidFill>
          </w14:textFill>
        </w:rPr>
        <w:t>件</w:t>
      </w:r>
      <w:r>
        <w:rPr>
          <w:rFonts w:hint="eastAsia" w:eastAsia="仿宋"/>
          <w:b/>
          <w:bCs/>
          <w:color w:val="000000" w:themeColor="text1"/>
          <w:sz w:val="32"/>
          <w:szCs w:val="32"/>
          <w:highlight w:val="none"/>
          <w:lang w:val="en-US" w:eastAsia="zh-CN"/>
          <w14:textFill>
            <w14:solidFill>
              <w14:schemeClr w14:val="tx1"/>
            </w14:solidFill>
          </w14:textFill>
        </w:rPr>
        <w:t>11</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 xml:space="preserve"> </w:t>
      </w:r>
      <w:r>
        <w:rPr>
          <w:rFonts w:hint="eastAsia" w:eastAsia="仿宋"/>
          <w:b/>
          <w:bCs/>
          <w:color w:val="000000" w:themeColor="text1"/>
          <w:sz w:val="32"/>
          <w:szCs w:val="32"/>
          <w:highlight w:val="none"/>
          <w:lang w:val="en-US" w:eastAsia="zh-CN"/>
          <w14:textFill>
            <w14:solidFill>
              <w14:schemeClr w14:val="tx1"/>
            </w14:solidFill>
          </w14:textFill>
        </w:rPr>
        <w:t>园区</w:t>
      </w:r>
      <w:r>
        <w:rPr>
          <w:rFonts w:hint="eastAsia" w:eastAsia="仿宋"/>
          <w:b/>
          <w:bCs/>
          <w:color w:val="000000" w:themeColor="text1"/>
          <w:sz w:val="32"/>
          <w:szCs w:val="32"/>
          <w:highlight w:val="none"/>
          <w:lang w:eastAsia="zh-CN"/>
          <w14:textFill>
            <w14:solidFill>
              <w14:schemeClr w14:val="tx1"/>
            </w14:solidFill>
          </w14:textFill>
        </w:rPr>
        <w:t>规划批复</w:t>
      </w:r>
    </w:p>
    <w:p>
      <w:pPr>
        <w:pStyle w:val="15"/>
        <w:rPr>
          <w:rFonts w:hint="eastAsia"/>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320665" cy="7376795"/>
            <wp:effectExtent l="0" t="0" r="13335" b="14605"/>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69"/>
                    <a:stretch>
                      <a:fillRect/>
                    </a:stretch>
                  </pic:blipFill>
                  <pic:spPr>
                    <a:xfrm>
                      <a:off x="0" y="0"/>
                      <a:ext cx="5320665" cy="737679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02250" cy="7309485"/>
            <wp:effectExtent l="0" t="0" r="12700" b="5715"/>
            <wp:docPr id="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pic:cNvPicPr>
                      <a:picLocks noChangeAspect="1"/>
                    </pic:cNvPicPr>
                  </pic:nvPicPr>
                  <pic:blipFill>
                    <a:blip r:embed="rId70"/>
                    <a:stretch>
                      <a:fillRect/>
                    </a:stretch>
                  </pic:blipFill>
                  <pic:spPr>
                    <a:xfrm>
                      <a:off x="0" y="0"/>
                      <a:ext cx="5302250" cy="7309485"/>
                    </a:xfrm>
                    <a:prstGeom prst="rect">
                      <a:avLst/>
                    </a:prstGeom>
                    <a:noFill/>
                    <a:ln>
                      <a:noFill/>
                    </a:ln>
                  </pic:spPr>
                </pic:pic>
              </a:graphicData>
            </a:graphic>
          </wp:inline>
        </w:drawing>
      </w:r>
    </w:p>
    <w:p>
      <w:pPr>
        <w:outlineLvl w:val="0"/>
        <w:rPr>
          <w:rFonts w:hint="eastAsia" w:ascii="Times New Roman" w:hAnsi="Times New Roman" w:eastAsia="仿宋"/>
          <w:b/>
          <w:bCs/>
          <w:color w:val="000000" w:themeColor="text1"/>
          <w:sz w:val="32"/>
          <w:szCs w:val="32"/>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outlineLvl w:val="0"/>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附件</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12 项目新建锅炉为临时锅炉的说明</w:t>
      </w:r>
    </w:p>
    <w:p>
      <w:pPr>
        <w:outlineLvl w:val="0"/>
        <w:rPr>
          <w:rFonts w:hint="eastAsia" w:ascii="Times New Roman" w:hAnsi="Times New Roman" w:eastAsia="仿宋"/>
          <w:b/>
          <w:bCs/>
          <w:color w:val="000000" w:themeColor="text1"/>
          <w:sz w:val="32"/>
          <w:szCs w:val="32"/>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drawing>
          <wp:inline distT="0" distB="0" distL="114300" distR="114300">
            <wp:extent cx="5613400" cy="7954645"/>
            <wp:effectExtent l="0" t="0" r="6350" b="8255"/>
            <wp:docPr id="124" name="图片 124" descr="e97e3d9f38c48dd5fd82db964fee8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e97e3d9f38c48dd5fd82db964fee8c9"/>
                    <pic:cNvPicPr>
                      <a:picLocks noChangeAspect="1"/>
                    </pic:cNvPicPr>
                  </pic:nvPicPr>
                  <pic:blipFill>
                    <a:blip r:embed="rId71"/>
                    <a:stretch>
                      <a:fillRect/>
                    </a:stretch>
                  </pic:blipFill>
                  <pic:spPr>
                    <a:xfrm>
                      <a:off x="0" y="0"/>
                      <a:ext cx="5613400" cy="7954645"/>
                    </a:xfrm>
                    <a:prstGeom prst="rect">
                      <a:avLst/>
                    </a:prstGeom>
                  </pic:spPr>
                </pic:pic>
              </a:graphicData>
            </a:graphic>
          </wp:inline>
        </w:drawing>
      </w:r>
    </w:p>
    <w:p>
      <w:pPr>
        <w:outlineLvl w:val="0"/>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附图</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1 项目于台安经济开发区位置</w:t>
      </w:r>
    </w:p>
    <w:p>
      <w:pPr>
        <w:jc w:val="center"/>
        <w:outlineLvl w:val="0"/>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32"/>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3034665</wp:posOffset>
                </wp:positionH>
                <wp:positionV relativeFrom="paragraph">
                  <wp:posOffset>1412240</wp:posOffset>
                </wp:positionV>
                <wp:extent cx="798195" cy="271780"/>
                <wp:effectExtent l="4445" t="4445" r="607060" b="9525"/>
                <wp:wrapNone/>
                <wp:docPr id="37" name="矩形标注 37"/>
                <wp:cNvGraphicFramePr/>
                <a:graphic xmlns:a="http://schemas.openxmlformats.org/drawingml/2006/main">
                  <a:graphicData uri="http://schemas.microsoft.com/office/word/2010/wordprocessingShape">
                    <wps:wsp>
                      <wps:cNvSpPr/>
                      <wps:spPr>
                        <a:xfrm>
                          <a:off x="5481320" y="2634615"/>
                          <a:ext cx="798195" cy="271780"/>
                        </a:xfrm>
                        <a:prstGeom prst="wedgeRectCallout">
                          <a:avLst>
                            <a:gd name="adj1" fmla="val 123541"/>
                            <a:gd name="adj2" fmla="val -534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8.95pt;margin-top:111.2pt;height:21.4pt;width:62.85pt;z-index:251660288;v-text-anchor:middle;mso-width-relative:page;mso-height-relative:page;" filled="f" stroked="t" coordsize="21600,21600" o:gfxdata="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NxMYTbAAAACwEAAA8AAAAAAAAAAQAgAAAAIgAAAGRycy9k&#10;b3ducmV2LnhtbFBLAQIUABQAAAAIAIdO4kCLoExOqgIAAC8FAAAOAAAAAAAAAAEAIAAAACoBAABk&#10;cnMvZTJvRG9jLnhtbFBLBQYAAAAABgAGAFkBAABGBgAAAAA=&#10;" adj="37485,9645">
                <v:fill on="f" focussize="0,0"/>
                <v:stroke weight="0.5pt" color="#000000 [3213]" joinstyle="round"/>
                <v:imagedata o:title=""/>
                <o:lock v:ext="edit" aspectratio="f"/>
                <v:textbox>
                  <w:txbxContent>
                    <w:p>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v:textbox>
              </v:shape>
            </w:pict>
          </mc:Fallback>
        </mc:AlternateConten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drawing>
          <wp:inline distT="0" distB="0" distL="114300" distR="114300">
            <wp:extent cx="7396480" cy="5233035"/>
            <wp:effectExtent l="0" t="0" r="13970" b="5715"/>
            <wp:docPr id="11" name="图片 16" descr="06产业分区图（人大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06产业分区图（人大版）"/>
                    <pic:cNvPicPr>
                      <a:picLocks noChangeAspect="1"/>
                    </pic:cNvPicPr>
                  </pic:nvPicPr>
                  <pic:blipFill>
                    <a:blip r:embed="rId72"/>
                    <a:stretch>
                      <a:fillRect/>
                    </a:stretch>
                  </pic:blipFill>
                  <pic:spPr>
                    <a:xfrm>
                      <a:off x="0" y="0"/>
                      <a:ext cx="7396480" cy="5233035"/>
                    </a:xfrm>
                    <a:prstGeom prst="rect">
                      <a:avLst/>
                    </a:prstGeom>
                    <a:noFill/>
                    <a:ln>
                      <a:noFill/>
                    </a:ln>
                  </pic:spPr>
                </pic:pic>
              </a:graphicData>
            </a:graphic>
          </wp:inline>
        </w:drawing>
      </w:r>
    </w:p>
    <w:p>
      <w:pPr>
        <w:outlineLvl w:val="0"/>
        <w:rPr>
          <w:rFonts w:hint="default" w:ascii="Times New Roman" w:hAnsi="Times New Roman" w:eastAsia="仿宋"/>
          <w:b/>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附图</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2 项目于鞍山市环境管控单元位置</w:t>
      </w:r>
    </w:p>
    <w:p>
      <w:pPr>
        <w:jc w:val="center"/>
        <w:rPr>
          <w:rFonts w:hint="eastAsia" w:ascii="Times New Roman" w:hAnsi="Times New Roman" w:eastAsia="仿宋"/>
          <w:color w:val="000000" w:themeColor="text1"/>
          <w:sz w:val="32"/>
          <w:szCs w:val="32"/>
          <w:highlight w:val="none"/>
          <w14:textFill>
            <w14:solidFill>
              <w14:schemeClr w14:val="tx1"/>
            </w14:solidFill>
          </w14:textFill>
        </w:rPr>
      </w:pPr>
      <w:r>
        <w:rPr>
          <w:color w:val="000000" w:themeColor="text1"/>
          <w:sz w:val="32"/>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1145540</wp:posOffset>
                </wp:positionH>
                <wp:positionV relativeFrom="paragraph">
                  <wp:posOffset>923925</wp:posOffset>
                </wp:positionV>
                <wp:extent cx="798195" cy="271780"/>
                <wp:effectExtent l="4445" t="4445" r="607060" b="9525"/>
                <wp:wrapNone/>
                <wp:docPr id="38" name="矩形标注 38"/>
                <wp:cNvGraphicFramePr/>
                <a:graphic xmlns:a="http://schemas.openxmlformats.org/drawingml/2006/main">
                  <a:graphicData uri="http://schemas.microsoft.com/office/word/2010/wordprocessingShape">
                    <wps:wsp>
                      <wps:cNvSpPr/>
                      <wps:spPr>
                        <a:xfrm>
                          <a:off x="0" y="0"/>
                          <a:ext cx="798195" cy="271780"/>
                        </a:xfrm>
                        <a:prstGeom prst="wedgeRectCallout">
                          <a:avLst>
                            <a:gd name="adj1" fmla="val 123541"/>
                            <a:gd name="adj2" fmla="val -534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0.2pt;margin-top:72.75pt;height:21.4pt;width:62.85pt;z-index:251663360;v-text-anchor:middle;mso-width-relative:page;mso-height-relative:page;" filled="f" stroked="t" coordsize="21600,21600" o:gfxdata="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5aEEXaAAAACwEAAA8AAAAAAAAAAQAgAAAAIgAAAGRycy9kb3ducmV2LnhtbFBLAQIU&#10;ABQAAAAIAIdO4kDoNBzjnAIAACMFAAAOAAAAAAAAAAEAIAAAACkBAABkcnMvZTJvRG9jLnhtbFBL&#10;BQYAAAAABgAGAFkBAAA3BgAAAAA=&#10;" adj="37485,9645">
                <v:fill on="f" focussize="0,0"/>
                <v:stroke weight="0.5pt" color="#000000 [3213]" joinstyle="round"/>
                <v:imagedata o:title=""/>
                <o:lock v:ext="edit" aspectratio="f"/>
                <v:textbox>
                  <w:txbxContent>
                    <w:p>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v:textbox>
              </v:shape>
            </w:pict>
          </mc:Fallback>
        </mc:AlternateContent>
      </w:r>
      <w:r>
        <w:rPr>
          <w:rFonts w:hint="eastAsia" w:ascii="Times New Roman" w:hAnsi="Times New Roman" w:eastAsia="仿宋"/>
          <w:color w:val="000000" w:themeColor="text1"/>
          <w:sz w:val="32"/>
          <w:szCs w:val="32"/>
          <w:highlight w:val="none"/>
          <w14:textFill>
            <w14:solidFill>
              <w14:schemeClr w14:val="tx1"/>
            </w14:solidFill>
          </w14:textFill>
        </w:rPr>
        <w:drawing>
          <wp:inline distT="0" distB="0" distL="114300" distR="114300">
            <wp:extent cx="7512050" cy="5310505"/>
            <wp:effectExtent l="0" t="0" r="12700" b="4445"/>
            <wp:docPr id="3" name="图片 4" descr="684b1c0dbaca9c861c93cd8da685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684b1c0dbaca9c861c93cd8da68575f"/>
                    <pic:cNvPicPr>
                      <a:picLocks noChangeAspect="1"/>
                    </pic:cNvPicPr>
                  </pic:nvPicPr>
                  <pic:blipFill>
                    <a:blip r:embed="rId73"/>
                    <a:stretch>
                      <a:fillRect/>
                    </a:stretch>
                  </pic:blipFill>
                  <pic:spPr>
                    <a:xfrm>
                      <a:off x="0" y="0"/>
                      <a:ext cx="7512050" cy="5310505"/>
                    </a:xfrm>
                    <a:prstGeom prst="rect">
                      <a:avLst/>
                    </a:prstGeom>
                    <a:noFill/>
                    <a:ln>
                      <a:noFill/>
                    </a:ln>
                  </pic:spPr>
                </pic:pic>
              </a:graphicData>
            </a:graphic>
          </wp:inline>
        </w:drawing>
      </w:r>
    </w:p>
    <w:p>
      <w:pPr>
        <w:outlineLvl w:val="0"/>
        <w:rPr>
          <w:rFonts w:hint="default" w:ascii="Times New Roman" w:hAnsi="Times New Roman" w:eastAsia="仿宋"/>
          <w:b/>
          <w:bCs/>
          <w:color w:val="000000" w:themeColor="text1"/>
          <w:sz w:val="32"/>
          <w:szCs w:val="32"/>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672576" behindDoc="0" locked="0" layoutInCell="1" allowOverlap="1">
            <wp:simplePos x="0" y="0"/>
            <wp:positionH relativeFrom="column">
              <wp:posOffset>1049020</wp:posOffset>
            </wp:positionH>
            <wp:positionV relativeFrom="paragraph">
              <wp:posOffset>257810</wp:posOffset>
            </wp:positionV>
            <wp:extent cx="473710" cy="704215"/>
            <wp:effectExtent l="0" t="0" r="2540" b="635"/>
            <wp:wrapNone/>
            <wp:docPr id="3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4"/>
                    <pic:cNvPicPr>
                      <a:picLocks noChangeAspect="1"/>
                    </pic:cNvPicPr>
                  </pic:nvPicPr>
                  <pic:blipFill>
                    <a:blip r:embed="rId74"/>
                    <a:stretch>
                      <a:fillRect/>
                    </a:stretch>
                  </pic:blipFill>
                  <pic:spPr>
                    <a:xfrm>
                      <a:off x="0" y="0"/>
                      <a:ext cx="473710" cy="704215"/>
                    </a:xfrm>
                    <a:prstGeom prst="rect">
                      <a:avLst/>
                    </a:prstGeom>
                    <a:noFill/>
                    <a:ln>
                      <a:noFill/>
                    </a:ln>
                  </pic:spPr>
                </pic:pic>
              </a:graphicData>
            </a:graphic>
          </wp:anchor>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5935345</wp:posOffset>
                </wp:positionH>
                <wp:positionV relativeFrom="paragraph">
                  <wp:posOffset>260350</wp:posOffset>
                </wp:positionV>
                <wp:extent cx="1527175" cy="840740"/>
                <wp:effectExtent l="4445" t="4445" r="11430" b="12065"/>
                <wp:wrapNone/>
                <wp:docPr id="1" name="文本框 3"/>
                <wp:cNvGraphicFramePr/>
                <a:graphic xmlns:a="http://schemas.openxmlformats.org/drawingml/2006/main">
                  <a:graphicData uri="http://schemas.microsoft.com/office/word/2010/wordprocessingShape">
                    <wps:wsp>
                      <wps:cNvSpPr txBox="1"/>
                      <wps:spPr>
                        <a:xfrm>
                          <a:off x="7119620" y="2046605"/>
                          <a:ext cx="1527175" cy="8407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图例</w:t>
                            </w:r>
                          </w:p>
                          <w:p>
                            <w:pPr>
                              <w:ind w:firstLine="420" w:firstLineChars="200"/>
                              <w:jc w:val="both"/>
                              <w:rPr>
                                <w:rFonts w:hint="eastAsia"/>
                                <w:lang w:eastAsia="zh-CN"/>
                              </w:rPr>
                            </w:pPr>
                            <w:r>
                              <w:rPr>
                                <w:rFonts w:hint="eastAsia"/>
                                <w:lang w:eastAsia="zh-CN"/>
                              </w:rPr>
                              <w:t>厂界</w:t>
                            </w:r>
                          </w:p>
                          <w:p>
                            <w:pPr>
                              <w:ind w:firstLine="420" w:firstLineChars="200"/>
                              <w:jc w:val="both"/>
                              <w:rPr>
                                <w:rFonts w:hint="eastAsia"/>
                                <w:lang w:eastAsia="zh-CN"/>
                              </w:rPr>
                            </w:pPr>
                            <w:r>
                              <w:rPr>
                                <w:rFonts w:hint="eastAsia"/>
                                <w:lang w:eastAsia="zh-CN"/>
                              </w:rPr>
                              <w:t>声环境保护范围</w:t>
                            </w:r>
                          </w:p>
                          <w:p>
                            <w:pPr>
                              <w:ind w:firstLine="420" w:firstLineChars="200"/>
                              <w:jc w:val="both"/>
                              <w:rPr>
                                <w:rFonts w:hint="eastAsia"/>
                                <w:lang w:eastAsia="zh-CN"/>
                              </w:rPr>
                            </w:pPr>
                            <w:r>
                              <w:rPr>
                                <w:rFonts w:hint="eastAsia"/>
                                <w:lang w:eastAsia="zh-CN"/>
                              </w:rPr>
                              <w:t>环境空气保护范围</w:t>
                            </w:r>
                          </w:p>
                        </w:txbxContent>
                      </wps:txbx>
                      <wps:bodyPr vert="horz" anchor="t" anchorCtr="0" upright="1"/>
                    </wps:wsp>
                  </a:graphicData>
                </a:graphic>
              </wp:anchor>
            </w:drawing>
          </mc:Choice>
          <mc:Fallback>
            <w:pict>
              <v:shape id="文本框 3" o:spid="_x0000_s1026" o:spt="202" type="#_x0000_t202" style="position:absolute;left:0pt;margin-left:467.35pt;margin-top:20.5pt;height:66.2pt;width:120.25pt;z-index:251659264;mso-width-relative:page;mso-height-relative:page;" fillcolor="#FFFFFF" filled="t" stroked="t" coordsize="21600,21600" o:gfxdata="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DOYJI2gAAAAsBAAAPAAAAAAAAAAEAIAAAACIAAABkcnMvZG93bnJldi54bWxQ&#10;SwECFAAUAAAACACHTuJADo4KUy4CAABnBAAADgAAAAAAAAABACAAAAApAQAAZHJzL2Uyb0RvYy54&#10;bWxQSwUGAAAAAAYABgBZAQAAyQUAAAAA&#10;">
                <v:fill on="t" focussize="0,0"/>
                <v:stroke color="#000000" joinstyle="miter"/>
                <v:imagedata o:title=""/>
                <o:lock v:ext="edit" aspectratio="f"/>
                <v:textbox>
                  <w:txbxContent>
                    <w:p>
                      <w:pPr>
                        <w:jc w:val="center"/>
                        <w:rPr>
                          <w:rFonts w:hint="eastAsia"/>
                          <w:lang w:eastAsia="zh-CN"/>
                        </w:rPr>
                      </w:pPr>
                      <w:r>
                        <w:rPr>
                          <w:rFonts w:hint="eastAsia"/>
                          <w:lang w:eastAsia="zh-CN"/>
                        </w:rPr>
                        <w:t>图例</w:t>
                      </w:r>
                    </w:p>
                    <w:p>
                      <w:pPr>
                        <w:ind w:firstLine="420" w:firstLineChars="200"/>
                        <w:jc w:val="both"/>
                        <w:rPr>
                          <w:rFonts w:hint="eastAsia"/>
                          <w:lang w:eastAsia="zh-CN"/>
                        </w:rPr>
                      </w:pPr>
                      <w:r>
                        <w:rPr>
                          <w:rFonts w:hint="eastAsia"/>
                          <w:lang w:eastAsia="zh-CN"/>
                        </w:rPr>
                        <w:t>厂界</w:t>
                      </w:r>
                    </w:p>
                    <w:p>
                      <w:pPr>
                        <w:ind w:firstLine="420" w:firstLineChars="200"/>
                        <w:jc w:val="both"/>
                        <w:rPr>
                          <w:rFonts w:hint="eastAsia"/>
                          <w:lang w:eastAsia="zh-CN"/>
                        </w:rPr>
                      </w:pPr>
                      <w:r>
                        <w:rPr>
                          <w:rFonts w:hint="eastAsia"/>
                          <w:lang w:eastAsia="zh-CN"/>
                        </w:rPr>
                        <w:t>声环境保护范围</w:t>
                      </w:r>
                    </w:p>
                    <w:p>
                      <w:pPr>
                        <w:ind w:firstLine="420" w:firstLineChars="200"/>
                        <w:jc w:val="both"/>
                        <w:rPr>
                          <w:rFonts w:hint="eastAsia"/>
                          <w:lang w:eastAsia="zh-CN"/>
                        </w:rPr>
                      </w:pPr>
                      <w:r>
                        <w:rPr>
                          <w:rFonts w:hint="eastAsia"/>
                          <w:lang w:eastAsia="zh-CN"/>
                        </w:rPr>
                        <w:t>环境空气保护范围</w:t>
                      </w:r>
                    </w:p>
                  </w:txbxContent>
                </v:textbox>
              </v:shape>
            </w:pict>
          </mc:Fallback>
        </mc:AlternateContent>
      </w:r>
      <w:r>
        <w:rPr>
          <w:rFonts w:hint="eastAsia" w:ascii="Times New Roman" w:hAnsi="Times New Roman" w:eastAsia="仿宋"/>
          <w:b/>
          <w:bCs/>
          <w:color w:val="000000" w:themeColor="text1"/>
          <w:sz w:val="32"/>
          <w:szCs w:val="32"/>
          <w:highlight w:val="none"/>
          <w:lang w:eastAsia="zh-CN"/>
          <w14:textFill>
            <w14:solidFill>
              <w14:schemeClr w14:val="tx1"/>
            </w14:solidFill>
          </w14:textFill>
        </w:rPr>
        <w:t>附图</w:t>
      </w:r>
      <w:r>
        <w:rPr>
          <w:rFonts w:hint="eastAsia" w:ascii="Times New Roman" w:hAnsi="Times New Roman" w:eastAsia="仿宋"/>
          <w:b/>
          <w:bCs/>
          <w:color w:val="000000" w:themeColor="text1"/>
          <w:sz w:val="32"/>
          <w:szCs w:val="32"/>
          <w:highlight w:val="none"/>
          <w:lang w:val="en-US" w:eastAsia="zh-CN"/>
          <w14:textFill>
            <w14:solidFill>
              <w14:schemeClr w14:val="tx1"/>
            </w14:solidFill>
          </w14:textFill>
        </w:rPr>
        <w:t xml:space="preserve">3 </w:t>
      </w:r>
      <w:r>
        <w:rPr>
          <w:rFonts w:hint="eastAsia" w:eastAsia="仿宋"/>
          <w:b/>
          <w:bCs/>
          <w:color w:val="000000" w:themeColor="text1"/>
          <w:sz w:val="32"/>
          <w:szCs w:val="32"/>
          <w:highlight w:val="none"/>
          <w:lang w:val="en-US" w:eastAsia="zh-CN"/>
          <w14:textFill>
            <w14:solidFill>
              <w14:schemeClr w14:val="tx1"/>
            </w14:solidFill>
          </w14:textFill>
        </w:rPr>
        <w:t>环境敏感目标图</w:t>
      </w:r>
    </w:p>
    <w:p>
      <w:pPr>
        <w:jc w:val="center"/>
        <w:rPr>
          <w:rFonts w:hint="eastAsia" w:ascii="Times New Roman" w:hAnsi="Times New Roman" w:eastAsia="宋体"/>
          <w:color w:val="000000" w:themeColor="text1"/>
          <w:sz w:val="32"/>
          <w:szCs w:val="32"/>
          <w:highlight w:val="none"/>
          <w:lang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6058535</wp:posOffset>
                </wp:positionH>
                <wp:positionV relativeFrom="paragraph">
                  <wp:posOffset>571500</wp:posOffset>
                </wp:positionV>
                <wp:extent cx="147320" cy="86360"/>
                <wp:effectExtent l="6350" t="6350" r="17780" b="21590"/>
                <wp:wrapNone/>
                <wp:docPr id="68" name="矩形 68"/>
                <wp:cNvGraphicFramePr/>
                <a:graphic xmlns:a="http://schemas.openxmlformats.org/drawingml/2006/main">
                  <a:graphicData uri="http://schemas.microsoft.com/office/word/2010/wordprocessingShape">
                    <wps:wsp>
                      <wps:cNvSpPr/>
                      <wps:spPr>
                        <a:xfrm>
                          <a:off x="0" y="0"/>
                          <a:ext cx="147320" cy="86360"/>
                        </a:xfrm>
                        <a:prstGeom prst="rect">
                          <a:avLst/>
                        </a:prstGeom>
                        <a:noFill/>
                        <a:ln w="127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7.05pt;margin-top:45pt;height:6.8pt;width:11.6pt;z-index:251678720;v-text-anchor:middle;mso-width-relative:page;mso-height-relative:page;" filled="f" stroked="t" coordsize="21600,21600" o:gfxdata="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qi&#10;6G3XAAAACgEAAA8AAAAAAAAAAQAgAAAAIgAAAGRycy9kb3ducmV2LnhtbFBLAQIUABQAAAAIAIdO&#10;4kDRQrSnXQIAALQEAAAOAAAAAAAAAAEAIAAAACYBAABkcnMvZTJvRG9jLnhtbFBLBQYAAAAABgAG&#10;AFkBAAD1BQAAAAA=&#10;">
                <v:fill on="f" focussize="0,0"/>
                <v:stroke weight="1pt" color="#00B0F0 [2404]" joinstyle="round"/>
                <v:imagedata o:title=""/>
                <o:lock v:ext="edit" aspectratio="f"/>
              </v:rect>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6054725</wp:posOffset>
                </wp:positionH>
                <wp:positionV relativeFrom="paragraph">
                  <wp:posOffset>419100</wp:posOffset>
                </wp:positionV>
                <wp:extent cx="147320" cy="86360"/>
                <wp:effectExtent l="6350" t="6350" r="17780" b="21590"/>
                <wp:wrapNone/>
                <wp:docPr id="67" name="矩形 67"/>
                <wp:cNvGraphicFramePr/>
                <a:graphic xmlns:a="http://schemas.openxmlformats.org/drawingml/2006/main">
                  <a:graphicData uri="http://schemas.microsoft.com/office/word/2010/wordprocessingShape">
                    <wps:wsp>
                      <wps:cNvSpPr/>
                      <wps:spPr>
                        <a:xfrm>
                          <a:off x="7077075" y="1646555"/>
                          <a:ext cx="147320" cy="86360"/>
                        </a:xfrm>
                        <a:prstGeom prst="rect">
                          <a:avLst/>
                        </a:pr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6.75pt;margin-top:33pt;height:6.8pt;width:11.6pt;z-index:251677696;v-text-anchor:middle;mso-width-relative:page;mso-height-relative:page;" filled="f" stroked="t" coordsize="21600,21600" o:gfxdata="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aolzdkAAAAJAQAADwAAAAAAAAABACAAAAAiAAAAZHJzL2Rvd25yZXYueG1s&#10;UEsBAhQAFAAAAAgAh07iQABg5ntpAgAAwAQAAA4AAAAAAAAAAQAgAAAAKAEAAGRycy9lMm9Eb2Mu&#10;eG1sUEsFBgAAAAAGAAYAWQEAAAMGAAAAAA==&#10;">
                <v:fill on="f" focussize="0,0"/>
                <v:stroke weight="1pt" color="#FFFF00 [2404]" joinstyle="round"/>
                <v:imagedata o:title=""/>
                <o:lock v:ext="edit" aspectratio="f"/>
              </v:rect>
            </w:pict>
          </mc:Fallback>
        </mc:AlternateContent>
      </w:r>
      <w:r>
        <w:rPr>
          <w:color w:val="000000" w:themeColor="text1"/>
          <w:highlight w:val="none"/>
          <w14:textFill>
            <w14:solidFill>
              <w14:schemeClr w14:val="tx1"/>
            </w14:solidFill>
          </w14:textFill>
        </w:rPr>
        <w:drawing>
          <wp:inline distT="0" distB="0" distL="114300" distR="114300">
            <wp:extent cx="6412865" cy="5140960"/>
            <wp:effectExtent l="0" t="0" r="6985" b="254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75"/>
                    <a:stretch>
                      <a:fillRect/>
                    </a:stretch>
                  </pic:blipFill>
                  <pic:spPr>
                    <a:xfrm>
                      <a:off x="0" y="0"/>
                      <a:ext cx="6412865" cy="5140960"/>
                    </a:xfrm>
                    <a:prstGeom prst="rect">
                      <a:avLst/>
                    </a:prstGeom>
                    <a:noFill/>
                    <a:ln>
                      <a:noFill/>
                    </a:ln>
                  </pic:spPr>
                </pic:pic>
              </a:graphicData>
            </a:graphic>
          </wp:inline>
        </w:drawing>
      </w: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eastAsia="zh-CN"/>
          <w14:textFill>
            <w14:solidFill>
              <w14:schemeClr w14:val="tx1"/>
            </w14:solidFill>
          </w14:textFill>
        </w:rPr>
        <w:t>附图</w:t>
      </w:r>
      <w:r>
        <w:rPr>
          <w:rFonts w:hint="eastAsia" w:eastAsia="仿宋"/>
          <w:color w:val="000000" w:themeColor="text1"/>
          <w:sz w:val="32"/>
          <w:szCs w:val="32"/>
          <w:highlight w:val="none"/>
          <w:lang w:val="en-US" w:eastAsia="zh-CN"/>
          <w14:textFill>
            <w14:solidFill>
              <w14:schemeClr w14:val="tx1"/>
            </w14:solidFill>
          </w14:textFill>
        </w:rPr>
        <w:t>4 周边关系图</w:t>
      </w:r>
    </w:p>
    <w:p>
      <w:pPr>
        <w:jc w:val="center"/>
        <w:rPr>
          <w:rFonts w:hint="eastAsia"/>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5331460</wp:posOffset>
                </wp:positionH>
                <wp:positionV relativeFrom="paragraph">
                  <wp:posOffset>3029585</wp:posOffset>
                </wp:positionV>
                <wp:extent cx="940435" cy="438785"/>
                <wp:effectExtent l="4445" t="4445" r="7620" b="13970"/>
                <wp:wrapNone/>
                <wp:docPr id="43" name="文本框 43"/>
                <wp:cNvGraphicFramePr/>
                <a:graphic xmlns:a="http://schemas.openxmlformats.org/drawingml/2006/main">
                  <a:graphicData uri="http://schemas.microsoft.com/office/word/2010/wordprocessingShape">
                    <wps:wsp>
                      <wps:cNvSpPr txBox="1"/>
                      <wps:spPr>
                        <a:xfrm>
                          <a:off x="6671310" y="4358640"/>
                          <a:ext cx="940435" cy="4387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金山钢构彩板有限公司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8pt;margin-top:238.55pt;height:34.55pt;width:74.05pt;z-index:251664384;mso-width-relative:page;mso-height-relative:page;" fillcolor="#FFFFFF [3201]" filled="t" stroked="t" coordsize="21600,21600" o:gfxdata="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ZTG7LZAAAACwEAAA8AAAAAAAAAAQAgAAAAIgAAAGRycy9kb3ducmV2LnhtbFBLAQIUABQA&#10;AAAIAIdO4kADPzf6YQIAAMQEAAAOAAAAAAAAAAEAIAAAACgBAABkcnMvZTJvRG9jLnhtbFBLBQYA&#10;AAAABgAGAFkBAAD7BQAAAAA=&#10;">
                <v:fill on="t" focussize="0,0"/>
                <v:stroke weight="0.5pt" color="#000000 [3204]" joinstyle="round"/>
                <v:imagedata o:title=""/>
                <o:lock v:ext="edit" aspectratio="f"/>
                <v:textbox>
                  <w:txbxContent>
                    <w:p>
                      <w:r>
                        <w:rPr>
                          <w:rFonts w:hint="eastAsia"/>
                        </w:rPr>
                        <w:t>金山钢构彩板有限公司</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4733925</wp:posOffset>
                </wp:positionH>
                <wp:positionV relativeFrom="paragraph">
                  <wp:posOffset>2206625</wp:posOffset>
                </wp:positionV>
                <wp:extent cx="2468880" cy="2138680"/>
                <wp:effectExtent l="12700" t="12700" r="13970" b="20320"/>
                <wp:wrapNone/>
                <wp:docPr id="66" name="任意多边形 66"/>
                <wp:cNvGraphicFramePr/>
                <a:graphic xmlns:a="http://schemas.openxmlformats.org/drawingml/2006/main">
                  <a:graphicData uri="http://schemas.microsoft.com/office/word/2010/wordprocessingShape">
                    <wps:wsp>
                      <wps:cNvSpPr/>
                      <wps:spPr>
                        <a:xfrm>
                          <a:off x="5814060" y="3442335"/>
                          <a:ext cx="2468880" cy="2138680"/>
                        </a:xfrm>
                        <a:custGeom>
                          <a:avLst/>
                          <a:gdLst>
                            <a:gd name="connisteX0" fmla="*/ 608330 w 2468880"/>
                            <a:gd name="connsiteY0" fmla="*/ 109855 h 2138680"/>
                            <a:gd name="connisteX1" fmla="*/ 0 w 2468880"/>
                            <a:gd name="connsiteY1" fmla="*/ 1574800 h 2138680"/>
                            <a:gd name="connisteX2" fmla="*/ 1538605 w 2468880"/>
                            <a:gd name="connsiteY2" fmla="*/ 2138680 h 2138680"/>
                            <a:gd name="connisteX3" fmla="*/ 1729105 w 2468880"/>
                            <a:gd name="connsiteY3" fmla="*/ 1729105 h 2138680"/>
                            <a:gd name="connisteX4" fmla="*/ 2132330 w 2468880"/>
                            <a:gd name="connsiteY4" fmla="*/ 1889760 h 2138680"/>
                            <a:gd name="connisteX5" fmla="*/ 2468880 w 2468880"/>
                            <a:gd name="connsiteY5" fmla="*/ 1062355 h 2138680"/>
                            <a:gd name="connisteX6" fmla="*/ 2256790 w 2468880"/>
                            <a:gd name="connsiteY6" fmla="*/ 973455 h 2138680"/>
                            <a:gd name="connisteX7" fmla="*/ 2410460 w 2468880"/>
                            <a:gd name="connsiteY7" fmla="*/ 549275 h 2138680"/>
                            <a:gd name="connisteX8" fmla="*/ 989330 w 2468880"/>
                            <a:gd name="connsiteY8" fmla="*/ 0 h 2138680"/>
                            <a:gd name="connisteX9" fmla="*/ 894080 w 2468880"/>
                            <a:gd name="connsiteY9" fmla="*/ 241300 h 2138680"/>
                            <a:gd name="connisteX10" fmla="*/ 608330 w 2468880"/>
                            <a:gd name="connsiteY10" fmla="*/ 109855 h 21386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468880" h="2138680">
                              <a:moveTo>
                                <a:pt x="608330" y="109855"/>
                              </a:moveTo>
                              <a:lnTo>
                                <a:pt x="0" y="1574800"/>
                              </a:lnTo>
                              <a:lnTo>
                                <a:pt x="1538605" y="2138680"/>
                              </a:lnTo>
                              <a:lnTo>
                                <a:pt x="1729105" y="1729105"/>
                              </a:lnTo>
                              <a:lnTo>
                                <a:pt x="2132330" y="1889760"/>
                              </a:lnTo>
                              <a:lnTo>
                                <a:pt x="2468880" y="1062355"/>
                              </a:lnTo>
                              <a:lnTo>
                                <a:pt x="2256790" y="973455"/>
                              </a:lnTo>
                              <a:lnTo>
                                <a:pt x="2410460" y="549275"/>
                              </a:lnTo>
                              <a:lnTo>
                                <a:pt x="989330" y="0"/>
                              </a:lnTo>
                              <a:lnTo>
                                <a:pt x="894080" y="241300"/>
                              </a:lnTo>
                              <a:lnTo>
                                <a:pt x="608330" y="10985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72.75pt;margin-top:173.75pt;height:168.4pt;width:194.4pt;z-index:251676672;mso-width-relative:page;mso-height-relative:page;" filled="f" stroked="t" coordsize="2468880,2138680" o:gfxdata="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" path="m608330,109855l0,1574800,1538605,2138680,1729105,1729105,2132330,1889760,2468880,1062355,2256790,973455,2410460,549275,989330,0,894080,241300,608330,109855xe">
                <v:path o:connectlocs="608330,109855;0,1574800;1538605,2138680;1729105,1729105;2132330,1889760;2468880,1062355;2256790,973455;2410460,549275;989330,0;894080,241300;608330,109855" o:connectangles="0,0,0,0,0,0,0,0,0,0,0"/>
                <v:fill on="f" focussize="0,0"/>
                <v:stroke weight="2pt" color="#FFFF00 [2404]" joinstyle="round"/>
                <v:imagedata o:title=""/>
                <o:lock v:ext="edit" aspectratio="f"/>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2195195</wp:posOffset>
                </wp:positionH>
                <wp:positionV relativeFrom="paragraph">
                  <wp:posOffset>2249805</wp:posOffset>
                </wp:positionV>
                <wp:extent cx="1320800" cy="438785"/>
                <wp:effectExtent l="4445" t="4445" r="8255" b="13970"/>
                <wp:wrapNone/>
                <wp:docPr id="45" name="文本框 45"/>
                <wp:cNvGraphicFramePr/>
                <a:graphic xmlns:a="http://schemas.openxmlformats.org/drawingml/2006/main">
                  <a:graphicData uri="http://schemas.microsoft.com/office/word/2010/wordprocessingShape">
                    <wps:wsp>
                      <wps:cNvSpPr txBox="1"/>
                      <wps:spPr>
                        <a:xfrm>
                          <a:off x="0" y="0"/>
                          <a:ext cx="1320800" cy="4387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鞍山市奥鞍耐火材料有限责任公司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85pt;margin-top:177.15pt;height:34.55pt;width:104pt;z-index:251666432;mso-width-relative:page;mso-height-relative:page;" fillcolor="#FFFFFF [3201]" filled="t" stroked="t" coordsize="21600,21600" o:gfxdata="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HqEhc&#10;1wAAAAsBAAAPAAAAAAAAAAEAIAAAACIAAABkcnMvZG93bnJldi54bWxQSwECFAAUAAAACACHTuJA&#10;JMfu1VsCAAC5BAAADgAAAAAAAAABACAAAAAmAQAAZHJzL2Uyb0RvYy54bWxQSwUGAAAAAAYABgBZ&#10;AQAA8wUAAAAA&#10;">
                <v:fill on="t" focussize="0,0"/>
                <v:stroke weight="0.5pt" color="#000000 [3204]" joinstyle="round"/>
                <v:imagedata o:title=""/>
                <o:lock v:ext="edit" aspectratio="f"/>
                <v:textbox>
                  <w:txbxContent>
                    <w:p>
                      <w:pPr>
                        <w:rPr>
                          <w:rFonts w:hint="eastAsia"/>
                        </w:rPr>
                      </w:pPr>
                      <w:r>
                        <w:rPr>
                          <w:rFonts w:hint="eastAsia"/>
                        </w:rPr>
                        <w:t>鞍山市奥鞍耐火材料有限责任公司</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1661795</wp:posOffset>
                </wp:positionH>
                <wp:positionV relativeFrom="paragraph">
                  <wp:posOffset>1750060</wp:posOffset>
                </wp:positionV>
                <wp:extent cx="2159000" cy="1511300"/>
                <wp:effectExtent l="12700" t="12700" r="19050" b="19050"/>
                <wp:wrapNone/>
                <wp:docPr id="63" name="任意多边形 63"/>
                <wp:cNvGraphicFramePr/>
                <a:graphic xmlns:a="http://schemas.openxmlformats.org/drawingml/2006/main">
                  <a:graphicData uri="http://schemas.microsoft.com/office/word/2010/wordprocessingShape">
                    <wps:wsp>
                      <wps:cNvSpPr/>
                      <wps:spPr>
                        <a:xfrm>
                          <a:off x="2741930" y="2985770"/>
                          <a:ext cx="2159000" cy="1511300"/>
                        </a:xfrm>
                        <a:custGeom>
                          <a:avLst/>
                          <a:gdLst>
                            <a:gd name="connisteX0" fmla="*/ 1676400 w 2159000"/>
                            <a:gd name="connsiteY0" fmla="*/ 1511300 h 1511300"/>
                            <a:gd name="connisteX1" fmla="*/ 2159000 w 2159000"/>
                            <a:gd name="connsiteY1" fmla="*/ 355600 h 1511300"/>
                            <a:gd name="connisteX2" fmla="*/ 1746250 w 2159000"/>
                            <a:gd name="connsiteY2" fmla="*/ 203200 h 1511300"/>
                            <a:gd name="connisteX3" fmla="*/ 1612900 w 2159000"/>
                            <a:gd name="connsiteY3" fmla="*/ 387350 h 1511300"/>
                            <a:gd name="connisteX4" fmla="*/ 273050 w 2159000"/>
                            <a:gd name="connsiteY4" fmla="*/ 0 h 1511300"/>
                            <a:gd name="connisteX5" fmla="*/ 0 w 2159000"/>
                            <a:gd name="connsiteY5" fmla="*/ 831850 h 1511300"/>
                            <a:gd name="connisteX6" fmla="*/ 1676400 w 2159000"/>
                            <a:gd name="connsiteY6" fmla="*/ 1511300 h 1511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159000" h="1511300">
                              <a:moveTo>
                                <a:pt x="1676400" y="1511300"/>
                              </a:moveTo>
                              <a:lnTo>
                                <a:pt x="2159000" y="355600"/>
                              </a:lnTo>
                              <a:lnTo>
                                <a:pt x="1746250" y="203200"/>
                              </a:lnTo>
                              <a:lnTo>
                                <a:pt x="1612900" y="387350"/>
                              </a:lnTo>
                              <a:lnTo>
                                <a:pt x="273050" y="0"/>
                              </a:lnTo>
                              <a:lnTo>
                                <a:pt x="0" y="831850"/>
                              </a:lnTo>
                              <a:lnTo>
                                <a:pt x="1676400" y="151130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0.85pt;margin-top:137.8pt;height:119pt;width:170pt;z-index:251675648;mso-width-relative:page;mso-height-relative:page;" filled="f" stroked="t" coordsize="2159000,1511300" o:gfxdata="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FVw4HjaAAAACwEAAA8AAAAAAAAAAQAgAAAAIgAAAGRycy9k&#10;b3ducmV2LnhtbFBLAQIUABQAAAAIAIdO4kClQAnsVgMAAAMKAAAOAAAAAAAAAAEAIAAAACkBAABk&#10;cnMvZTJvRG9jLnhtbFBLBQYAAAAABgAGAFkBAADxBgAAAAA=&#10;" path="m1676400,1511300l2159000,355600,1746250,203200,1612900,387350,273050,0,0,831850,1676400,1511300xe">
                <v:path o:connectlocs="1676400,1511300;2159000,355600;1746250,203200;1612900,387350;273050,0;0,831850;1676400,1511300" o:connectangles="0,0,0,0,0,0,0"/>
                <v:fill on="f" focussize="0,0"/>
                <v:stroke weight="2pt" color="#FFFF00 [2404]" joinstyle="round"/>
                <v:imagedata o:title=""/>
                <o:lock v:ext="edit" aspectratio="f"/>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3632835</wp:posOffset>
                </wp:positionH>
                <wp:positionV relativeFrom="paragraph">
                  <wp:posOffset>937260</wp:posOffset>
                </wp:positionV>
                <wp:extent cx="1990725" cy="1552575"/>
                <wp:effectExtent l="12700" t="12700" r="15875" b="15875"/>
                <wp:wrapNone/>
                <wp:docPr id="61" name="任意多边形 61"/>
                <wp:cNvGraphicFramePr/>
                <a:graphic xmlns:a="http://schemas.openxmlformats.org/drawingml/2006/main">
                  <a:graphicData uri="http://schemas.microsoft.com/office/word/2010/wordprocessingShape">
                    <wps:wsp>
                      <wps:cNvSpPr/>
                      <wps:spPr>
                        <a:xfrm>
                          <a:off x="4712970" y="2172970"/>
                          <a:ext cx="1990725" cy="1552575"/>
                        </a:xfrm>
                        <a:custGeom>
                          <a:avLst/>
                          <a:gdLst>
                            <a:gd name="connisteX0" fmla="*/ 495300 w 1990725"/>
                            <a:gd name="connsiteY0" fmla="*/ 0 h 1552575"/>
                            <a:gd name="connisteX1" fmla="*/ 0 w 1990725"/>
                            <a:gd name="connsiteY1" fmla="*/ 1057275 h 1552575"/>
                            <a:gd name="connisteX2" fmla="*/ 1571625 w 1990725"/>
                            <a:gd name="connsiteY2" fmla="*/ 1552575 h 1552575"/>
                            <a:gd name="connisteX3" fmla="*/ 1590675 w 1990725"/>
                            <a:gd name="connsiteY3" fmla="*/ 1457325 h 1552575"/>
                            <a:gd name="connisteX4" fmla="*/ 1990725 w 1990725"/>
                            <a:gd name="connsiteY4" fmla="*/ 466725 h 1552575"/>
                            <a:gd name="connisteX5" fmla="*/ 495300 w 1990725"/>
                            <a:gd name="connsiteY5" fmla="*/ 0 h 15525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990725" h="1552575">
                              <a:moveTo>
                                <a:pt x="495300" y="0"/>
                              </a:moveTo>
                              <a:lnTo>
                                <a:pt x="0" y="1057275"/>
                              </a:lnTo>
                              <a:lnTo>
                                <a:pt x="1571625" y="1552575"/>
                              </a:lnTo>
                              <a:lnTo>
                                <a:pt x="1590675" y="1457325"/>
                              </a:lnTo>
                              <a:lnTo>
                                <a:pt x="1990725" y="466725"/>
                              </a:lnTo>
                              <a:lnTo>
                                <a:pt x="4953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6.05pt;margin-top:73.8pt;height:122.25pt;width:156.75pt;z-index:251674624;mso-width-relative:page;mso-height-relative:page;" filled="f" stroked="t" coordsize="1990725,1552575" o:gfxdata="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NgN&#10;HMXZAAAACwEAAA8AAAAAAAAAAQAgAAAAIgAAAGRycy9kb3ducmV2LnhtbFBLAQIUABQAAAAIAIdO&#10;4kDP6up/PwMAACQJAAAOAAAAAAAAAAEAIAAAACgBAABkcnMvZTJvRG9jLnhtbFBLBQYAAAAABgAG&#10;AFkBAADZBgAAAAA=&#10;" path="m495300,0l0,1057275,1571625,1552575,1590675,1457325,1990725,466725,495300,0xe">
                <v:path o:connectlocs="495300,0;0,1057275;1571625,1552575;1590675,1457325;1990725,466725;495300,0" o:connectangles="0,0,0,0,0,0"/>
                <v:fill on="f" focussize="0,0"/>
                <v:stroke weight="2pt" color="#FFFF00 [2404]" joinstyle="round"/>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673600" behindDoc="0" locked="0" layoutInCell="1" allowOverlap="1">
            <wp:simplePos x="0" y="0"/>
            <wp:positionH relativeFrom="column">
              <wp:posOffset>839470</wp:posOffset>
            </wp:positionH>
            <wp:positionV relativeFrom="paragraph">
              <wp:posOffset>3810</wp:posOffset>
            </wp:positionV>
            <wp:extent cx="473710" cy="704215"/>
            <wp:effectExtent l="0" t="0" r="2540" b="635"/>
            <wp:wrapNone/>
            <wp:docPr id="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4"/>
                    <pic:cNvPicPr>
                      <a:picLocks noChangeAspect="1"/>
                    </pic:cNvPicPr>
                  </pic:nvPicPr>
                  <pic:blipFill>
                    <a:blip r:embed="rId74"/>
                    <a:stretch>
                      <a:fillRect/>
                    </a:stretch>
                  </pic:blipFill>
                  <pic:spPr>
                    <a:xfrm>
                      <a:off x="0" y="0"/>
                      <a:ext cx="473710" cy="704215"/>
                    </a:xfrm>
                    <a:prstGeom prst="rect">
                      <a:avLst/>
                    </a:prstGeom>
                    <a:noFill/>
                    <a:ln>
                      <a:noFill/>
                    </a:ln>
                  </pic:spPr>
                </pic:pic>
              </a:graphicData>
            </a:graphic>
          </wp:anchor>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3707765</wp:posOffset>
                </wp:positionH>
                <wp:positionV relativeFrom="paragraph">
                  <wp:posOffset>1698625</wp:posOffset>
                </wp:positionV>
                <wp:extent cx="1851025" cy="299720"/>
                <wp:effectExtent l="4445" t="5080" r="11430" b="19050"/>
                <wp:wrapNone/>
                <wp:docPr id="44" name="文本框 44"/>
                <wp:cNvGraphicFramePr/>
                <a:graphic xmlns:a="http://schemas.openxmlformats.org/drawingml/2006/main">
                  <a:graphicData uri="http://schemas.microsoft.com/office/word/2010/wordprocessingShape">
                    <wps:wsp>
                      <wps:cNvSpPr txBox="1"/>
                      <wps:spPr>
                        <a:xfrm>
                          <a:off x="0" y="0"/>
                          <a:ext cx="1851025" cy="299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lang w:eastAsia="zh-CN"/>
                              </w:rPr>
                              <w:t>中粮辽</w:t>
                            </w:r>
                            <w:r>
                              <w:rPr>
                                <w:rFonts w:hint="eastAsia"/>
                              </w:rPr>
                              <w:t>宁银鼎米业有限公司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95pt;margin-top:133.75pt;height:23.6pt;width:145.75pt;z-index:251665408;mso-width-relative:page;mso-height-relative:page;" fillcolor="#FFFFFF [3201]" filled="t" stroked="t" coordsize="21600,21600" o:gfxdata="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4VdX&#10;RtgAAAALAQAADwAAAAAAAAABACAAAAAiAAAAZHJzL2Rvd25yZXYueG1sUEsBAhQAFAAAAAgAh07i&#10;QKYYXyFbAgAAuQQAAA4AAAAAAAAAAQAgAAAAJwEAAGRycy9lMm9Eb2MueG1sUEsFBgAAAAAGAAYA&#10;WQEAAPQFAAAAAA==&#10;">
                <v:fill on="t" focussize="0,0"/>
                <v:stroke weight="0.5pt" color="#000000 [3204]" joinstyle="round"/>
                <v:imagedata o:title=""/>
                <o:lock v:ext="edit" aspectratio="f"/>
                <v:textbox>
                  <w:txbxContent>
                    <w:p>
                      <w:pPr>
                        <w:rPr>
                          <w:rFonts w:hint="eastAsia"/>
                        </w:rPr>
                      </w:pPr>
                      <w:r>
                        <w:rPr>
                          <w:rFonts w:hint="eastAsia"/>
                          <w:lang w:eastAsia="zh-CN"/>
                        </w:rPr>
                        <w:t>中粮辽</w:t>
                      </w:r>
                      <w:r>
                        <w:rPr>
                          <w:rFonts w:hint="eastAsia"/>
                        </w:rPr>
                        <w:t>宁银鼎米业有限公司</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3518535</wp:posOffset>
                </wp:positionH>
                <wp:positionV relativeFrom="paragraph">
                  <wp:posOffset>3906520</wp:posOffset>
                </wp:positionV>
                <wp:extent cx="551180" cy="318135"/>
                <wp:effectExtent l="4445" t="5080" r="15875" b="19685"/>
                <wp:wrapNone/>
                <wp:docPr id="46" name="文本框 46"/>
                <wp:cNvGraphicFramePr/>
                <a:graphic xmlns:a="http://schemas.openxmlformats.org/drawingml/2006/main">
                  <a:graphicData uri="http://schemas.microsoft.com/office/word/2010/wordprocessingShape">
                    <wps:wsp>
                      <wps:cNvSpPr txBox="1"/>
                      <wps:spPr>
                        <a:xfrm>
                          <a:off x="0" y="0"/>
                          <a:ext cx="551180" cy="3181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05pt;margin-top:307.6pt;height:25.05pt;width:43.4pt;z-index:251667456;mso-width-relative:page;mso-height-relative:page;" fillcolor="#FFFFFF [3201]" filled="t" stroked="t" coordsize="21600,21600" o:gfxdata="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pYXml2AAA&#10;AAsBAAAPAAAAAAAAAAEAIAAAACIAAABkcnMvZG93bnJldi54bWxQSwECFAAUAAAACACHTuJAI2wA&#10;qlcCAAC4BAAADgAAAAAAAAABACAAAAAnAQAAZHJzL2Uyb0RvYy54bWxQSwUGAAAAAAYABgBZAQAA&#10;8AUAAAAA&#10;">
                <v:fill on="t" focussize="0,0"/>
                <v:stroke weight="0.5pt" color="#000000 [3204]" joinstyle="round"/>
                <v:imagedata o:title=""/>
                <o:lock v:ext="edit" aspectratio="f"/>
                <v:textbox>
                  <w:txbxContent>
                    <w:p>
                      <w:pPr>
                        <w:rPr>
                          <w:rFonts w:hint="eastAsia" w:eastAsia="宋体"/>
                          <w:lang w:eastAsia="zh-CN"/>
                        </w:rPr>
                      </w:pPr>
                      <w:r>
                        <w:rPr>
                          <w:rFonts w:hint="eastAsia"/>
                          <w:lang w:eastAsia="zh-CN"/>
                        </w:rPr>
                        <w:t>空地</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6838315" cy="5252085"/>
            <wp:effectExtent l="0" t="0" r="635" b="5715"/>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76"/>
                    <a:stretch>
                      <a:fillRect/>
                    </a:stretch>
                  </pic:blipFill>
                  <pic:spPr>
                    <a:xfrm>
                      <a:off x="0" y="0"/>
                      <a:ext cx="6838315" cy="5252085"/>
                    </a:xfrm>
                    <a:prstGeom prst="rect">
                      <a:avLst/>
                    </a:prstGeom>
                    <a:noFill/>
                    <a:ln>
                      <a:noFill/>
                    </a:ln>
                  </pic:spPr>
                </pic:pic>
              </a:graphicData>
            </a:graphic>
          </wp:inline>
        </w:drawing>
      </w: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val="en-US" w:eastAsia="zh-CN"/>
          <w14:textFill>
            <w14:solidFill>
              <w14:schemeClr w14:val="tx1"/>
            </w14:solidFill>
          </w14:textFill>
        </w:rPr>
        <w:t>附图5 监测点位图</w:t>
      </w:r>
    </w:p>
    <w:p>
      <w:pPr>
        <w:jc w:val="center"/>
        <w:outlineLvl w:val="0"/>
        <w:rPr>
          <w:rFonts w:hint="eastAsia" w:eastAsia="仿宋"/>
          <w:color w:val="000000" w:themeColor="text1"/>
          <w:sz w:val="32"/>
          <w:szCs w:val="32"/>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6259830</wp:posOffset>
                </wp:positionH>
                <wp:positionV relativeFrom="paragraph">
                  <wp:posOffset>4775835</wp:posOffset>
                </wp:positionV>
                <wp:extent cx="156210" cy="95250"/>
                <wp:effectExtent l="9525" t="9525" r="24765" b="9525"/>
                <wp:wrapNone/>
                <wp:docPr id="51" name="矩形 51"/>
                <wp:cNvGraphicFramePr/>
                <a:graphic xmlns:a="http://schemas.openxmlformats.org/drawingml/2006/main">
                  <a:graphicData uri="http://schemas.microsoft.com/office/word/2010/wordprocessingShape">
                    <wps:wsp>
                      <wps:cNvSpPr/>
                      <wps:spPr>
                        <a:xfrm>
                          <a:off x="7381240" y="5995035"/>
                          <a:ext cx="156210" cy="952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9pt;margin-top:376.05pt;height:7.5pt;width:12.3pt;z-index:251671552;v-text-anchor:middle;mso-width-relative:page;mso-height-relative:page;" filled="f" stroked="t" coordsize="21600,21600" o:gfxdata="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lQ3M3aAAAADAEAAA8AAAAAAAAAAQAgAAAAIgAAAGRycy9kb3ducmV2Lnht&#10;bFBLAQIUABQAAAAIAIdO4kAlE930aQIAAMAEAAAOAAAAAAAAAAEAIAAAACkBAABkcnMvZTJvRG9j&#10;LnhtbFBLBQYAAAAABgAGAFkBAAAEBgAAAAA=&#10;">
                <v:fill on="f" focussize="0,0"/>
                <v:stroke weight="1.5pt" color="#FF0000 [2404]" joinstyle="round"/>
                <v:imagedata o:title=""/>
                <o:lock v:ext="edit" aspectratio="f"/>
              </v:rect>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6296025</wp:posOffset>
                </wp:positionH>
                <wp:positionV relativeFrom="paragraph">
                  <wp:posOffset>4955540</wp:posOffset>
                </wp:positionV>
                <wp:extent cx="94615" cy="94615"/>
                <wp:effectExtent l="12700" t="12700" r="26035" b="26035"/>
                <wp:wrapNone/>
                <wp:docPr id="50" name="椭圆 50"/>
                <wp:cNvGraphicFramePr/>
                <a:graphic xmlns:a="http://schemas.openxmlformats.org/drawingml/2006/main">
                  <a:graphicData uri="http://schemas.microsoft.com/office/word/2010/wordprocessingShape">
                    <wps:wsp>
                      <wps:cNvSpPr/>
                      <wps:spPr>
                        <a:xfrm>
                          <a:off x="0" y="0"/>
                          <a:ext cx="94615" cy="94615"/>
                        </a:xfrm>
                        <a:prstGeom prst="ellipse">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5.75pt;margin-top:390.2pt;height:7.45pt;width:7.45pt;z-index:251670528;v-text-anchor:middle;mso-width-relative:page;mso-height-relative:page;" filled="f" stroked="t" coordsize="21600,21600" o:gfxdata="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X&#10;AeWe2QAAAAwBAAAPAAAAAAAAAAEAIAAAACIAAABkcnMvZG93bnJldi54bWxQSwECFAAUAAAACACH&#10;TuJA/UItvlwCAAC2BAAADgAAAAAAAAABACAAAAAoAQAAZHJzL2Uyb0RvYy54bWxQSwUGAAAAAAYA&#10;BgBZAQAA9gUAAAAA&#10;">
                <v:fill on="f" focussize="0,0"/>
                <v:stroke weight="2pt" color="#FFC000 [2404]" joinstyle="round"/>
                <v:imagedata o:title=""/>
                <o:lock v:ext="edit" aspectratio="f"/>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5019675</wp:posOffset>
                </wp:positionH>
                <wp:positionV relativeFrom="paragraph">
                  <wp:posOffset>3893820</wp:posOffset>
                </wp:positionV>
                <wp:extent cx="155575" cy="155575"/>
                <wp:effectExtent l="12700" t="12700" r="22225" b="22225"/>
                <wp:wrapNone/>
                <wp:docPr id="49" name="椭圆 49"/>
                <wp:cNvGraphicFramePr/>
                <a:graphic xmlns:a="http://schemas.openxmlformats.org/drawingml/2006/main">
                  <a:graphicData uri="http://schemas.microsoft.com/office/word/2010/wordprocessingShape">
                    <wps:wsp>
                      <wps:cNvSpPr/>
                      <wps:spPr>
                        <a:xfrm>
                          <a:off x="6099810" y="5129530"/>
                          <a:ext cx="155575" cy="155575"/>
                        </a:xfrm>
                        <a:prstGeom prst="ellipse">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5.25pt;margin-top:306.6pt;height:12.25pt;width:12.25pt;z-index:251669504;v-text-anchor:middle;mso-width-relative:page;mso-height-relative:page;" filled="f" stroked="t" coordsize="21600,21600" o:gfxdata="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Z9FMNoAAAALAQAADwAAAAAAAAABACAAAAAiAAAAZHJzL2Rvd25yZXYu&#10;eG1sUEsBAhQAFAAAAAgAh07iQHgK5nZrAgAAxAQAAA4AAAAAAAAAAQAgAAAAKQEAAGRycy9lMm9E&#10;b2MueG1sUEsFBgAAAAAGAAYAWQEAAAYGAAAAAA==&#10;">
                <v:fill on="f" focussize="0,0"/>
                <v:stroke weight="2pt" color="#FFC000 [2404]" joinstyle="round"/>
                <v:imagedata o:title=""/>
                <o:lock v:ext="edit" aspectratio="f"/>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6163945</wp:posOffset>
                </wp:positionH>
                <wp:positionV relativeFrom="paragraph">
                  <wp:posOffset>4526915</wp:posOffset>
                </wp:positionV>
                <wp:extent cx="1511935" cy="914400"/>
                <wp:effectExtent l="4445" t="4445" r="7620" b="14605"/>
                <wp:wrapNone/>
                <wp:docPr id="48" name="文本框 48"/>
                <wp:cNvGraphicFramePr/>
                <a:graphic xmlns:a="http://schemas.openxmlformats.org/drawingml/2006/main">
                  <a:graphicData uri="http://schemas.microsoft.com/office/word/2010/wordprocessingShape">
                    <wps:wsp>
                      <wps:cNvSpPr txBox="1"/>
                      <wps:spPr>
                        <a:xfrm>
                          <a:off x="7528560" y="5077460"/>
                          <a:ext cx="1511935"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bidi w:val="0"/>
                              <w:adjustRightInd/>
                              <w:snapToGrid/>
                              <w:ind w:firstLine="420" w:firstLineChars="200"/>
                              <w:textAlignment w:val="auto"/>
                              <w:rPr>
                                <w:rFonts w:hint="eastAsia"/>
                                <w:lang w:eastAsia="zh-CN"/>
                              </w:rPr>
                            </w:pPr>
                            <w:r>
                              <w:rPr>
                                <w:rFonts w:hint="eastAsia"/>
                                <w:lang w:eastAsia="zh-CN"/>
                              </w:rPr>
                              <w:t>厂界</w:t>
                            </w:r>
                          </w:p>
                          <w:p>
                            <w:pPr>
                              <w:keepNext w:val="0"/>
                              <w:keepLines w:val="0"/>
                              <w:pageBreakBefore w:val="0"/>
                              <w:widowControl w:val="0"/>
                              <w:kinsoku/>
                              <w:wordWrap/>
                              <w:overflowPunct/>
                              <w:topLinePunct w:val="0"/>
                              <w:bidi w:val="0"/>
                              <w:adjustRightInd/>
                              <w:snapToGrid/>
                              <w:ind w:firstLine="420" w:firstLineChars="200"/>
                              <w:textAlignment w:val="auto"/>
                              <w:rPr>
                                <w:rFonts w:hint="eastAsia"/>
                                <w:lang w:eastAsia="zh-CN"/>
                              </w:rPr>
                            </w:pPr>
                            <w:r>
                              <w:rPr>
                                <w:rFonts w:hint="eastAsia"/>
                                <w:lang w:eastAsia="zh-CN"/>
                              </w:rPr>
                              <w:t>环境空气监测点</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485.35pt;margin-top:356.45pt;height:72pt;width:119.05pt;z-index:251668480;mso-width-relative:page;mso-height-relative:page;" fillcolor="#FFFFFF [3201]" filled="t" stroked="t" coordsize="21600,21600" o:gfxdata="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k4P9HbAAAADAEAAA8AAAAAAAAAAQAgAAAAIgAAAGRycy9kb3ducmV2&#10;LnhtbFBLAQIUABQAAAAIAIdO4kCCds5cawIAANEEAAAOAAAAAAAAAAEAIAAAACoBAABkcnMvZTJv&#10;RG9jLnhtbFBLBQYAAAAABgAGAFkBAAAHBgAAAAA=&#10;">
                <v:fill on="t" focussize="0,0"/>
                <v:stroke weight="0.5pt" color="#000000 [3204]" joinstyle="round"/>
                <v:imagedata o:title=""/>
                <o:lock v:ext="edit" aspectratio="f"/>
                <v:textbox style="mso-fit-shape-to-text:t;">
                  <w:txbxContent>
                    <w:p>
                      <w:pPr>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bidi w:val="0"/>
                        <w:adjustRightInd/>
                        <w:snapToGrid/>
                        <w:ind w:firstLine="420" w:firstLineChars="200"/>
                        <w:textAlignment w:val="auto"/>
                        <w:rPr>
                          <w:rFonts w:hint="eastAsia"/>
                          <w:lang w:eastAsia="zh-CN"/>
                        </w:rPr>
                      </w:pPr>
                      <w:r>
                        <w:rPr>
                          <w:rFonts w:hint="eastAsia"/>
                          <w:lang w:eastAsia="zh-CN"/>
                        </w:rPr>
                        <w:t>厂界</w:t>
                      </w:r>
                    </w:p>
                    <w:p>
                      <w:pPr>
                        <w:keepNext w:val="0"/>
                        <w:keepLines w:val="0"/>
                        <w:pageBreakBefore w:val="0"/>
                        <w:widowControl w:val="0"/>
                        <w:kinsoku/>
                        <w:wordWrap/>
                        <w:overflowPunct/>
                        <w:topLinePunct w:val="0"/>
                        <w:bidi w:val="0"/>
                        <w:adjustRightInd/>
                        <w:snapToGrid/>
                        <w:ind w:firstLine="420" w:firstLineChars="200"/>
                        <w:textAlignment w:val="auto"/>
                        <w:rPr>
                          <w:rFonts w:hint="eastAsia"/>
                          <w:lang w:eastAsia="zh-CN"/>
                        </w:rPr>
                      </w:pPr>
                      <w:r>
                        <w:rPr>
                          <w:rFonts w:hint="eastAsia"/>
                          <w:lang w:eastAsia="zh-CN"/>
                        </w:rPr>
                        <w:t>环境空气监测点</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79744" behindDoc="0" locked="0" layoutInCell="1" allowOverlap="1">
            <wp:simplePos x="0" y="0"/>
            <wp:positionH relativeFrom="column">
              <wp:posOffset>839470</wp:posOffset>
            </wp:positionH>
            <wp:positionV relativeFrom="paragraph">
              <wp:posOffset>3810</wp:posOffset>
            </wp:positionV>
            <wp:extent cx="473710" cy="704215"/>
            <wp:effectExtent l="0" t="0" r="2540" b="635"/>
            <wp:wrapNone/>
            <wp:docPr id="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
                    <pic:cNvPicPr>
                      <a:picLocks noChangeAspect="1"/>
                    </pic:cNvPicPr>
                  </pic:nvPicPr>
                  <pic:blipFill>
                    <a:blip r:embed="rId74"/>
                    <a:stretch>
                      <a:fillRect/>
                    </a:stretch>
                  </pic:blipFill>
                  <pic:spPr>
                    <a:xfrm>
                      <a:off x="0" y="0"/>
                      <a:ext cx="473710" cy="704215"/>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6864985" cy="5158740"/>
            <wp:effectExtent l="0" t="0" r="12065" b="3810"/>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77"/>
                    <a:stretch>
                      <a:fillRect/>
                    </a:stretch>
                  </pic:blipFill>
                  <pic:spPr>
                    <a:xfrm>
                      <a:off x="0" y="0"/>
                      <a:ext cx="6864985" cy="5158740"/>
                    </a:xfrm>
                    <a:prstGeom prst="rect">
                      <a:avLst/>
                    </a:prstGeom>
                    <a:noFill/>
                    <a:ln>
                      <a:noFill/>
                    </a:ln>
                  </pic:spPr>
                </pic:pic>
              </a:graphicData>
            </a:graphic>
          </wp:inline>
        </w:drawing>
      </w: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val="en-US" w:eastAsia="zh-CN"/>
          <w14:textFill>
            <w14:solidFill>
              <w14:schemeClr w14:val="tx1"/>
            </w14:solidFill>
          </w14:textFill>
        </w:rPr>
        <w:t>附图6 平面布置图</w:t>
      </w:r>
    </w:p>
    <w:p>
      <w:pPr>
        <w:pStyle w:val="15"/>
        <w:jc w:val="center"/>
        <w:rPr>
          <w:color w:val="000000" w:themeColor="text1"/>
          <w:highlight w:val="none"/>
          <w14:textFill>
            <w14:solidFill>
              <w14:schemeClr w14:val="tx1"/>
            </w14:solidFill>
          </w14:textFill>
        </w:rPr>
      </w:pPr>
      <w:r>
        <w:rPr>
          <w:color w:val="000000" w:themeColor="text1"/>
          <w:sz w:val="18"/>
          <w:highlight w:val="none"/>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9534525</wp:posOffset>
                </wp:positionH>
                <wp:positionV relativeFrom="paragraph">
                  <wp:posOffset>1384300</wp:posOffset>
                </wp:positionV>
                <wp:extent cx="1190625" cy="324485"/>
                <wp:effectExtent l="0" t="0" r="0" b="0"/>
                <wp:wrapNone/>
                <wp:docPr id="115" name="文本框 115"/>
                <wp:cNvGraphicFramePr/>
                <a:graphic xmlns:a="http://schemas.openxmlformats.org/drawingml/2006/main">
                  <a:graphicData uri="http://schemas.microsoft.com/office/word/2010/wordprocessingShape">
                    <wps:wsp>
                      <wps:cNvSpPr txBox="1"/>
                      <wps:spPr>
                        <a:xfrm>
                          <a:off x="10786110" y="2391410"/>
                          <a:ext cx="1190625"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7030A0"/>
                                <w:lang w:val="en-US" w:eastAsia="zh-CN"/>
                              </w:rPr>
                            </w:pPr>
                            <w:r>
                              <w:rPr>
                                <w:rFonts w:hint="eastAsia"/>
                                <w:b/>
                                <w:bCs/>
                                <w:color w:val="7030A0"/>
                                <w:lang w:val="en-US" w:eastAsia="zh-CN"/>
                              </w:rPr>
                              <w:t>一期建设内容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0.75pt;margin-top:109pt;height:25.55pt;width:93.75pt;z-index:251715584;mso-width-relative:page;mso-height-relative:page;" filled="f" stroked="f" coordsize="21600,21600" o:gfxdata="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N1Pd7cAAAADQEAAA8AAAAA&#10;AAAAAQAgAAAAIgAAAGRycy9kb3ducmV2LnhtbFBLAQIUABQAAAAIAIdO4kD2Sp8iSQIAAHcEAAAO&#10;AAAAAAAAAAEAIAAAACsBAABkcnMvZTJvRG9jLnhtbFBLBQYAAAAABgAGAFkBAADmBQAAAAA=&#10;">
                <v:fill on="f" focussize="0,0"/>
                <v:stroke on="f" weight="0.5pt"/>
                <v:imagedata o:title=""/>
                <o:lock v:ext="edit" aspectratio="f"/>
                <v:textbox>
                  <w:txbxContent>
                    <w:p>
                      <w:pPr>
                        <w:rPr>
                          <w:rFonts w:hint="default" w:eastAsia="宋体"/>
                          <w:b/>
                          <w:bCs/>
                          <w:color w:val="7030A0"/>
                          <w:lang w:val="en-US" w:eastAsia="zh-CN"/>
                        </w:rPr>
                      </w:pPr>
                      <w:r>
                        <w:rPr>
                          <w:rFonts w:hint="eastAsia"/>
                          <w:b/>
                          <w:bCs/>
                          <w:color w:val="7030A0"/>
                          <w:lang w:val="en-US" w:eastAsia="zh-CN"/>
                        </w:rPr>
                        <w:t>一期建设内容</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6791325</wp:posOffset>
                </wp:positionH>
                <wp:positionV relativeFrom="paragraph">
                  <wp:posOffset>441325</wp:posOffset>
                </wp:positionV>
                <wp:extent cx="1190625" cy="32448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190625"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00B0F0"/>
                                <w:lang w:val="en-US" w:eastAsia="zh-CN"/>
                              </w:rPr>
                            </w:pPr>
                            <w:r>
                              <w:rPr>
                                <w:rFonts w:hint="eastAsia"/>
                                <w:b/>
                                <w:bCs/>
                                <w:color w:val="00B0F0"/>
                                <w:lang w:val="en-US" w:eastAsia="zh-CN"/>
                              </w:rPr>
                              <w:t>二期建设内容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75pt;margin-top:34.75pt;height:25.55pt;width:93.75pt;z-index:251716608;mso-width-relative:page;mso-height-relative:page;" filled="f" stroked="f" coordsize="21600,21600" o:gfxdata="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fced9oAAAAMAQAADwAAAAAAAAABACAAAAAiAAAA&#10;ZHJzL2Rvd25yZXYueG1sUEsBAhQAFAAAAAgAh07iQFuaNow+AgAAagQAAA4AAAAAAAAAAQAgAAAA&#10;KQEAAGRycy9lMm9Eb2MueG1sUEsFBgAAAAAGAAYAWQEAANkFAAAAAA==&#10;">
                <v:fill on="f" focussize="0,0"/>
                <v:stroke on="f" weight="0.5pt"/>
                <v:imagedata o:title=""/>
                <o:lock v:ext="edit" aspectratio="f"/>
                <v:textbox>
                  <w:txbxContent>
                    <w:p>
                      <w:pPr>
                        <w:rPr>
                          <w:rFonts w:hint="default" w:eastAsia="宋体"/>
                          <w:b/>
                          <w:bCs/>
                          <w:color w:val="00B0F0"/>
                          <w:lang w:val="en-US" w:eastAsia="zh-CN"/>
                        </w:rPr>
                      </w:pPr>
                      <w:r>
                        <w:rPr>
                          <w:rFonts w:hint="eastAsia"/>
                          <w:b/>
                          <w:bCs/>
                          <w:color w:val="00B0F0"/>
                          <w:lang w:val="en-US" w:eastAsia="zh-CN"/>
                        </w:rPr>
                        <w:t>二期建设内容</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1682115</wp:posOffset>
                </wp:positionH>
                <wp:positionV relativeFrom="paragraph">
                  <wp:posOffset>4967605</wp:posOffset>
                </wp:positionV>
                <wp:extent cx="695960" cy="39052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B0F0"/>
                                <w:lang w:val="en-US" w:eastAsia="zh-CN"/>
                              </w:rPr>
                            </w:pPr>
                            <w:r>
                              <w:rPr>
                                <w:rFonts w:hint="eastAsia"/>
                                <w:color w:val="00B0F0"/>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45pt;margin-top:391.15pt;height:30.75pt;width:54.8pt;z-index:251697152;mso-width-relative:page;mso-height-relative:page;" filled="f" stroked="f" coordsize="21600,21600" o:gfxdata="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JgirdAAAACwEAAA8AAAAAAAAAAQAgAAAAIgAA&#10;AGRycy9kb3ducmV2LnhtbFBLAQIUABQAAAAIAIdO4kAb88mfPAIAAGcEAAAOAAAAAAAAAAEAIAAA&#10;ACwBAABkcnMvZTJvRG9jLnhtbFBLBQYAAAAABgAGAFkBAADaBQAAAAA=&#10;">
                <v:fill on="f" focussize="0,0"/>
                <v:stroke on="f" weight="0.5pt"/>
                <v:imagedata o:title=""/>
                <o:lock v:ext="edit" aspectratio="f"/>
                <v:textbox>
                  <w:txbxContent>
                    <w:p>
                      <w:pPr>
                        <w:rPr>
                          <w:rFonts w:hint="default" w:eastAsia="宋体"/>
                          <w:color w:val="00B0F0"/>
                          <w:lang w:val="en-US" w:eastAsia="zh-CN"/>
                        </w:rPr>
                      </w:pPr>
                      <w:r>
                        <w:rPr>
                          <w:rFonts w:hint="eastAsia"/>
                          <w:color w:val="00B0F0"/>
                          <w:lang w:val="en-US" w:eastAsia="zh-CN"/>
                        </w:rPr>
                        <w:t>DW001</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2150745</wp:posOffset>
                </wp:positionH>
                <wp:positionV relativeFrom="paragraph">
                  <wp:posOffset>4813300</wp:posOffset>
                </wp:positionV>
                <wp:extent cx="153035" cy="153035"/>
                <wp:effectExtent l="12700" t="12700" r="24765" b="24765"/>
                <wp:wrapNone/>
                <wp:docPr id="71" name="五角星 71"/>
                <wp:cNvGraphicFramePr/>
                <a:graphic xmlns:a="http://schemas.openxmlformats.org/drawingml/2006/main">
                  <a:graphicData uri="http://schemas.microsoft.com/office/word/2010/wordprocessingShape">
                    <wps:wsp>
                      <wps:cNvSpPr/>
                      <wps:spPr>
                        <a:xfrm>
                          <a:off x="3202305" y="6239510"/>
                          <a:ext cx="153035" cy="153035"/>
                        </a:xfrm>
                        <a:prstGeom prst="star5">
                          <a:avLst/>
                        </a:prstGeom>
                        <a:solidFill>
                          <a:srgbClr val="00B0F0">
                            <a:alpha val="8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9.35pt;margin-top:379pt;height:12.05pt;width:12.05pt;z-index:251680768;v-text-anchor:middle;mso-width-relative:page;mso-height-relative:page;" fillcolor="#00B0F0" filled="t" stroked="t" coordsize="153035,153035" o:gfxdata="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JM0XzXAAAACwEAAA8AAAAAAAAAAQAg&#10;AAAAIgAAAGRycy9kb3ducmV2LnhtbFBLAQIUABQAAAAIAIdO4kCn85sMgQIAAA8FAAAOAAAAAAAA&#10;AAEAIAAAACYBAABkcnMvZTJvRG9jLnhtbFBLBQYAAAAABgAGAFkBAAAZBgAAAAA=&#10;" path="m0,58454l58454,58454,76517,0,94580,58454,153034,58454,105744,94580,123807,153034,76517,116907,29227,153034,47290,94580xe">
                <v:path o:connectlocs="76517,0;0,58454;29227,153034;123807,153034;153034,58454" o:connectangles="247,164,82,82,0"/>
                <v:fill on="t" opacity="52428f" focussize="0,0"/>
                <v:stroke weight="2pt" color="#00B0F0 [2404]" joinstyle="round"/>
                <v:imagedata o:title=""/>
                <o:lock v:ext="edit" aspectratio="f"/>
              </v:shape>
            </w:pict>
          </mc:Fallback>
        </mc:AlternateContent>
      </w:r>
      <w:r>
        <w:rPr>
          <w:color w:val="000000" w:themeColor="text1"/>
          <w:sz w:val="32"/>
          <w:highlight w:val="none"/>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1628775</wp:posOffset>
                </wp:positionH>
                <wp:positionV relativeFrom="paragraph">
                  <wp:posOffset>31750</wp:posOffset>
                </wp:positionV>
                <wp:extent cx="6457950" cy="7105650"/>
                <wp:effectExtent l="12700" t="12700" r="25400" b="25400"/>
                <wp:wrapNone/>
                <wp:docPr id="113" name="任意多边形 113"/>
                <wp:cNvGraphicFramePr/>
                <a:graphic xmlns:a="http://schemas.openxmlformats.org/drawingml/2006/main">
                  <a:graphicData uri="http://schemas.microsoft.com/office/word/2010/wordprocessingShape">
                    <wps:wsp>
                      <wps:cNvSpPr/>
                      <wps:spPr>
                        <a:xfrm>
                          <a:off x="2623185" y="1210310"/>
                          <a:ext cx="6457950" cy="7105650"/>
                        </a:xfrm>
                        <a:custGeom>
                          <a:avLst/>
                          <a:gdLst>
                            <a:gd name="connisteX0" fmla="*/ 2562225 w 6543675"/>
                            <a:gd name="connsiteY0" fmla="*/ 0 h 7219950"/>
                            <a:gd name="connisteX1" fmla="*/ 0 w 6543675"/>
                            <a:gd name="connsiteY1" fmla="*/ 5953125 h 7219950"/>
                            <a:gd name="connisteX2" fmla="*/ 3629025 w 6543675"/>
                            <a:gd name="connsiteY2" fmla="*/ 7219950 h 7219950"/>
                            <a:gd name="connisteX3" fmla="*/ 5600700 w 6543675"/>
                            <a:gd name="connsiteY3" fmla="*/ 3295650 h 7219950"/>
                            <a:gd name="connisteX4" fmla="*/ 6543675 w 6543675"/>
                            <a:gd name="connsiteY4" fmla="*/ 1028700 h 7219950"/>
                            <a:gd name="connisteX5" fmla="*/ 2562225 w 6543675"/>
                            <a:gd name="connsiteY5" fmla="*/ 0 h 7219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6543675" h="7219950">
                              <a:moveTo>
                                <a:pt x="2562225" y="0"/>
                              </a:moveTo>
                              <a:lnTo>
                                <a:pt x="0" y="5953125"/>
                              </a:lnTo>
                              <a:lnTo>
                                <a:pt x="3629025" y="7219950"/>
                              </a:lnTo>
                              <a:lnTo>
                                <a:pt x="5600700" y="3295650"/>
                              </a:lnTo>
                              <a:lnTo>
                                <a:pt x="6543675" y="1028700"/>
                              </a:lnTo>
                              <a:lnTo>
                                <a:pt x="2562225" y="0"/>
                              </a:lnTo>
                              <a:close/>
                            </a:path>
                          </a:pathLst>
                        </a:custGeom>
                        <a:noFill/>
                        <a:ln>
                          <a:solidFill>
                            <a:srgbClr val="00B0F0"/>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8.25pt;margin-top:2.5pt;height:559.5pt;width:508.5pt;z-index:251714560;mso-width-relative:page;mso-height-relative:page;" filled="f" stroked="t" coordsize="6543675,7219950" o:gfxdata="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DJgqDJ2QAAAAsBAAAPAAAAAAAAAAEAIAAAACIAAABkcnMvZG93bnJldi54bWxQ&#10;SwECFAAUAAAACACHTuJALAW8NkwDAAArCQAADgAAAAAAAAABACAAAAAoAQAAZHJzL2Uyb0RvYy54&#10;bWxQSwUGAAAAAAYABgBZAQAA5gYAAAAA&#10;" path="m2562225,0l0,5953125,3629025,7219950,5600700,3295650,6543675,1028700,2562225,0xe">
                <v:path o:connectlocs="2528658,0;0,5858880;3581483,7105650;5527328,3243476;6457950,1012414;2528658,0" o:connectangles="0,0,0,0,0,0"/>
                <v:fill on="f" focussize="0,0"/>
                <v:stroke weight="2pt" color="#00B0F0 [2404]" joinstyle="round" dashstyle="dash"/>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5343525</wp:posOffset>
                </wp:positionH>
                <wp:positionV relativeFrom="paragraph">
                  <wp:posOffset>1144905</wp:posOffset>
                </wp:positionV>
                <wp:extent cx="5848985" cy="7125970"/>
                <wp:effectExtent l="12700" t="12700" r="24765" b="24130"/>
                <wp:wrapNone/>
                <wp:docPr id="112" name="任意多边形 112"/>
                <wp:cNvGraphicFramePr/>
                <a:graphic xmlns:a="http://schemas.openxmlformats.org/drawingml/2006/main">
                  <a:graphicData uri="http://schemas.microsoft.com/office/word/2010/wordprocessingShape">
                    <wps:wsp>
                      <wps:cNvSpPr/>
                      <wps:spPr>
                        <a:xfrm>
                          <a:off x="6404610" y="2219960"/>
                          <a:ext cx="5848985" cy="7125970"/>
                        </a:xfrm>
                        <a:custGeom>
                          <a:avLst/>
                          <a:gdLst>
                            <a:gd name="connisteX0" fmla="*/ 2924175 w 5953125"/>
                            <a:gd name="connsiteY0" fmla="*/ 0 h 7534275"/>
                            <a:gd name="connisteX1" fmla="*/ 0 w 5953125"/>
                            <a:gd name="connsiteY1" fmla="*/ 6400800 h 7534275"/>
                            <a:gd name="connisteX2" fmla="*/ 3133725 w 5953125"/>
                            <a:gd name="connsiteY2" fmla="*/ 7534275 h 7534275"/>
                            <a:gd name="connisteX3" fmla="*/ 5953125 w 5953125"/>
                            <a:gd name="connsiteY3" fmla="*/ 1009650 h 7534275"/>
                            <a:gd name="connisteX4" fmla="*/ 2924175 w 5953125"/>
                            <a:gd name="connsiteY4" fmla="*/ 0 h 75342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953125" h="7534275">
                              <a:moveTo>
                                <a:pt x="2924175" y="0"/>
                              </a:moveTo>
                              <a:lnTo>
                                <a:pt x="0" y="6400800"/>
                              </a:lnTo>
                              <a:lnTo>
                                <a:pt x="3133725" y="7534275"/>
                              </a:lnTo>
                              <a:lnTo>
                                <a:pt x="5953125" y="1009650"/>
                              </a:lnTo>
                              <a:lnTo>
                                <a:pt x="2924175" y="0"/>
                              </a:lnTo>
                              <a:close/>
                            </a:path>
                          </a:pathLst>
                        </a:custGeom>
                        <a:noFill/>
                        <a:ln>
                          <a:solidFill>
                            <a:srgbClr val="7030A0"/>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20.75pt;margin-top:90.15pt;height:561.1pt;width:460.55pt;z-index:251713536;mso-width-relative:page;mso-height-relative:page;" filled="f" stroked="t" coordsize="5953125,7534275" o:gfxdata="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XtiYlNwAAAANAQAADwAAAAAAAAABACAAAAAiAAAA&#10;ZHJzL2Rvd25yZXYueG1sUEsBAhQAFAAAAAgAh07iQD6YlhMgAwAAVAgAAA4AAAAAAAAAAQAgAAAA&#10;KwEAAGRycy9lMm9Eb2MueG1sUEsFBgAAAAAGAAYAWQEAAL0GAAAAAA==&#10;" path="m2924175,0l0,6400800,3133725,7534275,5953125,1009650,2924175,0xe">
                <v:path o:connectlocs="2873021,0;0,6053921;3078905,7125970;5848985,954934;2873021,0" o:connectangles="0,0,0,0,0"/>
                <v:fill on="f" focussize="0,0"/>
                <v:stroke weight="2pt" color="#7030A0 [2404]" joinstyle="round" dashstyle="dash"/>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6807200</wp:posOffset>
                </wp:positionH>
                <wp:positionV relativeFrom="paragraph">
                  <wp:posOffset>2841625</wp:posOffset>
                </wp:positionV>
                <wp:extent cx="95250" cy="95250"/>
                <wp:effectExtent l="12700" t="12700" r="25400" b="25400"/>
                <wp:wrapNone/>
                <wp:docPr id="73" name="椭圆 73"/>
                <wp:cNvGraphicFramePr/>
                <a:graphic xmlns:a="http://schemas.openxmlformats.org/drawingml/2006/main">
                  <a:graphicData uri="http://schemas.microsoft.com/office/word/2010/wordprocessingShape">
                    <wps:wsp>
                      <wps:cNvSpPr/>
                      <wps:spPr>
                        <a:xfrm>
                          <a:off x="5887085" y="463931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6pt;margin-top:223.75pt;height:7.5pt;width:7.5pt;z-index:251682816;v-text-anchor:middle;mso-width-relative:page;mso-height-relative:page;" fillcolor="#FFC000" filled="t" stroked="t" coordsize="21600,21600" o:gfxdata="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Hb3WNkAAAANAQAADwAAAAAAAAABACAA&#10;AAAiAAAAZHJzL2Rvd25yZXYueG1sUEsBAhQAFAAAAAgAh07iQPk9v35+AgAADAUAAA4AAAAAAAAA&#10;AQAgAAAAKAEAAGRycy9lMm9Eb2MueG1sUEsFBgAAAAAGAAYAWQEAABgGA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6460490</wp:posOffset>
                </wp:positionH>
                <wp:positionV relativeFrom="paragraph">
                  <wp:posOffset>2984500</wp:posOffset>
                </wp:positionV>
                <wp:extent cx="695960" cy="390525"/>
                <wp:effectExtent l="0" t="0" r="0" b="0"/>
                <wp:wrapNone/>
                <wp:docPr id="81" name="文本框 81"/>
                <wp:cNvGraphicFramePr/>
                <a:graphic xmlns:a="http://schemas.openxmlformats.org/drawingml/2006/main">
                  <a:graphicData uri="http://schemas.microsoft.com/office/word/2010/wordprocessingShape">
                    <wps:wsp>
                      <wps:cNvSpPr txBox="1"/>
                      <wps:spPr>
                        <a:xfrm>
                          <a:off x="7788275" y="4420235"/>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8.7pt;margin-top:235pt;height:30.75pt;width:54.8pt;z-index:251691008;mso-width-relative:page;mso-height-relative:page;" filled="f" stroked="f" coordsize="21600,21600" o:gfxdata="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9JWrW3AAAAA0BAAAPAAAA&#10;AAAAAAEAIAAAACIAAABkcnMvZG93bnJldi54bWxQSwECFAAUAAAACACHTuJAkvvTVkoCAABzBAAA&#10;DgAAAAAAAAABACAAAAArAQAAZHJzL2Uyb0RvYy54bWxQSwUGAAAAAAYABgBZAQAA5wU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DA001</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10198735</wp:posOffset>
                </wp:positionH>
                <wp:positionV relativeFrom="paragraph">
                  <wp:posOffset>6308725</wp:posOffset>
                </wp:positionV>
                <wp:extent cx="1200150" cy="914400"/>
                <wp:effectExtent l="4445" t="4445" r="14605" b="14605"/>
                <wp:wrapNone/>
                <wp:docPr id="90" name="文本框 90"/>
                <wp:cNvGraphicFramePr/>
                <a:graphic xmlns:a="http://schemas.openxmlformats.org/drawingml/2006/main">
                  <a:graphicData uri="http://schemas.microsoft.com/office/word/2010/wordprocessingShape">
                    <wps:wsp>
                      <wps:cNvSpPr txBox="1"/>
                      <wps:spPr>
                        <a:xfrm>
                          <a:off x="10897870" y="7544435"/>
                          <a:ext cx="1200150"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pacing w:line="288" w:lineRule="auto"/>
                              <w:jc w:val="center"/>
                              <w:textAlignment w:val="auto"/>
                              <w:rPr>
                                <w:rFonts w:hint="eastAsia"/>
                                <w:sz w:val="21"/>
                                <w:szCs w:val="21"/>
                                <w:lang w:eastAsia="zh-CN"/>
                              </w:rPr>
                            </w:pPr>
                            <w:r>
                              <w:rPr>
                                <w:rFonts w:hint="eastAsia"/>
                                <w:sz w:val="21"/>
                                <w:szCs w:val="21"/>
                                <w:lang w:eastAsia="zh-CN"/>
                              </w:rPr>
                              <w:t>图例</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厂界</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构筑物</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排气筒</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废水总排口</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803.05pt;margin-top:496.75pt;height:72pt;width:94.5pt;z-index:251704320;mso-width-relative:page;mso-height-relative:page;" fillcolor="#FFFFFF [3201]" filled="t" stroked="t" coordsize="21600,21600" o:gfxdata="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YEB+y3QAAAA4BAAAPAAAAAAAAAAEAIAAAACIAAABkcnMvZG93bnJl&#10;di54bWxQSwECFAAUAAAACACHTuJA4k4kJmoCAADSBAAADgAAAAAAAAABACAAAAAsAQAAZHJzL2Uy&#10;b0RvYy54bWxQSwUGAAAAAAYABgBZAQAACAYAAAAA&#10;">
                <v:fill on="t" focussize="0,0"/>
                <v:stroke weight="0.5pt" color="#000000 [3204]" joinstyle="round"/>
                <v:imagedata o:title=""/>
                <o:lock v:ext="edit" aspectratio="f"/>
                <v:textbox style="mso-fit-shape-to-text:t;">
                  <w:txbxContent>
                    <w:p>
                      <w:pPr>
                        <w:keepNext w:val="0"/>
                        <w:keepLines w:val="0"/>
                        <w:pageBreakBefore w:val="0"/>
                        <w:widowControl w:val="0"/>
                        <w:kinsoku/>
                        <w:wordWrap/>
                        <w:overflowPunct/>
                        <w:topLinePunct w:val="0"/>
                        <w:bidi w:val="0"/>
                        <w:adjustRightInd/>
                        <w:spacing w:line="288" w:lineRule="auto"/>
                        <w:jc w:val="center"/>
                        <w:textAlignment w:val="auto"/>
                        <w:rPr>
                          <w:rFonts w:hint="eastAsia"/>
                          <w:sz w:val="21"/>
                          <w:szCs w:val="21"/>
                          <w:lang w:eastAsia="zh-CN"/>
                        </w:rPr>
                      </w:pPr>
                      <w:r>
                        <w:rPr>
                          <w:rFonts w:hint="eastAsia"/>
                          <w:sz w:val="21"/>
                          <w:szCs w:val="21"/>
                          <w:lang w:eastAsia="zh-CN"/>
                        </w:rPr>
                        <w:t>图例</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厂界</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构筑物</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排气筒</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废水总排口</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10313035</wp:posOffset>
                </wp:positionH>
                <wp:positionV relativeFrom="paragraph">
                  <wp:posOffset>7019925</wp:posOffset>
                </wp:positionV>
                <wp:extent cx="95250" cy="95250"/>
                <wp:effectExtent l="12700" t="12700" r="25400" b="25400"/>
                <wp:wrapNone/>
                <wp:docPr id="96" name="椭圆 96"/>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12.05pt;margin-top:552.75pt;height:7.5pt;width:7.5pt;z-index:251707392;v-text-anchor:middle;mso-width-relative:page;mso-height-relative:page;" fillcolor="#FFC000" filled="t" stroked="t" coordsize="21600,21600" o:gfxdata="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Akks3aAAAADwEAAA8AAAAAAAAAAQAgAAAAIgAAAGRycy9kb3du&#10;cmV2LnhtbFBLAQIUABQAAAAIAIdO4kBht0l5bwIAAAAFAAAOAAAAAAAAAAEAIAAAACkBAABkcnMv&#10;ZTJvRG9jLnhtbFBLBQYAAAAABgAGAFkBAAAKBg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10302875</wp:posOffset>
                </wp:positionH>
                <wp:positionV relativeFrom="paragraph">
                  <wp:posOffset>7207885</wp:posOffset>
                </wp:positionV>
                <wp:extent cx="131445" cy="131445"/>
                <wp:effectExtent l="12700" t="12700" r="27305" b="27305"/>
                <wp:wrapNone/>
                <wp:docPr id="97" name="五角星 97"/>
                <wp:cNvGraphicFramePr/>
                <a:graphic xmlns:a="http://schemas.openxmlformats.org/drawingml/2006/main">
                  <a:graphicData uri="http://schemas.microsoft.com/office/word/2010/wordprocessingShape">
                    <wps:wsp>
                      <wps:cNvSpPr/>
                      <wps:spPr>
                        <a:xfrm>
                          <a:off x="0" y="0"/>
                          <a:ext cx="131445" cy="131445"/>
                        </a:xfrm>
                        <a:prstGeom prst="star5">
                          <a:avLst/>
                        </a:prstGeom>
                        <a:solidFill>
                          <a:srgbClr val="00B0F0">
                            <a:alpha val="8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11.25pt;margin-top:567.55pt;height:10.35pt;width:10.35pt;z-index:251708416;v-text-anchor:middle;mso-width-relative:page;mso-height-relative:page;" fillcolor="#00B0F0" filled="t" stroked="t" coordsize="131445,131445" o:gfxdata="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jluqzeAAAADwEAAA8AAAAAAAAAAQAgAAAAIgAA&#10;AGRycy9kb3ducmV2LnhtbFBLAQIUABQAAAAIAIdO4kCrEG6xdAIAAAMFAAAOAAAAAAAAAAEAIAAA&#10;AC0BAABkcnMvZTJvRG9jLnhtbFBLBQYAAAAABgAGAFkBAAATBgAAAAA=&#10;" path="m0,50207l50207,50207,65722,0,81237,50207,131444,50207,90825,81237,106341,131444,65722,100414,25103,131444,40619,81237xe">
                <v:path o:connectlocs="65722,0;0,50207;25103,131444;106341,131444;131444,50207" o:connectangles="247,164,82,82,0"/>
                <v:fill on="t" opacity="52428f" focussize="0,0"/>
                <v:stroke weight="2pt" color="#00B0F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10292715</wp:posOffset>
                </wp:positionH>
                <wp:positionV relativeFrom="paragraph">
                  <wp:posOffset>6802120</wp:posOffset>
                </wp:positionV>
                <wp:extent cx="147955" cy="95250"/>
                <wp:effectExtent l="6350" t="6350" r="17145" b="12700"/>
                <wp:wrapNone/>
                <wp:docPr id="94" name="矩形 94"/>
                <wp:cNvGraphicFramePr/>
                <a:graphic xmlns:a="http://schemas.openxmlformats.org/drawingml/2006/main">
                  <a:graphicData uri="http://schemas.microsoft.com/office/word/2010/wordprocessingShape">
                    <wps:wsp>
                      <wps:cNvSpPr/>
                      <wps:spPr>
                        <a:xfrm>
                          <a:off x="0" y="0"/>
                          <a:ext cx="147955" cy="9525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0.45pt;margin-top:535.6pt;height:7.5pt;width:11.65pt;z-index:251706368;v-text-anchor:middle;mso-width-relative:page;mso-height-relative:page;" filled="f" stroked="t" coordsize="21600,21600" o:gfxdata="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krZwdoAAAAPAQAADwAAAAAAAAABACAAAAAiAAAAZHJzL2Rvd25yZXYueG1sUEsBAhQAFAAAAAgA&#10;h07iQNTXC31cAgAAtAQAAA4AAAAAAAAAAQAgAAAAKQEAAGRycy9lMm9Eb2MueG1sUEsFBgAAAAAG&#10;AAYAWQEAAPcFAAAAAA==&#10;">
                <v:fill on="f" focussize="0,0"/>
                <v:stroke weight="1pt" color="#000000 [3213]" joinstyle="round"/>
                <v:imagedata o:title=""/>
                <o:lock v:ext="edit" aspectratio="f"/>
              </v:rect>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10292715</wp:posOffset>
                </wp:positionH>
                <wp:positionV relativeFrom="paragraph">
                  <wp:posOffset>6588760</wp:posOffset>
                </wp:positionV>
                <wp:extent cx="147955" cy="95250"/>
                <wp:effectExtent l="6350" t="6350" r="17145" b="12700"/>
                <wp:wrapNone/>
                <wp:docPr id="93" name="矩形 93"/>
                <wp:cNvGraphicFramePr/>
                <a:graphic xmlns:a="http://schemas.openxmlformats.org/drawingml/2006/main">
                  <a:graphicData uri="http://schemas.microsoft.com/office/word/2010/wordprocessingShape">
                    <wps:wsp>
                      <wps:cNvSpPr/>
                      <wps:spPr>
                        <a:xfrm>
                          <a:off x="10187940" y="7982585"/>
                          <a:ext cx="147955" cy="9525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0.45pt;margin-top:518.8pt;height:7.5pt;width:11.65pt;z-index:251705344;v-text-anchor:middle;mso-width-relative:page;mso-height-relative:page;" filled="f" stroked="t" coordsize="21600,21600" o:gfxdata="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9x0X2QAAAA8BAAAPAAAAAAAAAAEAIAAAACIAAABkcnMvZG93bnJldi54&#10;bWxQSwECFAAUAAAACACHTuJAt9McOmsCAADBBAAADgAAAAAAAAABACAAAAAoAQAAZHJzL2Uyb0Rv&#10;Yy54bWxQSwUGAAAAAAYABgBZAQAABQYAAAAA&#10;">
                <v:fill on="f" focussize="0,0"/>
                <v:stroke weight="1pt" color="#FF0000 [2404]" joinstyle="round"/>
                <v:imagedata o:title=""/>
                <o:lock v:ext="edit" aspectratio="f"/>
              </v:rect>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2717165</wp:posOffset>
                </wp:positionH>
                <wp:positionV relativeFrom="paragraph">
                  <wp:posOffset>3975100</wp:posOffset>
                </wp:positionV>
                <wp:extent cx="695960" cy="39052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95pt;margin-top:313pt;height:30.75pt;width:54.8pt;z-index:251698176;mso-width-relative:page;mso-height-relative:page;" filled="f" stroked="f" coordsize="21600,21600" o:gfxdata="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&#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BgQv3AAAAAsBAAAPAAAAAAAAAAEAIAAAACIAAABk&#10;cnMvZG93bnJldi54bWxQSwECFAAUAAAACACHTuJAQYwKdzsCAABnBAAADgAAAAAAAAABACAAAAAr&#10;AQAAZHJzL2Uyb0RvYy54bWxQSwUGAAAAAAYABgBZAQAA2AU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DA008</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2635250</wp:posOffset>
                </wp:positionH>
                <wp:positionV relativeFrom="paragraph">
                  <wp:posOffset>4060825</wp:posOffset>
                </wp:positionV>
                <wp:extent cx="95250" cy="95250"/>
                <wp:effectExtent l="12700" t="12700" r="25400" b="25400"/>
                <wp:wrapNone/>
                <wp:docPr id="80" name="椭圆 80"/>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7.5pt;margin-top:319.75pt;height:7.5pt;width:7.5pt;z-index:251689984;v-text-anchor:middle;mso-width-relative:page;mso-height-relative:page;" fillcolor="#FFC000" filled="t" stroked="t" coordsize="21600,21600" o:gfxdata="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BQrsCNkAAAALAQAADwAAAAAAAAABACAAAAAiAAAAZHJzL2Rvd25y&#10;ZXYueG1sUEsBAhQAFAAAAAgAh07iQLC8HY1vAgAAAAUAAA4AAAAAAAAAAQAgAAAAKAEAAGRycy9l&#10;Mm9Eb2MueG1sUEsFBgAAAAAGAAYAWQEAAAkGA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2860040</wp:posOffset>
                </wp:positionH>
                <wp:positionV relativeFrom="paragraph">
                  <wp:posOffset>3260725</wp:posOffset>
                </wp:positionV>
                <wp:extent cx="695960" cy="39052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2pt;margin-top:256.75pt;height:30.75pt;width:54.8pt;z-index:251703296;mso-width-relative:page;mso-height-relative:page;" filled="f" stroked="f" coordsize="21600,21600" o:gfxdata="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&#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s5NMdwAAAALAQAADwAAAAAAAAABACAAAAAiAAAA&#10;ZHJzL2Rvd25yZXYueG1sUEsBAhQAFAAAAAgAh07iQNAZDqs8AgAAZwQAAA4AAAAAAAAAAQAgAAAA&#10;KwEAAGRycy9lMm9Eb2MueG1sUEsFBgAAAAAGAAYAWQEAANkFA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DA005</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2863850</wp:posOffset>
                </wp:positionH>
                <wp:positionV relativeFrom="paragraph">
                  <wp:posOffset>3489325</wp:posOffset>
                </wp:positionV>
                <wp:extent cx="95250" cy="95250"/>
                <wp:effectExtent l="12700" t="12700" r="25400" b="25400"/>
                <wp:wrapNone/>
                <wp:docPr id="77" name="椭圆 77"/>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5.5pt;margin-top:274.75pt;height:7.5pt;width:7.5pt;z-index:251686912;v-text-anchor:middle;mso-width-relative:page;mso-height-relative:page;" fillcolor="#FFC000" filled="t" stroked="t" coordsize="21600,21600" o:gfxdata="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SGKIbZAAAACwEAAA8AAAAAAAAAAQAgAAAAIgAAAGRycy9kb3du&#10;cmV2LnhtbFBLAQIUABQAAAAIAIdO4kByql8HcAIAAAAFAAAOAAAAAAAAAAEAIAAAACgBAABkcnMv&#10;ZTJvRG9jLnhtbFBLBQYAAAAABgAGAFkBAAAKBg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5530850</wp:posOffset>
                </wp:positionH>
                <wp:positionV relativeFrom="paragraph">
                  <wp:posOffset>2289175</wp:posOffset>
                </wp:positionV>
                <wp:extent cx="95250" cy="95250"/>
                <wp:effectExtent l="12700" t="12700" r="25400" b="25400"/>
                <wp:wrapNone/>
                <wp:docPr id="74" name="椭圆 74"/>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5.5pt;margin-top:180.25pt;height:7.5pt;width:7.5pt;z-index:251683840;v-text-anchor:middle;mso-width-relative:page;mso-height-relative:page;" fillcolor="#FFC000" filled="t" stroked="t" coordsize="21600,21600" o:gfxdata="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nqYFi9gAAAALAQAADwAAAAAAAAABACAAAAAiAAAAZHJzL2Rvd25y&#10;ZXYueG1sUEsBAhQAFAAAAAgAh07iQBEwKABwAgAAAAUAAA4AAAAAAAAAAQAgAAAAJwEAAGRycy9l&#10;Mm9Eb2MueG1sUEsFBgAAAAAGAAYAWQEAAAkGA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1762760</wp:posOffset>
                </wp:positionH>
                <wp:positionV relativeFrom="paragraph">
                  <wp:posOffset>6831330</wp:posOffset>
                </wp:positionV>
                <wp:extent cx="1327150" cy="342900"/>
                <wp:effectExtent l="4445" t="4445" r="20955" b="14605"/>
                <wp:wrapNone/>
                <wp:docPr id="98" name="文本框 98"/>
                <wp:cNvGraphicFramePr/>
                <a:graphic xmlns:a="http://schemas.openxmlformats.org/drawingml/2006/main">
                  <a:graphicData uri="http://schemas.microsoft.com/office/word/2010/wordprocessingShape">
                    <wps:wsp>
                      <wps:cNvSpPr txBox="1"/>
                      <wps:spPr>
                        <a:xfrm>
                          <a:off x="2990850" y="8744585"/>
                          <a:ext cx="132715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比例尺：1:1000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8pt;margin-top:537.9pt;height:27pt;width:104.5pt;z-index:251709440;mso-width-relative:page;mso-height-relative:page;" fillcolor="#FFFFFF [3201]" filled="t" stroked="t" coordsize="21600,21600" o:gfxdata="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PIg7TYAAAADQEAAA8AAAAAAAAAAQAgAAAAIgAAAGRycy9kb3ducmV2LnhtbFBLAQIU&#10;ABQAAAAIAIdO4kBcWVduZQIAAMUEAAAOAAAAAAAAAAEAIAAAACcBAABkcnMvZTJvRG9jLnhtbFBL&#10;BQYAAAAABgAGAFkBAAD+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比例尺：1:1000</w:t>
                      </w:r>
                    </w:p>
                  </w:txbxContent>
                </v:textbox>
              </v:shape>
            </w:pict>
          </mc:Fallback>
        </mc:AlternateContent>
      </w:r>
      <w:r>
        <w:drawing>
          <wp:inline distT="0" distB="0" distL="114300" distR="114300">
            <wp:extent cx="10039350" cy="8272780"/>
            <wp:effectExtent l="0" t="0" r="0" b="13970"/>
            <wp:docPr id="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9"/>
                    <pic:cNvPicPr>
                      <a:picLocks noChangeAspect="1"/>
                    </pic:cNvPicPr>
                  </pic:nvPicPr>
                  <pic:blipFill>
                    <a:blip r:embed="rId78"/>
                    <a:stretch>
                      <a:fillRect/>
                    </a:stretch>
                  </pic:blipFill>
                  <pic:spPr>
                    <a:xfrm>
                      <a:off x="0" y="0"/>
                      <a:ext cx="10039350" cy="8272780"/>
                    </a:xfrm>
                    <a:prstGeom prst="rect">
                      <a:avLst/>
                    </a:prstGeom>
                    <a:noFill/>
                    <a:ln>
                      <a:noFill/>
                    </a:ln>
                  </pic:spPr>
                </pic:pic>
              </a:graphicData>
            </a:graphic>
          </wp:inline>
        </w:drawing>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4193540</wp:posOffset>
                </wp:positionH>
                <wp:positionV relativeFrom="paragraph">
                  <wp:posOffset>974725</wp:posOffset>
                </wp:positionV>
                <wp:extent cx="695960" cy="39052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2pt;margin-top:76.75pt;height:30.75pt;width:54.8pt;z-index:251696128;mso-width-relative:page;mso-height-relative:page;" filled="f" stroked="f" coordsize="21600,21600" o:gfxdata="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7wcEx2wAAAAsBAAAPAAAAAAAAAAEAIAAAACIAAABk&#10;cnMvZG93bnJldi54bWxQSwECFAAUAAAACACHTuJAimbNQzwCAABnBAAADgAAAAAAAAABACAAAAAq&#10;AQAAZHJzL2Uyb0RvYy54bWxQSwUGAAAAAAYABgBZAQAA2AU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DA007</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4822190</wp:posOffset>
                </wp:positionH>
                <wp:positionV relativeFrom="paragraph">
                  <wp:posOffset>927100</wp:posOffset>
                </wp:positionV>
                <wp:extent cx="695960" cy="39052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7pt;margin-top:73pt;height:30.75pt;width:54.8pt;z-index:251695104;mso-width-relative:page;mso-height-relative:page;" filled="f" stroked="f" coordsize="21600,21600" o:gfxdata="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an39wAAAALAQAADwAAAAAAAAABACAAAAAiAAAA&#10;ZHJzL2Rvd25yZXYueG1sUEsBAhQAFAAAAAgAh07iQCXh+aE8AgAAZwQAAA4AAAAAAAAAAQAgAAAA&#10;KwEAAGRycy9lMm9Eb2MueG1sUEsFBgAAAAAGAAYAWQEAANkFA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DA006</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4660265</wp:posOffset>
                </wp:positionH>
                <wp:positionV relativeFrom="paragraph">
                  <wp:posOffset>1898650</wp:posOffset>
                </wp:positionV>
                <wp:extent cx="695960" cy="39052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95pt;margin-top:149.5pt;height:30.75pt;width:54.8pt;z-index:251694080;mso-width-relative:page;mso-height-relative:page;" filled="f" stroked="f" coordsize="21600,21600" o:gfxdata="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UiSETdAAAACwEAAA8AAAAAAAAAAQAgAAAAIgAA&#10;AGRycy9kb3ducmV2LnhtbFBLAQIUABQAAAAIAIdO4kB/njpJPAIAAGcEAAAOAAAAAAAAAAEAIAAA&#10;ACwBAABkcnMvZTJvRG9jLnhtbFBLBQYAAAAABgAGAFkBAADaBQ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DA004</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5546090</wp:posOffset>
                </wp:positionH>
                <wp:positionV relativeFrom="paragraph">
                  <wp:posOffset>1498600</wp:posOffset>
                </wp:positionV>
                <wp:extent cx="695960" cy="39052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7pt;margin-top:118pt;height:30.75pt;width:54.8pt;z-index:251693056;mso-width-relative:page;mso-height-relative:page;" filled="f" stroked="f" coordsize="21600,21600" o:gfxdata="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&#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Nny0XdAAAACwEAAA8AAAAAAAAAAQAgAAAAIgAA&#10;AGRycy9kb3ducmV2LnhtbFBLAQIUABQAAAAIAIdO4kA66OG+PAIAAGcEAAAOAAAAAAAAAAEAIAAA&#10;ACwBAABkcnMvZTJvRG9jLnhtbFBLBQYAAAAABgAGAFkBAADaBQ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DA003</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5155565</wp:posOffset>
                </wp:positionH>
                <wp:positionV relativeFrom="paragraph">
                  <wp:posOffset>2393950</wp:posOffset>
                </wp:positionV>
                <wp:extent cx="695960" cy="39052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69596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C000"/>
                                <w:lang w:val="en-US" w:eastAsia="zh-CN"/>
                              </w:rPr>
                            </w:pPr>
                            <w:r>
                              <w:rPr>
                                <w:rFonts w:hint="eastAsia"/>
                                <w:color w:val="FFC000"/>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95pt;margin-top:188.5pt;height:30.75pt;width:54.8pt;z-index:251692032;mso-width-relative:page;mso-height-relative:page;" filled="f" stroked="f" coordsize="21600,21600" o:gfxdata="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&#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z62hNwAAAALAQAADwAAAAAAAAABACAAAAAiAAAA&#10;ZHJzL2Rvd25yZXYueG1sUEsBAhQAFAAAAAgAh07iQGCXIlY8AgAAZwQAAA4AAAAAAAAAAQAgAAAA&#10;KwEAAGRycy9lMm9Eb2MueG1sUEsFBgAAAAAGAAYAWQEAANkFAAAAAA==&#10;">
                <v:fill on="f" focussize="0,0"/>
                <v:stroke on="f" weight="0.5pt"/>
                <v:imagedata o:title=""/>
                <o:lock v:ext="edit" aspectratio="f"/>
                <v:textbox>
                  <w:txbxContent>
                    <w:p>
                      <w:pPr>
                        <w:rPr>
                          <w:rFonts w:hint="default" w:eastAsia="宋体"/>
                          <w:color w:val="FFC000"/>
                          <w:lang w:val="en-US" w:eastAsia="zh-CN"/>
                        </w:rPr>
                      </w:pPr>
                      <w:r>
                        <w:rPr>
                          <w:rFonts w:hint="eastAsia"/>
                          <w:color w:val="FFC000"/>
                          <w:lang w:val="en-US" w:eastAsia="zh-CN"/>
                        </w:rPr>
                        <w:t>DA002</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4216400</wp:posOffset>
                </wp:positionH>
                <wp:positionV relativeFrom="paragraph">
                  <wp:posOffset>1250950</wp:posOffset>
                </wp:positionV>
                <wp:extent cx="95250" cy="95250"/>
                <wp:effectExtent l="12700" t="12700" r="25400" b="25400"/>
                <wp:wrapNone/>
                <wp:docPr id="79" name="椭圆 79"/>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2pt;margin-top:98.5pt;height:7.5pt;width:7.5pt;z-index:251688960;v-text-anchor:middle;mso-width-relative:page;mso-height-relative:page;" fillcolor="#FFC000" filled="t" stroked="t" coordsize="21600,21600" o:gfxdata="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1EcF92AAAAAsBAAAPAAAAAAAAAAEAIAAAACIAAABkcnMvZG93bnJl&#10;di54bWxQSwECFAAUAAAACACHTuJAgy30qW8CAAAABQAADgAAAAAAAAABACAAAAAnAQAAZHJzL2Uy&#10;b0RvYy54bWxQSwUGAAAAAAYABgBZAQAACAY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4768850</wp:posOffset>
                </wp:positionH>
                <wp:positionV relativeFrom="paragraph">
                  <wp:posOffset>1136650</wp:posOffset>
                </wp:positionV>
                <wp:extent cx="95250" cy="95250"/>
                <wp:effectExtent l="12700" t="12700" r="25400" b="25400"/>
                <wp:wrapNone/>
                <wp:docPr id="78" name="椭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5.5pt;margin-top:89.5pt;height:7.5pt;width:7.5pt;z-index:251687936;v-text-anchor:middle;mso-width-relative:page;mso-height-relative:page;" fillcolor="#FFC000" filled="t" stroked="t" coordsize="21600,21600" o:gfxdata="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NHHhzXAAAACwEAAA8AAAAAAAAAAQAgAAAAIgAAAGRycy9kb3ducmV2&#10;LnhtbFBLAQIUABQAAAAIAIdO4kCdWfYdbwIAAAAFAAAOAAAAAAAAAAEAIAAAACYBAABkcnMvZTJv&#10;RG9jLnhtbFBLBQYAAAAABgAGAFkBAAAHBg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4968875</wp:posOffset>
                </wp:positionH>
                <wp:positionV relativeFrom="paragraph">
                  <wp:posOffset>1841500</wp:posOffset>
                </wp:positionV>
                <wp:extent cx="95250" cy="95250"/>
                <wp:effectExtent l="12700" t="12700" r="25400" b="25400"/>
                <wp:wrapNone/>
                <wp:docPr id="76" name="椭圆 76"/>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1.25pt;margin-top:145pt;height:7.5pt;width:7.5pt;z-index:251685888;v-text-anchor:middle;mso-width-relative:page;mso-height-relative:page;" fillcolor="#FFC000" filled="t" stroked="t" coordsize="21600,21600" o:gfxdata="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VWZGzZAAAACwEAAA8AAAAAAAAAAQAgAAAAIgAAAGRycy9kb3du&#10;cmV2LnhtbFBLAQIUABQAAAAIAIdO4kBs3l2zcAIAAAAFAAAOAAAAAAAAAAEAIAAAACgBAABkcnMv&#10;ZTJvRG9jLnhtbFBLBQYAAAAABgAGAFkBAAAKBgAAAAA=&#10;">
                <v:fill on="t" opacity="38666f" focussize="0,0"/>
                <v:stroke weight="2pt" color="#FFC000 [2404]" joinstyle="round"/>
                <v:imagedata o:title=""/>
                <o:lock v:ext="edit" aspectratio="f"/>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5607050</wp:posOffset>
                </wp:positionH>
                <wp:positionV relativeFrom="paragraph">
                  <wp:posOffset>1765300</wp:posOffset>
                </wp:positionV>
                <wp:extent cx="95250" cy="95250"/>
                <wp:effectExtent l="12700" t="12700" r="25400" b="25400"/>
                <wp:wrapNone/>
                <wp:docPr id="75" name="椭圆 75"/>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C000">
                            <a:alpha val="59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1.5pt;margin-top:139pt;height:7.5pt;width:7.5pt;z-index:251684864;v-text-anchor:middle;mso-width-relative:page;mso-height-relative:page;" fillcolor="#FFC000" filled="t" stroked="t" coordsize="21600,21600" o:gfxdata="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V+oAa1wAAAAsBAAAPAAAAAAAAAAEAIAAAACIAAABkcnMvZG93bnJl&#10;di54bWxQSwECFAAUAAAACACHTuJAD0QqtHACAAAABQAADgAAAAAAAAABACAAAAAmAQAAZHJzL2Uy&#10;b0RvYy54bWxQSwUGAAAAAAYABgBZAQAACAYAAAAA&#10;">
                <v:fill on="t" opacity="38666f" focussize="0,0"/>
                <v:stroke weight="2pt" color="#FFC000 [2404]" joinstyle="round"/>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681792" behindDoc="0" locked="0" layoutInCell="1" allowOverlap="1">
            <wp:simplePos x="0" y="0"/>
            <wp:positionH relativeFrom="column">
              <wp:posOffset>1620520</wp:posOffset>
            </wp:positionH>
            <wp:positionV relativeFrom="paragraph">
              <wp:posOffset>165735</wp:posOffset>
            </wp:positionV>
            <wp:extent cx="690880" cy="1026795"/>
            <wp:effectExtent l="0" t="0" r="13970" b="1905"/>
            <wp:wrapNone/>
            <wp:docPr id="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4"/>
                    <pic:cNvPicPr>
                      <a:picLocks noChangeAspect="1"/>
                    </pic:cNvPicPr>
                  </pic:nvPicPr>
                  <pic:blipFill>
                    <a:blip r:embed="rId74"/>
                    <a:stretch>
                      <a:fillRect/>
                    </a:stretch>
                  </pic:blipFill>
                  <pic:spPr>
                    <a:xfrm>
                      <a:off x="0" y="0"/>
                      <a:ext cx="690880" cy="1026795"/>
                    </a:xfrm>
                    <a:prstGeom prst="rect">
                      <a:avLst/>
                    </a:prstGeom>
                    <a:noFill/>
                    <a:ln>
                      <a:noFill/>
                    </a:ln>
                  </pic:spPr>
                </pic:pic>
              </a:graphicData>
            </a:graphic>
          </wp:anchor>
        </w:drawing>
      </w:r>
    </w:p>
    <w:p>
      <w:pPr>
        <w:rPr>
          <w:color w:val="000000" w:themeColor="text1"/>
          <w:highlight w:val="none"/>
          <w14:textFill>
            <w14:solidFill>
              <w14:schemeClr w14:val="tx1"/>
            </w14:solidFill>
          </w14:textFill>
        </w:rPr>
        <w:sectPr>
          <w:pgSz w:w="23811" w:h="16838"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val="en-US" w:eastAsia="zh-CN"/>
          <w14:textFill>
            <w14:solidFill>
              <w14:schemeClr w14:val="tx1"/>
            </w14:solidFill>
          </w14:textFill>
        </w:rPr>
        <w:t>附图7 分区防渗图</w:t>
      </w:r>
    </w:p>
    <w:p>
      <w:pPr>
        <w:jc w:val="center"/>
        <w:rPr>
          <w:color w:val="000000" w:themeColor="text1"/>
          <w:highlight w:val="none"/>
          <w14:textFill>
            <w14:solidFill>
              <w14:schemeClr w14:val="tx1"/>
            </w14:solidFill>
          </w14:textFill>
        </w:rPr>
        <w:sectPr>
          <w:pgSz w:w="23811" w:h="16838"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9930765</wp:posOffset>
                </wp:positionH>
                <wp:positionV relativeFrom="paragraph">
                  <wp:posOffset>7034530</wp:posOffset>
                </wp:positionV>
                <wp:extent cx="147955" cy="95250"/>
                <wp:effectExtent l="6350" t="6350" r="17145" b="12700"/>
                <wp:wrapNone/>
                <wp:docPr id="105" name="矩形 105"/>
                <wp:cNvGraphicFramePr/>
                <a:graphic xmlns:a="http://schemas.openxmlformats.org/drawingml/2006/main">
                  <a:graphicData uri="http://schemas.microsoft.com/office/word/2010/wordprocessingShape">
                    <wps:wsp>
                      <wps:cNvSpPr/>
                      <wps:spPr>
                        <a:xfrm>
                          <a:off x="0" y="0"/>
                          <a:ext cx="147955" cy="95250"/>
                        </a:xfrm>
                        <a:prstGeom prst="rect">
                          <a:avLst/>
                        </a:prstGeom>
                        <a:solidFill>
                          <a:srgbClr val="00FFFF"/>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1.95pt;margin-top:553.9pt;height:7.5pt;width:11.65pt;z-index:251702272;v-text-anchor:middle;mso-width-relative:page;mso-height-relative:page;" fillcolor="#00FFFF" filled="t" stroked="t" coordsize="21600,21600" o:gfxdata="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BtuxZNsAAAAPAQAADwAAAAAAAAABACAAAAAiAAAAZHJzL2Rvd25yZXYueG1sUEsB&#10;AhQAFAAAAAgAh07iQFQ5PWdkAgAA3wQAAA4AAAAAAAAAAQAgAAAAKgEAAGRycy9lMm9Eb2MueG1s&#10;UEsFBgAAAAAGAAYAWQEAAAAGAAAAAA==&#10;">
                <v:fill on="t" focussize="0,0"/>
                <v:stroke weight="1pt" color="#000000 [3213]" joinstyle="round"/>
                <v:imagedata o:title=""/>
                <o:lock v:ext="edit" aspectratio="f"/>
              </v:rect>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9923145</wp:posOffset>
                </wp:positionH>
                <wp:positionV relativeFrom="paragraph">
                  <wp:posOffset>6836410</wp:posOffset>
                </wp:positionV>
                <wp:extent cx="147955" cy="95250"/>
                <wp:effectExtent l="6350" t="6350" r="17145" b="12700"/>
                <wp:wrapNone/>
                <wp:docPr id="104" name="矩形 104"/>
                <wp:cNvGraphicFramePr/>
                <a:graphic xmlns:a="http://schemas.openxmlformats.org/drawingml/2006/main">
                  <a:graphicData uri="http://schemas.microsoft.com/office/word/2010/wordprocessingShape">
                    <wps:wsp>
                      <wps:cNvSpPr/>
                      <wps:spPr>
                        <a:xfrm>
                          <a:off x="0" y="0"/>
                          <a:ext cx="147955" cy="95250"/>
                        </a:xfrm>
                        <a:prstGeom prst="rect">
                          <a:avLst/>
                        </a:prstGeom>
                        <a:solidFill>
                          <a:srgbClr val="0000FF"/>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1.35pt;margin-top:538.3pt;height:7.5pt;width:11.65pt;z-index:251711488;v-text-anchor:middle;mso-width-relative:page;mso-height-relative:page;" fillcolor="#0000FF" filled="t" stroked="t" coordsize="21600,21600" o:gfxdata="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B/kRF2gAAAA8BAAAPAAAAAAAAAAEAIAAAACIAAABkcnMvZG93bnJldi54bWxQSwEC&#10;FAAUAAAACACHTuJAghhcr2QCAADfBAAADgAAAAAAAAABACAAAAApAQAAZHJzL2Uyb0RvYy54bWxQ&#10;SwUGAAAAAAYABgBZAQAA/wUAAAAA&#10;">
                <v:fill on="t" focussize="0,0"/>
                <v:stroke weight="1pt" color="#000000 [3213]" joinstyle="round"/>
                <v:imagedata o:title=""/>
                <o:lock v:ext="edit" aspectratio="f"/>
              </v:rect>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9923145</wp:posOffset>
                </wp:positionH>
                <wp:positionV relativeFrom="paragraph">
                  <wp:posOffset>6623050</wp:posOffset>
                </wp:positionV>
                <wp:extent cx="147955" cy="95250"/>
                <wp:effectExtent l="6350" t="6350" r="17145" b="12700"/>
                <wp:wrapNone/>
                <wp:docPr id="103" name="矩形 103"/>
                <wp:cNvGraphicFramePr/>
                <a:graphic xmlns:a="http://schemas.openxmlformats.org/drawingml/2006/main">
                  <a:graphicData uri="http://schemas.microsoft.com/office/word/2010/wordprocessingShape">
                    <wps:wsp>
                      <wps:cNvSpPr/>
                      <wps:spPr>
                        <a:xfrm>
                          <a:off x="0" y="0"/>
                          <a:ext cx="147955" cy="95250"/>
                        </a:xfrm>
                        <a:prstGeom prst="rect">
                          <a:avLst/>
                        </a:prstGeom>
                        <a:solidFill>
                          <a:srgbClr val="FF7F9F"/>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1.35pt;margin-top:521.5pt;height:7.5pt;width:11.65pt;z-index:251700224;v-text-anchor:middle;mso-width-relative:page;mso-height-relative:page;" fillcolor="#FF7F9F" filled="t" stroked="t" coordsize="21600,21600" o:gfxdata="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LbQfQ3AAAAA8BAAAPAAAAAAAAAAEAIAAAACIAAABkcnMvZG93bnJldi54&#10;bWxQSwECFAAUAAAACACHTuJAHRKvG2gCAADfBAAADgAAAAAAAAABACAAAAArAQAAZHJzL2Uyb0Rv&#10;Yy54bWxQSwUGAAAAAAYABgBZAQAABQYAAAAA&#10;">
                <v:fill on="t" focussize="0,0"/>
                <v:stroke weight="1pt" color="#000000 [3213]" joinstyle="round"/>
                <v:imagedata o:title=""/>
                <o:lock v:ext="edit" aspectratio="f"/>
              </v:rect>
            </w:pict>
          </mc:Fallback>
        </mc:AlternateContent>
      </w:r>
      <w:r>
        <w:rPr>
          <w:color w:val="000000" w:themeColor="text1"/>
          <w:highlight w:val="none"/>
          <w14:textFill>
            <w14:solidFill>
              <w14:schemeClr w14:val="tx1"/>
            </w14:solidFill>
          </w14:textFill>
        </w:rPr>
        <w:drawing>
          <wp:anchor distT="0" distB="0" distL="114300" distR="114300" simplePos="0" relativeHeight="251710464" behindDoc="0" locked="0" layoutInCell="1" allowOverlap="1">
            <wp:simplePos x="0" y="0"/>
            <wp:positionH relativeFrom="column">
              <wp:posOffset>1620520</wp:posOffset>
            </wp:positionH>
            <wp:positionV relativeFrom="paragraph">
              <wp:posOffset>415925</wp:posOffset>
            </wp:positionV>
            <wp:extent cx="705485" cy="1049020"/>
            <wp:effectExtent l="0" t="0" r="18415" b="17780"/>
            <wp:wrapNone/>
            <wp:docPr id="1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4"/>
                    <pic:cNvPicPr>
                      <a:picLocks noChangeAspect="1"/>
                    </pic:cNvPicPr>
                  </pic:nvPicPr>
                  <pic:blipFill>
                    <a:blip r:embed="rId74"/>
                    <a:stretch>
                      <a:fillRect/>
                    </a:stretch>
                  </pic:blipFill>
                  <pic:spPr>
                    <a:xfrm>
                      <a:off x="0" y="0"/>
                      <a:ext cx="705485" cy="1049020"/>
                    </a:xfrm>
                    <a:prstGeom prst="rect">
                      <a:avLst/>
                    </a:prstGeom>
                    <a:noFill/>
                    <a:ln>
                      <a:noFill/>
                    </a:ln>
                  </pic:spPr>
                </pic:pic>
              </a:graphicData>
            </a:graphic>
          </wp:anchor>
        </w:drawing>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9817735</wp:posOffset>
                </wp:positionH>
                <wp:positionV relativeFrom="paragraph">
                  <wp:posOffset>6344285</wp:posOffset>
                </wp:positionV>
                <wp:extent cx="1200150" cy="914400"/>
                <wp:effectExtent l="4445" t="4445" r="14605" b="14605"/>
                <wp:wrapNone/>
                <wp:docPr id="100" name="文本框 100"/>
                <wp:cNvGraphicFramePr/>
                <a:graphic xmlns:a="http://schemas.openxmlformats.org/drawingml/2006/main">
                  <a:graphicData uri="http://schemas.microsoft.com/office/word/2010/wordprocessingShape">
                    <wps:wsp>
                      <wps:cNvSpPr txBox="1"/>
                      <wps:spPr>
                        <a:xfrm>
                          <a:off x="0" y="0"/>
                          <a:ext cx="1200150"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pacing w:line="288" w:lineRule="auto"/>
                              <w:jc w:val="center"/>
                              <w:textAlignment w:val="auto"/>
                              <w:rPr>
                                <w:rFonts w:hint="eastAsia"/>
                                <w:sz w:val="21"/>
                                <w:szCs w:val="21"/>
                                <w:lang w:eastAsia="zh-CN"/>
                              </w:rPr>
                            </w:pPr>
                            <w:r>
                              <w:rPr>
                                <w:rFonts w:hint="eastAsia"/>
                                <w:sz w:val="21"/>
                                <w:szCs w:val="21"/>
                                <w:lang w:eastAsia="zh-CN"/>
                              </w:rPr>
                              <w:t>图例</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简单防渗</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一般防渗</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lang w:eastAsia="zh-CN"/>
                              </w:rPr>
                            </w:pPr>
                            <w:r>
                              <w:rPr>
                                <w:rFonts w:hint="eastAsia"/>
                                <w:sz w:val="21"/>
                                <w:szCs w:val="21"/>
                                <w:lang w:eastAsia="zh-CN"/>
                              </w:rPr>
                              <w:t>重点防渗</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773.05pt;margin-top:499.55pt;height:72pt;width:94.5pt;z-index:251699200;mso-width-relative:page;mso-height-relative:page;" fillcolor="#FFFFFF [3201]" filled="t" stroked="t" coordsize="21600,21600" o:gfxdata="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3&#10;Ezbw2wAAAA4BAAAPAAAAAAAAAAEAIAAAACIAAABkcnMvZG93bnJldi54bWxQSwECFAAUAAAACACH&#10;TuJA+0kzt1oCAADHBAAADgAAAAAAAAABACAAAAAqAQAAZHJzL2Uyb0RvYy54bWxQSwUGAAAAAAYA&#10;BgBZAQAA9gUAAAAA&#10;">
                <v:fill on="t" focussize="0,0"/>
                <v:stroke weight="0.5pt" color="#000000 [3204]" joinstyle="round"/>
                <v:imagedata o:title=""/>
                <o:lock v:ext="edit" aspectratio="f"/>
                <v:textbox style="mso-fit-shape-to-text:t;">
                  <w:txbxContent>
                    <w:p>
                      <w:pPr>
                        <w:keepNext w:val="0"/>
                        <w:keepLines w:val="0"/>
                        <w:pageBreakBefore w:val="0"/>
                        <w:widowControl w:val="0"/>
                        <w:kinsoku/>
                        <w:wordWrap/>
                        <w:overflowPunct/>
                        <w:topLinePunct w:val="0"/>
                        <w:bidi w:val="0"/>
                        <w:adjustRightInd/>
                        <w:spacing w:line="288" w:lineRule="auto"/>
                        <w:jc w:val="center"/>
                        <w:textAlignment w:val="auto"/>
                        <w:rPr>
                          <w:rFonts w:hint="eastAsia"/>
                          <w:sz w:val="21"/>
                          <w:szCs w:val="21"/>
                          <w:lang w:eastAsia="zh-CN"/>
                        </w:rPr>
                      </w:pPr>
                      <w:r>
                        <w:rPr>
                          <w:rFonts w:hint="eastAsia"/>
                          <w:sz w:val="21"/>
                          <w:szCs w:val="21"/>
                          <w:lang w:eastAsia="zh-CN"/>
                        </w:rPr>
                        <w:t>图例</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简单防渗</w:t>
                      </w:r>
                    </w:p>
                    <w:p>
                      <w:pPr>
                        <w:pStyle w:val="15"/>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sz w:val="21"/>
                          <w:szCs w:val="21"/>
                          <w:lang w:eastAsia="zh-CN"/>
                        </w:rPr>
                      </w:pPr>
                      <w:r>
                        <w:rPr>
                          <w:rFonts w:hint="eastAsia"/>
                          <w:sz w:val="21"/>
                          <w:szCs w:val="21"/>
                          <w:lang w:eastAsia="zh-CN"/>
                        </w:rPr>
                        <w:t>一般防渗</w:t>
                      </w:r>
                    </w:p>
                    <w:p>
                      <w:pPr>
                        <w:keepNext w:val="0"/>
                        <w:keepLines w:val="0"/>
                        <w:pageBreakBefore w:val="0"/>
                        <w:widowControl w:val="0"/>
                        <w:kinsoku/>
                        <w:wordWrap/>
                        <w:overflowPunct/>
                        <w:topLinePunct w:val="0"/>
                        <w:bidi w:val="0"/>
                        <w:adjustRightInd/>
                        <w:spacing w:line="288" w:lineRule="auto"/>
                        <w:ind w:firstLine="420" w:firstLineChars="200"/>
                        <w:textAlignment w:val="auto"/>
                        <w:rPr>
                          <w:rFonts w:hint="eastAsia"/>
                          <w:lang w:eastAsia="zh-CN"/>
                        </w:rPr>
                      </w:pPr>
                      <w:r>
                        <w:rPr>
                          <w:rFonts w:hint="eastAsia"/>
                          <w:sz w:val="21"/>
                          <w:szCs w:val="21"/>
                          <w:lang w:eastAsia="zh-CN"/>
                        </w:rPr>
                        <w:t>重点防渗</w:t>
                      </w:r>
                    </w:p>
                  </w:txbxContent>
                </v:textbox>
              </v:shape>
            </w:pict>
          </mc:Fallback>
        </mc:AlternateContent>
      </w:r>
      <w:r>
        <w:rPr>
          <w:color w:val="000000" w:themeColor="text1"/>
          <w:sz w:val="18"/>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1762760</wp:posOffset>
                </wp:positionH>
                <wp:positionV relativeFrom="paragraph">
                  <wp:posOffset>6831330</wp:posOffset>
                </wp:positionV>
                <wp:extent cx="1327150" cy="342900"/>
                <wp:effectExtent l="4445" t="4445" r="20955" b="14605"/>
                <wp:wrapNone/>
                <wp:docPr id="102" name="文本框 102"/>
                <wp:cNvGraphicFramePr/>
                <a:graphic xmlns:a="http://schemas.openxmlformats.org/drawingml/2006/main">
                  <a:graphicData uri="http://schemas.microsoft.com/office/word/2010/wordprocessingShape">
                    <wps:wsp>
                      <wps:cNvSpPr txBox="1"/>
                      <wps:spPr>
                        <a:xfrm>
                          <a:off x="0" y="0"/>
                          <a:ext cx="132715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比例尺：1:1000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8pt;margin-top:537.9pt;height:27pt;width:104.5pt;z-index:251701248;mso-width-relative:page;mso-height-relative:page;" fillcolor="#FFFFFF [3201]" filled="t" stroked="t" coordsize="21600,21600" o:gfxdata="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PIg7TY&#10;AAAADQEAAA8AAAAAAAAAAQAgAAAAIgAAAGRycy9kb3ducmV2LnhtbFBLAQIUABQAAAAIAIdO4kAp&#10;BAmfWQIAALsEAAAOAAAAAAAAAAEAIAAAACcBAABkcnMvZTJvRG9jLnhtbFBLBQYAAAAABgAGAFkB&#10;AADy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比例尺：1:1000</w:t>
                      </w:r>
                    </w:p>
                  </w:txbxContent>
                </v:textbox>
              </v:shape>
            </w:pict>
          </mc:Fallback>
        </mc:AlternateContent>
      </w:r>
      <w:r>
        <w:drawing>
          <wp:inline distT="0" distB="0" distL="114300" distR="114300">
            <wp:extent cx="9334500" cy="8058150"/>
            <wp:effectExtent l="0" t="0" r="0" b="0"/>
            <wp:docPr id="1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0"/>
                    <pic:cNvPicPr>
                      <a:picLocks noChangeAspect="1"/>
                    </pic:cNvPicPr>
                  </pic:nvPicPr>
                  <pic:blipFill>
                    <a:blip r:embed="rId79"/>
                    <a:stretch>
                      <a:fillRect/>
                    </a:stretch>
                  </pic:blipFill>
                  <pic:spPr>
                    <a:xfrm>
                      <a:off x="0" y="0"/>
                      <a:ext cx="9334500" cy="8058150"/>
                    </a:xfrm>
                    <a:prstGeom prst="rect">
                      <a:avLst/>
                    </a:prstGeom>
                    <a:noFill/>
                    <a:ln>
                      <a:noFill/>
                    </a:ln>
                  </pic:spPr>
                </pic:pic>
              </a:graphicData>
            </a:graphic>
          </wp:inline>
        </w:drawing>
      </w: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val="en-US" w:eastAsia="zh-CN"/>
          <w14:textFill>
            <w14:solidFill>
              <w14:schemeClr w14:val="tx1"/>
            </w14:solidFill>
          </w14:textFill>
        </w:rPr>
        <w:t>附图8 车间平面图</w:t>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①地坑</w:t>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33390" cy="7651115"/>
            <wp:effectExtent l="0" t="0" r="10160" b="698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80"/>
                    <a:stretch>
                      <a:fillRect/>
                    </a:stretch>
                  </pic:blipFill>
                  <pic:spPr>
                    <a:xfrm>
                      <a:off x="0" y="0"/>
                      <a:ext cx="5533390" cy="7651115"/>
                    </a:xfrm>
                    <a:prstGeom prst="rect">
                      <a:avLst/>
                    </a:prstGeom>
                    <a:noFill/>
                    <a:ln>
                      <a:noFill/>
                    </a:ln>
                  </pic:spPr>
                </pic:pic>
              </a:graphicData>
            </a:graphic>
          </wp:inline>
        </w:drawing>
      </w:r>
    </w:p>
    <w:p>
      <w:pPr>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②一层</w:t>
      </w:r>
    </w:p>
    <w:p>
      <w:pPr>
        <w:pStyle w:val="2"/>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486400" cy="7574915"/>
            <wp:effectExtent l="0" t="0" r="0" b="698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81"/>
                    <a:stretch>
                      <a:fillRect/>
                    </a:stretch>
                  </pic:blipFill>
                  <pic:spPr>
                    <a:xfrm>
                      <a:off x="0" y="0"/>
                      <a:ext cx="5486400" cy="7574915"/>
                    </a:xfrm>
                    <a:prstGeom prst="rect">
                      <a:avLst/>
                    </a:prstGeom>
                    <a:noFill/>
                    <a:ln>
                      <a:noFill/>
                    </a:ln>
                  </pic:spPr>
                </pic:pic>
              </a:graphicData>
            </a:graphic>
          </wp:inline>
        </w:drawing>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③二层</w:t>
      </w:r>
    </w:p>
    <w:p>
      <w:pPr>
        <w:jc w:val="center"/>
        <w:rPr>
          <w:color w:val="000000" w:themeColor="text1"/>
          <w:highlight w:val="none"/>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7529195" cy="5304790"/>
            <wp:effectExtent l="0" t="0" r="14605" b="1016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82"/>
                    <a:stretch>
                      <a:fillRect/>
                    </a:stretch>
                  </pic:blipFill>
                  <pic:spPr>
                    <a:xfrm>
                      <a:off x="0" y="0"/>
                      <a:ext cx="7529195" cy="5304790"/>
                    </a:xfrm>
                    <a:prstGeom prst="rect">
                      <a:avLst/>
                    </a:prstGeom>
                    <a:noFill/>
                    <a:ln>
                      <a:noFill/>
                    </a:ln>
                  </pic:spPr>
                </pic:pic>
              </a:graphicData>
            </a:graphic>
          </wp:inline>
        </w:drawing>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④三层</w:t>
      </w:r>
    </w:p>
    <w:p>
      <w:pPr>
        <w:jc w:val="center"/>
        <w:rPr>
          <w:rFonts w:hint="eastAsia"/>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7312660" cy="5172710"/>
            <wp:effectExtent l="0" t="0" r="2540" b="889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83"/>
                    <a:stretch>
                      <a:fillRect/>
                    </a:stretch>
                  </pic:blipFill>
                  <pic:spPr>
                    <a:xfrm>
                      <a:off x="0" y="0"/>
                      <a:ext cx="7312660" cy="5172710"/>
                    </a:xfrm>
                    <a:prstGeom prst="rect">
                      <a:avLst/>
                    </a:prstGeom>
                    <a:noFill/>
                    <a:ln>
                      <a:noFill/>
                    </a:ln>
                  </pic:spPr>
                </pic:pic>
              </a:graphicData>
            </a:graphic>
          </wp:inline>
        </w:drawing>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⑤四层</w:t>
      </w:r>
    </w:p>
    <w:p>
      <w:pPr>
        <w:jc w:val="center"/>
        <w:rPr>
          <w:rFonts w:hint="eastAsia"/>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7482840" cy="5313045"/>
            <wp:effectExtent l="0" t="0" r="3810" b="1905"/>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84"/>
                    <a:stretch>
                      <a:fillRect/>
                    </a:stretch>
                  </pic:blipFill>
                  <pic:spPr>
                    <a:xfrm>
                      <a:off x="0" y="0"/>
                      <a:ext cx="7482840" cy="5313045"/>
                    </a:xfrm>
                    <a:prstGeom prst="rect">
                      <a:avLst/>
                    </a:prstGeom>
                    <a:noFill/>
                    <a:ln>
                      <a:noFill/>
                    </a:ln>
                  </pic:spPr>
                </pic:pic>
              </a:graphicData>
            </a:graphic>
          </wp:inline>
        </w:drawing>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⑥五层</w:t>
      </w:r>
    </w:p>
    <w:p>
      <w:pPr>
        <w:pStyle w:val="2"/>
        <w:jc w:val="center"/>
        <w:rPr>
          <w:color w:val="000000" w:themeColor="text1"/>
          <w:highlight w:val="none"/>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7422515" cy="5212080"/>
            <wp:effectExtent l="0" t="0" r="6985" b="762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85"/>
                    <a:stretch>
                      <a:fillRect/>
                    </a:stretch>
                  </pic:blipFill>
                  <pic:spPr>
                    <a:xfrm>
                      <a:off x="0" y="0"/>
                      <a:ext cx="7422515" cy="5212080"/>
                    </a:xfrm>
                    <a:prstGeom prst="rect">
                      <a:avLst/>
                    </a:prstGeom>
                    <a:noFill/>
                    <a:ln>
                      <a:noFill/>
                    </a:ln>
                  </pic:spPr>
                </pic:pic>
              </a:graphicData>
            </a:graphic>
          </wp:inline>
        </w:drawing>
      </w:r>
    </w:p>
    <w:p>
      <w:pPr>
        <w:pStyle w:val="44"/>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⑦屋顶</w:t>
      </w:r>
    </w:p>
    <w:p>
      <w:pPr>
        <w:jc w:val="center"/>
        <w:rPr>
          <w:rFonts w:hint="eastAsia"/>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7180580" cy="5044440"/>
            <wp:effectExtent l="0" t="0" r="1270" b="381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86"/>
                    <a:stretch>
                      <a:fillRect/>
                    </a:stretch>
                  </pic:blipFill>
                  <pic:spPr>
                    <a:xfrm>
                      <a:off x="0" y="0"/>
                      <a:ext cx="7180580" cy="5044440"/>
                    </a:xfrm>
                    <a:prstGeom prst="rect">
                      <a:avLst/>
                    </a:prstGeom>
                    <a:noFill/>
                    <a:ln>
                      <a:noFill/>
                    </a:ln>
                  </pic:spPr>
                </pic:pic>
              </a:graphicData>
            </a:graphic>
          </wp:inline>
        </w:drawing>
      </w:r>
    </w:p>
    <w:p>
      <w:pPr>
        <w:outlineLvl w:val="0"/>
        <w:rPr>
          <w:rFonts w:hint="eastAsia" w:eastAsia="仿宋"/>
          <w:color w:val="000000" w:themeColor="text1"/>
          <w:sz w:val="32"/>
          <w:szCs w:val="32"/>
          <w:highlight w:val="none"/>
          <w:lang w:val="en-US" w:eastAsia="zh-CN"/>
          <w14:textFill>
            <w14:solidFill>
              <w14:schemeClr w14:val="tx1"/>
            </w14:solidFill>
          </w14:textFill>
        </w:rPr>
      </w:pPr>
      <w:r>
        <w:rPr>
          <w:rFonts w:hint="eastAsia" w:eastAsia="仿宋"/>
          <w:color w:val="000000" w:themeColor="text1"/>
          <w:sz w:val="32"/>
          <w:szCs w:val="32"/>
          <w:highlight w:val="none"/>
          <w:lang w:val="en-US" w:eastAsia="zh-CN"/>
          <w14:textFill>
            <w14:solidFill>
              <w14:schemeClr w14:val="tx1"/>
            </w14:solidFill>
          </w14:textFill>
        </w:rPr>
        <w:t>附图9 废气收集流向图</w:t>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①卸料工序</w:t>
      </w:r>
    </w:p>
    <w:p>
      <w:pPr>
        <w:pStyle w:val="2"/>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123565" cy="2514600"/>
            <wp:effectExtent l="0" t="0" r="63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87"/>
                    <a:stretch>
                      <a:fillRect/>
                    </a:stretch>
                  </pic:blipFill>
                  <pic:spPr>
                    <a:xfrm>
                      <a:off x="0" y="0"/>
                      <a:ext cx="3123565" cy="2514600"/>
                    </a:xfrm>
                    <a:prstGeom prst="rect">
                      <a:avLst/>
                    </a:prstGeom>
                    <a:noFill/>
                    <a:ln>
                      <a:noFill/>
                    </a:ln>
                  </pic:spPr>
                </pic:pic>
              </a:graphicData>
            </a:graphic>
          </wp:inline>
        </w:drawing>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②投料工序</w:t>
      </w:r>
    </w:p>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103870" cy="2012315"/>
            <wp:effectExtent l="0" t="0" r="11430" b="698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88"/>
                    <a:stretch>
                      <a:fillRect/>
                    </a:stretch>
                  </pic:blipFill>
                  <pic:spPr>
                    <a:xfrm>
                      <a:off x="0" y="0"/>
                      <a:ext cx="8103870" cy="2012315"/>
                    </a:xfrm>
                    <a:prstGeom prst="rect">
                      <a:avLst/>
                    </a:prstGeom>
                    <a:noFill/>
                    <a:ln>
                      <a:noFill/>
                    </a:ln>
                  </pic:spPr>
                </pic:pic>
              </a:graphicData>
            </a:graphic>
          </wp:inline>
        </w:drawing>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③粉碎工序</w:t>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887460" cy="2425700"/>
            <wp:effectExtent l="0" t="0" r="8890" b="1270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89"/>
                    <a:stretch>
                      <a:fillRect/>
                    </a:stretch>
                  </pic:blipFill>
                  <pic:spPr>
                    <a:xfrm>
                      <a:off x="0" y="0"/>
                      <a:ext cx="8887460" cy="2425700"/>
                    </a:xfrm>
                    <a:prstGeom prst="rect">
                      <a:avLst/>
                    </a:prstGeom>
                    <a:noFill/>
                    <a:ln>
                      <a:noFill/>
                    </a:ln>
                  </pic:spPr>
                </pic:pic>
              </a:graphicData>
            </a:graphic>
          </wp:inline>
        </w:drawing>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④配料混合工序</w:t>
      </w:r>
    </w:p>
    <w:p>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56075" cy="2316480"/>
            <wp:effectExtent l="0" t="0" r="15875" b="762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90"/>
                    <a:stretch>
                      <a:fillRect/>
                    </a:stretch>
                  </pic:blipFill>
                  <pic:spPr>
                    <a:xfrm>
                      <a:off x="0" y="0"/>
                      <a:ext cx="4156075" cy="2316480"/>
                    </a:xfrm>
                    <a:prstGeom prst="rect">
                      <a:avLst/>
                    </a:prstGeom>
                    <a:noFill/>
                    <a:ln>
                      <a:noFill/>
                    </a:ln>
                  </pic:spPr>
                </pic:pic>
              </a:graphicData>
            </a:graphic>
          </wp:inline>
        </w:drawing>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⑤制粒冷却工序</w:t>
      </w:r>
    </w:p>
    <w:p>
      <w:pPr>
        <w:pStyle w:val="2"/>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017260" cy="2439670"/>
            <wp:effectExtent l="0" t="0" r="2540" b="1778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91"/>
                    <a:stretch>
                      <a:fillRect/>
                    </a:stretch>
                  </pic:blipFill>
                  <pic:spPr>
                    <a:xfrm>
                      <a:off x="0" y="0"/>
                      <a:ext cx="6017260" cy="2439670"/>
                    </a:xfrm>
                    <a:prstGeom prst="rect">
                      <a:avLst/>
                    </a:prstGeom>
                    <a:noFill/>
                    <a:ln>
                      <a:noFill/>
                    </a:ln>
                  </pic:spPr>
                </pic:pic>
              </a:graphicData>
            </a:graphic>
          </wp:inline>
        </w:drawing>
      </w:r>
    </w:p>
    <w:p>
      <w:pPr>
        <w:pStyle w:val="44"/>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⑥包装工序</w:t>
      </w:r>
    </w:p>
    <w:p>
      <w:pPr>
        <w:jc w:val="center"/>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29075" cy="2303145"/>
            <wp:effectExtent l="0" t="0" r="9525" b="190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92"/>
                    <a:stretch>
                      <a:fillRect/>
                    </a:stretch>
                  </pic:blipFill>
                  <pic:spPr>
                    <a:xfrm>
                      <a:off x="0" y="0"/>
                      <a:ext cx="4029075" cy="2303145"/>
                    </a:xfrm>
                    <a:prstGeom prst="rect">
                      <a:avLst/>
                    </a:prstGeom>
                    <a:noFill/>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auto"/>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3"/>
      </w:rPr>
    </w:pPr>
    <w:r>
      <w:fldChar w:fldCharType="begin"/>
    </w:r>
    <w:r>
      <w:rPr>
        <w:rStyle w:val="23"/>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UXNjJ4QEAAMIDAAAOAAAA&#10;AAAAAAEAIAAAAB4BAABkcnMvZTJvRG9jLnhtbFBLBQYAAAAABgAGAFkBAABx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FF5PA4QEAAMIDAAAOAAAA&#10;AAAAAAEAIAAAAB4BAABkcnMvZTJvRG9jLnhtbFBLBQYAAAAABgAGAFkBAABx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7</w:t>
                          </w:r>
                          <w:r>
                            <w:fldChar w:fldCharType="end"/>
                          </w:r>
                        </w:p>
                      </w:txbxContent>
                    </wps:txbx>
                    <wps:bodyPr vert="horz" wrap="none" lIns="0" tIns="0" rIns="0" bIns="0" anchor="t" anchorCtr="0" upright="0">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hvIMy4QEAAMIDAAAOAAAA&#10;AAAAAAEAIAAAAB4BAABkcnMvZTJvRG9jLnhtbFBLBQYAAAAABgAGAFkBAABx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K5E1q4QEAAMIDAAAOAAAA&#10;AAAAAAEAIAAAAB4BAABkcnMvZTJvRG9jLnhtbFBLBQYAAAAABgAGAFkBAABx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2BD065"/>
    <w:multiLevelType w:val="singleLevel"/>
    <w:tmpl w:val="702BD065"/>
    <w:lvl w:ilvl="0" w:tentative="0">
      <w:start w:val="1"/>
      <w:numFmt w:val="bullet"/>
      <w:pStyle w:val="11"/>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RkNWJkNTc3MzFlMmZkNjY0OTgwNTIwYWMwODNjN2Y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2C17"/>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1268"/>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39FD"/>
    <w:rsid w:val="004E6946"/>
    <w:rsid w:val="004E6E0D"/>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4976"/>
    <w:rsid w:val="005720AE"/>
    <w:rsid w:val="00594D77"/>
    <w:rsid w:val="005969E4"/>
    <w:rsid w:val="005A06B7"/>
    <w:rsid w:val="005A1759"/>
    <w:rsid w:val="005A68A7"/>
    <w:rsid w:val="005D36AB"/>
    <w:rsid w:val="00617CC3"/>
    <w:rsid w:val="00621488"/>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44C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4570"/>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4519F1"/>
    <w:rsid w:val="015504D4"/>
    <w:rsid w:val="015D1E09"/>
    <w:rsid w:val="01982760"/>
    <w:rsid w:val="024B0BBC"/>
    <w:rsid w:val="02697903"/>
    <w:rsid w:val="026C3262"/>
    <w:rsid w:val="02B20EC4"/>
    <w:rsid w:val="02B56978"/>
    <w:rsid w:val="02F96569"/>
    <w:rsid w:val="03065425"/>
    <w:rsid w:val="03402ADD"/>
    <w:rsid w:val="03B7457F"/>
    <w:rsid w:val="03D251BA"/>
    <w:rsid w:val="03EA7B21"/>
    <w:rsid w:val="04A83BC2"/>
    <w:rsid w:val="05A344E7"/>
    <w:rsid w:val="05EC3943"/>
    <w:rsid w:val="05F83EAE"/>
    <w:rsid w:val="062B0C46"/>
    <w:rsid w:val="063E7D85"/>
    <w:rsid w:val="065F387C"/>
    <w:rsid w:val="06E8160B"/>
    <w:rsid w:val="070659F4"/>
    <w:rsid w:val="07293586"/>
    <w:rsid w:val="07295285"/>
    <w:rsid w:val="07467C85"/>
    <w:rsid w:val="075A0D1F"/>
    <w:rsid w:val="07636392"/>
    <w:rsid w:val="076E3F95"/>
    <w:rsid w:val="07770C56"/>
    <w:rsid w:val="08603C2E"/>
    <w:rsid w:val="08EC5BD7"/>
    <w:rsid w:val="092217DD"/>
    <w:rsid w:val="092808DF"/>
    <w:rsid w:val="093A7294"/>
    <w:rsid w:val="099C4E78"/>
    <w:rsid w:val="09C33728"/>
    <w:rsid w:val="0A263993"/>
    <w:rsid w:val="0A2D3AC2"/>
    <w:rsid w:val="0A5839BA"/>
    <w:rsid w:val="0A6424AA"/>
    <w:rsid w:val="0AA755DF"/>
    <w:rsid w:val="0B120D44"/>
    <w:rsid w:val="0B496827"/>
    <w:rsid w:val="0B8156EB"/>
    <w:rsid w:val="0B8D664D"/>
    <w:rsid w:val="0B8D7CFF"/>
    <w:rsid w:val="0BD27BF6"/>
    <w:rsid w:val="0C1840C7"/>
    <w:rsid w:val="0C3B3C7D"/>
    <w:rsid w:val="0C402078"/>
    <w:rsid w:val="0C7C4062"/>
    <w:rsid w:val="0C8E3AB9"/>
    <w:rsid w:val="0CAB2EAE"/>
    <w:rsid w:val="0CBC1F1A"/>
    <w:rsid w:val="0D1D1C55"/>
    <w:rsid w:val="0D621C7D"/>
    <w:rsid w:val="0E3808E0"/>
    <w:rsid w:val="0E686877"/>
    <w:rsid w:val="0E73034D"/>
    <w:rsid w:val="0E76520D"/>
    <w:rsid w:val="0F072C20"/>
    <w:rsid w:val="0F13775A"/>
    <w:rsid w:val="0F5F45FE"/>
    <w:rsid w:val="0F624BA4"/>
    <w:rsid w:val="0F9A112B"/>
    <w:rsid w:val="0FBC3BE0"/>
    <w:rsid w:val="0FD50701"/>
    <w:rsid w:val="10645539"/>
    <w:rsid w:val="106D2F64"/>
    <w:rsid w:val="10B63710"/>
    <w:rsid w:val="10F10820"/>
    <w:rsid w:val="110411F6"/>
    <w:rsid w:val="111C2F7A"/>
    <w:rsid w:val="113B44EC"/>
    <w:rsid w:val="11651569"/>
    <w:rsid w:val="11665CA1"/>
    <w:rsid w:val="118A2253"/>
    <w:rsid w:val="11DA7AE5"/>
    <w:rsid w:val="11E37C11"/>
    <w:rsid w:val="125A788D"/>
    <w:rsid w:val="12E533BD"/>
    <w:rsid w:val="12E54B33"/>
    <w:rsid w:val="13472861"/>
    <w:rsid w:val="134E635D"/>
    <w:rsid w:val="13550097"/>
    <w:rsid w:val="13951726"/>
    <w:rsid w:val="13991EAE"/>
    <w:rsid w:val="13D0256F"/>
    <w:rsid w:val="13D33102"/>
    <w:rsid w:val="13E44C32"/>
    <w:rsid w:val="13F84916"/>
    <w:rsid w:val="14396509"/>
    <w:rsid w:val="144A6ECF"/>
    <w:rsid w:val="145C10FB"/>
    <w:rsid w:val="146F65FE"/>
    <w:rsid w:val="148A6524"/>
    <w:rsid w:val="14AF21A3"/>
    <w:rsid w:val="14C13948"/>
    <w:rsid w:val="14CF426A"/>
    <w:rsid w:val="14DD2C3C"/>
    <w:rsid w:val="15766056"/>
    <w:rsid w:val="15945E76"/>
    <w:rsid w:val="159D1783"/>
    <w:rsid w:val="16087E1D"/>
    <w:rsid w:val="162E2871"/>
    <w:rsid w:val="17005F34"/>
    <w:rsid w:val="170403FD"/>
    <w:rsid w:val="170D7A83"/>
    <w:rsid w:val="17232492"/>
    <w:rsid w:val="173C5EDE"/>
    <w:rsid w:val="174114E0"/>
    <w:rsid w:val="17701D14"/>
    <w:rsid w:val="17735226"/>
    <w:rsid w:val="17771D41"/>
    <w:rsid w:val="1783099B"/>
    <w:rsid w:val="18826EA4"/>
    <w:rsid w:val="188D54D3"/>
    <w:rsid w:val="189F624C"/>
    <w:rsid w:val="18DD74FF"/>
    <w:rsid w:val="19021497"/>
    <w:rsid w:val="19292A5B"/>
    <w:rsid w:val="192E7B16"/>
    <w:rsid w:val="19322E9F"/>
    <w:rsid w:val="193278B1"/>
    <w:rsid w:val="19DF2123"/>
    <w:rsid w:val="1A186FD3"/>
    <w:rsid w:val="1A1C66C0"/>
    <w:rsid w:val="1A42393B"/>
    <w:rsid w:val="1A71784A"/>
    <w:rsid w:val="1AAD45DE"/>
    <w:rsid w:val="1B046F80"/>
    <w:rsid w:val="1B3267B5"/>
    <w:rsid w:val="1B40161D"/>
    <w:rsid w:val="1B441859"/>
    <w:rsid w:val="1B6606B1"/>
    <w:rsid w:val="1C0227D6"/>
    <w:rsid w:val="1C5E4AD5"/>
    <w:rsid w:val="1C5E7925"/>
    <w:rsid w:val="1C810A4E"/>
    <w:rsid w:val="1CF96344"/>
    <w:rsid w:val="1CFD070F"/>
    <w:rsid w:val="1D0F5FDB"/>
    <w:rsid w:val="1D5F6196"/>
    <w:rsid w:val="1D6132A5"/>
    <w:rsid w:val="1D6D5DBB"/>
    <w:rsid w:val="1D8E56D5"/>
    <w:rsid w:val="1E72183E"/>
    <w:rsid w:val="1E7A43DA"/>
    <w:rsid w:val="1EAF7021"/>
    <w:rsid w:val="1EFB375E"/>
    <w:rsid w:val="1F045DC2"/>
    <w:rsid w:val="1F6A72C1"/>
    <w:rsid w:val="1F8310AF"/>
    <w:rsid w:val="1F90515E"/>
    <w:rsid w:val="1F974FE3"/>
    <w:rsid w:val="1FB917CA"/>
    <w:rsid w:val="1FE7539E"/>
    <w:rsid w:val="20671BE0"/>
    <w:rsid w:val="2084685B"/>
    <w:rsid w:val="20963CB8"/>
    <w:rsid w:val="20A81A1B"/>
    <w:rsid w:val="20B07FB6"/>
    <w:rsid w:val="20B646FB"/>
    <w:rsid w:val="20B828A2"/>
    <w:rsid w:val="20C51A69"/>
    <w:rsid w:val="20FF2EF9"/>
    <w:rsid w:val="213B74B1"/>
    <w:rsid w:val="215A2310"/>
    <w:rsid w:val="215B7B93"/>
    <w:rsid w:val="21DE318A"/>
    <w:rsid w:val="21EF5B80"/>
    <w:rsid w:val="21F4770E"/>
    <w:rsid w:val="22014394"/>
    <w:rsid w:val="221B49B9"/>
    <w:rsid w:val="225208DF"/>
    <w:rsid w:val="22576990"/>
    <w:rsid w:val="22C60AC1"/>
    <w:rsid w:val="22F47480"/>
    <w:rsid w:val="235C6C70"/>
    <w:rsid w:val="23C94757"/>
    <w:rsid w:val="23CC24B1"/>
    <w:rsid w:val="23DE1C48"/>
    <w:rsid w:val="23F13623"/>
    <w:rsid w:val="240210CD"/>
    <w:rsid w:val="242B6ED8"/>
    <w:rsid w:val="244B6BBB"/>
    <w:rsid w:val="248F672B"/>
    <w:rsid w:val="24BF09F7"/>
    <w:rsid w:val="24EB5EC1"/>
    <w:rsid w:val="25207829"/>
    <w:rsid w:val="2529661F"/>
    <w:rsid w:val="252D53FE"/>
    <w:rsid w:val="25DE0D0E"/>
    <w:rsid w:val="25E8734A"/>
    <w:rsid w:val="25EC2D81"/>
    <w:rsid w:val="25F7642B"/>
    <w:rsid w:val="2604539D"/>
    <w:rsid w:val="26062DCE"/>
    <w:rsid w:val="26460710"/>
    <w:rsid w:val="265C21E6"/>
    <w:rsid w:val="26A807B8"/>
    <w:rsid w:val="277057A2"/>
    <w:rsid w:val="277C2F00"/>
    <w:rsid w:val="27CE64DB"/>
    <w:rsid w:val="27FE7CC1"/>
    <w:rsid w:val="28244E03"/>
    <w:rsid w:val="286C71AC"/>
    <w:rsid w:val="288A2645"/>
    <w:rsid w:val="28972171"/>
    <w:rsid w:val="28DC25D2"/>
    <w:rsid w:val="28E026ED"/>
    <w:rsid w:val="28E82A9F"/>
    <w:rsid w:val="29206EB8"/>
    <w:rsid w:val="294837F2"/>
    <w:rsid w:val="29595666"/>
    <w:rsid w:val="29656FD7"/>
    <w:rsid w:val="29874881"/>
    <w:rsid w:val="29AE45EF"/>
    <w:rsid w:val="29E325E0"/>
    <w:rsid w:val="2A452503"/>
    <w:rsid w:val="2A4E4983"/>
    <w:rsid w:val="2A5C2CB5"/>
    <w:rsid w:val="2AEB0304"/>
    <w:rsid w:val="2B1537BB"/>
    <w:rsid w:val="2B43056F"/>
    <w:rsid w:val="2B970998"/>
    <w:rsid w:val="2B9C6F57"/>
    <w:rsid w:val="2BA936A8"/>
    <w:rsid w:val="2BB66041"/>
    <w:rsid w:val="2BB95C9F"/>
    <w:rsid w:val="2BDA029B"/>
    <w:rsid w:val="2C0644A2"/>
    <w:rsid w:val="2C315A5A"/>
    <w:rsid w:val="2C4B1C25"/>
    <w:rsid w:val="2CDD4252"/>
    <w:rsid w:val="2D1E3196"/>
    <w:rsid w:val="2D6700EA"/>
    <w:rsid w:val="2D9E56F5"/>
    <w:rsid w:val="2DFA0446"/>
    <w:rsid w:val="2E067125"/>
    <w:rsid w:val="2E5429BC"/>
    <w:rsid w:val="2E667F96"/>
    <w:rsid w:val="2E8226AB"/>
    <w:rsid w:val="2E95320C"/>
    <w:rsid w:val="2ED765A7"/>
    <w:rsid w:val="2F3A0BE2"/>
    <w:rsid w:val="2F711214"/>
    <w:rsid w:val="2FB43D39"/>
    <w:rsid w:val="2FD065E6"/>
    <w:rsid w:val="2FD96870"/>
    <w:rsid w:val="30220E9D"/>
    <w:rsid w:val="30580BC9"/>
    <w:rsid w:val="30595F39"/>
    <w:rsid w:val="30B85E31"/>
    <w:rsid w:val="30BA6D84"/>
    <w:rsid w:val="30BD0E77"/>
    <w:rsid w:val="311806B4"/>
    <w:rsid w:val="311E2ED7"/>
    <w:rsid w:val="314F4232"/>
    <w:rsid w:val="315619EE"/>
    <w:rsid w:val="315C449C"/>
    <w:rsid w:val="31711EA2"/>
    <w:rsid w:val="319E3BAC"/>
    <w:rsid w:val="31B82709"/>
    <w:rsid w:val="31C819D2"/>
    <w:rsid w:val="31C82A92"/>
    <w:rsid w:val="31CD6F8B"/>
    <w:rsid w:val="31D05482"/>
    <w:rsid w:val="322657FB"/>
    <w:rsid w:val="32400B34"/>
    <w:rsid w:val="32404710"/>
    <w:rsid w:val="329E6876"/>
    <w:rsid w:val="32A72262"/>
    <w:rsid w:val="32DF4FF2"/>
    <w:rsid w:val="32EA5DF0"/>
    <w:rsid w:val="333015F2"/>
    <w:rsid w:val="334B6320"/>
    <w:rsid w:val="334C5476"/>
    <w:rsid w:val="33D934D4"/>
    <w:rsid w:val="33E31B49"/>
    <w:rsid w:val="33FE2F6A"/>
    <w:rsid w:val="340E07E5"/>
    <w:rsid w:val="34112E3A"/>
    <w:rsid w:val="34235BF7"/>
    <w:rsid w:val="3562627B"/>
    <w:rsid w:val="3565366B"/>
    <w:rsid w:val="35692266"/>
    <w:rsid w:val="356C5148"/>
    <w:rsid w:val="358C5FA8"/>
    <w:rsid w:val="35C15DF1"/>
    <w:rsid w:val="35CE03F5"/>
    <w:rsid w:val="35DF0C33"/>
    <w:rsid w:val="36074A7F"/>
    <w:rsid w:val="36085B5C"/>
    <w:rsid w:val="36923549"/>
    <w:rsid w:val="36B75FBF"/>
    <w:rsid w:val="36BD0C45"/>
    <w:rsid w:val="36E15D81"/>
    <w:rsid w:val="36FB55FB"/>
    <w:rsid w:val="372F07D3"/>
    <w:rsid w:val="378D00E9"/>
    <w:rsid w:val="37CC0688"/>
    <w:rsid w:val="37E00298"/>
    <w:rsid w:val="381E5F6C"/>
    <w:rsid w:val="386974C2"/>
    <w:rsid w:val="3887217A"/>
    <w:rsid w:val="38B302F9"/>
    <w:rsid w:val="38B62E29"/>
    <w:rsid w:val="38F12CD3"/>
    <w:rsid w:val="38F27F4A"/>
    <w:rsid w:val="38F94775"/>
    <w:rsid w:val="392971ED"/>
    <w:rsid w:val="39325651"/>
    <w:rsid w:val="39B6248B"/>
    <w:rsid w:val="3A0237D8"/>
    <w:rsid w:val="3A4913F8"/>
    <w:rsid w:val="3A4F0744"/>
    <w:rsid w:val="3A611A7A"/>
    <w:rsid w:val="3A732D92"/>
    <w:rsid w:val="3A872856"/>
    <w:rsid w:val="3A9B7DD4"/>
    <w:rsid w:val="3B3763D1"/>
    <w:rsid w:val="3BB13C70"/>
    <w:rsid w:val="3C2F6E1E"/>
    <w:rsid w:val="3C4F64BA"/>
    <w:rsid w:val="3C911807"/>
    <w:rsid w:val="3CC04D71"/>
    <w:rsid w:val="3CD06A72"/>
    <w:rsid w:val="3CDA245A"/>
    <w:rsid w:val="3D1E06B7"/>
    <w:rsid w:val="3DD841DC"/>
    <w:rsid w:val="3DFD5238"/>
    <w:rsid w:val="3E151B0E"/>
    <w:rsid w:val="3E2425C8"/>
    <w:rsid w:val="3E8E020D"/>
    <w:rsid w:val="3ECC5062"/>
    <w:rsid w:val="3EDA0523"/>
    <w:rsid w:val="3F3D1CE2"/>
    <w:rsid w:val="406C3278"/>
    <w:rsid w:val="407A6407"/>
    <w:rsid w:val="40A50AE7"/>
    <w:rsid w:val="40A51BC4"/>
    <w:rsid w:val="411C3143"/>
    <w:rsid w:val="41344F35"/>
    <w:rsid w:val="413F5835"/>
    <w:rsid w:val="41863110"/>
    <w:rsid w:val="4200449D"/>
    <w:rsid w:val="423A3BCC"/>
    <w:rsid w:val="424E57D2"/>
    <w:rsid w:val="42546E9E"/>
    <w:rsid w:val="42B26C49"/>
    <w:rsid w:val="42C4554E"/>
    <w:rsid w:val="42D44AA0"/>
    <w:rsid w:val="43027D16"/>
    <w:rsid w:val="431F7300"/>
    <w:rsid w:val="433A6FE6"/>
    <w:rsid w:val="4340181D"/>
    <w:rsid w:val="43480868"/>
    <w:rsid w:val="4350713C"/>
    <w:rsid w:val="436653E0"/>
    <w:rsid w:val="43C4431A"/>
    <w:rsid w:val="43CD2497"/>
    <w:rsid w:val="441336BD"/>
    <w:rsid w:val="446077EA"/>
    <w:rsid w:val="447B3075"/>
    <w:rsid w:val="44A96492"/>
    <w:rsid w:val="44B951CC"/>
    <w:rsid w:val="44CD14E0"/>
    <w:rsid w:val="44F20B0B"/>
    <w:rsid w:val="452E5F4C"/>
    <w:rsid w:val="454F7F8B"/>
    <w:rsid w:val="45612018"/>
    <w:rsid w:val="458946E9"/>
    <w:rsid w:val="45A47C0E"/>
    <w:rsid w:val="45D432E7"/>
    <w:rsid w:val="46431460"/>
    <w:rsid w:val="464769C4"/>
    <w:rsid w:val="46577FD6"/>
    <w:rsid w:val="46D955A7"/>
    <w:rsid w:val="46DC0A01"/>
    <w:rsid w:val="47133957"/>
    <w:rsid w:val="473632F0"/>
    <w:rsid w:val="473D70ED"/>
    <w:rsid w:val="476B0980"/>
    <w:rsid w:val="47A07E0C"/>
    <w:rsid w:val="4820176A"/>
    <w:rsid w:val="482A5DF9"/>
    <w:rsid w:val="482D3E87"/>
    <w:rsid w:val="4870272E"/>
    <w:rsid w:val="495772BD"/>
    <w:rsid w:val="495913D8"/>
    <w:rsid w:val="49897DF9"/>
    <w:rsid w:val="49DC7715"/>
    <w:rsid w:val="49F00598"/>
    <w:rsid w:val="4A023139"/>
    <w:rsid w:val="4A51180D"/>
    <w:rsid w:val="4A7B576F"/>
    <w:rsid w:val="4AF561A9"/>
    <w:rsid w:val="4B0A511C"/>
    <w:rsid w:val="4B813097"/>
    <w:rsid w:val="4BF57DCB"/>
    <w:rsid w:val="4BFA74AE"/>
    <w:rsid w:val="4C092B37"/>
    <w:rsid w:val="4C4A0649"/>
    <w:rsid w:val="4C4E4CE4"/>
    <w:rsid w:val="4C5D7D45"/>
    <w:rsid w:val="4C7E5ECA"/>
    <w:rsid w:val="4C876AA5"/>
    <w:rsid w:val="4D0E00FB"/>
    <w:rsid w:val="4D176606"/>
    <w:rsid w:val="4DEC4FB0"/>
    <w:rsid w:val="4E075D8A"/>
    <w:rsid w:val="4E182FCF"/>
    <w:rsid w:val="4E227CEC"/>
    <w:rsid w:val="4E2F6BAB"/>
    <w:rsid w:val="4E677F34"/>
    <w:rsid w:val="4E7C2458"/>
    <w:rsid w:val="4EB23BCF"/>
    <w:rsid w:val="4EC00FAD"/>
    <w:rsid w:val="4EFC787D"/>
    <w:rsid w:val="4F0B6629"/>
    <w:rsid w:val="4F3A498A"/>
    <w:rsid w:val="4F4421E2"/>
    <w:rsid w:val="4F481A4C"/>
    <w:rsid w:val="4F532617"/>
    <w:rsid w:val="4F9843DC"/>
    <w:rsid w:val="4FC62A8C"/>
    <w:rsid w:val="4FE20F0D"/>
    <w:rsid w:val="4FE51552"/>
    <w:rsid w:val="50504C4B"/>
    <w:rsid w:val="50854A80"/>
    <w:rsid w:val="508A648F"/>
    <w:rsid w:val="509C6E7C"/>
    <w:rsid w:val="50C550ED"/>
    <w:rsid w:val="50CF1C3C"/>
    <w:rsid w:val="51176335"/>
    <w:rsid w:val="513269EB"/>
    <w:rsid w:val="5162104E"/>
    <w:rsid w:val="516A534F"/>
    <w:rsid w:val="51840FBC"/>
    <w:rsid w:val="518A0013"/>
    <w:rsid w:val="51906011"/>
    <w:rsid w:val="520010AE"/>
    <w:rsid w:val="527458F3"/>
    <w:rsid w:val="52AA6800"/>
    <w:rsid w:val="535E067B"/>
    <w:rsid w:val="53A039CC"/>
    <w:rsid w:val="53A1505A"/>
    <w:rsid w:val="53C3364A"/>
    <w:rsid w:val="53C90F08"/>
    <w:rsid w:val="53D162D8"/>
    <w:rsid w:val="53E75832"/>
    <w:rsid w:val="53FD4D4F"/>
    <w:rsid w:val="54063E08"/>
    <w:rsid w:val="54107BDD"/>
    <w:rsid w:val="541B62DA"/>
    <w:rsid w:val="541C6049"/>
    <w:rsid w:val="543437E8"/>
    <w:rsid w:val="548B4125"/>
    <w:rsid w:val="54924BB2"/>
    <w:rsid w:val="54AB59CA"/>
    <w:rsid w:val="54B75204"/>
    <w:rsid w:val="54EE4E49"/>
    <w:rsid w:val="54F73313"/>
    <w:rsid w:val="54F80955"/>
    <w:rsid w:val="551C25D4"/>
    <w:rsid w:val="55286102"/>
    <w:rsid w:val="55384597"/>
    <w:rsid w:val="553E7FF5"/>
    <w:rsid w:val="555170A7"/>
    <w:rsid w:val="5587536D"/>
    <w:rsid w:val="55917C11"/>
    <w:rsid w:val="559B174B"/>
    <w:rsid w:val="55CE0CF4"/>
    <w:rsid w:val="55D01027"/>
    <w:rsid w:val="55D83684"/>
    <w:rsid w:val="566B293D"/>
    <w:rsid w:val="567607B0"/>
    <w:rsid w:val="56B22A9C"/>
    <w:rsid w:val="5706204A"/>
    <w:rsid w:val="5740731E"/>
    <w:rsid w:val="5741117A"/>
    <w:rsid w:val="57617090"/>
    <w:rsid w:val="57A24BED"/>
    <w:rsid w:val="57AF5FBF"/>
    <w:rsid w:val="57B72A76"/>
    <w:rsid w:val="57C3426C"/>
    <w:rsid w:val="57CE1F93"/>
    <w:rsid w:val="57F04CB8"/>
    <w:rsid w:val="585850E5"/>
    <w:rsid w:val="587F0242"/>
    <w:rsid w:val="588743D1"/>
    <w:rsid w:val="5887701A"/>
    <w:rsid w:val="58954260"/>
    <w:rsid w:val="58DB7664"/>
    <w:rsid w:val="591F2F93"/>
    <w:rsid w:val="59697386"/>
    <w:rsid w:val="59816B9D"/>
    <w:rsid w:val="59A246D5"/>
    <w:rsid w:val="59C0439F"/>
    <w:rsid w:val="5A161286"/>
    <w:rsid w:val="5A39232B"/>
    <w:rsid w:val="5A463CB8"/>
    <w:rsid w:val="5A5E6FC4"/>
    <w:rsid w:val="5AA865B6"/>
    <w:rsid w:val="5ABE2233"/>
    <w:rsid w:val="5AD76600"/>
    <w:rsid w:val="5B125D30"/>
    <w:rsid w:val="5B1A7C64"/>
    <w:rsid w:val="5B986E2C"/>
    <w:rsid w:val="5BDF5D95"/>
    <w:rsid w:val="5BEC0B30"/>
    <w:rsid w:val="5BFE7528"/>
    <w:rsid w:val="5C736F8D"/>
    <w:rsid w:val="5C8005D2"/>
    <w:rsid w:val="5CB03D26"/>
    <w:rsid w:val="5CBF47F4"/>
    <w:rsid w:val="5D0C79F2"/>
    <w:rsid w:val="5D14010E"/>
    <w:rsid w:val="5D251BC6"/>
    <w:rsid w:val="5D2E002E"/>
    <w:rsid w:val="5D895104"/>
    <w:rsid w:val="5DB1138B"/>
    <w:rsid w:val="5E040578"/>
    <w:rsid w:val="5E2467F1"/>
    <w:rsid w:val="5E2A09DC"/>
    <w:rsid w:val="5E4108E7"/>
    <w:rsid w:val="5EA32B23"/>
    <w:rsid w:val="5EB00087"/>
    <w:rsid w:val="5EC549C2"/>
    <w:rsid w:val="5F17200F"/>
    <w:rsid w:val="5F1A2B43"/>
    <w:rsid w:val="5F370702"/>
    <w:rsid w:val="5F3C1030"/>
    <w:rsid w:val="5F5C5FB8"/>
    <w:rsid w:val="5F8600F5"/>
    <w:rsid w:val="5FB837BB"/>
    <w:rsid w:val="60517348"/>
    <w:rsid w:val="606853DC"/>
    <w:rsid w:val="60A646DE"/>
    <w:rsid w:val="60C729B3"/>
    <w:rsid w:val="60CC405A"/>
    <w:rsid w:val="61150EE1"/>
    <w:rsid w:val="613C6411"/>
    <w:rsid w:val="61797B48"/>
    <w:rsid w:val="61D46268"/>
    <w:rsid w:val="61E215D8"/>
    <w:rsid w:val="61FE2439"/>
    <w:rsid w:val="621B3775"/>
    <w:rsid w:val="62364782"/>
    <w:rsid w:val="62C51707"/>
    <w:rsid w:val="63266728"/>
    <w:rsid w:val="6341362B"/>
    <w:rsid w:val="6394356A"/>
    <w:rsid w:val="63C16BF7"/>
    <w:rsid w:val="63C3693B"/>
    <w:rsid w:val="63C61B2C"/>
    <w:rsid w:val="63D40BE9"/>
    <w:rsid w:val="64102431"/>
    <w:rsid w:val="64572CD4"/>
    <w:rsid w:val="64831D86"/>
    <w:rsid w:val="64A5243A"/>
    <w:rsid w:val="64C95E89"/>
    <w:rsid w:val="64CE65E8"/>
    <w:rsid w:val="64F531DE"/>
    <w:rsid w:val="65373578"/>
    <w:rsid w:val="65B55790"/>
    <w:rsid w:val="65ED6CD8"/>
    <w:rsid w:val="660B583D"/>
    <w:rsid w:val="661413C5"/>
    <w:rsid w:val="661A3845"/>
    <w:rsid w:val="662621EA"/>
    <w:rsid w:val="663E67A5"/>
    <w:rsid w:val="66A04DAD"/>
    <w:rsid w:val="6704450C"/>
    <w:rsid w:val="671F124A"/>
    <w:rsid w:val="67657781"/>
    <w:rsid w:val="676841BB"/>
    <w:rsid w:val="677A33C6"/>
    <w:rsid w:val="681F6961"/>
    <w:rsid w:val="68610A2F"/>
    <w:rsid w:val="68805514"/>
    <w:rsid w:val="68DE2AD7"/>
    <w:rsid w:val="690C1644"/>
    <w:rsid w:val="690F1D17"/>
    <w:rsid w:val="693115D2"/>
    <w:rsid w:val="69316E2F"/>
    <w:rsid w:val="694E2071"/>
    <w:rsid w:val="69766163"/>
    <w:rsid w:val="697A3B33"/>
    <w:rsid w:val="69D25D69"/>
    <w:rsid w:val="69D44760"/>
    <w:rsid w:val="6A01646A"/>
    <w:rsid w:val="6A3749C6"/>
    <w:rsid w:val="6A520EC7"/>
    <w:rsid w:val="6A8D3C84"/>
    <w:rsid w:val="6AD6414F"/>
    <w:rsid w:val="6AF87E20"/>
    <w:rsid w:val="6B322639"/>
    <w:rsid w:val="6B4669AF"/>
    <w:rsid w:val="6B884386"/>
    <w:rsid w:val="6BA36A3D"/>
    <w:rsid w:val="6BAE7ABC"/>
    <w:rsid w:val="6C1D2BAB"/>
    <w:rsid w:val="6C462798"/>
    <w:rsid w:val="6C6067E2"/>
    <w:rsid w:val="6C636C38"/>
    <w:rsid w:val="6CA92ABA"/>
    <w:rsid w:val="6CB120AB"/>
    <w:rsid w:val="6D4517B6"/>
    <w:rsid w:val="6DB34098"/>
    <w:rsid w:val="6DB545B6"/>
    <w:rsid w:val="6DE02FB4"/>
    <w:rsid w:val="6E514CED"/>
    <w:rsid w:val="6EA14B04"/>
    <w:rsid w:val="6EAF0BCB"/>
    <w:rsid w:val="6EB563D5"/>
    <w:rsid w:val="6ED92677"/>
    <w:rsid w:val="6F225983"/>
    <w:rsid w:val="6F671785"/>
    <w:rsid w:val="6F7044D6"/>
    <w:rsid w:val="6F780CAA"/>
    <w:rsid w:val="6FFC5590"/>
    <w:rsid w:val="703034BD"/>
    <w:rsid w:val="70453BB5"/>
    <w:rsid w:val="706D1DD0"/>
    <w:rsid w:val="70856B87"/>
    <w:rsid w:val="708C5EDB"/>
    <w:rsid w:val="70B14DA6"/>
    <w:rsid w:val="70BE2FE2"/>
    <w:rsid w:val="70C817C9"/>
    <w:rsid w:val="70CC2F56"/>
    <w:rsid w:val="70D527EE"/>
    <w:rsid w:val="70FE691D"/>
    <w:rsid w:val="71442F72"/>
    <w:rsid w:val="715B5300"/>
    <w:rsid w:val="717C4FCF"/>
    <w:rsid w:val="717C57C7"/>
    <w:rsid w:val="71A70E6C"/>
    <w:rsid w:val="71A82C1B"/>
    <w:rsid w:val="71D27F8A"/>
    <w:rsid w:val="724F0CDB"/>
    <w:rsid w:val="72553024"/>
    <w:rsid w:val="725D359E"/>
    <w:rsid w:val="727C3EE2"/>
    <w:rsid w:val="729B0D59"/>
    <w:rsid w:val="72F678FD"/>
    <w:rsid w:val="73011C04"/>
    <w:rsid w:val="73122968"/>
    <w:rsid w:val="731C1A22"/>
    <w:rsid w:val="731F5D5E"/>
    <w:rsid w:val="73C51AD5"/>
    <w:rsid w:val="74054476"/>
    <w:rsid w:val="741E793C"/>
    <w:rsid w:val="7422167A"/>
    <w:rsid w:val="74385CD9"/>
    <w:rsid w:val="745E3944"/>
    <w:rsid w:val="74B27FFC"/>
    <w:rsid w:val="74D4065F"/>
    <w:rsid w:val="74DB01FF"/>
    <w:rsid w:val="75175B20"/>
    <w:rsid w:val="75220910"/>
    <w:rsid w:val="75373B04"/>
    <w:rsid w:val="7574441E"/>
    <w:rsid w:val="7635099D"/>
    <w:rsid w:val="76B33A32"/>
    <w:rsid w:val="774E2E9E"/>
    <w:rsid w:val="77617906"/>
    <w:rsid w:val="77762421"/>
    <w:rsid w:val="778A135A"/>
    <w:rsid w:val="77B56B1F"/>
    <w:rsid w:val="77BC7347"/>
    <w:rsid w:val="77E813F5"/>
    <w:rsid w:val="77F85708"/>
    <w:rsid w:val="780F09F4"/>
    <w:rsid w:val="78713799"/>
    <w:rsid w:val="7885398C"/>
    <w:rsid w:val="78A90480"/>
    <w:rsid w:val="78AD4D0E"/>
    <w:rsid w:val="79002C5D"/>
    <w:rsid w:val="792C76C0"/>
    <w:rsid w:val="797E23D2"/>
    <w:rsid w:val="799A5051"/>
    <w:rsid w:val="79A07CA5"/>
    <w:rsid w:val="79DD22FA"/>
    <w:rsid w:val="79FD2E0A"/>
    <w:rsid w:val="7A364017"/>
    <w:rsid w:val="7A8265E1"/>
    <w:rsid w:val="7A9B3C64"/>
    <w:rsid w:val="7AD973D3"/>
    <w:rsid w:val="7AF63D6A"/>
    <w:rsid w:val="7B267D49"/>
    <w:rsid w:val="7B2D74A8"/>
    <w:rsid w:val="7B686D42"/>
    <w:rsid w:val="7B841746"/>
    <w:rsid w:val="7BE35E80"/>
    <w:rsid w:val="7C0946DB"/>
    <w:rsid w:val="7C0D2A2F"/>
    <w:rsid w:val="7C187A05"/>
    <w:rsid w:val="7C6C5AC7"/>
    <w:rsid w:val="7CB03EC6"/>
    <w:rsid w:val="7CBC0D5A"/>
    <w:rsid w:val="7CC54241"/>
    <w:rsid w:val="7CC6544B"/>
    <w:rsid w:val="7D0239FF"/>
    <w:rsid w:val="7D19621C"/>
    <w:rsid w:val="7D1D62AA"/>
    <w:rsid w:val="7D505E3D"/>
    <w:rsid w:val="7D5E40CD"/>
    <w:rsid w:val="7DCD56F2"/>
    <w:rsid w:val="7DE329DC"/>
    <w:rsid w:val="7E31253B"/>
    <w:rsid w:val="7E5E67C7"/>
    <w:rsid w:val="7E934FE0"/>
    <w:rsid w:val="7ED73202"/>
    <w:rsid w:val="7F001CE7"/>
    <w:rsid w:val="7F4E2109"/>
    <w:rsid w:val="7F592821"/>
    <w:rsid w:val="7F7F327B"/>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nhideWhenUsed="0"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qFormat="1" w:unhideWhenUsed="0" w:uiPriority="99"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autoRedefine/>
    <w:unhideWhenUsed/>
    <w:qFormat/>
    <w:locked/>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6">
    <w:name w:val="heading 3"/>
    <w:basedOn w:val="1"/>
    <w:next w:val="1"/>
    <w:autoRedefine/>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7">
    <w:name w:val="heading 9"/>
    <w:basedOn w:val="1"/>
    <w:next w:val="1"/>
    <w:autoRedefine/>
    <w:qFormat/>
    <w:locked/>
    <w:uiPriority w:val="0"/>
    <w:pPr>
      <w:keepNext w:val="0"/>
      <w:keepLines w:val="0"/>
      <w:adjustRightInd w:val="0"/>
      <w:snapToGrid w:val="0"/>
      <w:spacing w:before="100" w:beforeLines="0" w:beforeAutospacing="0" w:after="100" w:afterLines="0" w:afterAutospacing="0" w:line="240" w:lineRule="auto"/>
      <w:ind w:firstLine="0" w:firstLineChars="0"/>
      <w:jc w:val="center"/>
      <w:outlineLvl w:val="8"/>
    </w:pPr>
    <w:rPr>
      <w:rFonts w:ascii="Times New Roman" w:hAnsi="Times New Roman" w:eastAsia="宋体"/>
      <w:sz w:val="21"/>
    </w:rPr>
  </w:style>
  <w:style w:type="character" w:default="1" w:styleId="22">
    <w:name w:val="Default Paragraph Font"/>
    <w:autoRedefine/>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1"/>
    <w:link w:val="28"/>
    <w:autoRedefine/>
    <w:qFormat/>
    <w:uiPriority w:val="0"/>
    <w:pPr>
      <w:widowControl/>
      <w:snapToGrid w:val="0"/>
      <w:spacing w:before="60" w:after="160" w:line="259" w:lineRule="auto"/>
      <w:ind w:right="113"/>
    </w:pPr>
    <w:rPr>
      <w:kern w:val="0"/>
      <w:sz w:val="18"/>
      <w:szCs w:val="20"/>
    </w:rPr>
  </w:style>
  <w:style w:type="paragraph" w:styleId="3">
    <w:name w:val="macro"/>
    <w:autoRedefine/>
    <w:qFormat/>
    <w:locked/>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topLinePunct/>
      <w:autoSpaceDE w:val="0"/>
      <w:autoSpaceDN w:val="0"/>
      <w:adjustRightInd w:val="0"/>
      <w:snapToGrid w:val="0"/>
      <w:jc w:val="both"/>
    </w:pPr>
    <w:rPr>
      <w:rFonts w:ascii="Times New Roman" w:hAnsi="Times New Roman" w:eastAsia="宋体" w:cs="Times New Roman"/>
      <w:kern w:val="2"/>
      <w:sz w:val="21"/>
      <w:szCs w:val="21"/>
      <w:lang w:val="en-US" w:eastAsia="zh-CN" w:bidi="ar-SA"/>
    </w:rPr>
  </w:style>
  <w:style w:type="paragraph" w:styleId="8">
    <w:name w:val="Normal Indent"/>
    <w:basedOn w:val="1"/>
    <w:next w:val="1"/>
    <w:autoRedefine/>
    <w:qFormat/>
    <w:locked/>
    <w:uiPriority w:val="0"/>
    <w:pPr>
      <w:widowControl/>
      <w:spacing w:line="360" w:lineRule="auto"/>
      <w:ind w:firstLine="420" w:firstLineChars="200"/>
      <w:jc w:val="left"/>
    </w:pPr>
    <w:rPr>
      <w:kern w:val="0"/>
      <w:lang w:eastAsia="en-US" w:bidi="en-US"/>
    </w:rPr>
  </w:style>
  <w:style w:type="paragraph" w:styleId="9">
    <w:name w:val="annotation text"/>
    <w:basedOn w:val="1"/>
    <w:link w:val="27"/>
    <w:autoRedefine/>
    <w:semiHidden/>
    <w:qFormat/>
    <w:uiPriority w:val="0"/>
    <w:pPr>
      <w:jc w:val="left"/>
    </w:pPr>
    <w:rPr>
      <w:kern w:val="0"/>
      <w:sz w:val="24"/>
      <w:szCs w:val="20"/>
    </w:rPr>
  </w:style>
  <w:style w:type="paragraph" w:styleId="10">
    <w:name w:val="Body Text Indent"/>
    <w:basedOn w:val="1"/>
    <w:next w:val="1"/>
    <w:link w:val="29"/>
    <w:autoRedefine/>
    <w:qFormat/>
    <w:uiPriority w:val="0"/>
    <w:pPr>
      <w:spacing w:after="120"/>
      <w:ind w:left="420" w:leftChars="200"/>
    </w:pPr>
    <w:rPr>
      <w:kern w:val="0"/>
      <w:sz w:val="24"/>
      <w:szCs w:val="20"/>
    </w:rPr>
  </w:style>
  <w:style w:type="paragraph" w:styleId="11">
    <w:name w:val="List Bullet 5"/>
    <w:basedOn w:val="1"/>
    <w:autoRedefine/>
    <w:qFormat/>
    <w:locked/>
    <w:uiPriority w:val="0"/>
    <w:pPr>
      <w:numPr>
        <w:ilvl w:val="0"/>
        <w:numId w:val="1"/>
      </w:numPr>
    </w:pPr>
  </w:style>
  <w:style w:type="paragraph" w:styleId="12">
    <w:name w:val="Date"/>
    <w:basedOn w:val="1"/>
    <w:next w:val="1"/>
    <w:link w:val="30"/>
    <w:autoRedefine/>
    <w:qFormat/>
    <w:uiPriority w:val="0"/>
    <w:pPr>
      <w:ind w:left="100" w:leftChars="2500"/>
    </w:pPr>
    <w:rPr>
      <w:kern w:val="0"/>
      <w:sz w:val="24"/>
      <w:szCs w:val="20"/>
    </w:rPr>
  </w:style>
  <w:style w:type="paragraph" w:styleId="13">
    <w:name w:val="Body Text Indent 2"/>
    <w:basedOn w:val="1"/>
    <w:autoRedefine/>
    <w:qFormat/>
    <w:locked/>
    <w:uiPriority w:val="0"/>
    <w:pPr>
      <w:spacing w:after="120" w:afterLines="0" w:line="480" w:lineRule="auto"/>
      <w:ind w:left="420" w:leftChars="200"/>
    </w:pPr>
  </w:style>
  <w:style w:type="paragraph" w:styleId="14">
    <w:name w:val="Balloon Text"/>
    <w:basedOn w:val="1"/>
    <w:link w:val="31"/>
    <w:autoRedefine/>
    <w:semiHidden/>
    <w:qFormat/>
    <w:uiPriority w:val="0"/>
    <w:rPr>
      <w:kern w:val="0"/>
      <w:sz w:val="18"/>
      <w:szCs w:val="20"/>
    </w:rPr>
  </w:style>
  <w:style w:type="paragraph" w:styleId="15">
    <w:name w:val="footer"/>
    <w:basedOn w:val="1"/>
    <w:next w:val="1"/>
    <w:link w:val="32"/>
    <w:autoRedefine/>
    <w:qFormat/>
    <w:uiPriority w:val="99"/>
    <w:pPr>
      <w:tabs>
        <w:tab w:val="center" w:pos="4153"/>
        <w:tab w:val="right" w:pos="8306"/>
      </w:tabs>
      <w:snapToGrid w:val="0"/>
      <w:jc w:val="left"/>
    </w:pPr>
    <w:rPr>
      <w:kern w:val="0"/>
      <w:sz w:val="18"/>
      <w:szCs w:val="20"/>
    </w:rPr>
  </w:style>
  <w:style w:type="paragraph" w:styleId="16">
    <w:name w:val="header"/>
    <w:basedOn w:val="1"/>
    <w:next w:val="1"/>
    <w:link w:val="33"/>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Normal (Web)"/>
    <w:basedOn w:val="1"/>
    <w:link w:val="34"/>
    <w:autoRedefine/>
    <w:qFormat/>
    <w:uiPriority w:val="0"/>
    <w:pPr>
      <w:widowControl/>
      <w:spacing w:before="100" w:beforeAutospacing="1" w:after="100" w:afterAutospacing="1"/>
      <w:jc w:val="left"/>
    </w:pPr>
    <w:rPr>
      <w:rFonts w:ascii="宋体" w:hAnsi="宋体"/>
      <w:kern w:val="0"/>
      <w:sz w:val="24"/>
      <w:szCs w:val="20"/>
    </w:rPr>
  </w:style>
  <w:style w:type="paragraph" w:styleId="18">
    <w:name w:val="annotation subject"/>
    <w:basedOn w:val="9"/>
    <w:next w:val="9"/>
    <w:link w:val="35"/>
    <w:autoRedefine/>
    <w:semiHidden/>
    <w:qFormat/>
    <w:uiPriority w:val="0"/>
    <w:rPr>
      <w:b/>
      <w:sz w:val="24"/>
      <w:szCs w:val="20"/>
    </w:rPr>
  </w:style>
  <w:style w:type="paragraph" w:styleId="19">
    <w:name w:val="Body Text First Indent"/>
    <w:basedOn w:val="2"/>
    <w:next w:val="1"/>
    <w:autoRedefine/>
    <w:qFormat/>
    <w:locked/>
    <w:uiPriority w:val="0"/>
    <w:pPr>
      <w:spacing w:before="50"/>
      <w:ind w:firstLine="200"/>
    </w:pPr>
    <w:rPr>
      <w:rFonts w:ascii="仿宋_GB2312" w:eastAsia="仿宋_GB2312"/>
      <w:sz w:val="28"/>
    </w:rPr>
  </w:style>
  <w:style w:type="table" w:styleId="21">
    <w:name w:val="Table Grid"/>
    <w:basedOn w:val="20"/>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autoRedefine/>
    <w:qFormat/>
    <w:locked/>
    <w:uiPriority w:val="0"/>
  </w:style>
  <w:style w:type="character" w:styleId="24">
    <w:name w:val="annotation reference"/>
    <w:autoRedefine/>
    <w:semiHidden/>
    <w:qFormat/>
    <w:uiPriority w:val="0"/>
    <w:rPr>
      <w:sz w:val="21"/>
    </w:rPr>
  </w:style>
  <w:style w:type="paragraph" w:customStyle="1" w:styleId="25">
    <w:name w:val="0正文"/>
    <w:basedOn w:val="10"/>
    <w:next w:val="16"/>
    <w:autoRedefine/>
    <w:qFormat/>
    <w:uiPriority w:val="99"/>
    <w:pPr>
      <w:spacing w:after="0" w:line="360" w:lineRule="auto"/>
      <w:ind w:left="0" w:leftChars="0"/>
    </w:pPr>
    <w:rPr>
      <w:rFonts w:cs="宋体"/>
      <w:kern w:val="21"/>
    </w:rPr>
  </w:style>
  <w:style w:type="paragraph" w:customStyle="1" w:styleId="26">
    <w:name w:val="样式 正文文本缩进 + 行距: 1.5 倍行距"/>
    <w:basedOn w:val="1"/>
    <w:autoRedefine/>
    <w:qFormat/>
    <w:uiPriority w:val="0"/>
    <w:pPr>
      <w:spacing w:after="120" w:line="360" w:lineRule="auto"/>
      <w:ind w:left="90" w:leftChars="32" w:firstLine="560" w:firstLineChars="200"/>
    </w:pPr>
    <w:rPr>
      <w:rFonts w:cs="宋体"/>
    </w:rPr>
  </w:style>
  <w:style w:type="character" w:customStyle="1" w:styleId="27">
    <w:name w:val="批注文字 Char"/>
    <w:link w:val="9"/>
    <w:autoRedefine/>
    <w:qFormat/>
    <w:locked/>
    <w:uiPriority w:val="0"/>
    <w:rPr>
      <w:rFonts w:ascii="Times New Roman" w:hAnsi="Times New Roman" w:eastAsia="宋体"/>
      <w:sz w:val="24"/>
    </w:rPr>
  </w:style>
  <w:style w:type="character" w:customStyle="1" w:styleId="28">
    <w:name w:val="正文文本 Char"/>
    <w:link w:val="2"/>
    <w:autoRedefine/>
    <w:qFormat/>
    <w:locked/>
    <w:uiPriority w:val="0"/>
    <w:rPr>
      <w:sz w:val="18"/>
    </w:rPr>
  </w:style>
  <w:style w:type="character" w:customStyle="1" w:styleId="29">
    <w:name w:val="正文文本缩进 Char"/>
    <w:link w:val="10"/>
    <w:autoRedefine/>
    <w:semiHidden/>
    <w:qFormat/>
    <w:locked/>
    <w:uiPriority w:val="0"/>
    <w:rPr>
      <w:rFonts w:ascii="Times New Roman" w:hAnsi="Times New Roman" w:eastAsia="宋体"/>
      <w:sz w:val="24"/>
    </w:rPr>
  </w:style>
  <w:style w:type="character" w:customStyle="1" w:styleId="30">
    <w:name w:val="日期 Char"/>
    <w:link w:val="12"/>
    <w:autoRedefine/>
    <w:qFormat/>
    <w:locked/>
    <w:uiPriority w:val="0"/>
    <w:rPr>
      <w:rFonts w:ascii="Times New Roman" w:hAnsi="Times New Roman" w:eastAsia="宋体"/>
      <w:sz w:val="24"/>
    </w:rPr>
  </w:style>
  <w:style w:type="character" w:customStyle="1" w:styleId="31">
    <w:name w:val="批注框文本 Char"/>
    <w:link w:val="14"/>
    <w:autoRedefine/>
    <w:semiHidden/>
    <w:qFormat/>
    <w:locked/>
    <w:uiPriority w:val="0"/>
    <w:rPr>
      <w:rFonts w:ascii="Times New Roman" w:hAnsi="Times New Roman" w:eastAsia="宋体"/>
      <w:sz w:val="18"/>
    </w:rPr>
  </w:style>
  <w:style w:type="character" w:customStyle="1" w:styleId="32">
    <w:name w:val="页脚 Char"/>
    <w:link w:val="15"/>
    <w:autoRedefine/>
    <w:qFormat/>
    <w:locked/>
    <w:uiPriority w:val="99"/>
    <w:rPr>
      <w:sz w:val="18"/>
    </w:rPr>
  </w:style>
  <w:style w:type="character" w:customStyle="1" w:styleId="33">
    <w:name w:val="页眉 Char"/>
    <w:link w:val="16"/>
    <w:autoRedefine/>
    <w:qFormat/>
    <w:locked/>
    <w:uiPriority w:val="0"/>
    <w:rPr>
      <w:sz w:val="18"/>
    </w:rPr>
  </w:style>
  <w:style w:type="character" w:customStyle="1" w:styleId="34">
    <w:name w:val="普通(网站) Char"/>
    <w:link w:val="17"/>
    <w:autoRedefine/>
    <w:qFormat/>
    <w:locked/>
    <w:uiPriority w:val="0"/>
    <w:rPr>
      <w:rFonts w:ascii="宋体" w:hAnsi="宋体" w:eastAsia="宋体"/>
      <w:sz w:val="24"/>
    </w:rPr>
  </w:style>
  <w:style w:type="character" w:customStyle="1" w:styleId="35">
    <w:name w:val="批注主题 Char"/>
    <w:link w:val="18"/>
    <w:autoRedefine/>
    <w:semiHidden/>
    <w:qFormat/>
    <w:locked/>
    <w:uiPriority w:val="0"/>
    <w:rPr>
      <w:rFonts w:ascii="Times New Roman" w:hAnsi="Times New Roman" w:eastAsia="宋体"/>
      <w:b/>
      <w:kern w:val="2"/>
      <w:sz w:val="24"/>
    </w:rPr>
  </w:style>
  <w:style w:type="character" w:customStyle="1" w:styleId="36">
    <w:name w:val="页脚 字符"/>
    <w:basedOn w:val="22"/>
    <w:autoRedefine/>
    <w:qFormat/>
    <w:uiPriority w:val="99"/>
  </w:style>
  <w:style w:type="character" w:customStyle="1" w:styleId="37">
    <w:name w:val="正文文本 字符1"/>
    <w:autoRedefine/>
    <w:semiHidden/>
    <w:qFormat/>
    <w:uiPriority w:val="0"/>
    <w:rPr>
      <w:rFonts w:ascii="Times New Roman" w:hAnsi="Times New Roman" w:eastAsia="宋体"/>
      <w:sz w:val="24"/>
    </w:rPr>
  </w:style>
  <w:style w:type="character" w:customStyle="1" w:styleId="38">
    <w:name w:val="表格 Char"/>
    <w:link w:val="39"/>
    <w:autoRedefine/>
    <w:qFormat/>
    <w:locked/>
    <w:uiPriority w:val="0"/>
    <w:rPr>
      <w:rFonts w:ascii="宋体"/>
      <w:sz w:val="21"/>
    </w:rPr>
  </w:style>
  <w:style w:type="paragraph" w:customStyle="1" w:styleId="39">
    <w:name w:val="表格"/>
    <w:basedOn w:val="1"/>
    <w:next w:val="1"/>
    <w:link w:val="38"/>
    <w:autoRedefine/>
    <w:qFormat/>
    <w:uiPriority w:val="0"/>
    <w:pPr>
      <w:adjustRightInd w:val="0"/>
      <w:snapToGrid w:val="0"/>
      <w:spacing w:beforeLines="10" w:afterLines="10" w:line="259" w:lineRule="auto"/>
      <w:jc w:val="center"/>
    </w:pPr>
    <w:rPr>
      <w:rFonts w:ascii="宋体"/>
      <w:kern w:val="0"/>
      <w:szCs w:val="20"/>
    </w:rPr>
  </w:style>
  <w:style w:type="character" w:customStyle="1" w:styleId="40">
    <w:name w:val="日期 字符"/>
    <w:autoRedefine/>
    <w:semiHidden/>
    <w:qFormat/>
    <w:uiPriority w:val="0"/>
    <w:rPr>
      <w:rFonts w:ascii="Times New Roman" w:hAnsi="Times New Roman" w:eastAsia="宋体"/>
      <w:sz w:val="24"/>
    </w:rPr>
  </w:style>
  <w:style w:type="character" w:customStyle="1" w:styleId="41">
    <w:name w:val="批注文字 字符1"/>
    <w:autoRedefine/>
    <w:semiHidden/>
    <w:qFormat/>
    <w:uiPriority w:val="0"/>
    <w:rPr>
      <w:rFonts w:ascii="Times New Roman" w:hAnsi="Times New Roman" w:eastAsia="宋体"/>
      <w:sz w:val="24"/>
    </w:rPr>
  </w:style>
  <w:style w:type="paragraph" w:customStyle="1" w:styleId="4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3">
    <w:name w:val="普通(网站)2"/>
    <w:basedOn w:val="1"/>
    <w:link w:val="66"/>
    <w:autoRedefine/>
    <w:qFormat/>
    <w:uiPriority w:val="0"/>
    <w:pPr>
      <w:widowControl/>
      <w:spacing w:before="100" w:beforeAutospacing="1" w:after="100" w:afterAutospacing="1"/>
      <w:jc w:val="left"/>
    </w:pPr>
    <w:rPr>
      <w:rFonts w:ascii="宋体" w:hAnsi="宋体"/>
      <w:sz w:val="24"/>
      <w:szCs w:val="20"/>
    </w:rPr>
  </w:style>
  <w:style w:type="paragraph" w:customStyle="1" w:styleId="44">
    <w:name w:val="报告正文"/>
    <w:basedOn w:val="1"/>
    <w:link w:val="63"/>
    <w:autoRedefine/>
    <w:qFormat/>
    <w:uiPriority w:val="0"/>
    <w:pPr>
      <w:widowControl/>
      <w:spacing w:line="360" w:lineRule="auto"/>
      <w:ind w:firstLine="720" w:firstLineChars="200"/>
      <w:jc w:val="both"/>
    </w:pPr>
    <w:rPr>
      <w:rFonts w:ascii="Times New Roman" w:hAnsi="Times New Roman" w:eastAsia="宋体"/>
      <w:color w:val="auto"/>
      <w:sz w:val="24"/>
    </w:rPr>
  </w:style>
  <w:style w:type="paragraph" w:customStyle="1" w:styleId="45">
    <w:name w:val="报告表格"/>
    <w:basedOn w:val="1"/>
    <w:next w:val="44"/>
    <w:link w:val="62"/>
    <w:autoRedefine/>
    <w:qFormat/>
    <w:uiPriority w:val="0"/>
    <w:pPr>
      <w:jc w:val="center"/>
    </w:pPr>
    <w:rPr>
      <w:rFonts w:hint="eastAsia" w:ascii="Times New Roman" w:hAnsi="Times New Roman" w:eastAsia="宋体"/>
      <w:szCs w:val="21"/>
    </w:rPr>
  </w:style>
  <w:style w:type="paragraph" w:customStyle="1" w:styleId="46">
    <w:name w:val="表格1"/>
    <w:basedOn w:val="1"/>
    <w:autoRedefine/>
    <w:qFormat/>
    <w:uiPriority w:val="0"/>
    <w:pPr>
      <w:tabs>
        <w:tab w:val="center" w:pos="4153"/>
        <w:tab w:val="right" w:pos="8306"/>
      </w:tabs>
      <w:snapToGrid w:val="0"/>
      <w:jc w:val="center"/>
    </w:pPr>
    <w:rPr>
      <w:kern w:val="0"/>
      <w:lang w:val="zh-CN"/>
    </w:rPr>
  </w:style>
  <w:style w:type="paragraph" w:customStyle="1" w:styleId="47">
    <w:name w:val="样式2"/>
    <w:basedOn w:val="1"/>
    <w:autoRedefine/>
    <w:qFormat/>
    <w:uiPriority w:val="0"/>
    <w:pPr>
      <w:keepNext/>
      <w:overflowPunct w:val="0"/>
      <w:snapToGrid w:val="0"/>
      <w:jc w:val="center"/>
    </w:pPr>
    <w:rPr>
      <w:rFonts w:hint="eastAsia"/>
      <w:bCs/>
      <w:color w:val="000000"/>
      <w:kern w:val="44"/>
      <w:szCs w:val="21"/>
    </w:rPr>
  </w:style>
  <w:style w:type="paragraph" w:customStyle="1" w:styleId="48">
    <w:name w:val="表中文字"/>
    <w:autoRedefine/>
    <w:qFormat/>
    <w:uiPriority w:val="2"/>
    <w:pPr>
      <w:adjustRightInd w:val="0"/>
      <w:snapToGrid w:val="0"/>
      <w:jc w:val="center"/>
    </w:pPr>
    <w:rPr>
      <w:rFonts w:ascii="Times New Roman" w:hAnsi="Times New Roman" w:eastAsia="仿宋" w:cs="Times New Roman"/>
      <w:szCs w:val="24"/>
      <w:lang w:val="zh-CN" w:eastAsia="zh-CN" w:bidi="ar-SA"/>
    </w:rPr>
  </w:style>
  <w:style w:type="paragraph" w:customStyle="1" w:styleId="49">
    <w:name w:val="表格内容"/>
    <w:basedOn w:val="1"/>
    <w:autoRedefine/>
    <w:qFormat/>
    <w:uiPriority w:val="0"/>
    <w:pPr>
      <w:widowControl/>
      <w:adjustRightInd w:val="0"/>
      <w:snapToGrid w:val="0"/>
      <w:spacing w:after="200"/>
      <w:jc w:val="center"/>
      <w:textAlignment w:val="baseline"/>
    </w:pPr>
    <w:rPr>
      <w:rFonts w:ascii="Tahoma" w:hAnsi="Tahoma" w:eastAsia="宋体"/>
      <w:color w:val="000000"/>
      <w:kern w:val="0"/>
      <w:szCs w:val="21"/>
    </w:rPr>
  </w:style>
  <w:style w:type="paragraph" w:customStyle="1" w:styleId="50">
    <w:name w:val="样式1"/>
    <w:basedOn w:val="1"/>
    <w:autoRedefine/>
    <w:qFormat/>
    <w:uiPriority w:val="0"/>
    <w:pPr>
      <w:tabs>
        <w:tab w:val="center" w:pos="4153"/>
        <w:tab w:val="right" w:pos="8306"/>
      </w:tabs>
      <w:snapToGrid w:val="0"/>
      <w:spacing w:line="360" w:lineRule="auto"/>
      <w:ind w:firstLine="480" w:firstLineChars="200"/>
    </w:pPr>
    <w:rPr>
      <w:rFonts w:hint="eastAsia" w:cs="Times New Roman"/>
      <w:kern w:val="0"/>
    </w:rPr>
  </w:style>
  <w:style w:type="character" w:customStyle="1" w:styleId="51">
    <w:name w:val="font11"/>
    <w:basedOn w:val="22"/>
    <w:autoRedefine/>
    <w:qFormat/>
    <w:uiPriority w:val="0"/>
    <w:rPr>
      <w:rFonts w:hint="eastAsia" w:ascii="微软雅黑" w:hAnsi="微软雅黑" w:eastAsia="微软雅黑" w:cs="微软雅黑"/>
      <w:b/>
      <w:bCs/>
      <w:color w:val="000000"/>
      <w:sz w:val="20"/>
      <w:szCs w:val="20"/>
      <w:u w:val="none"/>
    </w:rPr>
  </w:style>
  <w:style w:type="character" w:customStyle="1" w:styleId="52">
    <w:name w:val="font21"/>
    <w:basedOn w:val="22"/>
    <w:autoRedefine/>
    <w:qFormat/>
    <w:uiPriority w:val="0"/>
    <w:rPr>
      <w:rFonts w:hint="eastAsia" w:ascii="微软雅黑" w:hAnsi="微软雅黑" w:eastAsia="微软雅黑" w:cs="微软雅黑"/>
      <w:color w:val="000000"/>
      <w:sz w:val="20"/>
      <w:szCs w:val="20"/>
      <w:u w:val="none"/>
    </w:rPr>
  </w:style>
  <w:style w:type="character" w:customStyle="1" w:styleId="53">
    <w:name w:val="font31"/>
    <w:basedOn w:val="22"/>
    <w:autoRedefine/>
    <w:qFormat/>
    <w:uiPriority w:val="0"/>
    <w:rPr>
      <w:rFonts w:hint="eastAsia" w:ascii="微软雅黑" w:hAnsi="微软雅黑" w:eastAsia="微软雅黑" w:cs="微软雅黑"/>
      <w:color w:val="000000"/>
      <w:sz w:val="22"/>
      <w:szCs w:val="22"/>
      <w:u w:val="none"/>
    </w:rPr>
  </w:style>
  <w:style w:type="paragraph" w:customStyle="1" w:styleId="54">
    <w:name w:val="No Spacing"/>
    <w:autoRedefine/>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55">
    <w:name w:val="表名"/>
    <w:basedOn w:val="1"/>
    <w:autoRedefine/>
    <w:qFormat/>
    <w:uiPriority w:val="0"/>
    <w:pPr>
      <w:adjustRightInd w:val="0"/>
      <w:spacing w:before="50" w:beforeLines="50"/>
      <w:ind w:firstLine="0" w:firstLineChars="0"/>
      <w:jc w:val="center"/>
    </w:pPr>
    <w:rPr>
      <w:b/>
      <w:bCs/>
      <w:kern w:val="0"/>
      <w:szCs w:val="20"/>
    </w:rPr>
  </w:style>
  <w:style w:type="paragraph" w:customStyle="1" w:styleId="56">
    <w:name w:val="Other|1"/>
    <w:basedOn w:val="1"/>
    <w:autoRedefine/>
    <w:qFormat/>
    <w:uiPriority w:val="0"/>
    <w:pPr>
      <w:widowControl w:val="0"/>
      <w:shd w:val="clear" w:color="auto" w:fill="auto"/>
      <w:spacing w:line="233" w:lineRule="exact"/>
    </w:pPr>
    <w:rPr>
      <w:rFonts w:ascii="宋体" w:hAnsi="宋体" w:eastAsia="宋体" w:cs="宋体"/>
      <w:sz w:val="20"/>
      <w:szCs w:val="20"/>
      <w:u w:val="none"/>
      <w:shd w:val="clear" w:color="auto" w:fill="auto"/>
      <w:lang w:val="zh-TW" w:eastAsia="zh-TW" w:bidi="zh-TW"/>
    </w:rPr>
  </w:style>
  <w:style w:type="paragraph" w:customStyle="1" w:styleId="57">
    <w:name w:val="Table Paragraph"/>
    <w:basedOn w:val="1"/>
    <w:autoRedefine/>
    <w:qFormat/>
    <w:uiPriority w:val="1"/>
  </w:style>
  <w:style w:type="paragraph" w:customStyle="1" w:styleId="58">
    <w:name w:val="样式 小四 黑色 行距: 固定值 25 磅1"/>
    <w:basedOn w:val="1"/>
    <w:autoRedefine/>
    <w:qFormat/>
    <w:uiPriority w:val="99"/>
    <w:pPr>
      <w:spacing w:line="500" w:lineRule="exact"/>
      <w:ind w:firstLine="480"/>
    </w:pPr>
    <w:rPr>
      <w:rFonts w:cs="宋体"/>
      <w:color w:val="000000"/>
    </w:rPr>
  </w:style>
  <w:style w:type="paragraph" w:customStyle="1" w:styleId="59">
    <w:name w:val="图表标题"/>
    <w:next w:val="1"/>
    <w:autoRedefine/>
    <w:qFormat/>
    <w:uiPriority w:val="0"/>
    <w:pPr>
      <w:spacing w:line="360" w:lineRule="auto"/>
      <w:jc w:val="center"/>
    </w:pPr>
    <w:rPr>
      <w:rFonts w:ascii="Times New Roman" w:hAnsi="Times New Roman" w:eastAsia="黑体" w:cs="Times New Roman"/>
      <w:kern w:val="2"/>
      <w:sz w:val="24"/>
      <w:szCs w:val="22"/>
      <w:lang w:val="en-US" w:eastAsia="zh-CN" w:bidi="ar-SA"/>
    </w:rPr>
  </w:style>
  <w:style w:type="character" w:customStyle="1" w:styleId="60">
    <w:name w:val="font41"/>
    <w:basedOn w:val="22"/>
    <w:autoRedefine/>
    <w:qFormat/>
    <w:uiPriority w:val="0"/>
    <w:rPr>
      <w:rFonts w:hint="eastAsia" w:ascii="宋体" w:hAnsi="宋体" w:eastAsia="宋体" w:cs="宋体"/>
      <w:color w:val="C00000"/>
      <w:sz w:val="21"/>
      <w:szCs w:val="21"/>
      <w:u w:val="none"/>
    </w:rPr>
  </w:style>
  <w:style w:type="character" w:customStyle="1" w:styleId="61">
    <w:name w:val="font61"/>
    <w:basedOn w:val="22"/>
    <w:autoRedefine/>
    <w:qFormat/>
    <w:uiPriority w:val="0"/>
    <w:rPr>
      <w:rFonts w:hint="default" w:ascii="Times New Roman" w:hAnsi="Times New Roman" w:cs="Times New Roman"/>
      <w:color w:val="C00000"/>
      <w:sz w:val="21"/>
      <w:szCs w:val="21"/>
      <w:u w:val="none"/>
    </w:rPr>
  </w:style>
  <w:style w:type="character" w:customStyle="1" w:styleId="62">
    <w:name w:val="报告表格 Char"/>
    <w:link w:val="45"/>
    <w:autoRedefine/>
    <w:qFormat/>
    <w:uiPriority w:val="0"/>
    <w:rPr>
      <w:rFonts w:hint="eastAsia" w:ascii="Times New Roman" w:hAnsi="Times New Roman" w:eastAsia="宋体"/>
      <w:szCs w:val="21"/>
    </w:rPr>
  </w:style>
  <w:style w:type="character" w:customStyle="1" w:styleId="63">
    <w:name w:val="报告正文 Char"/>
    <w:link w:val="44"/>
    <w:autoRedefine/>
    <w:qFormat/>
    <w:uiPriority w:val="0"/>
    <w:rPr>
      <w:rFonts w:ascii="Times New Roman" w:hAnsi="Times New Roman" w:eastAsia="宋体"/>
      <w:color w:val="auto"/>
      <w:sz w:val="24"/>
    </w:rPr>
  </w:style>
  <w:style w:type="character" w:customStyle="1" w:styleId="64">
    <w:name w:val="font81"/>
    <w:basedOn w:val="22"/>
    <w:autoRedefine/>
    <w:qFormat/>
    <w:uiPriority w:val="0"/>
    <w:rPr>
      <w:rFonts w:hint="eastAsia" w:ascii="宋体" w:hAnsi="宋体" w:eastAsia="宋体" w:cs="宋体"/>
      <w:color w:val="FF0000"/>
      <w:sz w:val="21"/>
      <w:szCs w:val="21"/>
      <w:u w:val="none"/>
    </w:rPr>
  </w:style>
  <w:style w:type="character" w:customStyle="1" w:styleId="65">
    <w:name w:val="font71"/>
    <w:basedOn w:val="22"/>
    <w:autoRedefine/>
    <w:qFormat/>
    <w:uiPriority w:val="0"/>
    <w:rPr>
      <w:rFonts w:hint="default" w:ascii="Times New Roman" w:hAnsi="Times New Roman" w:cs="Times New Roman"/>
      <w:color w:val="FF0000"/>
      <w:sz w:val="21"/>
      <w:szCs w:val="21"/>
      <w:u w:val="none"/>
    </w:rPr>
  </w:style>
  <w:style w:type="character" w:customStyle="1" w:styleId="66">
    <w:name w:val="普通(网站)2 Char"/>
    <w:link w:val="43"/>
    <w:autoRedefine/>
    <w:qFormat/>
    <w:uiPriority w:val="0"/>
    <w:rPr>
      <w:rFonts w:ascii="宋体" w:hAnsi="宋体"/>
      <w:sz w:val="24"/>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theme" Target="theme/theme1.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6.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png"/><Relationship Id="rId7" Type="http://schemas.openxmlformats.org/officeDocument/2006/relationships/footer" Target="footer5.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jpe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wmf"/><Relationship Id="rId27" Type="http://schemas.openxmlformats.org/officeDocument/2006/relationships/oleObject" Target="embeddings/oleObject7.bin"/><Relationship Id="rId26" Type="http://schemas.openxmlformats.org/officeDocument/2006/relationships/image" Target="media/image11.wmf"/><Relationship Id="rId25" Type="http://schemas.openxmlformats.org/officeDocument/2006/relationships/oleObject" Target="embeddings/oleObject6.bin"/><Relationship Id="rId24" Type="http://schemas.openxmlformats.org/officeDocument/2006/relationships/image" Target="media/image10.wmf"/><Relationship Id="rId23" Type="http://schemas.openxmlformats.org/officeDocument/2006/relationships/oleObject" Target="embeddings/oleObject5.bin"/><Relationship Id="rId22" Type="http://schemas.openxmlformats.org/officeDocument/2006/relationships/oleObject" Target="embeddings/oleObject4.bin"/><Relationship Id="rId21" Type="http://schemas.openxmlformats.org/officeDocument/2006/relationships/image" Target="media/image9.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8.wmf"/><Relationship Id="rId17" Type="http://schemas.openxmlformats.org/officeDocument/2006/relationships/oleObject" Target="embeddings/oleObject1.bin"/><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gwNzA5OTE4ODE5IiwKCSJHcm91cElkIiA6ICIyMTU4MTgwMTQ1IiwKCSJJbWFnZSIgOiAiaVZCT1J3MEtHZ29BQUFBTlNVaEVVZ0FBQW9JQUFBSTRDQVlBQUFEK29ZZ0dBQUFBQVhOU1IwSUFyczRjNlFBQUlBQkpSRUZVZUp6dDNYMTh6WFhqeC9IMzkreHNiSmdaYzVPN3lZVkd0TG5yQm5YVlR5N2RpS1FVM2VnR0lTVGxYa3FoUXFGVWxCU2lJWXJTaldwUjBaVVlyWWpjVzI3Q050dHN4M1oydnI4L1hEczViY3dZaDMxZXo4ZkRvM08rNTN2ejJjbU8xNzUza3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IRFIrbi80SmRjRzFzVjVWQUFBQUFCSlJVNUVya0pnZ2c9PSIsCgkiVGhlbWUiIDogIiIsCgkiVHlwZSIgOiAiZmxvdyIsCgkiVmVyc2lvbiIgOiAiIgp9Cg=="/>
    </extobj>
    <extobj name="ECB019B1-382A-4266-B25C-5B523AA43C14-2">
      <extobjdata type="ECB019B1-382A-4266-B25C-5B523AA43C14" data="ewoJIkZpbGVJZCIgOiAiMjAwMDIwNTYxNzc3IiwKCSJHcm91cElkIiA6ICI2MzIwMzYxMzMiLAoJIkltYWdlIiA6ICJpVkJPUncwS0dnb0FBQUFOU1VoRVVnQUFBbmtBQUFEUUNBWUFBQUI3aFhldUFBQUFDWEJJV1hNQUFBc1RBQUFMRXdFQW1wd1lBQUFnQUVsRVFWUjRuTzNkZVZ4VTVmNEg4TThaWU5nUkZCRUVjYzBOWEJnc002OC9UUzB0STgxOU44dTZscFYxWGN0U1UyOXBSaTZSNXI1ZGM5L1hOSzlaYVZZWDNBSURGUVZaUkZiWm1XSG0vUDdBT1RITURPdkFEUEI1djE2OFlzNzZqRHlkK2M2emZCK0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"/>
    </extobj>
    <extobj name="ECB019B1-382A-4266-B25C-5B523AA43C14-3">
      <extobjdata type="ECB019B1-382A-4266-B25C-5B523AA43C14" data="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133</Pages>
  <Words>47907</Words>
  <Characters>55596</Characters>
  <Lines>13</Lines>
  <Paragraphs>3</Paragraphs>
  <TotalTime>4</TotalTime>
  <ScaleCrop>false</ScaleCrop>
  <LinksUpToDate>false</LinksUpToDate>
  <CharactersWithSpaces>55980</CharactersWithSpaces>
  <Application>WPS Office_12.1.0.16412_F1E327BC-269C-435d-A152-05C5408002CA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A1083</cp:lastModifiedBy>
  <cp:lastPrinted>2020-12-29T02:43:00Z</cp:lastPrinted>
  <dcterms:modified xsi:type="dcterms:W3CDTF">2024-04-11T07:31:43Z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2052-12.1.0.16412</vt:lpwstr>
  </property>
  <property fmtid="{D5CDD505-2E9C-101B-9397-08002B2CF9AE}" pid="3" name="ICV">
    <vt:lpwstr>FB2CC9C009C743E381D7433A137D6A77_13</vt:lpwstr>
  </property>
</Properties>
</file>