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jc w:val="center"/>
        <w:rPr>
          <w:rFonts w:hint="eastAsia" w:eastAsiaTheme="minorEastAsia"/>
          <w:b/>
          <w:bCs/>
          <w:sz w:val="48"/>
          <w:szCs w:val="48"/>
          <w:lang w:val="en-US" w:eastAsia="zh-CN"/>
        </w:rPr>
      </w:pPr>
      <w:r>
        <w:rPr>
          <w:rFonts w:hint="eastAsia"/>
          <w:b/>
          <w:bCs/>
          <w:sz w:val="48"/>
          <w:szCs w:val="48"/>
          <w:lang w:val="en-US" w:eastAsia="zh-CN"/>
        </w:rPr>
        <w:t>台安县“十四五”生态环境保护规划</w:t>
      </w:r>
    </w:p>
    <w:p>
      <w:pPr>
        <w:spacing w:line="360" w:lineRule="auto"/>
        <w:jc w:val="center"/>
        <w:rPr>
          <w:rFonts w:hint="eastAsia" w:eastAsiaTheme="minorEastAsia"/>
          <w:b/>
          <w:bCs/>
          <w:sz w:val="48"/>
          <w:szCs w:val="48"/>
          <w:lang w:eastAsia="zh-CN"/>
        </w:rPr>
      </w:pPr>
    </w:p>
    <w:p>
      <w:pPr>
        <w:spacing w:line="360" w:lineRule="auto"/>
        <w:rPr>
          <w:rFonts w:hint="default" w:eastAsiaTheme="minorEastAsia"/>
          <w:sz w:val="30"/>
          <w:szCs w:val="30"/>
          <w:lang w:val="en-US" w:eastAsia="zh-CN"/>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rPr>
          <w:sz w:val="30"/>
          <w:szCs w:val="30"/>
        </w:rPr>
      </w:pPr>
    </w:p>
    <w:p>
      <w:pPr>
        <w:spacing w:line="360" w:lineRule="auto"/>
        <w:jc w:val="center"/>
        <w:rPr>
          <w:rFonts w:hint="eastAsia" w:eastAsiaTheme="minorEastAsia"/>
          <w:b/>
          <w:bCs/>
          <w:sz w:val="36"/>
          <w:szCs w:val="36"/>
          <w:lang w:val="en-US" w:eastAsia="zh-CN"/>
        </w:rPr>
      </w:pPr>
      <w:r>
        <w:rPr>
          <w:rFonts w:hint="eastAsia"/>
          <w:b/>
          <w:bCs/>
          <w:sz w:val="36"/>
          <w:szCs w:val="36"/>
          <w:lang w:val="en-US" w:eastAsia="zh-CN"/>
        </w:rPr>
        <w:t>台安县“十四五”生态环境保护规划编制组</w:t>
      </w:r>
    </w:p>
    <w:p>
      <w:pPr>
        <w:spacing w:line="360" w:lineRule="auto"/>
        <w:jc w:val="center"/>
        <w:rPr>
          <w:rFonts w:hint="eastAsia" w:eastAsiaTheme="minorEastAsia"/>
          <w:b/>
          <w:bCs/>
          <w:sz w:val="32"/>
          <w:szCs w:val="32"/>
          <w:lang w:eastAsia="zh-CN"/>
        </w:rPr>
      </w:pPr>
      <w:r>
        <w:rPr>
          <w:rFonts w:hint="eastAsia"/>
          <w:b/>
          <w:bCs/>
          <w:sz w:val="32"/>
          <w:szCs w:val="32"/>
          <w:lang w:eastAsia="zh-CN"/>
        </w:rPr>
        <w:t>二〇二二年六月</w:t>
      </w:r>
    </w:p>
    <w:p>
      <w:pPr>
        <w:spacing w:line="360" w:lineRule="auto"/>
        <w:rPr>
          <w:sz w:val="30"/>
          <w:szCs w:val="30"/>
        </w:rPr>
      </w:pPr>
    </w:p>
    <w:p>
      <w:pPr>
        <w:spacing w:line="360" w:lineRule="auto"/>
        <w:rPr>
          <w:sz w:val="30"/>
          <w:szCs w:val="30"/>
        </w:rPr>
      </w:pPr>
    </w:p>
    <w:p>
      <w:pPr>
        <w:spacing w:line="360" w:lineRule="auto"/>
        <w:rPr>
          <w:sz w:val="30"/>
          <w:szCs w:val="30"/>
        </w:rPr>
      </w:pPr>
    </w:p>
    <w:p>
      <w:pPr>
        <w:rPr>
          <w:sz w:val="30"/>
          <w:szCs w:val="30"/>
        </w:rPr>
      </w:pPr>
      <w:r>
        <w:rPr>
          <w:sz w:val="30"/>
          <w:szCs w:val="30"/>
        </w:rPr>
        <w:br w:type="page"/>
      </w:r>
    </w:p>
    <w:p>
      <w:pPr>
        <w:rPr>
          <w:sz w:val="30"/>
          <w:szCs w:val="30"/>
        </w:rPr>
      </w:pPr>
      <w:r>
        <w:rPr>
          <w:sz w:val="30"/>
          <w:szCs w:val="30"/>
        </w:rPr>
        <w:br w:type="page"/>
      </w:r>
    </w:p>
    <w:p>
      <w:pPr>
        <w:pStyle w:val="2"/>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sdt>
      <w:sdtPr>
        <w:rPr>
          <w:rFonts w:ascii="宋体" w:hAnsi="宋体" w:eastAsia="宋体" w:cstheme="minorBidi"/>
          <w:kern w:val="2"/>
          <w:sz w:val="21"/>
          <w:szCs w:val="24"/>
          <w:lang w:val="en-US" w:eastAsia="zh-CN" w:bidi="ar-SA"/>
        </w:rPr>
        <w:id w:val="147457114"/>
        <w15:color w:val="DBDBDB"/>
        <w:docPartObj>
          <w:docPartGallery w:val="Table of Contents"/>
          <w:docPartUnique/>
        </w:docPartObj>
      </w:sdtPr>
      <w:sdtEndPr>
        <w:rPr>
          <w:rFonts w:asciiTheme="minorHAnsi" w:hAnsiTheme="minorHAnsi" w:eastAsiaTheme="minorEastAsia" w:cstheme="minorBidi"/>
          <w:kern w:val="2"/>
          <w:sz w:val="21"/>
          <w:szCs w:val="30"/>
          <w:lang w:val="en-US" w:eastAsia="zh-CN" w:bidi="ar-SA"/>
        </w:rPr>
      </w:sdtEndPr>
      <w:sdtContent>
        <w:p>
          <w:pPr>
            <w:spacing w:before="0" w:beforeLines="0" w:after="0" w:afterLines="0" w:line="240" w:lineRule="auto"/>
            <w:ind w:left="0" w:leftChars="0" w:right="0" w:rightChars="0" w:firstLine="0" w:firstLineChars="0"/>
            <w:jc w:val="center"/>
            <w:rPr>
              <w:b/>
              <w:bCs/>
              <w:sz w:val="44"/>
              <w:szCs w:val="44"/>
            </w:rPr>
          </w:pPr>
          <w:r>
            <w:rPr>
              <w:rFonts w:ascii="宋体" w:hAnsi="宋体" w:eastAsia="宋体"/>
              <w:b/>
              <w:bCs/>
              <w:sz w:val="44"/>
              <w:szCs w:val="44"/>
            </w:rPr>
            <w:t>目录</w:t>
          </w:r>
        </w:p>
        <w:p>
          <w:pPr>
            <w:pStyle w:val="11"/>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TOC \o "1-3" \h \u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_Toc9352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eastAsia="zh-CN"/>
            </w:rPr>
            <w:t>第一章</w:t>
          </w:r>
          <w:r>
            <w:rPr>
              <w:rFonts w:hint="default"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eastAsia="zh-CN"/>
            </w:rPr>
            <w:t>总则</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_Toc9352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1</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_Toc28845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第一节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规划范围与期限</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_Toc28845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_Toc7533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第二节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规划定位与任务</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_Toc7533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_Toc8404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第三节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编制依据</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_Toc8404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1"/>
            <w:tabs>
              <w:tab w:val="right" w:leader="dot" w:pos="8306"/>
            </w:tabs>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_Toc537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eastAsia="zh-CN"/>
            </w:rPr>
            <w:t>第二章</w:t>
          </w:r>
          <w:r>
            <w:rPr>
              <w:rFonts w:hint="default"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eastAsia="zh-CN"/>
            </w:rPr>
            <w:t>“十三五”生态环境保护成效</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_Toc537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5</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1"/>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_Toc17036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eastAsia="zh-CN"/>
            </w:rPr>
            <w:t>第三章</w:t>
          </w:r>
          <w:r>
            <w:rPr>
              <w:rFonts w:hint="default"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eastAsia="zh-CN"/>
            </w:rPr>
            <w:t>“十四五”生态环境保护面临的机遇和挑战</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_Toc17036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8</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_Toc8286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第一节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“十四五”生态环境保护总体态势研判</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_Toc8286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_Toc1435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一、碳达峰、碳中和是庄严承诺</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_Toc1435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_Toc1337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二、全面绿色转型关键期</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_Toc1337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_Toc13843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第二节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“十四五”生态环境保护面临机遇和挑战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_Toc13843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_Toc6996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一、面临机遇</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_Toc6996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_Toc12111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二、面临挑战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_Toc12111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_Toc26264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第三节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重点环境问题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_Toc26264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_Toc27585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一、更高的生态环境需求带来的挑战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_Toc27585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_Toc3372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二、治理能力与治理体系面临的挑战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_Toc3372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_Toc16491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三、产业结构升级与绿色转型面临的挑战</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_Toc16491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1"/>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_Toc8600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eastAsia="zh-CN"/>
            </w:rPr>
            <w:t>第四章</w:t>
          </w:r>
          <w:r>
            <w:rPr>
              <w:rFonts w:hint="default"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eastAsia="zh-CN"/>
            </w:rPr>
            <w:t>规划指导思想和目标</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_Toc8600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19</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_Toc2305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第一节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指导思想</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_Toc2305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19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_Toc32491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第二节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基本原则</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_Toc32491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_Toc9629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第三节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规划目标</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_Toc9629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1"/>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_Toc9458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eastAsia="zh-CN"/>
            </w:rPr>
            <w:t>第五章</w:t>
          </w:r>
          <w:r>
            <w:rPr>
              <w:rFonts w:hint="default"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eastAsia="zh-CN"/>
            </w:rPr>
            <w:t>重点任务</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_Toc9458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25</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_Toc2363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第一节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全面推进经济绿色低碳转型</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_Toc2363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_Toc13879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一、推进产业发展绿色升级</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_Toc13879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25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_Toc24493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二、加快优化能源结构</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_Toc24493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_Toc22584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三、加快推进低碳交通运输体系建设</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_Toc22584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_Toc15680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四、推进农业有机化</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_Toc15680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_Toc23002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第二节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加强生态系统保护与保障生态安全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_Toc23002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_Toc14824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一、优化国土空间开发保护格局</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_Toc14824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_Toc27995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二、实施生物多样性保护工程</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_Toc27995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_Toc14491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第三节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提高生态环境治理体系和治理能力水平</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_Toc14491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_Toc17604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一、健全生态环境管理体制机制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_Toc17604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_Toc14975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 </w:t>
          </w:r>
          <w:r>
            <w:rPr>
              <w:rFonts w:hint="default" w:ascii="Times New Roman" w:hAnsi="Times New Roman" w:eastAsia="仿宋" w:cs="Times New Roman"/>
              <w:sz w:val="24"/>
              <w:szCs w:val="24"/>
              <w:lang w:eastAsia="zh-CN"/>
            </w:rPr>
            <w:t>二、完善生态环境管理体制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_Toc14975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_Toc7898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三、健全生态环境治理市场体系</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_Toc7898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_Toc9370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四、健全环境监管体系</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_Toc9370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_Toc12437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五、健全生态环境保护全民参与机制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_Toc12437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38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_Toc21473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第四节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深化大气污染防治，提升大气环境质量</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_Toc21473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_Toc30577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w:t>
          </w:r>
          <w:r>
            <w:rPr>
              <w:rFonts w:hint="default" w:ascii="Times New Roman" w:hAnsi="Times New Roman" w:eastAsia="仿宋" w:cs="Times New Roman"/>
              <w:sz w:val="24"/>
              <w:szCs w:val="24"/>
            </w:rPr>
            <w:t>精准防控大气污染</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_Toc30577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_Toc31449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二、深化固定源治理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_Toc31449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_Toc8971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三、强化</w:t>
          </w:r>
          <w:r>
            <w:rPr>
              <w:rFonts w:hint="default" w:ascii="Times New Roman" w:hAnsi="Times New Roman" w:eastAsia="仿宋" w:cs="Times New Roman"/>
              <w:sz w:val="24"/>
              <w:szCs w:val="24"/>
              <w:lang w:val="zh-CN"/>
            </w:rPr>
            <w:t>移动源监管</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_Toc8971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_Toc23846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四、全面加强面源管控</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_Toc23846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_Toc30957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第五节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降碳减排，应对气候变化</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_Toc30957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_Toc24770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一、</w:t>
          </w:r>
          <w:r>
            <w:rPr>
              <w:rFonts w:hint="default" w:ascii="Times New Roman" w:hAnsi="Times New Roman" w:eastAsia="仿宋" w:cs="Times New Roman"/>
              <w:sz w:val="24"/>
              <w:szCs w:val="24"/>
              <w:lang w:val="en-US" w:eastAsia="zh-CN"/>
            </w:rPr>
            <w:t>制订碳排放达峰行动方案</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_Toc24770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_Toc27510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二、积极开展碳排放权交易市场</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_Toc27510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_Toc27054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三、控制温室气体排放</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_Toc27054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_Toc9534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四、积极践行绿色低碳行动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_Toc9534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_Toc23637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五、提升应对气候变化能力</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_Toc23637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_Toc5228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第六节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强化“三水”统筹，改善水生态环境</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_Toc5228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_Toc17413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一、强化“三水”统筹系统治理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_Toc17413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_Toc7630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二、深化水污染治理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_Toc7630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_Toc17957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三、增强水生态流量</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_Toc17957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49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_Toc7613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四、推进水生态保护修复</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_Toc7613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_Toc4106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五、</w:t>
          </w:r>
          <w:r>
            <w:rPr>
              <w:rFonts w:hint="default" w:ascii="Times New Roman" w:hAnsi="Times New Roman" w:eastAsia="仿宋" w:cs="Times New Roman"/>
              <w:sz w:val="24"/>
              <w:szCs w:val="24"/>
              <w:lang w:val="zh-CN" w:eastAsia="zh-CN"/>
            </w:rPr>
            <w:t>健全水污染治理长效机制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_Toc4106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_Toc19729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第七节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加强土壤污染防范，保证土壤安全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_Toc19729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_Toc7331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一、加强土壤污染防范体系建设</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_Toc7331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_Toc4777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二、强化耕地安全利用管控</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_Toc4777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_Toc22609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三、有序实施建设用地风险管控</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_Toc22609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_Toc20062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四、推进土壤安全利用示范与修复工程</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_Toc20062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_Toc7327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五、持续开展地下水风险管控</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_Toc7327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_Toc20561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第八节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加强固体废物处置与资源利用化</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_Toc20561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55</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_Toc2757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第九节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实施生态保护修复，构筑生态安全屏障</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_Toc2757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_Toc2045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一、</w:t>
          </w:r>
          <w:r>
            <w:rPr>
              <w:rFonts w:hint="default" w:ascii="Times New Roman" w:hAnsi="Times New Roman" w:eastAsia="仿宋" w:cs="Times New Roman"/>
              <w:sz w:val="24"/>
              <w:szCs w:val="24"/>
              <w:lang w:val="zh-CN"/>
            </w:rPr>
            <w:t>筑牢生态安全</w:t>
          </w:r>
          <w:r>
            <w:rPr>
              <w:rFonts w:hint="default" w:ascii="Times New Roman" w:hAnsi="Times New Roman" w:eastAsia="仿宋" w:cs="Times New Roman"/>
              <w:sz w:val="24"/>
              <w:szCs w:val="24"/>
              <w:lang w:val="en-US"/>
            </w:rPr>
            <w:t>格局</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_Toc2045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_Toc17164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二、</w:t>
          </w:r>
          <w:r>
            <w:rPr>
              <w:rFonts w:hint="default" w:ascii="Times New Roman" w:hAnsi="Times New Roman" w:eastAsia="仿宋" w:cs="Times New Roman"/>
              <w:sz w:val="24"/>
              <w:szCs w:val="24"/>
              <w:lang w:val="zh-CN"/>
            </w:rPr>
            <w:t>加大生态保护修复</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_Toc17164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_Toc4204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三、健全生态保护红线监管制度</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_Toc4204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58</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_Toc10386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四、加强生态保护红线监管成效评估</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_Toc10386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59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_Toc11137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第十节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加强环境风险防控，保障环境安全</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_Toc11137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_Toc7172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一、建立健全环境风险监管体系</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_Toc7172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_Toc3131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二、提升固体废弃物处置利用能力</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_Toc3131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61</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_Toc11586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三、重视新污染物治理</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_Toc11586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62</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_Toc4183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第十一节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推进农村环境整治，助力美丽乡村建设</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_Toc4183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_Toc780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一、强化农村人居环境监管</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_Toc780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_Toc19391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eastAsia="zh-CN"/>
            </w:rPr>
            <w:t>二、深入推进农村人居环境整治</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_Toc19391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63</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_Toc28965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en-US" w:eastAsia="zh-CN"/>
            </w:rPr>
            <w:t>三、加强农业面源污染防治</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_Toc28965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64</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_Toc7328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val="zh-CN"/>
            </w:rPr>
            <w:t>四、推动</w:t>
          </w:r>
          <w:r>
            <w:rPr>
              <w:rFonts w:hint="default" w:ascii="Times New Roman" w:hAnsi="Times New Roman" w:eastAsia="仿宋" w:cs="Times New Roman"/>
              <w:sz w:val="24"/>
              <w:szCs w:val="24"/>
              <w:lang w:eastAsia="zh-CN"/>
            </w:rPr>
            <w:t>乡村振兴发展</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_Toc7328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66</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1"/>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_Toc14488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eastAsia="zh-CN"/>
            </w:rPr>
            <w:t>第六章</w:t>
          </w:r>
          <w:r>
            <w:rPr>
              <w:rFonts w:hint="default" w:ascii="Times New Roman" w:hAnsi="Times New Roman" w:eastAsia="仿宋" w:cs="Times New Roman"/>
              <w:b/>
              <w:bCs/>
              <w:sz w:val="24"/>
              <w:szCs w:val="24"/>
              <w:lang w:val="en-US" w:eastAsia="zh-CN"/>
            </w:rPr>
            <w:t xml:space="preserve"> </w:t>
          </w:r>
          <w:r>
            <w:rPr>
              <w:rFonts w:hint="default" w:ascii="Times New Roman" w:hAnsi="Times New Roman" w:eastAsia="仿宋" w:cs="Times New Roman"/>
              <w:b/>
              <w:bCs/>
              <w:sz w:val="24"/>
              <w:szCs w:val="24"/>
              <w:lang w:eastAsia="zh-CN"/>
            </w:rPr>
            <w:t>规划保障措施</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_Toc14488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67</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_Toc29993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第一节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坚持党的全面领导</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_Toc29993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_Toc2807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第二节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完善规划实施要素保障</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_Toc2807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67</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12"/>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_Toc12348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lang w:eastAsia="zh-CN"/>
            </w:rPr>
            <w:t>第三节</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lang w:eastAsia="zh-CN"/>
            </w:rPr>
            <w:t>建设规划实施机制</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_Toc12348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_Toc28882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sz w:val="24"/>
              <w:szCs w:val="24"/>
              <w:lang w:eastAsia="zh-CN"/>
            </w:rPr>
            <w:t>强化规划监测评估。</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_Toc28882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69</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HYPERLINK \l _Toc12434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bCs/>
              <w:sz w:val="24"/>
              <w:szCs w:val="24"/>
              <w:lang w:eastAsia="zh-CN"/>
            </w:rPr>
            <w:t>充分调动全社会积极性。</w:t>
          </w:r>
          <w:r>
            <w:rPr>
              <w:rFonts w:hint="default" w:ascii="Times New Roman" w:hAnsi="Times New Roman" w:eastAsia="仿宋" w:cs="Times New Roman"/>
              <w:sz w:val="24"/>
              <w:szCs w:val="24"/>
            </w:rPr>
            <w:tab/>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PAGEREF _Toc12434 \h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70</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fldChar w:fldCharType="end"/>
          </w:r>
        </w:p>
        <w:p>
          <w:pPr>
            <w:pStyle w:val="7"/>
            <w:tabs>
              <w:tab w:val="right" w:leader="dot" w:pos="8306"/>
            </w:tabs>
            <w:ind w:left="0" w:leftChars="0" w:firstLine="0" w:firstLineChars="0"/>
          </w:pP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HYPERLINK \l _Toc29885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lang w:val="en-US" w:eastAsia="zh-CN"/>
            </w:rPr>
            <w:t>附件：台安县“十四五”生态环境保护规划项目目录</w:t>
          </w:r>
          <w:r>
            <w:rPr>
              <w:rFonts w:hint="default" w:ascii="Times New Roman" w:hAnsi="Times New Roman" w:eastAsia="仿宋" w:cs="Times New Roman"/>
              <w:b/>
              <w:bCs/>
              <w:sz w:val="24"/>
              <w:szCs w:val="24"/>
            </w:rPr>
            <w:tab/>
          </w:r>
          <w:r>
            <w:rPr>
              <w:rFonts w:hint="default" w:ascii="Times New Roman" w:hAnsi="Times New Roman" w:eastAsia="仿宋" w:cs="Times New Roman"/>
              <w:b/>
              <w:bCs/>
              <w:sz w:val="24"/>
              <w:szCs w:val="24"/>
            </w:rPr>
            <w:fldChar w:fldCharType="begin"/>
          </w:r>
          <w:r>
            <w:rPr>
              <w:rFonts w:hint="default" w:ascii="Times New Roman" w:hAnsi="Times New Roman" w:eastAsia="仿宋" w:cs="Times New Roman"/>
              <w:b/>
              <w:bCs/>
              <w:sz w:val="24"/>
              <w:szCs w:val="24"/>
            </w:rPr>
            <w:instrText xml:space="preserve"> PAGEREF _Toc29885 \h </w:instrText>
          </w:r>
          <w:r>
            <w:rPr>
              <w:rFonts w:hint="default" w:ascii="Times New Roman" w:hAnsi="Times New Roman" w:eastAsia="仿宋" w:cs="Times New Roman"/>
              <w:b/>
              <w:bCs/>
              <w:sz w:val="24"/>
              <w:szCs w:val="24"/>
            </w:rPr>
            <w:fldChar w:fldCharType="separate"/>
          </w:r>
          <w:r>
            <w:rPr>
              <w:rFonts w:hint="default" w:ascii="Times New Roman" w:hAnsi="Times New Roman" w:eastAsia="仿宋" w:cs="Times New Roman"/>
              <w:b/>
              <w:bCs/>
              <w:sz w:val="24"/>
              <w:szCs w:val="24"/>
            </w:rPr>
            <w:t>71</w:t>
          </w:r>
          <w:r>
            <w:rPr>
              <w:rFonts w:hint="default" w:ascii="Times New Roman" w:hAnsi="Times New Roman" w:eastAsia="仿宋" w:cs="Times New Roman"/>
              <w:b/>
              <w:bCs/>
              <w:sz w:val="24"/>
              <w:szCs w:val="24"/>
            </w:rPr>
            <w:fldChar w:fldCharType="end"/>
          </w:r>
          <w:r>
            <w:rPr>
              <w:rFonts w:hint="default" w:ascii="Times New Roman" w:hAnsi="Times New Roman" w:eastAsia="仿宋" w:cs="Times New Roman"/>
              <w:b/>
              <w:bCs/>
              <w:sz w:val="24"/>
              <w:szCs w:val="24"/>
            </w:rPr>
            <w:fldChar w:fldCharType="end"/>
          </w:r>
        </w:p>
        <w:p>
          <w:pPr>
            <w:pStyle w:val="12"/>
            <w:tabs>
              <w:tab w:val="right" w:leader="dot" w:pos="8306"/>
            </w:tabs>
          </w:pPr>
          <w:r>
            <w:rPr>
              <w:rFonts w:hint="default" w:ascii="Times New Roman" w:hAnsi="Times New Roman" w:eastAsia="仿宋" w:cs="Times New Roman"/>
              <w:szCs w:val="24"/>
            </w:rPr>
            <w:fldChar w:fldCharType="end"/>
          </w:r>
        </w:p>
      </w:sdtContent>
    </w:sdt>
    <w:p>
      <w:pPr>
        <w:spacing w:line="360" w:lineRule="auto"/>
        <w:rPr>
          <w:rFonts w:hint="eastAsia"/>
          <w:sz w:val="36"/>
          <w:szCs w:val="36"/>
          <w:lang w:eastAsia="zh-CN"/>
        </w:rPr>
      </w:pPr>
      <w:r>
        <w:rPr>
          <w:rFonts w:hint="eastAsia"/>
          <w:sz w:val="36"/>
          <w:szCs w:val="36"/>
          <w:lang w:eastAsia="zh-CN"/>
        </w:rPr>
        <w:br w:type="page"/>
      </w:r>
    </w:p>
    <w:p>
      <w:pPr>
        <w:rPr>
          <w:rFonts w:hint="eastAsia"/>
          <w:lang w:eastAsia="zh-CN"/>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pgNumType w:fmt="upperRoman" w:start="1"/>
          <w:cols w:space="425" w:num="1"/>
          <w:docGrid w:type="lines" w:linePitch="312" w:charSpace="0"/>
        </w:sectPr>
      </w:pPr>
    </w:p>
    <w:p>
      <w:pPr>
        <w:pStyle w:val="3"/>
        <w:bidi w:val="0"/>
        <w:jc w:val="center"/>
        <w:rPr>
          <w:rFonts w:hint="eastAsia"/>
          <w:sz w:val="36"/>
          <w:szCs w:val="36"/>
          <w:lang w:eastAsia="zh-CN"/>
        </w:rPr>
      </w:pPr>
      <w:bookmarkStart w:id="0" w:name="_Toc9352"/>
      <w:r>
        <w:rPr>
          <w:rFonts w:hint="eastAsia"/>
          <w:sz w:val="36"/>
          <w:szCs w:val="36"/>
          <w:lang w:eastAsia="zh-CN"/>
        </w:rPr>
        <w:t>第一章</w:t>
      </w:r>
      <w:r>
        <w:rPr>
          <w:rFonts w:hint="eastAsia"/>
          <w:sz w:val="36"/>
          <w:szCs w:val="36"/>
          <w:lang w:val="en-US" w:eastAsia="zh-CN"/>
        </w:rPr>
        <w:t xml:space="preserve"> </w:t>
      </w:r>
      <w:r>
        <w:rPr>
          <w:rFonts w:hint="eastAsia"/>
          <w:sz w:val="36"/>
          <w:szCs w:val="36"/>
          <w:lang w:eastAsia="zh-CN"/>
        </w:rPr>
        <w:t>总则</w:t>
      </w:r>
      <w:bookmarkEnd w:id="0"/>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四五”时期是我国全面建设社会主义现代化国家新征程、向第二个百年奋斗目标进军的关键时期，也是台安县全面准确把握党的十九届五中全会有关生态文明建设和生态环境保护的重大决策部署，科学谋划台安县“十四五”时期生态文明建设重大战略，实现生态文明建设新成果的关键阶段。“十四五”期间，台安县将保持生态文明建设战略定力，深入学习贯彻习近平生态文明思想，切实扛起生态文明建设政治责任，准确把握“十四五”时期重点任务，以碳达峰、碳中和为重要抓手，坚定不移推动绿色低碳发展，深入打好污染防治攻坚战，全面提升城市生态环境品质，加快提高生态环境治理体系和治理能力现代化水平。建设生态文明、推动绿色低碳循环发展，满足人民日益增长的优美生态环境需要，推动实现更高质量、更有效率、更加公平、更可持续、更为安全的发展，鼓励更多城镇居民成为绿色生活方式的践行者，努力走出一条生产发展、生活富裕、生态良好的文明发展道路，努力建设人与自然和谐共生的现代化。</w:t>
      </w:r>
    </w:p>
    <w:p>
      <w:pPr>
        <w:pStyle w:val="4"/>
        <w:numPr>
          <w:ilvl w:val="1"/>
          <w:numId w:val="0"/>
        </w:numPr>
        <w:bidi w:val="0"/>
        <w:ind w:leftChars="0"/>
        <w:jc w:val="center"/>
        <w:rPr>
          <w:rFonts w:hint="eastAsia"/>
          <w:lang w:eastAsia="zh-CN"/>
        </w:rPr>
      </w:pPr>
      <w:bookmarkStart w:id="1" w:name="_Toc28845"/>
      <w:r>
        <w:rPr>
          <w:rFonts w:hint="eastAsia"/>
          <w:lang w:eastAsia="zh-CN"/>
        </w:rPr>
        <w:t>第一节</w:t>
      </w:r>
      <w:r>
        <w:rPr>
          <w:rFonts w:hint="eastAsia"/>
          <w:lang w:val="en-US" w:eastAsia="zh-CN"/>
        </w:rPr>
        <w:t xml:space="preserve"> </w:t>
      </w:r>
      <w:r>
        <w:rPr>
          <w:rFonts w:hint="eastAsia"/>
          <w:lang w:eastAsia="zh-CN"/>
        </w:rPr>
        <w:t>规划范围与期限</w:t>
      </w:r>
      <w:bookmarkEnd w:id="1"/>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规划范围</w:t>
      </w:r>
      <w:r>
        <w:rPr>
          <w:rFonts w:hint="eastAsia" w:ascii="仿宋" w:hAnsi="仿宋" w:eastAsia="仿宋" w:cs="仿宋"/>
          <w:color w:val="000000" w:themeColor="text1"/>
          <w:sz w:val="30"/>
          <w:szCs w:val="30"/>
          <w:lang w:val="en-US" w:eastAsia="zh-CN"/>
          <w14:textFill>
            <w14:solidFill>
              <w14:schemeClr w14:val="tx1"/>
            </w14:solidFill>
          </w14:textFill>
        </w:rPr>
        <w:t>：为台安县行政管辖区域，全县总面积1394平方公里，包括4</w:t>
      </w:r>
      <w:r>
        <w:rPr>
          <w:rFonts w:hint="eastAsia" w:ascii="仿宋" w:hAnsi="仿宋" w:eastAsia="仿宋" w:cs="仿宋"/>
          <w:color w:val="000000" w:themeColor="text1"/>
          <w:sz w:val="30"/>
          <w:szCs w:val="30"/>
          <w14:textFill>
            <w14:solidFill>
              <w14:schemeClr w14:val="tx1"/>
            </w14:solidFill>
          </w14:textFill>
        </w:rPr>
        <w:t>个街道、10个镇</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分别为</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"https://baike.baidu.com/item/%E5%85%AB%E8%A7%92%E5%8F%B0%E8%A1%97%E9%81%93/24215723"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八角台街道</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"https://baike.baidu.com/item/%E5%8F%B0%E4%B8%9C%E8%A1%97%E9%81%93/24215719"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台东街道</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"https://baike.baidu.com/item/%E5%8F%B0%E5%8D%97%E8%A1%97%E9%81%93/24215788"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台南街道</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"https://baike.baidu.com/item/%E5%8F%B0%E5%8C%97%E8%A1%97%E9%81%93/24215785"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台北街道</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"https://baike.baidu.com/item/%E8%A5%BF%E4%BD%9B%E9%95%87/6764382"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西佛镇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"https://baike.baidu.com/item/%E6%96%B0%E5%BC%80%E6%B2%B3%E9%95%87/80024"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新开河镇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"https://baike.baidu.com/item/%E9%BB%84%E6%B2%99%E5%9D%A8%E9%95%87/5576859"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黄沙坨镇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"https://baike.baidu.com/item/%E9%AB%98%E5%8A%9B%E6%88%BF%E9%95%87/5599192"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高力房镇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"https://baike.baidu.com/item/%E6%A1%91%E6%9E%97%E9%95%87/6764085"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桑林镇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"https://baike.baidu.com/item/%E5%AF%8C%E5%AE%B6%E9%95%87/6764184"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富家镇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"https://baike.baidu.com/item/%E8%BE%BE%E7%89%9B%E9%95%87/6465483"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达牛镇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"https://baike.baidu.com/item/%E9%9F%AD%E8%8F%9C%E5%8F%B0%E9%95%87/6764118"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韭菜台镇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"https://baike.baidu.com/item/%E6%96%B0%E5%8F%B0%E9%95%87/6764167"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新台镇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fldChar w:fldCharType="begin"/>
      </w:r>
      <w:r>
        <w:rPr>
          <w:rFonts w:hint="eastAsia" w:ascii="仿宋" w:hAnsi="仿宋" w:eastAsia="仿宋" w:cs="仿宋"/>
          <w:color w:val="000000" w:themeColor="text1"/>
          <w:sz w:val="30"/>
          <w:szCs w:val="30"/>
          <w14:textFill>
            <w14:solidFill>
              <w14:schemeClr w14:val="tx1"/>
            </w14:solidFill>
          </w14:textFill>
        </w:rPr>
        <w:instrText xml:space="preserve"> HYPERLINK "https://baike.baidu.com/item/%E6%A1%93%E6%B4%9E%E9%95%87/6764270" \t "https://baike.baidu.com/item/%E5%8F%B0%E5%AE%89%E5%8E%BF/_blank" </w:instrText>
      </w:r>
      <w:r>
        <w:rPr>
          <w:rFonts w:hint="eastAsia" w:ascii="仿宋" w:hAnsi="仿宋" w:eastAsia="仿宋" w:cs="仿宋"/>
          <w:color w:val="000000" w:themeColor="text1"/>
          <w:sz w:val="30"/>
          <w:szCs w:val="30"/>
          <w14:textFill>
            <w14:solidFill>
              <w14:schemeClr w14:val="tx1"/>
            </w14:solidFill>
          </w14:textFill>
        </w:rPr>
        <w:fldChar w:fldCharType="separate"/>
      </w:r>
      <w:r>
        <w:rPr>
          <w:rStyle w:val="19"/>
          <w:rFonts w:hint="eastAsia" w:ascii="仿宋" w:hAnsi="仿宋" w:eastAsia="仿宋" w:cs="仿宋"/>
          <w:i w:val="0"/>
          <w:iCs w:val="0"/>
          <w:caps w:val="0"/>
          <w:color w:val="000000" w:themeColor="text1"/>
          <w:spacing w:val="0"/>
          <w:sz w:val="30"/>
          <w:szCs w:val="30"/>
          <w:u w:val="none"/>
          <w:shd w:val="clear" w:fill="FFFFFF"/>
          <w14:textFill>
            <w14:solidFill>
              <w14:schemeClr w14:val="tx1"/>
            </w14:solidFill>
          </w14:textFill>
        </w:rPr>
        <w:t>桓洞镇</w:t>
      </w:r>
      <w:r>
        <w:rPr>
          <w:rFonts w:hint="eastAsia" w:ascii="仿宋" w:hAnsi="仿宋" w:eastAsia="仿宋" w:cs="仿宋"/>
          <w:color w:val="000000" w:themeColor="text1"/>
          <w:sz w:val="30"/>
          <w:szCs w:val="30"/>
          <w14:textFill>
            <w14:solidFill>
              <w14:schemeClr w14:val="tx1"/>
            </w14:solidFill>
          </w14:textFill>
        </w:rPr>
        <w:fldChar w:fldCharType="end"/>
      </w:r>
      <w:r>
        <w:rPr>
          <w:rFonts w:hint="eastAsia" w:ascii="仿宋" w:hAnsi="仿宋" w:eastAsia="仿宋" w:cs="仿宋"/>
          <w:color w:val="000000" w:themeColor="text1"/>
          <w:sz w:val="30"/>
          <w:szCs w:val="30"/>
          <w14:textFill>
            <w14:solidFill>
              <w14:schemeClr w14:val="tx1"/>
            </w14:solidFill>
          </w14:textFill>
        </w:rPr>
        <w:t>。</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规划期限：</w:t>
      </w:r>
      <w:r>
        <w:rPr>
          <w:rFonts w:hint="eastAsia" w:ascii="仿宋" w:hAnsi="仿宋" w:eastAsia="仿宋" w:cs="仿宋"/>
          <w:color w:val="000000" w:themeColor="text1"/>
          <w:sz w:val="30"/>
          <w:szCs w:val="30"/>
          <w:lang w:val="en-US" w:eastAsia="zh-CN"/>
          <w14:textFill>
            <w14:solidFill>
              <w14:schemeClr w14:val="tx1"/>
            </w14:solidFill>
          </w14:textFill>
        </w:rPr>
        <w:t>以2020年为基准年，2025年为目标年，规划期限为2021年至2025年。</w:t>
      </w:r>
    </w:p>
    <w:p>
      <w:pPr>
        <w:pStyle w:val="4"/>
        <w:numPr>
          <w:ilvl w:val="1"/>
          <w:numId w:val="0"/>
        </w:numPr>
        <w:bidi w:val="0"/>
        <w:ind w:leftChars="0"/>
        <w:jc w:val="center"/>
        <w:rPr>
          <w:rFonts w:hint="eastAsia"/>
          <w:lang w:eastAsia="zh-CN"/>
        </w:rPr>
      </w:pPr>
      <w:bookmarkStart w:id="2" w:name="_Toc7533"/>
      <w:r>
        <w:rPr>
          <w:rFonts w:hint="eastAsia"/>
          <w:lang w:eastAsia="zh-CN"/>
        </w:rPr>
        <w:t>第二节</w:t>
      </w:r>
      <w:r>
        <w:rPr>
          <w:rFonts w:hint="eastAsia"/>
          <w:lang w:val="en-US" w:eastAsia="zh-CN"/>
        </w:rPr>
        <w:t xml:space="preserve"> </w:t>
      </w:r>
      <w:r>
        <w:rPr>
          <w:rFonts w:hint="eastAsia"/>
          <w:lang w:eastAsia="zh-CN"/>
        </w:rPr>
        <w:t>规划定位与任务</w:t>
      </w:r>
      <w:bookmarkEnd w:id="2"/>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规划定位：</w:t>
      </w:r>
      <w:r>
        <w:rPr>
          <w:rFonts w:hint="eastAsia" w:ascii="仿宋" w:hAnsi="仿宋" w:eastAsia="仿宋" w:cs="仿宋"/>
          <w:color w:val="000000" w:themeColor="text1"/>
          <w:sz w:val="30"/>
          <w:szCs w:val="30"/>
          <w:lang w:val="en-US" w:eastAsia="zh-CN"/>
          <w14:textFill>
            <w14:solidFill>
              <w14:schemeClr w14:val="tx1"/>
            </w14:solidFill>
          </w14:textFill>
        </w:rPr>
        <w:t>本规划为台安县域层面的专项规划，是指导台安县加强生态环境建设的总体规划，是指导台安县加强生态环境快速、协调、有序建设与发展的重要指引，也是指导台安县下辖各乡镇（街道）在规划期内加强生态环境建设，推动绿色发展工作的主要依据。</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规划任务：</w:t>
      </w:r>
      <w:r>
        <w:rPr>
          <w:rFonts w:hint="eastAsia" w:ascii="仿宋" w:hAnsi="仿宋" w:eastAsia="仿宋" w:cs="仿宋"/>
          <w:color w:val="000000" w:themeColor="text1"/>
          <w:sz w:val="30"/>
          <w:szCs w:val="30"/>
          <w:lang w:val="en-US" w:eastAsia="zh-CN"/>
          <w14:textFill>
            <w14:solidFill>
              <w14:schemeClr w14:val="tx1"/>
            </w14:solidFill>
          </w14:textFill>
        </w:rPr>
        <w:t>紧紧围绕《鞍山市国民经济和社会发展第十四个五年规划和二○三五年远景目标纲要》的任务目标和“两翼一体化”的经济发展战略，以《鞍山市“十四五”生态环境规划》为指导，充分发挥台安县生态环境、农业资源和经济发展等优势，整合优势资源，优化空间布局，创新发展模式，丰富政策供给，形成台安县加强生态环境建设的指导思想、工作原则、任务目标和实施保障措施，为加快推进绿色低碳经济体系建设指明方向。</w:t>
      </w:r>
    </w:p>
    <w:p>
      <w:pPr>
        <w:pStyle w:val="4"/>
        <w:numPr>
          <w:ilvl w:val="1"/>
          <w:numId w:val="0"/>
        </w:numPr>
        <w:bidi w:val="0"/>
        <w:ind w:leftChars="0"/>
        <w:jc w:val="center"/>
        <w:rPr>
          <w:rFonts w:hint="eastAsia"/>
          <w:color w:val="000000" w:themeColor="text1"/>
          <w:lang w:eastAsia="zh-CN"/>
          <w14:textFill>
            <w14:solidFill>
              <w14:schemeClr w14:val="tx1"/>
            </w14:solidFill>
          </w14:textFill>
        </w:rPr>
      </w:pPr>
      <w:bookmarkStart w:id="3" w:name="_Toc8404"/>
      <w:r>
        <w:rPr>
          <w:rFonts w:hint="eastAsia"/>
          <w:color w:val="000000" w:themeColor="text1"/>
          <w:lang w:eastAsia="zh-CN"/>
          <w14:textFill>
            <w14:solidFill>
              <w14:schemeClr w14:val="tx1"/>
            </w14:solidFill>
          </w14:textFill>
        </w:rPr>
        <w:t>第三节</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编制依据</w:t>
      </w:r>
      <w:bookmarkEnd w:id="3"/>
    </w:p>
    <w:p>
      <w:pPr>
        <w:bidi w:val="0"/>
        <w:ind w:firstLine="602" w:firstLineChars="200"/>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上位规划：</w:t>
      </w:r>
    </w:p>
    <w:p>
      <w:pPr>
        <w:numPr>
          <w:ilvl w:val="0"/>
          <w:numId w:val="0"/>
        </w:num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（1）《中华人民中共和国国民经济和社会发展第十四个五年规划和二○三五年远景目标纲要》。</w:t>
      </w:r>
    </w:p>
    <w:p>
      <w:pPr>
        <w:numPr>
          <w:ilvl w:val="0"/>
          <w:numId w:val="0"/>
        </w:num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（2）《“十四五”全国农业绿色发展规划》。</w:t>
      </w:r>
    </w:p>
    <w:p>
      <w:pPr>
        <w:numPr>
          <w:ilvl w:val="0"/>
          <w:numId w:val="0"/>
        </w:num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（3）《“十四五”城镇污水处理及资源化利用发展规划》。</w:t>
      </w:r>
    </w:p>
    <w:p>
      <w:pPr>
        <w:numPr>
          <w:ilvl w:val="0"/>
          <w:numId w:val="0"/>
        </w:num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（4）《“十四五”循环经济发展规划》。</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（5）《全国主体功能区规划》。</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（6）《“十四五”土壤、地下水和农村生态环境保护规划》。</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（7）《辽宁省主体功能区规划》。</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（8）《辽宁省国民经济和社会发展第十四个五年规划和二○三五年远景目标纲要》。</w:t>
      </w:r>
    </w:p>
    <w:p>
      <w:pPr>
        <w:pStyle w:val="2"/>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（9）《辽宁省“十四五”生态环境保护规划》（辽政办发【2022】6号）。</w:t>
      </w:r>
    </w:p>
    <w:p>
      <w:pPr>
        <w:pStyle w:val="2"/>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（10）辽宁省人民政府办公厅《关于印发辽宁省“十四五”生态经济发展规划的通知》（辽政办发【2022】3号）。</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（11）《鞍山市国民经济和社会发展第十四个五年规划和二○三五年远景目标纲要》。</w:t>
      </w:r>
    </w:p>
    <w:p>
      <w:pPr>
        <w:keepNext w:val="0"/>
        <w:keepLines w:val="0"/>
        <w:pageBreakBefore w:val="0"/>
        <w:widowControl w:val="0"/>
        <w:numPr>
          <w:ilvl w:val="0"/>
          <w:numId w:val="0"/>
        </w:numPr>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zh-CN"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12</w:t>
      </w:r>
      <w:r>
        <w:rPr>
          <w:rFonts w:hint="eastAsia" w:ascii="仿宋" w:hAnsi="仿宋" w:eastAsia="仿宋" w:cs="仿宋"/>
          <w:color w:val="000000" w:themeColor="text1"/>
          <w:sz w:val="30"/>
          <w:szCs w:val="30"/>
          <w:lang w:val="zh-CN" w:eastAsia="zh-CN"/>
          <w14:textFill>
            <w14:solidFill>
              <w14:schemeClr w14:val="tx1"/>
            </w14:solidFill>
          </w14:textFill>
        </w:rPr>
        <w:t>）《鞍山市“十四五”生态环境保护规划》</w:t>
      </w:r>
      <w:r>
        <w:rPr>
          <w:rFonts w:hint="eastAsia" w:ascii="仿宋" w:hAnsi="仿宋" w:eastAsia="仿宋" w:cs="仿宋"/>
          <w:color w:val="000000" w:themeColor="text1"/>
          <w:sz w:val="30"/>
          <w:szCs w:val="30"/>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pacing w:line="360" w:lineRule="auto"/>
        <w:ind w:firstLine="602" w:firstLineChars="200"/>
        <w:textAlignment w:val="auto"/>
        <w:rPr>
          <w:rFonts w:hint="eastAsia" w:ascii="仿宋" w:hAnsi="仿宋" w:eastAsia="仿宋" w:cs="仿宋"/>
          <w:b/>
          <w:bCs/>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相关法规与文件：</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（1）《中华人民共和国环境保护法》。</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（2）《中华人民共和国大气污染防治法》。</w:t>
      </w:r>
    </w:p>
    <w:p>
      <w:pPr>
        <w:keepNext w:val="0"/>
        <w:keepLines w:val="0"/>
        <w:pageBreakBefore w:val="0"/>
        <w:widowControl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（3）《中华人民共和国水污染防治法》。</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（4）《中华人民共和国土壤污染防治法》。</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（5）《中华人民共和国固体废物污染环境防治法》。</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（6）《中华人民共和国环境噪声污染防治法》。</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（7）《中华人民共和国清洁生产促进法》。</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（8）《中华人民共和国防沙治沙法》。</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（9）《国务院关于加快建立健全绿色低碳循环发展经济体系的指导意见》（2021）。</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（10）《关于推动城乡建设绿色发展的意见》（中共中央办公厅、国务院办公厅）。</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（11）《关于完整准确全面贯彻新发展理念做好碳达峰碳中和工作的意见》（中共中央、国务院）。</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（12）《关于深入打好污染防治攻坚战的意见》（中共中央、国务院）。</w:t>
      </w:r>
    </w:p>
    <w:p>
      <w:pPr>
        <w:numPr>
          <w:ilvl w:val="0"/>
          <w:numId w:val="0"/>
        </w:numPr>
        <w:bidi w:val="0"/>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（13）《“十四五”全国清洁生产推行方案》。</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（14）《农村人居环境整治提升五年行动方案（2021-205年）》。</w:t>
      </w:r>
    </w:p>
    <w:p>
      <w:pPr>
        <w:numPr>
          <w:ilvl w:val="0"/>
          <w:numId w:val="0"/>
        </w:numPr>
        <w:bidi w:val="0"/>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（15）《“十四五”时期“无废城市”建设工作方案》。</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（16）《辽宁省大气污染防治条例》（2020年3月30日修正）。</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（17）《辽宁省水污染防治条例》。</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（18）《辽宁省环境保护条例》（辽宁省人大常委会公告79号）。</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（19）《鞍山市环境保护条例》（鞍山市人大常委会公告第9号）。</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（20）《关于印发辽宁省工业炉窑大气污染物综合治理实施方案的函》（辽环函【2020】29号）。</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（21）《关于印发辽宁省“散、乱、污”企业及集群综合治理工作方案的函》（辽环函【2019】254号）。</w:t>
      </w:r>
    </w:p>
    <w:p>
      <w:pPr>
        <w:pStyle w:val="2"/>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（22）《辽宁省建设用地土壤污染风险管控和修复管理办法（试行）》。</w:t>
      </w:r>
    </w:p>
    <w:p>
      <w:pPr>
        <w:pStyle w:val="3"/>
        <w:bidi w:val="0"/>
        <w:jc w:val="center"/>
        <w:rPr>
          <w:rFonts w:hint="eastAsia"/>
          <w:color w:val="000000" w:themeColor="text1"/>
          <w:sz w:val="36"/>
          <w:szCs w:val="36"/>
          <w:lang w:eastAsia="zh-CN"/>
          <w14:textFill>
            <w14:solidFill>
              <w14:schemeClr w14:val="tx1"/>
            </w14:solidFill>
          </w14:textFill>
        </w:rPr>
      </w:pPr>
      <w:bookmarkStart w:id="4" w:name="_Toc537"/>
      <w:r>
        <w:rPr>
          <w:rFonts w:hint="eastAsia"/>
          <w:color w:val="000000" w:themeColor="text1"/>
          <w:sz w:val="36"/>
          <w:szCs w:val="36"/>
          <w:lang w:eastAsia="zh-CN"/>
          <w14:textFill>
            <w14:solidFill>
              <w14:schemeClr w14:val="tx1"/>
            </w14:solidFill>
          </w14:textFill>
        </w:rPr>
        <w:t>第二章</w:t>
      </w:r>
      <w:r>
        <w:rPr>
          <w:rFonts w:hint="eastAsia"/>
          <w:color w:val="000000" w:themeColor="text1"/>
          <w:sz w:val="36"/>
          <w:szCs w:val="36"/>
          <w:lang w:val="en-US" w:eastAsia="zh-CN"/>
          <w14:textFill>
            <w14:solidFill>
              <w14:schemeClr w14:val="tx1"/>
            </w14:solidFill>
          </w14:textFill>
        </w:rPr>
        <w:t xml:space="preserve"> </w:t>
      </w:r>
      <w:r>
        <w:rPr>
          <w:rFonts w:hint="eastAsia"/>
          <w:color w:val="000000" w:themeColor="text1"/>
          <w:sz w:val="36"/>
          <w:szCs w:val="36"/>
          <w:lang w:eastAsia="zh-CN"/>
          <w14:textFill>
            <w14:solidFill>
              <w14:schemeClr w14:val="tx1"/>
            </w14:solidFill>
          </w14:textFill>
        </w:rPr>
        <w:t>“十三五”生态环境保护成效</w:t>
      </w:r>
      <w:bookmarkEnd w:id="4"/>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十三五”时期，台安县坚持以习近平新时代中国特色社会主义思想为指导，全面贯彻落实党的十九大和十九届二中、三中、四中、五中全会精神，深入贯彻习近平总书记关于东北、辽宁振兴发展的重要讲话和指示精神，以生态文明建设为统领，以改善水、空气、土壤环境质量为根本任务，以保障全市饮用水安全为重中之重，积极开展农村环境综合整治，加大对环境违法行为执法力度，改革创新，攻克难点，坚定不移打好</w:t>
      </w:r>
      <w:r>
        <w:rPr>
          <w:rFonts w:hint="eastAsia" w:ascii="仿宋" w:hAnsi="仿宋" w:eastAsia="仿宋" w:cs="仿宋"/>
          <w:color w:val="000000" w:themeColor="text1"/>
          <w:sz w:val="30"/>
          <w:szCs w:val="30"/>
          <w:lang w:eastAsia="zh-CN"/>
          <w14:textFill>
            <w14:solidFill>
              <w14:schemeClr w14:val="tx1"/>
            </w14:solidFill>
          </w14:textFill>
        </w:rPr>
        <w:fldChar w:fldCharType="begin"/>
      </w:r>
      <w:r>
        <w:rPr>
          <w:rFonts w:hint="eastAsia" w:ascii="仿宋" w:hAnsi="仿宋" w:eastAsia="仿宋" w:cs="仿宋"/>
          <w:color w:val="000000" w:themeColor="text1"/>
          <w:sz w:val="30"/>
          <w:szCs w:val="30"/>
          <w:lang w:eastAsia="zh-CN"/>
          <w14:textFill>
            <w14:solidFill>
              <w14:schemeClr w14:val="tx1"/>
            </w14:solidFill>
          </w14:textFill>
        </w:rPr>
        <w:instrText xml:space="preserve"> HYPERLINK "https://daqi.bjx.com.cn/zt.asp?topic=%ce%db%c8%be%b7%c0%d6%ce" \o "污染防治新闻专题" \t "https://huanbao.bjx.com.cn/news/20210319/_blank" </w:instrText>
      </w:r>
      <w:r>
        <w:rPr>
          <w:rFonts w:hint="eastAsia" w:ascii="仿宋" w:hAnsi="仿宋" w:eastAsia="仿宋" w:cs="仿宋"/>
          <w:color w:val="000000" w:themeColor="text1"/>
          <w:sz w:val="30"/>
          <w:szCs w:val="30"/>
          <w:lang w:eastAsia="zh-CN"/>
          <w14:textFill>
            <w14:solidFill>
              <w14:schemeClr w14:val="tx1"/>
            </w14:solidFill>
          </w14:textFill>
        </w:rPr>
        <w:fldChar w:fldCharType="separate"/>
      </w:r>
      <w:r>
        <w:rPr>
          <w:rFonts w:hint="eastAsia" w:ascii="仿宋" w:hAnsi="仿宋" w:eastAsia="仿宋" w:cs="仿宋"/>
          <w:color w:val="000000" w:themeColor="text1"/>
          <w:sz w:val="30"/>
          <w:szCs w:val="30"/>
          <w:lang w:eastAsia="zh-CN"/>
          <w14:textFill>
            <w14:solidFill>
              <w14:schemeClr w14:val="tx1"/>
            </w14:solidFill>
          </w14:textFill>
        </w:rPr>
        <w:t>污染防治</w:t>
      </w:r>
      <w:r>
        <w:rPr>
          <w:rFonts w:hint="eastAsia" w:ascii="仿宋" w:hAnsi="仿宋" w:eastAsia="仿宋" w:cs="仿宋"/>
          <w:color w:val="000000" w:themeColor="text1"/>
          <w:sz w:val="30"/>
          <w:szCs w:val="30"/>
          <w:lang w:eastAsia="zh-CN"/>
          <w14:textFill>
            <w14:solidFill>
              <w14:schemeClr w14:val="tx1"/>
            </w14:solidFill>
          </w14:textFill>
        </w:rPr>
        <w:fldChar w:fldCharType="end"/>
      </w:r>
      <w:r>
        <w:rPr>
          <w:rFonts w:hint="eastAsia" w:ascii="仿宋" w:hAnsi="仿宋" w:eastAsia="仿宋" w:cs="仿宋"/>
          <w:color w:val="000000" w:themeColor="text1"/>
          <w:sz w:val="30"/>
          <w:szCs w:val="30"/>
          <w:lang w:eastAsia="zh-CN"/>
          <w14:textFill>
            <w14:solidFill>
              <w14:schemeClr w14:val="tx1"/>
            </w14:solidFill>
          </w14:textFill>
        </w:rPr>
        <w:t>攻坚战。</w:t>
      </w:r>
      <w:r>
        <w:rPr>
          <w:rFonts w:hint="eastAsia" w:ascii="仿宋" w:hAnsi="仿宋" w:eastAsia="仿宋" w:cs="仿宋"/>
          <w:color w:val="000000" w:themeColor="text1"/>
          <w:sz w:val="30"/>
          <w:szCs w:val="30"/>
          <w14:textFill>
            <w14:solidFill>
              <w14:schemeClr w14:val="tx1"/>
            </w14:solidFill>
          </w14:textFill>
        </w:rPr>
        <w:t>二氧化硫、氮氧化物、化学需氧量、氨氮排放量等主要污染物超前超额完成减排目标。</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生态环境质量大幅改善，</w:t>
      </w:r>
      <w:r>
        <w:rPr>
          <w:rFonts w:hint="eastAsia" w:ascii="仿宋" w:hAnsi="仿宋" w:eastAsia="仿宋" w:cs="仿宋"/>
          <w:color w:val="000000" w:themeColor="text1"/>
          <w:sz w:val="30"/>
          <w:szCs w:val="30"/>
          <w:lang w:eastAsia="zh-CN"/>
          <w14:textFill>
            <w14:solidFill>
              <w14:schemeClr w14:val="tx1"/>
            </w14:solidFill>
          </w14:textFill>
        </w:rPr>
        <w:t>生态文明建设和生态环境保护取得显著成效，人民群众生态环境的获得感、幸福感和安全感大幅提升。</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hint="eastAsia" w:ascii="仿宋" w:hAnsi="仿宋" w:eastAsia="仿宋" w:cs="仿宋"/>
          <w:color w:val="000000" w:themeColor="text1"/>
          <w:sz w:val="30"/>
          <w:szCs w:val="30"/>
          <w:shd w:val="clear" w:color="auto" w:fill="FFFFFF"/>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蓝天保卫战取得新成效。实施“三源”整治，强化科技支撑，实施精准治污。实施了</w:t>
      </w:r>
      <w:r>
        <w:rPr>
          <w:rFonts w:hint="eastAsia" w:ascii="仿宋" w:hAnsi="仿宋" w:eastAsia="仿宋" w:cs="仿宋"/>
          <w:color w:val="000000" w:themeColor="text1"/>
          <w:sz w:val="30"/>
          <w:szCs w:val="30"/>
          <w14:textFill>
            <w14:solidFill>
              <w14:schemeClr w14:val="tx1"/>
            </w14:solidFill>
          </w14:textFill>
        </w:rPr>
        <w:t>天然气综合利用和燃煤锅炉特别排放限值提标改造等工程，同时完成了建成区10吨及以下燃煤锅炉取缔、“散乱污”企业整治、重污染天气减排措施修订等工作，开展了秸秆禁烧卫星遥感巡查。全县散乱污企业及集群共计46家，全部完成整治任务。</w:t>
      </w:r>
      <w:r>
        <w:rPr>
          <w:rFonts w:hint="eastAsia" w:ascii="仿宋" w:hAnsi="仿宋" w:eastAsia="仿宋" w:cs="仿宋"/>
          <w:color w:val="000000" w:themeColor="text1"/>
          <w:sz w:val="30"/>
          <w:szCs w:val="30"/>
          <w:lang w:eastAsia="zh-CN"/>
          <w14:textFill>
            <w14:solidFill>
              <w14:schemeClr w14:val="tx1"/>
            </w14:solidFill>
          </w14:textFill>
        </w:rPr>
        <w:t>台安县</w:t>
      </w:r>
      <w:r>
        <w:rPr>
          <w:rFonts w:hint="eastAsia" w:ascii="仿宋" w:hAnsi="仿宋" w:eastAsia="仿宋" w:cs="仿宋"/>
          <w:color w:val="000000" w:themeColor="text1"/>
          <w:sz w:val="30"/>
          <w:szCs w:val="30"/>
          <w:shd w:val="clear" w:color="auto" w:fill="FFFFFF"/>
          <w14:textFill>
            <w14:solidFill>
              <w14:schemeClr w14:val="tx1"/>
            </w14:solidFill>
          </w14:textFill>
        </w:rPr>
        <w:t>2018年空气质量达二级标准天数为3</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30</w:t>
      </w:r>
      <w:r>
        <w:rPr>
          <w:rFonts w:hint="eastAsia" w:ascii="仿宋" w:hAnsi="仿宋" w:eastAsia="仿宋" w:cs="仿宋"/>
          <w:color w:val="000000" w:themeColor="text1"/>
          <w:sz w:val="30"/>
          <w:szCs w:val="30"/>
          <w:shd w:val="clear" w:color="auto" w:fill="FFFFFF"/>
          <w14:textFill>
            <w14:solidFill>
              <w14:schemeClr w14:val="tx1"/>
            </w14:solidFill>
          </w14:textFill>
        </w:rPr>
        <w:t>天</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优良天数比率为</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90.4</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2019年空气质量达二级标准天数为308天</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sz w:val="30"/>
          <w:szCs w:val="30"/>
          <w:shd w:val="clear" w:color="auto" w:fill="FFFFFF"/>
          <w14:textFill>
            <w14:solidFill>
              <w14:schemeClr w14:val="tx1"/>
            </w14:solidFill>
          </w14:textFill>
        </w:rPr>
        <w:t>优良天数比率为</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84.4</w:t>
      </w:r>
      <w:r>
        <w:rPr>
          <w:rFonts w:hint="eastAsia" w:ascii="仿宋" w:hAnsi="仿宋" w:eastAsia="仿宋" w:cs="仿宋"/>
          <w:color w:val="000000" w:themeColor="text1"/>
          <w:sz w:val="30"/>
          <w:szCs w:val="30"/>
          <w:shd w:val="clear" w:color="auto" w:fill="FFFFFF"/>
          <w14:textFill>
            <w14:solidFill>
              <w14:schemeClr w14:val="tx1"/>
            </w14:solidFill>
          </w14:textFill>
        </w:rPr>
        <w:t>%</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。均</w:t>
      </w:r>
      <w:r>
        <w:rPr>
          <w:rFonts w:hint="eastAsia" w:ascii="仿宋" w:hAnsi="仿宋" w:eastAsia="仿宋" w:cs="仿宋"/>
          <w:color w:val="000000" w:themeColor="text1"/>
          <w:sz w:val="30"/>
          <w:szCs w:val="30"/>
          <w:shd w:val="clear" w:color="auto" w:fill="FFFFFF"/>
          <w14:textFill>
            <w14:solidFill>
              <w14:schemeClr w14:val="tx1"/>
            </w14:solidFill>
          </w14:textFill>
        </w:rPr>
        <w:t>优于时序进度（“十三五”</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市级</w:t>
      </w:r>
      <w:r>
        <w:rPr>
          <w:rFonts w:hint="eastAsia" w:ascii="仿宋" w:hAnsi="仿宋" w:eastAsia="仿宋" w:cs="仿宋"/>
          <w:color w:val="000000" w:themeColor="text1"/>
          <w:sz w:val="30"/>
          <w:szCs w:val="30"/>
          <w:shd w:val="clear" w:color="auto" w:fill="FFFFFF"/>
          <w14:textFill>
            <w14:solidFill>
              <w14:schemeClr w14:val="tx1"/>
            </w14:solidFill>
          </w14:textFill>
        </w:rPr>
        <w:t>总目标</w:t>
      </w:r>
      <w:r>
        <w:rPr>
          <w:rFonts w:hint="eastAsia" w:ascii="仿宋" w:hAnsi="仿宋" w:eastAsia="仿宋" w:cs="仿宋"/>
          <w:color w:val="000000" w:themeColor="text1"/>
          <w:sz w:val="30"/>
          <w:szCs w:val="30"/>
          <w:shd w:val="clear" w:color="auto" w:fill="FFFFFF"/>
          <w:lang w:val="en-US" w:eastAsia="zh-CN"/>
          <w14:textFill>
            <w14:solidFill>
              <w14:schemeClr w14:val="tx1"/>
            </w14:solidFill>
          </w14:textFill>
        </w:rPr>
        <w:t>69.6</w:t>
      </w:r>
      <w:r>
        <w:rPr>
          <w:rFonts w:hint="eastAsia" w:ascii="仿宋" w:hAnsi="仿宋" w:eastAsia="仿宋" w:cs="仿宋"/>
          <w:color w:val="000000" w:themeColor="text1"/>
          <w:sz w:val="30"/>
          <w:szCs w:val="30"/>
          <w:shd w:val="clear" w:color="auto" w:fill="FFFFFF"/>
          <w14:textFill>
            <w14:solidFill>
              <w14:schemeClr w14:val="tx1"/>
            </w14:solidFill>
          </w14:textFill>
        </w:rPr>
        <w:t>%）的改善目标</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hint="eastAsia" w:ascii="仿宋" w:hAnsi="仿宋" w:eastAsia="仿宋" w:cs="仿宋"/>
          <w:color w:val="000000" w:themeColor="text1"/>
          <w:sz w:val="30"/>
          <w:szCs w:val="30"/>
          <w:shd w:val="clear" w:color="auto" w:fill="FFFFFF"/>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碧水保卫战实现新突破。</w:t>
      </w:r>
      <w:r>
        <w:rPr>
          <w:rFonts w:hint="eastAsia" w:ascii="仿宋" w:hAnsi="仿宋" w:eastAsia="仿宋" w:cs="仿宋"/>
          <w:color w:val="000000" w:themeColor="text1"/>
          <w:sz w:val="30"/>
          <w:szCs w:val="30"/>
          <w14:textFill>
            <w14:solidFill>
              <w14:schemeClr w14:val="tx1"/>
            </w14:solidFill>
          </w14:textFill>
        </w:rPr>
        <w:t>坚持工业源、城市生活源和农业源“三源齐控”，强化工程</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管理措施。</w:t>
      </w:r>
      <w:r>
        <w:rPr>
          <w:rFonts w:hint="eastAsia" w:ascii="仿宋" w:hAnsi="仿宋" w:eastAsia="仿宋" w:cs="仿宋"/>
          <w:color w:val="000000" w:themeColor="text1"/>
          <w:sz w:val="30"/>
          <w:szCs w:val="30"/>
          <w:lang w:eastAsia="zh-CN"/>
          <w14:textFill>
            <w14:solidFill>
              <w14:schemeClr w14:val="tx1"/>
            </w14:solidFill>
          </w14:textFill>
        </w:rPr>
        <w:t>实施了</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台安高力房镇城镇污水管网二期建设项目、</w:t>
      </w:r>
      <w:r>
        <w:rPr>
          <w:rFonts w:hint="eastAsia" w:ascii="仿宋" w:hAnsi="仿宋" w:eastAsia="仿宋" w:cs="仿宋"/>
          <w:color w:val="000000" w:themeColor="text1"/>
          <w:sz w:val="30"/>
          <w:szCs w:val="30"/>
          <w:highlight w:val="none"/>
          <w:lang w:val="en-US" w:eastAsia="zh-CN"/>
          <w14:textFill>
            <w14:solidFill>
              <w14:schemeClr w14:val="tx1"/>
            </w14:solidFill>
          </w14:textFill>
        </w:rPr>
        <w:t>辽宁台安经济开发区污水处理厂建设项目、台安县农高区污水处理厂建设项目与台安镇污水处理厂提标改造项目，切实解决水质污染问题，</w:t>
      </w:r>
      <w:r>
        <w:rPr>
          <w:rFonts w:hint="eastAsia" w:ascii="仿宋" w:hAnsi="仿宋" w:eastAsia="仿宋" w:cs="仿宋"/>
          <w:color w:val="000000" w:themeColor="text1"/>
          <w:sz w:val="30"/>
          <w:szCs w:val="30"/>
          <w:shd w:val="clear" w:color="auto" w:fill="FFFFFF"/>
          <w14:textFill>
            <w14:solidFill>
              <w14:schemeClr w14:val="tx1"/>
            </w14:solidFill>
          </w14:textFill>
        </w:rPr>
        <w:t>丁家柳河桥出市断面年均值达到V类标准</w:t>
      </w: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集中式饮用水水源地水质达标率100%。</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jc w:val="left"/>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2019年，台安县完成了四项主要污染物总量减排任务，</w:t>
      </w:r>
      <w:r>
        <w:rPr>
          <w:rFonts w:hint="eastAsia" w:ascii="仿宋" w:hAnsi="仿宋" w:eastAsia="仿宋" w:cs="仿宋"/>
          <w:b w:val="0"/>
          <w:bCs w:val="0"/>
          <w:color w:val="000000" w:themeColor="text1"/>
          <w:sz w:val="30"/>
          <w:szCs w:val="30"/>
          <w:highlight w:val="none"/>
          <w:u w:val="none"/>
          <w:vertAlign w:val="baseline"/>
          <w:lang w:val="en-US" w:eastAsia="zh-CN"/>
          <w14:textFill>
            <w14:solidFill>
              <w14:schemeClr w14:val="tx1"/>
            </w14:solidFill>
          </w14:textFill>
        </w:rPr>
        <w:t>削减化学需氧量3512.94吨、氨氮223.47吨、二氧化硫791.15吨、氮氧化物263.67吨，提前1年超额完成了“十三五”减排任务。</w:t>
      </w:r>
    </w:p>
    <w:p>
      <w:pPr>
        <w:keepNext w:val="0"/>
        <w:keepLines w:val="0"/>
        <w:pageBreakBefore w:val="0"/>
        <w:widowControl w:val="0"/>
        <w:kinsoku/>
        <w:wordWrap/>
        <w:overflowPunct/>
        <w:topLinePunct w:val="0"/>
        <w:autoSpaceDE/>
        <w:autoSpaceDN/>
        <w:bidi w:val="0"/>
        <w:adjustRightInd w:val="0"/>
        <w:snapToGrid w:val="0"/>
        <w:spacing w:line="36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shd w:val="clear" w:color="auto" w:fill="FFFFFF"/>
          <w:lang w:eastAsia="zh-CN"/>
          <w14:textFill>
            <w14:solidFill>
              <w14:schemeClr w14:val="tx1"/>
            </w14:solidFill>
          </w14:textFill>
        </w:rPr>
        <w:t>净土保卫战取得新进展。</w:t>
      </w:r>
      <w:r>
        <w:rPr>
          <w:rFonts w:hint="eastAsia" w:ascii="仿宋" w:hAnsi="仿宋" w:eastAsia="仿宋" w:cs="仿宋"/>
          <w:color w:val="000000" w:themeColor="text1"/>
          <w:sz w:val="30"/>
          <w:szCs w:val="30"/>
          <w14:textFill>
            <w14:solidFill>
              <w14:schemeClr w14:val="tx1"/>
            </w14:solidFill>
          </w14:textFill>
        </w:rPr>
        <w:t>完成22个废油泥(渣)坑塘危废清运和污染土壤处置工作。累计清运危险废物约13万吨，已完成污染土清运处置约15500立方米，目前坑体土壤全部达标。</w:t>
      </w:r>
      <w:r>
        <w:rPr>
          <w:rFonts w:hint="eastAsia" w:ascii="仿宋" w:hAnsi="仿宋" w:eastAsia="仿宋" w:cs="仿宋"/>
          <w:color w:val="000000" w:themeColor="text1"/>
          <w:sz w:val="30"/>
          <w:szCs w:val="30"/>
          <w:lang w:eastAsia="zh-CN"/>
          <w14:textFill>
            <w14:solidFill>
              <w14:schemeClr w14:val="tx1"/>
            </w14:solidFill>
          </w14:textFill>
        </w:rPr>
        <w:t>新建</w:t>
      </w:r>
      <w:r>
        <w:rPr>
          <w:rFonts w:hint="eastAsia" w:ascii="仿宋" w:hAnsi="仿宋" w:eastAsia="仿宋" w:cs="仿宋"/>
          <w:color w:val="000000" w:themeColor="text1"/>
          <w:sz w:val="30"/>
          <w:szCs w:val="30"/>
          <w:highlight w:val="none"/>
          <w:lang w:val="en-US" w:eastAsia="zh-CN"/>
          <w14:textFill>
            <w14:solidFill>
              <w14:schemeClr w14:val="tx1"/>
            </w14:solidFill>
          </w14:textFill>
        </w:rPr>
        <w:t>台安虹光医疗废物处置中心，</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处理能力为2万吨/年。</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美丽乡村建设与农村生态环境整治取得阶段性成果。</w:t>
      </w:r>
      <w:r>
        <w:rPr>
          <w:rFonts w:hint="eastAsia" w:ascii="仿宋" w:hAnsi="仿宋" w:eastAsia="仿宋" w:cs="仿宋"/>
          <w:color w:val="000000" w:themeColor="text1"/>
          <w:sz w:val="30"/>
          <w:szCs w:val="30"/>
          <w14:textFill>
            <w14:solidFill>
              <w14:schemeClr w14:val="tx1"/>
            </w14:solidFill>
          </w14:textFill>
        </w:rPr>
        <w:t>完成了畜禽禁养区划定和禁养区养殖企业关闭或搬迁工作</w:t>
      </w:r>
      <w:r>
        <w:rPr>
          <w:rFonts w:hint="eastAsia" w:ascii="仿宋" w:hAnsi="仿宋" w:eastAsia="仿宋" w:cs="仿宋"/>
          <w:color w:val="000000" w:themeColor="text1"/>
          <w:sz w:val="30"/>
          <w:szCs w:val="30"/>
          <w:lang w:eastAsia="zh-CN"/>
          <w14:textFill>
            <w14:solidFill>
              <w14:schemeClr w14:val="tx1"/>
            </w14:solidFill>
          </w14:textFill>
        </w:rPr>
        <w:t>，实施了</w:t>
      </w:r>
      <w:r>
        <w:rPr>
          <w:rFonts w:hint="eastAsia" w:ascii="仿宋" w:hAnsi="仿宋" w:eastAsia="仿宋" w:cs="仿宋"/>
          <w:b w:val="0"/>
          <w:bCs w:val="0"/>
          <w:color w:val="000000" w:themeColor="text1"/>
          <w:sz w:val="30"/>
          <w:szCs w:val="30"/>
          <w:highlight w:val="none"/>
          <w:lang w:val="en-US" w:eastAsia="zh-CN"/>
          <w14:textFill>
            <w14:solidFill>
              <w14:schemeClr w14:val="tx1"/>
            </w14:solidFill>
          </w14:textFill>
        </w:rPr>
        <w:t>台安高力房镇蒲河河道生态治理及下游污水处理二期项目、</w:t>
      </w:r>
      <w:r>
        <w:rPr>
          <w:rFonts w:hint="eastAsia" w:ascii="仿宋" w:hAnsi="仿宋" w:eastAsia="仿宋" w:cs="仿宋"/>
          <w:color w:val="000000" w:themeColor="text1"/>
          <w:sz w:val="30"/>
          <w:szCs w:val="30"/>
          <w:highlight w:val="none"/>
          <w:lang w:val="en-US" w:eastAsia="zh-CN"/>
          <w14:textFill>
            <w14:solidFill>
              <w14:schemeClr w14:val="tx1"/>
            </w14:solidFill>
          </w14:textFill>
        </w:rPr>
        <w:t>韭菜台镇生活垃圾处理项目，改善并美化亮化了农村环境。</w:t>
      </w:r>
      <w:r>
        <w:rPr>
          <w:rFonts w:hint="eastAsia" w:ascii="仿宋" w:hAnsi="仿宋" w:eastAsia="仿宋" w:cs="仿宋"/>
          <w:color w:val="000000" w:themeColor="text1"/>
          <w:sz w:val="30"/>
          <w:szCs w:val="30"/>
          <w:lang w:eastAsia="zh-CN"/>
          <w14:textFill>
            <w14:solidFill>
              <w14:schemeClr w14:val="tx1"/>
            </w14:solidFill>
          </w14:textFill>
        </w:rPr>
        <w:t>厕所革命初见成效。</w:t>
      </w:r>
      <w:r>
        <w:rPr>
          <w:rFonts w:hint="eastAsia" w:ascii="仿宋" w:hAnsi="仿宋" w:eastAsia="仿宋" w:cs="仿宋"/>
          <w:b w:val="0"/>
          <w:bCs w:val="0"/>
          <w:color w:val="000000" w:themeColor="text1"/>
          <w:sz w:val="30"/>
          <w:szCs w:val="30"/>
          <w:lang w:val="en-US" w:eastAsia="zh-CN"/>
          <w14:textFill>
            <w14:solidFill>
              <w14:schemeClr w14:val="tx1"/>
            </w14:solidFill>
          </w14:textFill>
        </w:rPr>
        <w:t>农村生活污水集中收集处理项目涉及10个镇场17个行政村5085户，惠及人口2.6万人。配套安装水冲厕所5085户，安装小型一体化污水处理设备128套，污水总处理规模为915吨/日，处理后出水水质可达到城镇污水处理厂污染物排放标准（GB18918）一级B 标准。</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环境安全总体平稳。以“一废一品一库”为重点，持续开展环境风险隐患排查治理行动</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完成59家重点行业企业突发环境应急预案。</w:t>
      </w:r>
    </w:p>
    <w:p>
      <w:pPr>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科技创新与绿色转型成效显著。台安农业高新技术产业园晋升为省级经济开发区。产学研协同发展取得显著成绩，以钢铁、装备制造为“一翼”的传统产业优化升级成效显著。清洁生产普及率明显提高，节能减排取得明显成效，能源结构进一步优化，实现煤炭用量负增长与风电、光伏零突破。</w:t>
      </w:r>
    </w:p>
    <w:p>
      <w:pPr>
        <w:pStyle w:val="2"/>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000000" w:themeColor="text1"/>
          <w:spacing w:val="0"/>
          <w:kern w:val="0"/>
          <w:sz w:val="30"/>
          <w:szCs w:val="30"/>
          <w:shd w:val="clear" w:color="auto" w:fill="FFFFFF"/>
          <w:lang w:val="en-US" w:eastAsia="zh-CN" w:bidi="ar"/>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建立健全</w:t>
      </w:r>
      <w:r>
        <w:rPr>
          <w:rFonts w:hint="eastAsia" w:ascii="仿宋" w:hAnsi="仿宋" w:eastAsia="仿宋" w:cs="仿宋"/>
          <w:color w:val="000000" w:themeColor="text1"/>
          <w:sz w:val="30"/>
          <w:szCs w:val="30"/>
          <w14:textFill>
            <w14:solidFill>
              <w14:schemeClr w14:val="tx1"/>
            </w14:solidFill>
          </w14:textFill>
        </w:rPr>
        <w:t>机制体制。</w:t>
      </w:r>
      <w:r>
        <w:rPr>
          <w:rFonts w:hint="eastAsia" w:ascii="仿宋" w:hAnsi="仿宋" w:eastAsia="仿宋" w:cs="仿宋"/>
          <w:color w:val="000000" w:themeColor="text1"/>
          <w:sz w:val="30"/>
          <w:szCs w:val="30"/>
          <w:lang w:val="en-US" w:eastAsia="zh-CN"/>
          <w14:textFill>
            <w14:solidFill>
              <w14:schemeClr w14:val="tx1"/>
            </w14:solidFill>
          </w14:textFill>
        </w:rPr>
        <w:t>推行</w:t>
      </w:r>
      <w:r>
        <w:rPr>
          <w:rFonts w:hint="eastAsia" w:ascii="仿宋" w:hAnsi="仿宋" w:eastAsia="仿宋" w:cs="仿宋"/>
          <w:i w:val="0"/>
          <w:caps w:val="0"/>
          <w:color w:val="000000" w:themeColor="text1"/>
          <w:spacing w:val="0"/>
          <w:kern w:val="0"/>
          <w:sz w:val="30"/>
          <w:szCs w:val="30"/>
          <w:shd w:val="clear" w:color="auto" w:fill="FFFFFF"/>
          <w:lang w:val="en-US" w:eastAsia="zh-CN" w:bidi="ar"/>
          <w14:textFill>
            <w14:solidFill>
              <w14:schemeClr w14:val="tx1"/>
            </w14:solidFill>
          </w14:textFill>
        </w:rPr>
        <w:t>环评审批服务事项“网上办”和“不见面”审批，大力服务全县经济建设，做好项目服务。鼓励审查人员采取电话、邮件、微信等方式与企业、环评编制单位进行沟通，提供技术指导等便捷服务，对符合产业政策的项目审批，环评报告书、报告表的审批时限缩短为25工作日、10工作日。</w:t>
      </w:r>
    </w:p>
    <w:p>
      <w:pPr>
        <w:pStyle w:val="2"/>
        <w:keepNext w:val="0"/>
        <w:keepLines w:val="0"/>
        <w:pageBreakBefore w:val="0"/>
        <w:widowControl w:val="0"/>
        <w:kinsoku/>
        <w:wordWrap/>
        <w:overflowPunct/>
        <w:topLinePunct w:val="0"/>
        <w:autoSpaceDE/>
        <w:autoSpaceDN/>
        <w:bidi w:val="0"/>
        <w:spacing w:line="360" w:lineRule="auto"/>
        <w:ind w:firstLine="600" w:firstLineChars="200"/>
        <w:textAlignment w:val="auto"/>
        <w:rPr>
          <w:rFonts w:hint="eastAsia" w:ascii="仿宋" w:hAnsi="仿宋" w:eastAsia="仿宋" w:cs="仿宋"/>
          <w:i w:val="0"/>
          <w:caps w:val="0"/>
          <w:color w:val="000000" w:themeColor="text1"/>
          <w:spacing w:val="0"/>
          <w:kern w:val="0"/>
          <w:sz w:val="30"/>
          <w:szCs w:val="30"/>
          <w:shd w:val="clear" w:color="auto" w:fill="FFFFFF"/>
          <w:lang w:val="en-US" w:eastAsia="zh-CN" w:bidi="ar"/>
          <w14:textFill>
            <w14:solidFill>
              <w14:schemeClr w14:val="tx1"/>
            </w14:solidFill>
          </w14:textFill>
        </w:rPr>
      </w:pPr>
    </w:p>
    <w:p>
      <w:pPr>
        <w:pStyle w:val="3"/>
        <w:bidi w:val="0"/>
        <w:jc w:val="center"/>
        <w:rPr>
          <w:rFonts w:hint="eastAsia"/>
          <w:sz w:val="36"/>
          <w:szCs w:val="36"/>
          <w:lang w:eastAsia="zh-CN"/>
        </w:rPr>
      </w:pPr>
      <w:bookmarkStart w:id="5" w:name="_Toc17036"/>
      <w:r>
        <w:rPr>
          <w:rFonts w:hint="eastAsia"/>
          <w:sz w:val="36"/>
          <w:szCs w:val="36"/>
          <w:lang w:eastAsia="zh-CN"/>
        </w:rPr>
        <w:t>第三章</w:t>
      </w:r>
      <w:r>
        <w:rPr>
          <w:rFonts w:hint="eastAsia"/>
          <w:sz w:val="36"/>
          <w:szCs w:val="36"/>
          <w:lang w:val="en-US" w:eastAsia="zh-CN"/>
        </w:rPr>
        <w:t xml:space="preserve"> </w:t>
      </w:r>
      <w:r>
        <w:rPr>
          <w:rFonts w:hint="eastAsia"/>
          <w:sz w:val="36"/>
          <w:szCs w:val="36"/>
          <w:lang w:eastAsia="zh-CN"/>
        </w:rPr>
        <w:t>“十四五”生态环境保护面临的机遇和挑战</w:t>
      </w:r>
      <w:bookmarkEnd w:id="5"/>
    </w:p>
    <w:p>
      <w:pPr>
        <w:pStyle w:val="4"/>
        <w:numPr>
          <w:ilvl w:val="1"/>
          <w:numId w:val="0"/>
        </w:numPr>
        <w:bidi w:val="0"/>
        <w:ind w:leftChars="0"/>
        <w:jc w:val="center"/>
        <w:rPr>
          <w:rFonts w:hint="eastAsia"/>
          <w:lang w:eastAsia="zh-CN"/>
        </w:rPr>
      </w:pPr>
      <w:bookmarkStart w:id="6" w:name="_Toc8286"/>
      <w:r>
        <w:rPr>
          <w:rFonts w:hint="eastAsia"/>
          <w:lang w:eastAsia="zh-CN"/>
        </w:rPr>
        <w:t>第一节</w:t>
      </w:r>
      <w:r>
        <w:rPr>
          <w:rFonts w:hint="eastAsia"/>
          <w:lang w:val="en-US" w:eastAsia="zh-CN"/>
        </w:rPr>
        <w:t xml:space="preserve"> </w:t>
      </w:r>
      <w:r>
        <w:rPr>
          <w:rFonts w:hint="eastAsia"/>
          <w:lang w:eastAsia="zh-CN"/>
        </w:rPr>
        <w:t>“十四五”生态环境保护总体态势研判</w:t>
      </w:r>
      <w:bookmarkEnd w:id="6"/>
    </w:p>
    <w:p>
      <w:pPr>
        <w:pStyle w:val="5"/>
        <w:bidi w:val="0"/>
        <w:ind w:firstLine="602" w:firstLineChars="200"/>
        <w:rPr>
          <w:rFonts w:hint="eastAsia" w:ascii="仿宋" w:hAnsi="仿宋" w:eastAsia="仿宋" w:cs="仿宋"/>
          <w:sz w:val="30"/>
          <w:szCs w:val="30"/>
          <w:lang w:eastAsia="zh-CN"/>
        </w:rPr>
      </w:pPr>
      <w:bookmarkStart w:id="7" w:name="_Toc1435"/>
      <w:r>
        <w:rPr>
          <w:rFonts w:hint="eastAsia" w:ascii="仿宋" w:hAnsi="仿宋" w:eastAsia="仿宋" w:cs="仿宋"/>
          <w:sz w:val="30"/>
          <w:szCs w:val="30"/>
          <w:lang w:eastAsia="zh-CN"/>
        </w:rPr>
        <w:t>一、碳达峰、碳中和是庄严承诺</w:t>
      </w:r>
      <w:bookmarkEnd w:id="7"/>
    </w:p>
    <w:p>
      <w:pPr>
        <w:bidi w:val="0"/>
        <w:spacing w:line="360" w:lineRule="auto"/>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我国建设社会主义现代化具有许多重要特征，其中之一就是我国现代化是人与自然和谐共生的现代化，注重同步推进物质文明建设和生态文明建设。实现碳达峰、碳中和是我国向世界作出的庄严承诺，也是一场广泛而深刻的经济社会变革，绝不是轻轻松松就能实现的。</w:t>
      </w:r>
    </w:p>
    <w:p>
      <w:pPr>
        <w:pStyle w:val="5"/>
        <w:bidi w:val="0"/>
        <w:ind w:firstLine="602" w:firstLineChars="200"/>
        <w:rPr>
          <w:rFonts w:hint="eastAsia" w:ascii="仿宋" w:hAnsi="仿宋" w:eastAsia="仿宋" w:cs="仿宋"/>
          <w:sz w:val="30"/>
          <w:szCs w:val="30"/>
          <w:lang w:eastAsia="zh-CN"/>
        </w:rPr>
      </w:pPr>
      <w:bookmarkStart w:id="8" w:name="_Toc1337"/>
      <w:r>
        <w:rPr>
          <w:rFonts w:hint="eastAsia" w:ascii="仿宋" w:hAnsi="仿宋" w:eastAsia="仿宋" w:cs="仿宋"/>
          <w:sz w:val="30"/>
          <w:szCs w:val="30"/>
          <w:lang w:eastAsia="zh-CN"/>
        </w:rPr>
        <w:t>二、全面绿色转型关键期</w:t>
      </w:r>
      <w:bookmarkEnd w:id="8"/>
    </w:p>
    <w:p>
      <w:pPr>
        <w:bidi w:val="0"/>
        <w:spacing w:line="360" w:lineRule="auto"/>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十四五”时期，我国生态环境建设进入了以降碳为重点战略方向、推动减污降碳协同增效、促进经济社会发展全面绿色转型、实现生态环境质量改善由量变到质变的关键时期。要完整、准确、全面贯彻新发展理念，保持战略定力，站在人与自然和谐共生的高度来谋划经济社会发展，坚持节约资源和保护环境的基本国策，坚持节约优先、保护优先、自然恢复为主的方针，形成节约资源和保护环境的空间格局、产业结构、生产方式、生活方式，统筹污染治理、生态保护、应对气候变化，促进生态环境持续改善，努力建设人与自然和谐共生的现代化。</w:t>
      </w:r>
    </w:p>
    <w:p>
      <w:pPr>
        <w:bidi w:val="0"/>
        <w:spacing w:line="360" w:lineRule="auto"/>
        <w:ind w:firstLine="600" w:firstLineChars="200"/>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习总书记在党的十九大报告中指出：“推进能源生产和消费革命，构建清洁低碳、安全高效的能源体系”，突出了实现能源可持续性和保证国家能源安全在生态环境建设中的重要地位，为进一步推动我国社会主义生态环境建设指明了方向。在“十四五”乃至更长时期，我国经济将由高速增长阶段转向高质量发展阶段，因此，控制能源消费总量和强度，推进能源生产和消费革命，形成促进经济发展和社会消费方式转变的倒逼机制，对于保障国家能源供应安全，缓解资源和环境压力，建设生态环境具有重要意义。</w:t>
      </w:r>
    </w:p>
    <w:p>
      <w:pPr>
        <w:pStyle w:val="4"/>
        <w:numPr>
          <w:ilvl w:val="1"/>
          <w:numId w:val="0"/>
        </w:numPr>
        <w:bidi w:val="0"/>
        <w:ind w:leftChars="0"/>
        <w:jc w:val="center"/>
        <w:rPr>
          <w:rFonts w:hint="eastAsia"/>
          <w:lang w:eastAsia="zh-CN"/>
        </w:rPr>
      </w:pPr>
      <w:bookmarkStart w:id="9" w:name="_Toc13843"/>
      <w:r>
        <w:rPr>
          <w:rFonts w:hint="eastAsia"/>
          <w:lang w:eastAsia="zh-CN"/>
        </w:rPr>
        <w:t>第二节</w:t>
      </w:r>
      <w:r>
        <w:rPr>
          <w:rFonts w:hint="eastAsia"/>
          <w:lang w:val="en-US" w:eastAsia="zh-CN"/>
        </w:rPr>
        <w:t xml:space="preserve"> </w:t>
      </w:r>
      <w:r>
        <w:rPr>
          <w:rFonts w:hint="eastAsia"/>
          <w:lang w:eastAsia="zh-CN"/>
        </w:rPr>
        <w:t>“十四五”生态环境保护面临机遇和挑战</w:t>
      </w:r>
      <w:bookmarkEnd w:id="9"/>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四五”时期是我国全面建成小康社会、实现第一个百年奋斗目标之后，乘势而上开启全面建设社会主义现代化国家新征程、向第二个百年奋斗目标进军的第一个五年，是鞍山市推进全面振兴全方位振兴进入新发展阶段、贯彻新发展理念、融入新发展格局的关键时期，也是台安县实现全面振兴全方位振兴、贯彻新发展理念、融入新发展格局的关键时期。</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我国发展仍然处于重要战略机遇期，已转向高质量发展阶段，加快构建以国内大循环为主体、国内国际双循环相互促进的新发展格局。</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“十四五”期间台安县将迎来经济社会高质量发展与生态环境高水平保护的战略机遇，</w:t>
      </w:r>
      <w:r>
        <w:rPr>
          <w:rFonts w:hint="eastAsia" w:ascii="仿宋" w:hAnsi="仿宋" w:eastAsia="仿宋" w:cs="仿宋"/>
          <w:color w:val="000000" w:themeColor="text1"/>
          <w:sz w:val="30"/>
          <w:szCs w:val="30"/>
          <w:lang w:eastAsia="zh-CN"/>
          <w14:textFill>
            <w14:solidFill>
              <w14:schemeClr w14:val="tx1"/>
            </w14:solidFill>
          </w14:textFill>
        </w:rPr>
        <w:t>台安县</w:t>
      </w:r>
      <w:r>
        <w:rPr>
          <w:rFonts w:hint="eastAsia" w:ascii="仿宋" w:hAnsi="仿宋" w:eastAsia="仿宋" w:cs="仿宋"/>
          <w:color w:val="000000" w:themeColor="text1"/>
          <w:sz w:val="30"/>
          <w:szCs w:val="30"/>
          <w14:textFill>
            <w14:solidFill>
              <w14:schemeClr w14:val="tx1"/>
            </w14:solidFill>
          </w14:textFill>
        </w:rPr>
        <w:t>有较好的产业优势、资源优势，有条件和基础在加快培育完整内需体系方面有所作为</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必将在全面振兴全方位振兴上取得新突破。台安县</w:t>
      </w:r>
      <w:r>
        <w:rPr>
          <w:rFonts w:hint="eastAsia" w:ascii="仿宋" w:hAnsi="仿宋" w:eastAsia="仿宋" w:cs="仿宋"/>
          <w:color w:val="000000" w:themeColor="text1"/>
          <w:sz w:val="30"/>
          <w:szCs w:val="30"/>
          <w14:textFill>
            <w14:solidFill>
              <w14:schemeClr w14:val="tx1"/>
            </w14:solidFill>
          </w14:textFill>
        </w:rPr>
        <w:t>处在加速经济结构调整的关键期</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产业链供应链面临新的机遇</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处在盘活闲置资产、激活存量的历史交汇点</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结构性、根源性、趋势性污染突出，“十四五”期间，台安县经济高质量发展仍处于“关键期”，生态环境高水平保护仍处于“攻坚期”，机遇和挑战并存。</w:t>
      </w:r>
    </w:p>
    <w:p>
      <w:pPr>
        <w:pStyle w:val="5"/>
        <w:bidi w:val="0"/>
        <w:ind w:firstLine="602" w:firstLineChars="200"/>
        <w:rPr>
          <w:rFonts w:hint="eastAsia" w:ascii="仿宋" w:hAnsi="仿宋" w:eastAsia="仿宋" w:cs="仿宋"/>
          <w:sz w:val="30"/>
          <w:szCs w:val="30"/>
          <w:lang w:val="en-US" w:eastAsia="zh-CN"/>
        </w:rPr>
      </w:pPr>
      <w:bookmarkStart w:id="10" w:name="_Toc31527"/>
      <w:bookmarkStart w:id="11" w:name="_Toc6996"/>
      <w:bookmarkStart w:id="12" w:name="_Toc6885"/>
      <w:bookmarkStart w:id="13" w:name="_Toc21758"/>
      <w:r>
        <w:rPr>
          <w:rFonts w:hint="eastAsia" w:ascii="仿宋" w:hAnsi="仿宋" w:eastAsia="仿宋" w:cs="仿宋"/>
          <w:sz w:val="30"/>
          <w:szCs w:val="30"/>
          <w:lang w:val="en-US" w:eastAsia="zh-CN"/>
        </w:rPr>
        <w:t>一、面临机遇</w:t>
      </w:r>
      <w:bookmarkEnd w:id="10"/>
      <w:bookmarkEnd w:id="11"/>
      <w:bookmarkEnd w:id="12"/>
      <w:bookmarkEnd w:id="13"/>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台安县委、县政府以及县生态环境主管部门坚持以习近平生态文明思想为指导，深入贯彻绿色发展理念，深化生态环境体制改革，不断完善生态环境保护制度体系，积极探索新标准下生态环境治理路径，努力构建生态环境保护大格局，环境污染治理取得显著成效，生态环境质量达到多年来最好水平，生态系统格局整体稳定，人民群众优美生态环境获得感持续增强，为“十四五”生态环境保护实现更高目标积累了实践经验，为生态环境保护迈上新台阶提供了机遇。</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十四五”时期，台安县遵照《全国主体功能区规划》、《辽宁省主体功能区规划》以及《鞍山市委关于制定鞍山市国民经济和社会发展第十四个五年规划和二〇三五年远景目标的建议》，立足产业优势、资源优势，有条件和基础加快培育完整内需体系，融入国内大循环，加速经济结构调整。进入发展新阶段，台安县适逢加速动能转换、靠科技拉动满足内循环的国内需求机遇，加快以创新引领经济社会高质量发展。</w:t>
      </w:r>
    </w:p>
    <w:p>
      <w:pPr>
        <w:pStyle w:val="5"/>
        <w:bidi w:val="0"/>
        <w:ind w:firstLine="602" w:firstLineChars="200"/>
        <w:rPr>
          <w:rFonts w:hint="eastAsia" w:ascii="仿宋" w:hAnsi="仿宋" w:eastAsia="仿宋" w:cs="仿宋"/>
          <w:sz w:val="30"/>
          <w:szCs w:val="30"/>
          <w:lang w:val="en-US" w:eastAsia="zh-CN"/>
        </w:rPr>
      </w:pPr>
      <w:bookmarkStart w:id="14" w:name="_Toc23078"/>
      <w:bookmarkStart w:id="15" w:name="_Toc2488"/>
      <w:bookmarkStart w:id="16" w:name="_Toc9705"/>
      <w:bookmarkStart w:id="17" w:name="_Toc12111"/>
      <w:r>
        <w:rPr>
          <w:rFonts w:hint="eastAsia" w:ascii="仿宋" w:hAnsi="仿宋" w:eastAsia="仿宋" w:cs="仿宋"/>
          <w:sz w:val="30"/>
          <w:szCs w:val="30"/>
          <w:lang w:val="en-US" w:eastAsia="zh-CN"/>
        </w:rPr>
        <w:t>二、面临挑战</w:t>
      </w:r>
      <w:bookmarkEnd w:id="14"/>
      <w:bookmarkEnd w:id="15"/>
      <w:bookmarkEnd w:id="16"/>
      <w:bookmarkEnd w:id="17"/>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对标美丽鞍山建设目标，台安县产业结构性问题依然突出，生态环境保护欠账经过多年努力，虽有所改善，但存在问题仍较多。新发展理念尚未全部转化成实践，创新体制机制尚未健全，创新驱动发展动力不强，产业结构转型升级进展缓慢。服务意识不强，市场化程度不高，营商环境对标先进地区还有很大差距。结构性、根源性、趋势性污染问题尚未根本解决，大气、水环境质量改善成效尚不稳固，生态环境修复压力大，践行绿色生产生活方式尚未形成，实现碳达蜂、碳中和目标任务艰巨。面对“十四五”生态环境更高、更严要求，生态环境质量大幅改善面临较大挑战。</w:t>
      </w:r>
    </w:p>
    <w:p>
      <w:pPr>
        <w:pStyle w:val="4"/>
        <w:numPr>
          <w:ilvl w:val="1"/>
          <w:numId w:val="0"/>
        </w:numPr>
        <w:bidi w:val="0"/>
        <w:ind w:leftChars="0"/>
        <w:jc w:val="center"/>
        <w:rPr>
          <w:rFonts w:hint="eastAsia"/>
          <w:lang w:eastAsia="zh-CN"/>
        </w:rPr>
      </w:pPr>
      <w:bookmarkStart w:id="18" w:name="_Toc26264"/>
      <w:r>
        <w:rPr>
          <w:rFonts w:hint="eastAsia"/>
          <w:lang w:eastAsia="zh-CN"/>
        </w:rPr>
        <w:t>第三节</w:t>
      </w:r>
      <w:r>
        <w:rPr>
          <w:rFonts w:hint="eastAsia"/>
          <w:lang w:val="en-US" w:eastAsia="zh-CN"/>
        </w:rPr>
        <w:t xml:space="preserve"> </w:t>
      </w:r>
      <w:r>
        <w:rPr>
          <w:rFonts w:hint="eastAsia"/>
          <w:lang w:eastAsia="zh-CN"/>
        </w:rPr>
        <w:t>重点环境问题</w:t>
      </w:r>
      <w:bookmarkEnd w:id="18"/>
    </w:p>
    <w:p>
      <w:pPr>
        <w:pStyle w:val="5"/>
        <w:bidi w:val="0"/>
        <w:ind w:firstLine="602" w:firstLineChars="200"/>
        <w:rPr>
          <w:rFonts w:hint="eastAsia" w:ascii="仿宋" w:hAnsi="仿宋" w:eastAsia="仿宋" w:cs="仿宋"/>
          <w:color w:val="000000" w:themeColor="text1"/>
          <w:sz w:val="30"/>
          <w:szCs w:val="30"/>
          <w:lang w:eastAsia="zh-CN"/>
          <w14:textFill>
            <w14:solidFill>
              <w14:schemeClr w14:val="tx1"/>
            </w14:solidFill>
          </w14:textFill>
        </w:rPr>
      </w:pPr>
      <w:bookmarkStart w:id="19" w:name="_Toc27585"/>
      <w:r>
        <w:rPr>
          <w:rFonts w:hint="eastAsia" w:ascii="仿宋" w:hAnsi="仿宋" w:eastAsia="仿宋" w:cs="仿宋"/>
          <w:color w:val="000000" w:themeColor="text1"/>
          <w:sz w:val="30"/>
          <w:szCs w:val="30"/>
          <w:lang w:eastAsia="zh-CN"/>
          <w14:textFill>
            <w14:solidFill>
              <w14:schemeClr w14:val="tx1"/>
            </w14:solidFill>
          </w14:textFill>
        </w:rPr>
        <w:t>一、更高的生态环境需求带来的挑战</w:t>
      </w:r>
      <w:bookmarkEnd w:id="19"/>
    </w:p>
    <w:p>
      <w:pPr>
        <w:pStyle w:val="1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360" w:lineRule="auto"/>
        <w:ind w:right="0" w:rightChars="0" w:firstLine="600" w:firstLineChars="200"/>
        <w:textAlignment w:val="auto"/>
        <w:rPr>
          <w:rFonts w:hint="eastAsia" w:ascii="仿宋" w:hAnsi="仿宋" w:eastAsia="仿宋" w:cs="仿宋"/>
          <w:color w:val="auto"/>
          <w:sz w:val="30"/>
          <w:szCs w:val="30"/>
          <w:lang w:val="en-US" w:eastAsia="zh-CN"/>
        </w:rPr>
      </w:pPr>
      <w:r>
        <w:rPr>
          <w:rFonts w:hint="eastAsia" w:ascii="仿宋" w:hAnsi="仿宋" w:eastAsia="仿宋" w:cs="仿宋"/>
          <w:color w:val="000000" w:themeColor="text1"/>
          <w:sz w:val="30"/>
          <w:szCs w:val="30"/>
          <w:lang w:val="en-US" w:eastAsia="zh-CN"/>
          <w14:textFill>
            <w14:solidFill>
              <w14:schemeClr w14:val="tx1"/>
            </w14:solidFill>
          </w14:textFill>
        </w:rPr>
        <w:t>“十三五”末期，台安县</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三次产业结构比22.7：37.6：39.7</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，第一产业占比较大，第三产业占比较低。</w:t>
      </w:r>
      <w:r>
        <w:rPr>
          <w:rFonts w:hint="eastAsia" w:ascii="仿宋" w:hAnsi="仿宋" w:eastAsia="仿宋" w:cs="仿宋"/>
          <w:color w:val="000000" w:themeColor="text1"/>
          <w:sz w:val="30"/>
          <w:szCs w:val="30"/>
          <w:lang w:val="en-US" w:eastAsia="zh-CN"/>
          <w14:textFill>
            <w14:solidFill>
              <w14:schemeClr w14:val="tx1"/>
            </w14:solidFill>
          </w14:textFill>
        </w:rPr>
        <w:t>由于产业布局、结构调整不合理，多行业，多类型生态环境问题仍然突出，生态环境与人民群众需求和期待差距仍然存在，群众反映的突出环境问题较多，环境质量有待提高，生态环境综合治理有待加强，环保投资有待提高，环境监管体系有待健全，生态环境短</w:t>
      </w:r>
      <w:r>
        <w:rPr>
          <w:rFonts w:hint="eastAsia" w:ascii="仿宋" w:hAnsi="仿宋" w:eastAsia="仿宋" w:cs="仿宋"/>
          <w:color w:val="auto"/>
          <w:sz w:val="30"/>
          <w:szCs w:val="30"/>
          <w:lang w:val="en-US" w:eastAsia="zh-CN"/>
        </w:rPr>
        <w:t>板仍然存在。</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color w:val="auto"/>
          <w:sz w:val="30"/>
          <w:szCs w:val="30"/>
          <w:lang w:eastAsia="zh-CN"/>
        </w:rPr>
        <w:t>“十三五”末期，受国际形势的影响，</w:t>
      </w:r>
      <w:r>
        <w:rPr>
          <w:rFonts w:hint="eastAsia" w:ascii="仿宋" w:hAnsi="仿宋" w:eastAsia="仿宋" w:cs="仿宋"/>
          <w:color w:val="auto"/>
          <w:sz w:val="30"/>
          <w:szCs w:val="30"/>
        </w:rPr>
        <w:t>经济增速</w:t>
      </w:r>
      <w:r>
        <w:rPr>
          <w:rFonts w:hint="eastAsia" w:ascii="仿宋" w:hAnsi="仿宋" w:eastAsia="仿宋" w:cs="仿宋"/>
          <w:color w:val="auto"/>
          <w:sz w:val="30"/>
          <w:szCs w:val="30"/>
          <w:lang w:eastAsia="zh-CN"/>
        </w:rPr>
        <w:t>放缓。目前台安县</w:t>
      </w:r>
      <w:r>
        <w:rPr>
          <w:rFonts w:hint="eastAsia" w:ascii="仿宋" w:hAnsi="仿宋" w:eastAsia="仿宋" w:cs="仿宋"/>
          <w:color w:val="auto"/>
          <w:sz w:val="30"/>
          <w:szCs w:val="30"/>
        </w:rPr>
        <w:t>面临的经济形势严峻复杂，</w:t>
      </w:r>
      <w:r>
        <w:rPr>
          <w:rFonts w:hint="eastAsia" w:ascii="仿宋" w:hAnsi="仿宋" w:eastAsia="仿宋" w:cs="仿宋"/>
          <w:color w:val="auto"/>
          <w:sz w:val="30"/>
          <w:szCs w:val="30"/>
          <w:lang w:eastAsia="zh-CN"/>
        </w:rPr>
        <w:t>受国际形势与新冠疫情的双重影响，</w:t>
      </w:r>
      <w:r>
        <w:rPr>
          <w:rFonts w:hint="eastAsia" w:ascii="仿宋" w:hAnsi="仿宋" w:eastAsia="仿宋" w:cs="仿宋"/>
          <w:color w:val="auto"/>
          <w:sz w:val="30"/>
          <w:szCs w:val="30"/>
        </w:rPr>
        <w:t>经济下行压力持续加大，一些企业治污决心和行动出现迟疑，从政府角度，环保治理资金存在缺口、环保投入不足、力不从心，监管难度加大。</w:t>
      </w:r>
    </w:p>
    <w:p>
      <w:pPr>
        <w:spacing w:line="36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1、大气环境问题</w:t>
      </w:r>
    </w:p>
    <w:p>
      <w:pPr>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目前，台安县能源消费主要以煤炭为主，燃煤污染源仍然是PM</w:t>
      </w:r>
      <w:r>
        <w:rPr>
          <w:rFonts w:hint="eastAsia" w:ascii="仿宋" w:hAnsi="仿宋" w:eastAsia="仿宋" w:cs="仿宋"/>
          <w:color w:val="000000" w:themeColor="text1"/>
          <w:sz w:val="30"/>
          <w:szCs w:val="30"/>
          <w:vertAlign w:val="subscript"/>
          <w:lang w:val="en-US" w:eastAsia="zh-CN"/>
          <w14:textFill>
            <w14:solidFill>
              <w14:schemeClr w14:val="tx1"/>
            </w14:solidFill>
          </w14:textFill>
        </w:rPr>
        <w:t>2.5</w:t>
      </w:r>
      <w:r>
        <w:rPr>
          <w:rFonts w:hint="eastAsia" w:ascii="仿宋" w:hAnsi="仿宋" w:eastAsia="仿宋" w:cs="仿宋"/>
          <w:color w:val="000000" w:themeColor="text1"/>
          <w:sz w:val="30"/>
          <w:szCs w:val="30"/>
          <w:lang w:val="en-US" w:eastAsia="zh-CN"/>
          <w14:textFill>
            <w14:solidFill>
              <w14:schemeClr w14:val="tx1"/>
            </w14:solidFill>
          </w14:textFill>
        </w:rPr>
        <w:t>和PM</w:t>
      </w:r>
      <w:r>
        <w:rPr>
          <w:rFonts w:hint="eastAsia" w:ascii="仿宋" w:hAnsi="仿宋" w:eastAsia="仿宋" w:cs="仿宋"/>
          <w:color w:val="000000" w:themeColor="text1"/>
          <w:sz w:val="30"/>
          <w:szCs w:val="30"/>
          <w:vertAlign w:val="subscript"/>
          <w:lang w:val="en-US" w:eastAsia="zh-CN"/>
          <w14:textFill>
            <w14:solidFill>
              <w14:schemeClr w14:val="tx1"/>
            </w14:solidFill>
          </w14:textFill>
        </w:rPr>
        <w:t>10</w:t>
      </w:r>
      <w:r>
        <w:rPr>
          <w:rFonts w:hint="eastAsia" w:ascii="仿宋" w:hAnsi="仿宋" w:eastAsia="仿宋" w:cs="仿宋"/>
          <w:color w:val="000000" w:themeColor="text1"/>
          <w:sz w:val="30"/>
          <w:szCs w:val="30"/>
          <w:lang w:val="en-US" w:eastAsia="zh-CN"/>
          <w14:textFill>
            <w14:solidFill>
              <w14:schemeClr w14:val="tx1"/>
            </w14:solidFill>
          </w14:textFill>
        </w:rPr>
        <w:t>的第一大来源。</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大气环境</w:t>
      </w:r>
      <w:r>
        <w:rPr>
          <w:rFonts w:hint="eastAsia" w:ascii="仿宋" w:hAnsi="仿宋" w:eastAsia="仿宋" w:cs="仿宋"/>
          <w:color w:val="000000" w:themeColor="text1"/>
          <w:sz w:val="30"/>
          <w:szCs w:val="30"/>
          <w:lang w:val="zh-CN" w:eastAsia="zh-CN"/>
          <w14:textFill>
            <w14:solidFill>
              <w14:schemeClr w14:val="tx1"/>
            </w14:solidFill>
          </w14:textFill>
        </w:rPr>
        <w:t>PM</w:t>
      </w:r>
      <w:r>
        <w:rPr>
          <w:rFonts w:hint="eastAsia" w:ascii="仿宋" w:hAnsi="仿宋" w:eastAsia="仿宋" w:cs="仿宋"/>
          <w:color w:val="000000" w:themeColor="text1"/>
          <w:sz w:val="30"/>
          <w:szCs w:val="30"/>
          <w:vertAlign w:val="subscript"/>
          <w:lang w:val="en-US" w:eastAsia="zh-CN"/>
          <w14:textFill>
            <w14:solidFill>
              <w14:schemeClr w14:val="tx1"/>
            </w14:solidFill>
          </w14:textFill>
        </w:rPr>
        <w:t>10</w:t>
      </w:r>
      <w:r>
        <w:rPr>
          <w:rFonts w:hint="eastAsia" w:ascii="仿宋" w:hAnsi="仿宋" w:eastAsia="仿宋" w:cs="仿宋"/>
          <w:color w:val="000000" w:themeColor="text1"/>
          <w:sz w:val="30"/>
          <w:szCs w:val="30"/>
          <w:lang w:val="zh-CN" w:eastAsia="zh-CN"/>
          <w14:textFill>
            <w14:solidFill>
              <w14:schemeClr w14:val="tx1"/>
            </w14:solidFill>
          </w14:textFill>
        </w:rPr>
        <w:t>依然超标。</w:t>
      </w:r>
      <w:r>
        <w:rPr>
          <w:rFonts w:hint="eastAsia" w:ascii="仿宋" w:hAnsi="仿宋" w:eastAsia="仿宋" w:cs="仿宋"/>
          <w:color w:val="000000" w:themeColor="text1"/>
          <w:sz w:val="30"/>
          <w:szCs w:val="30"/>
          <w14:textFill>
            <w14:solidFill>
              <w14:schemeClr w14:val="tx1"/>
            </w14:solidFill>
          </w14:textFill>
        </w:rPr>
        <w:t>2019年台安县环境空气质量达标天数为308天，其中，环境空气质量优122天，空气质量良186天。全年空气质量超标天数共57天，其中，空气轻度污染42天，空气中度污染11天，空气重度污染3天，严重污染1天。超标天数中，以可吸入颗粒物为首要污染物。</w:t>
      </w:r>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color w:val="000000" w:themeColor="text1"/>
          <w:sz w:val="30"/>
          <w:szCs w:val="30"/>
          <w:lang w:val="en-US" w:eastAsia="zh-CN"/>
          <w14:textFill>
            <w14:solidFill>
              <w14:schemeClr w14:val="tx1"/>
            </w14:solidFill>
          </w14:textFill>
        </w:rPr>
        <w:t>2019年，台安县</w:t>
      </w:r>
      <w:r>
        <w:rPr>
          <w:rFonts w:hint="eastAsia" w:ascii="仿宋" w:hAnsi="仿宋" w:eastAsia="仿宋" w:cs="仿宋"/>
          <w:color w:val="000000" w:themeColor="text1"/>
          <w:sz w:val="30"/>
          <w:szCs w:val="30"/>
          <w14:textFill>
            <w14:solidFill>
              <w14:schemeClr w14:val="tx1"/>
            </w14:solidFill>
          </w14:textFill>
        </w:rPr>
        <w:t>二氧化硫年平均浓度为32微克/立方米，二氧化氮年平均浓度为34微克/立方米，PM</w:t>
      </w:r>
      <w:r>
        <w:rPr>
          <w:rFonts w:hint="eastAsia" w:ascii="仿宋" w:hAnsi="仿宋" w:eastAsia="仿宋" w:cs="仿宋"/>
          <w:color w:val="000000" w:themeColor="text1"/>
          <w:sz w:val="30"/>
          <w:szCs w:val="30"/>
          <w:vertAlign w:val="subscript"/>
          <w14:textFill>
            <w14:solidFill>
              <w14:schemeClr w14:val="tx1"/>
            </w14:solidFill>
          </w14:textFill>
        </w:rPr>
        <w:t>10</w:t>
      </w:r>
      <w:r>
        <w:rPr>
          <w:rFonts w:hint="eastAsia" w:ascii="仿宋" w:hAnsi="仿宋" w:eastAsia="仿宋" w:cs="仿宋"/>
          <w:color w:val="000000" w:themeColor="text1"/>
          <w:sz w:val="30"/>
          <w:szCs w:val="30"/>
          <w14:textFill>
            <w14:solidFill>
              <w14:schemeClr w14:val="tx1"/>
            </w14:solidFill>
          </w14:textFill>
        </w:rPr>
        <w:t>年平均浓度为77微克/立方米，PM</w:t>
      </w:r>
      <w:r>
        <w:rPr>
          <w:rFonts w:hint="eastAsia" w:ascii="仿宋" w:hAnsi="仿宋" w:eastAsia="仿宋" w:cs="仿宋"/>
          <w:color w:val="000000" w:themeColor="text1"/>
          <w:sz w:val="30"/>
          <w:szCs w:val="30"/>
          <w:vertAlign w:val="subscript"/>
          <w14:textFill>
            <w14:solidFill>
              <w14:schemeClr w14:val="tx1"/>
            </w14:solidFill>
          </w14:textFill>
        </w:rPr>
        <w:t>2.5</w:t>
      </w:r>
      <w:r>
        <w:rPr>
          <w:rFonts w:hint="eastAsia" w:ascii="仿宋" w:hAnsi="仿宋" w:eastAsia="仿宋" w:cs="仿宋"/>
          <w:color w:val="000000" w:themeColor="text1"/>
          <w:sz w:val="30"/>
          <w:szCs w:val="30"/>
          <w14:textFill>
            <w14:solidFill>
              <w14:schemeClr w14:val="tx1"/>
            </w14:solidFill>
          </w14:textFill>
        </w:rPr>
        <w:t>年平均浓度为32微克/立方米，一氧化碳年均浓度为0.6毫克/立方米，臭氧年均浓度为70微克/立方米。可吸入颗粒物单项指数比2018年上涨39.2%，细颗粒物单项指数比2018年下降35%，二氧化硫单项指数比2018年下降37.6%，</w:t>
      </w:r>
      <w:r>
        <w:rPr>
          <w:rFonts w:hint="eastAsia" w:ascii="仿宋" w:hAnsi="仿宋" w:eastAsia="仿宋" w:cs="仿宋"/>
          <w:sz w:val="30"/>
          <w:szCs w:val="30"/>
        </w:rPr>
        <w:t>二氧化氮单项指数比2018年上涨2.4%。</w:t>
      </w:r>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lang w:eastAsia="zh-CN"/>
        </w:rPr>
        <w:t>依照生态环境部“十三五”时期发布《“十三五”挥发性有机物污染防治工作方案》、《重点行业挥发性有机物综合治理方案》以及生态环境部近期发布的《关于加快解决当前挥发性有机物治理突出问题的通知》，结合我县对挥发性有机物治理的实际情况，目前存在</w:t>
      </w:r>
      <w:r>
        <w:rPr>
          <w:rFonts w:hint="eastAsia" w:ascii="仿宋" w:hAnsi="仿宋" w:eastAsia="仿宋" w:cs="仿宋"/>
          <w:sz w:val="30"/>
          <w:szCs w:val="30"/>
        </w:rPr>
        <w:t>挥发性有机物治理工作进展缓慢，汽修行业整治尚未完成，化工园区和化工企业治理工作刚刚起步</w:t>
      </w:r>
      <w:r>
        <w:rPr>
          <w:rFonts w:hint="eastAsia" w:ascii="仿宋" w:hAnsi="仿宋" w:eastAsia="仿宋" w:cs="仿宋"/>
          <w:sz w:val="30"/>
          <w:szCs w:val="30"/>
          <w:lang w:eastAsia="zh-CN"/>
        </w:rPr>
        <w:t>等问题</w:t>
      </w:r>
      <w:r>
        <w:rPr>
          <w:rFonts w:hint="eastAsia" w:ascii="仿宋" w:hAnsi="仿宋" w:eastAsia="仿宋" w:cs="仿宋"/>
          <w:sz w:val="30"/>
          <w:szCs w:val="30"/>
        </w:rPr>
        <w:t>。</w:t>
      </w:r>
    </w:p>
    <w:p>
      <w:pPr>
        <w:pStyle w:val="2"/>
        <w:rPr>
          <w:rFonts w:hint="eastAsia" w:ascii="仿宋" w:hAnsi="仿宋" w:eastAsia="仿宋" w:cs="仿宋"/>
          <w:sz w:val="30"/>
          <w:szCs w:val="30"/>
        </w:rPr>
      </w:pPr>
    </w:p>
    <w:p>
      <w:pPr>
        <w:spacing w:line="360" w:lineRule="auto"/>
        <w:rPr>
          <w:rFonts w:hint="eastAsia" w:ascii="仿宋" w:hAnsi="仿宋" w:eastAsia="仿宋" w:cs="仿宋"/>
          <w:sz w:val="30"/>
          <w:szCs w:val="30"/>
        </w:rPr>
      </w:pPr>
      <w:r>
        <w:rPr>
          <w:rFonts w:hint="eastAsia" w:ascii="仿宋" w:hAnsi="仿宋" w:eastAsia="仿宋" w:cs="仿宋"/>
          <w:sz w:val="30"/>
          <w:szCs w:val="30"/>
        </w:rPr>
        <w:drawing>
          <wp:inline distT="0" distB="0" distL="114300" distR="114300">
            <wp:extent cx="5209540" cy="3260725"/>
            <wp:effectExtent l="0" t="0" r="10160" b="1587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5209540" cy="3260725"/>
                    </a:xfrm>
                    <a:prstGeom prst="rect">
                      <a:avLst/>
                    </a:prstGeom>
                    <a:noFill/>
                    <a:ln>
                      <a:noFill/>
                    </a:ln>
                  </pic:spPr>
                </pic:pic>
              </a:graphicData>
            </a:graphic>
          </wp:inline>
        </w:drawing>
      </w:r>
    </w:p>
    <w:p>
      <w:pPr>
        <w:spacing w:line="360" w:lineRule="auto"/>
        <w:rPr>
          <w:rFonts w:hint="eastAsia" w:ascii="仿宋" w:hAnsi="仿宋" w:eastAsia="仿宋" w:cs="仿宋"/>
          <w:sz w:val="30"/>
          <w:szCs w:val="30"/>
        </w:rPr>
      </w:pPr>
      <w:r>
        <w:rPr>
          <w:rFonts w:hint="eastAsia" w:ascii="仿宋" w:hAnsi="仿宋" w:eastAsia="仿宋" w:cs="仿宋"/>
          <w:sz w:val="30"/>
          <w:szCs w:val="3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64135</wp:posOffset>
                </wp:positionV>
                <wp:extent cx="4848225" cy="418465"/>
                <wp:effectExtent l="0" t="0" r="0" b="0"/>
                <wp:wrapNone/>
                <wp:docPr id="7" name="矩形 7"/>
                <wp:cNvGraphicFramePr/>
                <a:graphic xmlns:a="http://schemas.openxmlformats.org/drawingml/2006/main">
                  <a:graphicData uri="http://schemas.microsoft.com/office/word/2010/wordprocessingShape">
                    <wps:wsp>
                      <wps:cNvSpPr/>
                      <wps:spPr>
                        <a:xfrm>
                          <a:off x="0" y="0"/>
                          <a:ext cx="4848225" cy="41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3-1    </w:t>
                            </w:r>
                            <w:r>
                              <w:rPr>
                                <w:rFonts w:hint="eastAsia" w:ascii="仿宋" w:hAnsi="仿宋" w:eastAsia="仿宋" w:cs="仿宋"/>
                                <w:b/>
                                <w:bCs/>
                                <w:color w:val="000000" w:themeColor="text1"/>
                                <w:sz w:val="28"/>
                                <w:szCs w:val="28"/>
                                <w14:textFill>
                                  <w14:solidFill>
                                    <w14:schemeClr w14:val="tx1"/>
                                  </w14:solidFill>
                                </w14:textFill>
                              </w:rPr>
                              <w:t>全年环境空气质量指数分级统计图</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3.5pt;margin-top:5.05pt;height:32.95pt;width:381.75pt;z-index:251659264;v-text-anchor:middle;mso-width-relative:page;mso-height-relative:page;" filled="f" stroked="f" coordsize="21600,21600" o:gfxdata="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JJSvvWAAAACAEAAA8AAAAAAAAAAQAgAAAAIgAAAGRycy9kb3ducmV2LnhtbFBLAQIUABQAAAAI&#10;AIdO4kBjEzQXYQIAAK0EAAAOAAAAAAAAAAEAIAAAACUBAABkcnMvZTJvRG9jLnhtbFBLBQYAAAAA&#10;BgAGAFkBAAD4BQAAAAA=&#10;">
                <v:fill on="f" focussize="0,0"/>
                <v:stroke on="f" weight="1pt" miterlimit="8" joinstyle="miter"/>
                <v:imagedata o:title=""/>
                <o:lock v:ext="edit" aspectratio="f"/>
                <v:textbo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3-1    </w:t>
                      </w:r>
                      <w:r>
                        <w:rPr>
                          <w:rFonts w:hint="eastAsia" w:ascii="仿宋" w:hAnsi="仿宋" w:eastAsia="仿宋" w:cs="仿宋"/>
                          <w:b/>
                          <w:bCs/>
                          <w:color w:val="000000" w:themeColor="text1"/>
                          <w:sz w:val="28"/>
                          <w:szCs w:val="28"/>
                          <w14:textFill>
                            <w14:solidFill>
                              <w14:schemeClr w14:val="tx1"/>
                            </w14:solidFill>
                          </w14:textFill>
                        </w:rPr>
                        <w:t>全年环境空气质量指数分级统计图</w:t>
                      </w:r>
                    </w:p>
                    <w:p>
                      <w:pPr>
                        <w:jc w:val="center"/>
                      </w:pPr>
                    </w:p>
                  </w:txbxContent>
                </v:textbox>
              </v:rect>
            </w:pict>
          </mc:Fallback>
        </mc:AlternateContent>
      </w:r>
    </w:p>
    <w:p>
      <w:pPr>
        <w:pStyle w:val="2"/>
        <w:rPr>
          <w:sz w:val="30"/>
          <w:szCs w:val="30"/>
        </w:rPr>
      </w:pPr>
    </w:p>
    <w:p>
      <w:pPr>
        <w:spacing w:line="360" w:lineRule="auto"/>
        <w:rPr>
          <w:sz w:val="30"/>
          <w:szCs w:val="30"/>
        </w:rPr>
      </w:pPr>
      <w:r>
        <w:rPr>
          <w:rFonts w:hint="eastAsia" w:ascii="仿宋" w:hAnsi="仿宋" w:eastAsia="仿宋" w:cs="仿宋"/>
          <w:sz w:val="30"/>
          <w:szCs w:val="30"/>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3165475</wp:posOffset>
                </wp:positionV>
                <wp:extent cx="4848225" cy="418465"/>
                <wp:effectExtent l="0" t="0" r="0" b="0"/>
                <wp:wrapNone/>
                <wp:docPr id="10" name="矩形 10"/>
                <wp:cNvGraphicFramePr/>
                <a:graphic xmlns:a="http://schemas.openxmlformats.org/drawingml/2006/main">
                  <a:graphicData uri="http://schemas.microsoft.com/office/word/2010/wordprocessingShape">
                    <wps:wsp>
                      <wps:cNvSpPr/>
                      <wps:spPr>
                        <a:xfrm>
                          <a:off x="0" y="0"/>
                          <a:ext cx="4848225" cy="41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3-2 </w:t>
                            </w:r>
                            <w:r>
                              <w:rPr>
                                <w:rFonts w:hint="eastAsia" w:ascii="仿宋" w:hAnsi="仿宋" w:eastAsia="仿宋" w:cs="仿宋"/>
                                <w:b/>
                                <w:color w:val="000000" w:themeColor="text1"/>
                                <w:sz w:val="28"/>
                                <w:szCs w:val="28"/>
                                <w14:textFill>
                                  <w14:solidFill>
                                    <w14:schemeClr w14:val="tx1"/>
                                  </w14:solidFill>
                                </w14:textFill>
                              </w:rPr>
                              <w:t xml:space="preserve"> 2019年台安县空气污染物单项指数及同比变化</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9pt;margin-top:249.25pt;height:32.95pt;width:381.75pt;z-index:251661312;v-text-anchor:middle;mso-width-relative:page;mso-height-relative:page;" filled="f" stroked="f" coordsize="21600,21600" o:gfxdata="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A+cfYb2AAAAAoBAAAPAAAAAAAAAAEAIAAAACIAAABkcnMvZG93bnJldi54bWxQSwECFAAUAAAA&#10;CACHTuJAOjplRmACAACvBAAADgAAAAAAAAABACAAAAAnAQAAZHJzL2Uyb0RvYy54bWxQSwUGAAAA&#10;AAYABgBZAQAA+QUAAAAA&#10;">
                <v:fill on="f" focussize="0,0"/>
                <v:stroke on="f" weight="1pt" miterlimit="8" joinstyle="miter"/>
                <v:imagedata o:title=""/>
                <o:lock v:ext="edit" aspectratio="f"/>
                <v:textbo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3-2 </w:t>
                      </w:r>
                      <w:r>
                        <w:rPr>
                          <w:rFonts w:hint="eastAsia" w:ascii="仿宋" w:hAnsi="仿宋" w:eastAsia="仿宋" w:cs="仿宋"/>
                          <w:b/>
                          <w:color w:val="000000" w:themeColor="text1"/>
                          <w:sz w:val="28"/>
                          <w:szCs w:val="28"/>
                          <w14:textFill>
                            <w14:solidFill>
                              <w14:schemeClr w14:val="tx1"/>
                            </w14:solidFill>
                          </w14:textFill>
                        </w:rPr>
                        <w:t xml:space="preserve"> 2019年台安县空气污染物单项指数及同比变化</w:t>
                      </w:r>
                    </w:p>
                    <w:p>
                      <w:pPr>
                        <w:jc w:val="center"/>
                      </w:pPr>
                    </w:p>
                  </w:txbxContent>
                </v:textbox>
              </v:rect>
            </w:pict>
          </mc:Fallback>
        </mc:AlternateContent>
      </w:r>
      <w:r>
        <w:drawing>
          <wp:inline distT="0" distB="0" distL="114300" distR="114300">
            <wp:extent cx="5036185" cy="3009265"/>
            <wp:effectExtent l="0" t="0" r="12065" b="63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4"/>
                    <pic:cNvPicPr>
                      <a:picLocks noChangeAspect="1"/>
                    </pic:cNvPicPr>
                  </pic:nvPicPr>
                  <pic:blipFill>
                    <a:blip r:embed="rId7"/>
                    <a:stretch>
                      <a:fillRect/>
                    </a:stretch>
                  </pic:blipFill>
                  <pic:spPr>
                    <a:xfrm>
                      <a:off x="0" y="0"/>
                      <a:ext cx="5036185" cy="3009265"/>
                    </a:xfrm>
                    <a:prstGeom prst="rect">
                      <a:avLst/>
                    </a:prstGeom>
                    <a:noFill/>
                    <a:ln>
                      <a:noFill/>
                    </a:ln>
                  </pic:spPr>
                </pic:pic>
              </a:graphicData>
            </a:graphic>
          </wp:inline>
        </w:drawing>
      </w:r>
    </w:p>
    <w:p>
      <w:pPr>
        <w:spacing w:line="360" w:lineRule="auto"/>
        <w:rPr>
          <w:sz w:val="30"/>
          <w:szCs w:val="30"/>
        </w:rPr>
      </w:pPr>
    </w:p>
    <w:p>
      <w:pPr>
        <w:bidi w:val="0"/>
        <w:spacing w:line="360" w:lineRule="auto"/>
        <w:rPr>
          <w:rFonts w:hint="eastAsia" w:ascii="仿宋" w:hAnsi="仿宋" w:eastAsia="仿宋" w:cs="仿宋"/>
          <w:b/>
          <w:bCs/>
          <w:color w:val="000000" w:themeColor="text1"/>
          <w:sz w:val="30"/>
          <w:szCs w:val="30"/>
          <w:lang w:val="en-US" w:eastAsia="zh-CN"/>
          <w14:textFill>
            <w14:solidFill>
              <w14:schemeClr w14:val="tx1"/>
            </w14:solidFill>
          </w14:textFill>
        </w:rPr>
      </w:pPr>
    </w:p>
    <w:p>
      <w:pPr>
        <w:bidi w:val="0"/>
        <w:spacing w:line="360" w:lineRule="auto"/>
        <w:ind w:firstLine="602" w:firstLineChars="200"/>
        <w:rPr>
          <w:rFonts w:hint="eastAsia" w:ascii="仿宋" w:hAnsi="仿宋" w:eastAsia="仿宋" w:cs="仿宋"/>
          <w:b/>
          <w:bCs/>
          <w:color w:val="000000" w:themeColor="text1"/>
          <w:sz w:val="30"/>
          <w:szCs w:val="30"/>
          <w:lang w:val="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2、</w:t>
      </w:r>
      <w:r>
        <w:rPr>
          <w:rFonts w:hint="eastAsia" w:ascii="仿宋" w:hAnsi="仿宋" w:eastAsia="仿宋" w:cs="仿宋"/>
          <w:b/>
          <w:bCs/>
          <w:color w:val="000000" w:themeColor="text1"/>
          <w:sz w:val="30"/>
          <w:szCs w:val="30"/>
          <w:lang w:val="zh-CN" w:eastAsia="zh-CN"/>
          <w14:textFill>
            <w14:solidFill>
              <w14:schemeClr w14:val="tx1"/>
            </w14:solidFill>
          </w14:textFill>
        </w:rPr>
        <w:t>水环境问题</w:t>
      </w:r>
    </w:p>
    <w:p>
      <w:pPr>
        <w:bidi w:val="0"/>
        <w:spacing w:line="360" w:lineRule="auto"/>
        <w:ind w:firstLine="600" w:firstLineChars="200"/>
        <w:rPr>
          <w:rFonts w:hint="eastAsia" w:ascii="仿宋" w:hAnsi="仿宋" w:eastAsia="仿宋" w:cs="仿宋"/>
          <w:sz w:val="30"/>
          <w:szCs w:val="30"/>
          <w:lang w:val="zh-CN"/>
        </w:rPr>
      </w:pPr>
      <w:r>
        <w:rPr>
          <w:rFonts w:hint="eastAsia" w:ascii="仿宋" w:hAnsi="仿宋" w:eastAsia="仿宋" w:cs="仿宋"/>
          <w:color w:val="000000" w:themeColor="text1"/>
          <w:sz w:val="30"/>
          <w:szCs w:val="30"/>
          <w:lang w:val="zh-CN"/>
          <w14:textFill>
            <w14:solidFill>
              <w14:schemeClr w14:val="tx1"/>
            </w14:solidFill>
          </w14:textFill>
        </w:rPr>
        <w:t>河流断面水质仍有超标。</w:t>
      </w:r>
      <w:r>
        <w:rPr>
          <w:rFonts w:hint="eastAsia" w:ascii="仿宋" w:hAnsi="仿宋" w:eastAsia="仿宋" w:cs="仿宋"/>
          <w:color w:val="000000" w:themeColor="text1"/>
          <w:sz w:val="30"/>
          <w:szCs w:val="30"/>
          <w:lang w:val="zh-CN" w:eastAsia="zh-CN"/>
          <w14:textFill>
            <w14:solidFill>
              <w14:schemeClr w14:val="tx1"/>
            </w14:solidFill>
          </w14:textFill>
        </w:rPr>
        <w:t>河道天然径流少，水质净化能力弱。</w:t>
      </w:r>
      <w:r>
        <w:rPr>
          <w:rFonts w:hint="eastAsia" w:ascii="仿宋" w:hAnsi="仿宋" w:eastAsia="仿宋" w:cs="仿宋"/>
          <w:color w:val="000000" w:themeColor="text1"/>
          <w:sz w:val="30"/>
          <w:szCs w:val="30"/>
          <w:lang w:val="zh-CN"/>
          <w14:textFill>
            <w14:solidFill>
              <w14:schemeClr w14:val="tx1"/>
            </w14:solidFill>
          </w14:textFill>
        </w:rPr>
        <w:t>小柳河流域污水处理能力不足，沿河暗渠时有污水直排河道，部分镇村的小型手工作坊污水直排现象也依然存在</w:t>
      </w:r>
      <w:r>
        <w:rPr>
          <w:rFonts w:hint="eastAsia" w:ascii="仿宋" w:hAnsi="仿宋" w:eastAsia="仿宋" w:cs="仿宋"/>
          <w:color w:val="000000" w:themeColor="text1"/>
          <w:sz w:val="30"/>
          <w:szCs w:val="30"/>
          <w:lang w:val="zh-CN" w:eastAsia="zh-CN"/>
          <w14:textFill>
            <w14:solidFill>
              <w14:schemeClr w14:val="tx1"/>
            </w14:solidFill>
          </w14:textFill>
        </w:rPr>
        <w:t>。部分</w:t>
      </w:r>
      <w:r>
        <w:rPr>
          <w:rFonts w:hint="eastAsia" w:ascii="仿宋" w:hAnsi="仿宋" w:eastAsia="仿宋" w:cs="仿宋"/>
          <w:color w:val="000000" w:themeColor="text1"/>
          <w:sz w:val="30"/>
          <w:szCs w:val="30"/>
          <w:lang w:val="zh-CN"/>
          <w14:textFill>
            <w14:solidFill>
              <w14:schemeClr w14:val="tx1"/>
            </w14:solidFill>
          </w14:textFill>
        </w:rPr>
        <w:t>污水处理厂因故障率高、</w:t>
      </w:r>
      <w:r>
        <w:rPr>
          <w:rFonts w:hint="eastAsia" w:ascii="仿宋" w:hAnsi="仿宋" w:eastAsia="仿宋" w:cs="仿宋"/>
          <w:color w:val="000000" w:themeColor="text1"/>
          <w:sz w:val="30"/>
          <w:szCs w:val="30"/>
          <w:lang w:val="zh-CN" w:eastAsia="zh-CN"/>
          <w14:textFill>
            <w14:solidFill>
              <w14:schemeClr w14:val="tx1"/>
            </w14:solidFill>
          </w14:textFill>
        </w:rPr>
        <w:t>运行不稳定、</w:t>
      </w:r>
      <w:r>
        <w:rPr>
          <w:rFonts w:hint="eastAsia" w:ascii="仿宋" w:hAnsi="仿宋" w:eastAsia="仿宋" w:cs="仿宋"/>
          <w:color w:val="000000" w:themeColor="text1"/>
          <w:sz w:val="30"/>
          <w:szCs w:val="30"/>
          <w:lang w:val="zh-CN"/>
          <w14:textFill>
            <w14:solidFill>
              <w14:schemeClr w14:val="tx1"/>
            </w14:solidFill>
          </w14:textFill>
        </w:rPr>
        <w:t>处理工艺未升级改造</w:t>
      </w:r>
      <w:r>
        <w:rPr>
          <w:rFonts w:hint="eastAsia" w:ascii="仿宋" w:hAnsi="仿宋" w:eastAsia="仿宋" w:cs="仿宋"/>
          <w:color w:val="000000" w:themeColor="text1"/>
          <w:sz w:val="30"/>
          <w:szCs w:val="30"/>
          <w:lang w:val="zh-CN" w:eastAsia="zh-CN"/>
          <w14:textFill>
            <w14:solidFill>
              <w14:schemeClr w14:val="tx1"/>
            </w14:solidFill>
          </w14:textFill>
        </w:rPr>
        <w:t>等，造成</w:t>
      </w:r>
      <w:r>
        <w:rPr>
          <w:rFonts w:hint="eastAsia" w:ascii="仿宋" w:hAnsi="仿宋" w:eastAsia="仿宋" w:cs="仿宋"/>
          <w:color w:val="000000" w:themeColor="text1"/>
          <w:sz w:val="30"/>
          <w:szCs w:val="30"/>
          <w:lang w:val="zh-CN"/>
          <w14:textFill>
            <w14:solidFill>
              <w14:schemeClr w14:val="tx1"/>
            </w14:solidFill>
          </w14:textFill>
        </w:rPr>
        <w:t>污水处理厂不能稳定达标，由此进而造成地表水水质难以达到四类以上标准。雨污合流制暗渠及雨排暗渠未形成有效管理机制</w:t>
      </w:r>
      <w:r>
        <w:rPr>
          <w:rFonts w:hint="eastAsia" w:ascii="仿宋" w:hAnsi="仿宋" w:eastAsia="仿宋" w:cs="仿宋"/>
          <w:color w:val="000000" w:themeColor="text1"/>
          <w:sz w:val="30"/>
          <w:szCs w:val="30"/>
          <w:lang w:val="zh-CN" w:eastAsia="zh-CN"/>
          <w14:textFill>
            <w14:solidFill>
              <w14:schemeClr w14:val="tx1"/>
            </w14:solidFill>
          </w14:textFill>
        </w:rPr>
        <w:t>，</w:t>
      </w:r>
      <w:r>
        <w:rPr>
          <w:rFonts w:hint="eastAsia" w:ascii="仿宋" w:hAnsi="仿宋" w:eastAsia="仿宋" w:cs="仿宋"/>
          <w:color w:val="000000" w:themeColor="text1"/>
          <w:sz w:val="30"/>
          <w:szCs w:val="30"/>
          <w:lang w:val="zh-CN"/>
          <w14:textFill>
            <w14:solidFill>
              <w14:schemeClr w14:val="tx1"/>
            </w14:solidFill>
          </w14:textFill>
        </w:rPr>
        <w:t>造成污水溢流入河。部分地区对辖区河流</w:t>
      </w:r>
      <w:r>
        <w:rPr>
          <w:rFonts w:hint="eastAsia" w:ascii="仿宋" w:hAnsi="仿宋" w:eastAsia="仿宋" w:cs="仿宋"/>
          <w:color w:val="000000" w:themeColor="text1"/>
          <w:sz w:val="30"/>
          <w:szCs w:val="30"/>
          <w:lang w:val="zh-CN" w:eastAsia="zh-CN"/>
          <w14:textFill>
            <w14:solidFill>
              <w14:schemeClr w14:val="tx1"/>
            </w14:solidFill>
          </w14:textFill>
        </w:rPr>
        <w:t>污染</w:t>
      </w:r>
      <w:r>
        <w:rPr>
          <w:rFonts w:hint="eastAsia" w:ascii="仿宋" w:hAnsi="仿宋" w:eastAsia="仿宋" w:cs="仿宋"/>
          <w:color w:val="000000" w:themeColor="text1"/>
          <w:sz w:val="30"/>
          <w:szCs w:val="30"/>
          <w:lang w:val="zh-CN"/>
          <w14:textFill>
            <w14:solidFill>
              <w14:schemeClr w14:val="tx1"/>
            </w14:solidFill>
          </w14:textFill>
        </w:rPr>
        <w:t>巡查监管能力薄弱</w:t>
      </w:r>
      <w:r>
        <w:rPr>
          <w:rFonts w:hint="eastAsia" w:ascii="仿宋" w:hAnsi="仿宋" w:eastAsia="仿宋" w:cs="仿宋"/>
          <w:color w:val="000000" w:themeColor="text1"/>
          <w:sz w:val="30"/>
          <w:szCs w:val="30"/>
          <w:lang w:val="zh-CN" w:eastAsia="zh-CN"/>
          <w14:textFill>
            <w14:solidFill>
              <w14:schemeClr w14:val="tx1"/>
            </w14:solidFill>
          </w14:textFill>
        </w:rPr>
        <w:t>，</w:t>
      </w:r>
      <w:r>
        <w:rPr>
          <w:rFonts w:hint="eastAsia" w:ascii="仿宋" w:hAnsi="仿宋" w:eastAsia="仿宋" w:cs="仿宋"/>
          <w:color w:val="000000" w:themeColor="text1"/>
          <w:sz w:val="30"/>
          <w:szCs w:val="30"/>
          <w:lang w:val="zh-CN"/>
          <w14:textFill>
            <w14:solidFill>
              <w14:schemeClr w14:val="tx1"/>
            </w14:solidFill>
          </w14:textFill>
        </w:rPr>
        <w:t>镇、村两级属地管理责任落实</w:t>
      </w:r>
      <w:r>
        <w:rPr>
          <w:rFonts w:hint="eastAsia" w:ascii="仿宋" w:hAnsi="仿宋" w:eastAsia="仿宋" w:cs="仿宋"/>
          <w:color w:val="000000" w:themeColor="text1"/>
          <w:sz w:val="30"/>
          <w:szCs w:val="30"/>
          <w:lang w:val="zh-CN" w:eastAsia="zh-CN"/>
          <w14:textFill>
            <w14:solidFill>
              <w14:schemeClr w14:val="tx1"/>
            </w14:solidFill>
          </w14:textFill>
        </w:rPr>
        <w:t>不</w:t>
      </w:r>
      <w:r>
        <w:rPr>
          <w:rFonts w:hint="eastAsia" w:ascii="仿宋" w:hAnsi="仿宋" w:eastAsia="仿宋" w:cs="仿宋"/>
          <w:color w:val="000000" w:themeColor="text1"/>
          <w:sz w:val="30"/>
          <w:szCs w:val="30"/>
          <w:lang w:val="zh-CN"/>
          <w14:textFill>
            <w14:solidFill>
              <w14:schemeClr w14:val="tx1"/>
            </w14:solidFill>
          </w14:textFill>
        </w:rPr>
        <w:t>到位</w:t>
      </w:r>
      <w:r>
        <w:rPr>
          <w:rFonts w:hint="eastAsia" w:ascii="仿宋" w:hAnsi="仿宋" w:eastAsia="仿宋" w:cs="仿宋"/>
          <w:color w:val="000000" w:themeColor="text1"/>
          <w:sz w:val="30"/>
          <w:szCs w:val="30"/>
          <w:lang w:val="zh-CN" w:eastAsia="zh-CN"/>
          <w14:textFill>
            <w14:solidFill>
              <w14:schemeClr w14:val="tx1"/>
            </w14:solidFill>
          </w14:textFill>
        </w:rPr>
        <w:t>，沿岸及河道垃圾清理不及时，造成河流断面水质不能稳定达标</w:t>
      </w:r>
      <w:r>
        <w:rPr>
          <w:rFonts w:hint="eastAsia" w:ascii="仿宋" w:hAnsi="仿宋" w:eastAsia="仿宋" w:cs="仿宋"/>
          <w:color w:val="000000" w:themeColor="text1"/>
          <w:sz w:val="30"/>
          <w:szCs w:val="30"/>
          <w:lang w:val="zh-CN"/>
          <w14:textFill>
            <w14:solidFill>
              <w14:schemeClr w14:val="tx1"/>
            </w14:solidFill>
          </w14:textFill>
        </w:rPr>
        <w:t>。</w:t>
      </w:r>
    </w:p>
    <w:p>
      <w:pPr>
        <w:spacing w:line="360" w:lineRule="auto"/>
        <w:rPr>
          <w:sz w:val="30"/>
          <w:szCs w:val="30"/>
        </w:rPr>
      </w:pPr>
    </w:p>
    <w:p>
      <w:pPr>
        <w:spacing w:line="360" w:lineRule="auto"/>
        <w:rPr>
          <w:sz w:val="30"/>
          <w:szCs w:val="30"/>
        </w:rPr>
      </w:pPr>
      <w:r>
        <w:rPr>
          <w:rFonts w:hint="eastAsia" w:ascii="仿宋" w:hAnsi="仿宋" w:eastAsia="仿宋" w:cs="仿宋"/>
          <w:sz w:val="30"/>
          <w:szCs w:val="3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3264535</wp:posOffset>
                </wp:positionV>
                <wp:extent cx="4848225" cy="418465"/>
                <wp:effectExtent l="0" t="0" r="0" b="0"/>
                <wp:wrapNone/>
                <wp:docPr id="13" name="矩形 13"/>
                <wp:cNvGraphicFramePr/>
                <a:graphic xmlns:a="http://schemas.openxmlformats.org/drawingml/2006/main">
                  <a:graphicData uri="http://schemas.microsoft.com/office/word/2010/wordprocessingShape">
                    <wps:wsp>
                      <wps:cNvSpPr/>
                      <wps:spPr>
                        <a:xfrm>
                          <a:off x="0" y="0"/>
                          <a:ext cx="4848225" cy="41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3-3 </w:t>
                            </w: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小柳河富家桥断面污染物年均值对比图</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1.25pt;margin-top:257.05pt;height:32.95pt;width:381.75pt;z-index:251662336;v-text-anchor:middle;mso-width-relative:page;mso-height-relative:page;" filled="f" stroked="f" coordsize="21600,21600" o:gfxdata="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AAAAAGRycy9QSwECFAAUAAAACACH&#10;TuJA1YgxnNgAAAAKAQAADwAAAAAAAAABACAAAAAiAAAAZHJzL2Rvd25yZXYueG1sUEsBAhQAFAAA&#10;AAgAh07iQLxzkXdhAgAArwQAAA4AAAAAAAAAAQAgAAAAJwEAAGRycy9lMm9Eb2MueG1sUEsFBgAA&#10;AAAGAAYAWQEAAPoFAAAAAA==&#10;">
                <v:fill on="f" focussize="0,0"/>
                <v:stroke on="f" weight="1pt" miterlimit="8" joinstyle="miter"/>
                <v:imagedata o:title=""/>
                <o:lock v:ext="edit" aspectratio="f"/>
                <v:textbo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3-3 </w:t>
                      </w: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小柳河富家桥断面污染物年均值对比图</w:t>
                      </w:r>
                    </w:p>
                    <w:p>
                      <w:pPr>
                        <w:jc w:val="center"/>
                      </w:pPr>
                    </w:p>
                  </w:txbxContent>
                </v:textbox>
              </v:rect>
            </w:pict>
          </mc:Fallback>
        </mc:AlternateContent>
      </w:r>
      <w:r>
        <w:drawing>
          <wp:inline distT="0" distB="0" distL="114300" distR="114300">
            <wp:extent cx="5154930" cy="3170555"/>
            <wp:effectExtent l="0" t="0" r="7620" b="1079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8"/>
                    <a:stretch>
                      <a:fillRect/>
                    </a:stretch>
                  </pic:blipFill>
                  <pic:spPr>
                    <a:xfrm>
                      <a:off x="0" y="0"/>
                      <a:ext cx="5154930" cy="3170555"/>
                    </a:xfrm>
                    <a:prstGeom prst="rect">
                      <a:avLst/>
                    </a:prstGeom>
                    <a:noFill/>
                    <a:ln>
                      <a:noFill/>
                    </a:ln>
                  </pic:spPr>
                </pic:pic>
              </a:graphicData>
            </a:graphic>
          </wp:inline>
        </w:drawing>
      </w:r>
    </w:p>
    <w:p>
      <w:pPr>
        <w:spacing w:line="360" w:lineRule="auto"/>
        <w:rPr>
          <w:sz w:val="30"/>
          <w:szCs w:val="30"/>
        </w:rPr>
      </w:pPr>
    </w:p>
    <w:p>
      <w:pPr>
        <w:spacing w:line="360" w:lineRule="auto"/>
        <w:rPr>
          <w:sz w:val="30"/>
          <w:szCs w:val="30"/>
        </w:rPr>
      </w:pPr>
    </w:p>
    <w:p>
      <w:pPr>
        <w:pStyle w:val="2"/>
        <w:rPr>
          <w:sz w:val="30"/>
          <w:szCs w:val="30"/>
        </w:rPr>
      </w:pPr>
    </w:p>
    <w:p>
      <w:pPr>
        <w:spacing w:line="360" w:lineRule="auto"/>
        <w:rPr>
          <w:sz w:val="30"/>
          <w:szCs w:val="30"/>
        </w:rPr>
      </w:pPr>
      <w:r>
        <w:drawing>
          <wp:inline distT="0" distB="0" distL="114300" distR="114300">
            <wp:extent cx="5193030" cy="3045460"/>
            <wp:effectExtent l="0" t="0" r="7620" b="2540"/>
            <wp:docPr id="1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6"/>
                    <pic:cNvPicPr>
                      <a:picLocks noChangeAspect="1"/>
                    </pic:cNvPicPr>
                  </pic:nvPicPr>
                  <pic:blipFill>
                    <a:blip r:embed="rId9"/>
                    <a:stretch>
                      <a:fillRect/>
                    </a:stretch>
                  </pic:blipFill>
                  <pic:spPr>
                    <a:xfrm>
                      <a:off x="0" y="0"/>
                      <a:ext cx="5193030" cy="3045460"/>
                    </a:xfrm>
                    <a:prstGeom prst="rect">
                      <a:avLst/>
                    </a:prstGeom>
                    <a:noFill/>
                    <a:ln>
                      <a:noFill/>
                    </a:ln>
                  </pic:spPr>
                </pic:pic>
              </a:graphicData>
            </a:graphic>
          </wp:inline>
        </w:drawing>
      </w:r>
    </w:p>
    <w:p>
      <w:pPr>
        <w:spacing w:line="360" w:lineRule="auto"/>
        <w:rPr>
          <w:sz w:val="30"/>
          <w:szCs w:val="30"/>
        </w:rPr>
      </w:pPr>
      <w:r>
        <w:rPr>
          <w:rFonts w:hint="eastAsia" w:ascii="仿宋" w:hAnsi="仿宋" w:eastAsia="仿宋" w:cs="仿宋"/>
          <w:sz w:val="30"/>
          <w:szCs w:val="30"/>
        </w:rPr>
        <mc:AlternateContent>
          <mc:Choice Requires="wps">
            <w:drawing>
              <wp:anchor distT="0" distB="0" distL="114300" distR="114300" simplePos="0" relativeHeight="251663360" behindDoc="0" locked="0" layoutInCell="1" allowOverlap="1">
                <wp:simplePos x="0" y="0"/>
                <wp:positionH relativeFrom="column">
                  <wp:posOffset>190500</wp:posOffset>
                </wp:positionH>
                <wp:positionV relativeFrom="paragraph">
                  <wp:posOffset>39370</wp:posOffset>
                </wp:positionV>
                <wp:extent cx="4848225" cy="418465"/>
                <wp:effectExtent l="0" t="0" r="0" b="0"/>
                <wp:wrapNone/>
                <wp:docPr id="15" name="矩形 15"/>
                <wp:cNvGraphicFramePr/>
                <a:graphic xmlns:a="http://schemas.openxmlformats.org/drawingml/2006/main">
                  <a:graphicData uri="http://schemas.microsoft.com/office/word/2010/wordprocessingShape">
                    <wps:wsp>
                      <wps:cNvSpPr/>
                      <wps:spPr>
                        <a:xfrm>
                          <a:off x="0" y="0"/>
                          <a:ext cx="4848225" cy="418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3-4 </w:t>
                            </w: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小柳河柳河桥断面污染物年均值对比图</w:t>
                            </w:r>
                          </w:p>
                          <w:p>
                            <w:pPr>
                              <w:jc w:val="cente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5pt;margin-top:3.1pt;height:32.95pt;width:381.75pt;z-index:251663360;v-text-anchor:middle;mso-width-relative:page;mso-height-relative:page;" filled="f" stroked="f" coordsize="21600,21600" o:gfxdata="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ok2Oj9YAAAAHAQAADwAAAAAAAAABACAAAAAiAAAAZHJzL2Rvd25yZXYueG1sUEsBAhQAFAAAAAgA&#10;h07iQLDgeRRgAgAArwQAAA4AAAAAAAAAAQAgAAAAJQEAAGRycy9lMm9Eb2MueG1sUEsFBgAAAAAG&#10;AAYAWQEAAPcFAAAAAA==&#10;">
                <v:fill on="f" focussize="0,0"/>
                <v:stroke on="f" weight="1pt" miterlimit="8" joinstyle="miter"/>
                <v:imagedata o:title=""/>
                <o:lock v:ext="edit" aspectratio="f"/>
                <v:textbox>
                  <w:txbxContent>
                    <w:p>
                      <w:pPr>
                        <w:jc w:val="center"/>
                        <w:rPr>
                          <w:rFonts w:hint="eastAsia" w:ascii="仿宋" w:hAnsi="仿宋" w:eastAsia="仿宋" w:cs="仿宋"/>
                          <w:b/>
                          <w:bCs/>
                          <w:color w:val="000000" w:themeColor="text1"/>
                          <w:sz w:val="28"/>
                          <w:szCs w:val="28"/>
                          <w:lang w:val="en-US"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图</w:t>
                      </w:r>
                      <w:r>
                        <w:rPr>
                          <w:rFonts w:hint="eastAsia" w:ascii="仿宋" w:hAnsi="仿宋" w:eastAsia="仿宋" w:cs="仿宋"/>
                          <w:b/>
                          <w:bCs/>
                          <w:color w:val="000000" w:themeColor="text1"/>
                          <w:sz w:val="28"/>
                          <w:szCs w:val="28"/>
                          <w:lang w:val="en-US" w:eastAsia="zh-CN"/>
                          <w14:textFill>
                            <w14:solidFill>
                              <w14:schemeClr w14:val="tx1"/>
                            </w14:solidFill>
                          </w14:textFill>
                        </w:rPr>
                        <w:t xml:space="preserve">3-4 </w:t>
                      </w:r>
                      <w:r>
                        <w:rPr>
                          <w:rFonts w:hint="eastAsia" w:ascii="仿宋" w:hAnsi="仿宋" w:eastAsia="仿宋" w:cs="仿宋"/>
                          <w:b/>
                          <w:color w:val="000000" w:themeColor="text1"/>
                          <w:sz w:val="28"/>
                          <w:szCs w:val="28"/>
                          <w14:textFill>
                            <w14:solidFill>
                              <w14:schemeClr w14:val="tx1"/>
                            </w14:solidFill>
                          </w14:textFill>
                        </w:rPr>
                        <w:t xml:space="preserve"> </w:t>
                      </w:r>
                      <w:r>
                        <w:rPr>
                          <w:rFonts w:hint="eastAsia" w:ascii="仿宋" w:hAnsi="仿宋" w:eastAsia="仿宋" w:cs="仿宋"/>
                          <w:b/>
                          <w:color w:val="000000" w:themeColor="text1"/>
                          <w:sz w:val="28"/>
                          <w:szCs w:val="28"/>
                          <w:lang w:eastAsia="zh-CN"/>
                          <w14:textFill>
                            <w14:solidFill>
                              <w14:schemeClr w14:val="tx1"/>
                            </w14:solidFill>
                          </w14:textFill>
                        </w:rPr>
                        <w:t>小柳河柳河桥断面污染物年均值对比图</w:t>
                      </w:r>
                    </w:p>
                    <w:p>
                      <w:pPr>
                        <w:jc w:val="center"/>
                      </w:pPr>
                    </w:p>
                  </w:txbxContent>
                </v:textbox>
              </v:rect>
            </w:pict>
          </mc:Fallback>
        </mc:AlternateContent>
      </w:r>
    </w:p>
    <w:p>
      <w:pPr>
        <w:bidi w:val="0"/>
        <w:spacing w:line="360" w:lineRule="auto"/>
        <w:rPr>
          <w:rFonts w:hint="eastAsia" w:ascii="仿宋" w:hAnsi="仿宋" w:eastAsia="仿宋" w:cs="仿宋"/>
          <w:color w:val="000000" w:themeColor="text1"/>
          <w:sz w:val="30"/>
          <w:szCs w:val="30"/>
          <w14:textFill>
            <w14:solidFill>
              <w14:schemeClr w14:val="tx1"/>
            </w14:solidFill>
          </w14:textFill>
        </w:rPr>
      </w:pPr>
    </w:p>
    <w:p>
      <w:pPr>
        <w:bidi w:val="0"/>
        <w:spacing w:line="360" w:lineRule="auto"/>
        <w:ind w:firstLine="600" w:firstLineChars="200"/>
        <w:rPr>
          <w:rFonts w:hint="eastAsia" w:ascii="仿宋" w:hAnsi="仿宋" w:eastAsia="仿宋" w:cs="仿宋"/>
          <w:color w:val="000000" w:themeColor="text1"/>
          <w:sz w:val="30"/>
          <w:szCs w:val="30"/>
          <w:lang w:val="zh-CN"/>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台安县地下水资源主要是降雨、地表水入渗补给。全县共设置1个地下水源水质监测点位，位于台安县自来水公司汇水区（加氯前）。2019年台安县地下水常规监测项目中，碘化物、汞、砷、镉、硒、六价铬、铅、三氯甲烷、四氯化碳、苯、甲苯指标均未检出，依据《地下水质量标准》（GB/T14848-2017）中Ⅲ类标准，锰、耗氧量、氨氮、菌落总数、氟化物年均值超标；其他指标可满足Ⅲ类标准。地下水非常规检测项目54项均可满足Ⅲ类标准，除钡、铊外其他指标均未检出。</w:t>
      </w:r>
    </w:p>
    <w:p>
      <w:pPr>
        <w:spacing w:line="360" w:lineRule="auto"/>
        <w:ind w:firstLine="602" w:firstLineChars="200"/>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3、固体废弃物处置利用问题</w:t>
      </w:r>
    </w:p>
    <w:p>
      <w:pPr>
        <w:bidi w:val="0"/>
        <w:spacing w:line="360" w:lineRule="auto"/>
        <w:ind w:firstLine="600" w:firstLineChars="200"/>
        <w:rPr>
          <w:rFonts w:hint="eastAsia" w:ascii="仿宋" w:hAnsi="仿宋" w:eastAsia="仿宋" w:cs="仿宋"/>
          <w:color w:val="000000" w:themeColor="text1"/>
          <w:sz w:val="30"/>
          <w:szCs w:val="30"/>
          <w:lang w:val="zh-CN" w:eastAsia="zh-CN"/>
          <w14:textFill>
            <w14:solidFill>
              <w14:schemeClr w14:val="tx1"/>
            </w14:solidFill>
          </w14:textFill>
        </w:rPr>
      </w:pPr>
      <w:r>
        <w:rPr>
          <w:rFonts w:hint="eastAsia" w:ascii="仿宋" w:hAnsi="仿宋" w:eastAsia="仿宋" w:cs="仿宋"/>
          <w:color w:val="000000" w:themeColor="text1"/>
          <w:sz w:val="30"/>
          <w:szCs w:val="30"/>
          <w:lang w:val="zh-CN" w:eastAsia="zh-CN"/>
          <w14:textFill>
            <w14:solidFill>
              <w14:schemeClr w14:val="tx1"/>
            </w14:solidFill>
          </w14:textFill>
        </w:rPr>
        <w:t>一般工业固体废物处置综合利用率低。综合鞍山市的数据（鞍山市十四五生态环境保护规划），</w:t>
      </w:r>
      <w:r>
        <w:rPr>
          <w:rFonts w:hint="eastAsia" w:ascii="仿宋" w:hAnsi="仿宋" w:eastAsia="仿宋" w:cs="仿宋"/>
          <w:color w:val="000000" w:themeColor="text1"/>
          <w:sz w:val="30"/>
          <w:szCs w:val="30"/>
          <w:lang w:val="en-US" w:eastAsia="zh-CN"/>
          <w14:textFill>
            <w14:solidFill>
              <w14:schemeClr w14:val="tx1"/>
            </w14:solidFill>
          </w14:textFill>
        </w:rPr>
        <w:t>2</w:t>
      </w:r>
      <w:r>
        <w:rPr>
          <w:rFonts w:hint="eastAsia" w:ascii="仿宋" w:hAnsi="仿宋" w:eastAsia="仿宋" w:cs="仿宋"/>
          <w:color w:val="000000" w:themeColor="text1"/>
          <w:sz w:val="30"/>
          <w:szCs w:val="30"/>
          <w:lang w:val="zh-CN" w:eastAsia="zh-CN"/>
          <w14:textFill>
            <w14:solidFill>
              <w14:schemeClr w14:val="tx1"/>
            </w14:solidFill>
          </w14:textFill>
        </w:rPr>
        <w:t>020年全市共产生一般工业固体废物5142.1万吨，委外利用处置量969.2万吨，自利用处置量57.6万吨，自贮存量4115.3，一般工业固体废弃物处理处置率</w:t>
      </w:r>
      <w:r>
        <w:rPr>
          <w:rFonts w:hint="eastAsia" w:ascii="仿宋" w:hAnsi="仿宋" w:eastAsia="仿宋" w:cs="仿宋"/>
          <w:color w:val="000000" w:themeColor="text1"/>
          <w:sz w:val="30"/>
          <w:szCs w:val="30"/>
          <w:lang w:val="en-US" w:eastAsia="zh-CN"/>
          <w14:textFill>
            <w14:solidFill>
              <w14:schemeClr w14:val="tx1"/>
            </w14:solidFill>
          </w14:textFill>
        </w:rPr>
        <w:t>20%，自处置利用率1%。产生量较大的为</w:t>
      </w:r>
      <w:r>
        <w:rPr>
          <w:rFonts w:hint="eastAsia" w:ascii="仿宋" w:hAnsi="仿宋" w:eastAsia="仿宋" w:cs="仿宋"/>
          <w:color w:val="000000" w:themeColor="text1"/>
          <w:sz w:val="30"/>
          <w:szCs w:val="30"/>
          <w:lang w:val="zh-CN" w:eastAsia="zh-CN"/>
          <w14:textFill>
            <w14:solidFill>
              <w14:schemeClr w14:val="tx1"/>
            </w14:solidFill>
          </w14:textFill>
        </w:rPr>
        <w:t>尾矿4142.64万吨，冶炼废渣896.07万吨，分别占总产生量80.5%、17.4%。</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zh-CN"/>
          <w14:textFill>
            <w14:solidFill>
              <w14:schemeClr w14:val="tx1"/>
            </w14:solidFill>
          </w14:textFill>
        </w:rPr>
        <w:t>危险废物自处置利用能力不足。</w:t>
      </w:r>
      <w:r>
        <w:rPr>
          <w:rFonts w:hint="eastAsia" w:ascii="仿宋" w:hAnsi="仿宋" w:eastAsia="仿宋" w:cs="仿宋"/>
          <w:color w:val="000000" w:themeColor="text1"/>
          <w:sz w:val="30"/>
          <w:szCs w:val="30"/>
          <w:lang w:val="en-US" w:eastAsia="zh-CN"/>
          <w14:textFill>
            <w14:solidFill>
              <w14:schemeClr w14:val="tx1"/>
            </w14:solidFill>
          </w14:textFill>
        </w:rPr>
        <w:t>2020年</w:t>
      </w:r>
      <w:r>
        <w:rPr>
          <w:rFonts w:hint="eastAsia" w:ascii="仿宋" w:hAnsi="仿宋" w:eastAsia="仿宋" w:cs="仿宋"/>
          <w:color w:val="000000" w:themeColor="text1"/>
          <w:sz w:val="30"/>
          <w:szCs w:val="30"/>
          <w:lang w:val="zh-CN"/>
          <w14:textFill>
            <w14:solidFill>
              <w14:schemeClr w14:val="tx1"/>
            </w14:solidFill>
          </w14:textFill>
        </w:rPr>
        <w:t>危险废物产生总量317116.4吨，外部转移量为</w:t>
      </w:r>
      <w:r>
        <w:rPr>
          <w:rFonts w:hint="eastAsia" w:ascii="仿宋" w:hAnsi="仿宋" w:eastAsia="仿宋" w:cs="仿宋"/>
          <w:color w:val="000000" w:themeColor="text1"/>
          <w:sz w:val="30"/>
          <w:szCs w:val="30"/>
          <w:lang w:val="en-US" w:eastAsia="zh-CN"/>
          <w14:textFill>
            <w14:solidFill>
              <w14:schemeClr w14:val="tx1"/>
            </w14:solidFill>
          </w14:textFill>
        </w:rPr>
        <w:t>24518</w:t>
      </w:r>
      <w:r>
        <w:rPr>
          <w:rFonts w:hint="eastAsia" w:ascii="仿宋" w:hAnsi="仿宋" w:eastAsia="仿宋" w:cs="仿宋"/>
          <w:color w:val="000000" w:themeColor="text1"/>
          <w:sz w:val="30"/>
          <w:szCs w:val="30"/>
          <w:lang w:val="zh-CN"/>
          <w14:textFill>
            <w14:solidFill>
              <w14:schemeClr w14:val="tx1"/>
            </w14:solidFill>
          </w14:textFill>
        </w:rPr>
        <w:t>吨，自处置利用量289971吨，</w:t>
      </w:r>
      <w:r>
        <w:rPr>
          <w:rFonts w:hint="eastAsia" w:ascii="仿宋" w:hAnsi="仿宋" w:eastAsia="仿宋" w:cs="仿宋"/>
          <w:color w:val="000000" w:themeColor="text1"/>
          <w:sz w:val="30"/>
          <w:szCs w:val="30"/>
          <w14:textFill>
            <w14:solidFill>
              <w14:schemeClr w14:val="tx1"/>
            </w14:solidFill>
          </w14:textFill>
        </w:rPr>
        <w:t>本年累计贮存量2627.4吨</w:t>
      </w:r>
      <w:r>
        <w:rPr>
          <w:rFonts w:hint="eastAsia" w:ascii="仿宋" w:hAnsi="仿宋" w:eastAsia="仿宋" w:cs="仿宋"/>
          <w:color w:val="000000" w:themeColor="text1"/>
          <w:sz w:val="30"/>
          <w:szCs w:val="30"/>
          <w:lang w:val="zh-CN"/>
          <w14:textFill>
            <w14:solidFill>
              <w14:schemeClr w14:val="tx1"/>
            </w14:solidFill>
          </w14:textFill>
        </w:rPr>
        <w:t>。仍有</w:t>
      </w:r>
      <w:r>
        <w:rPr>
          <w:rFonts w:hint="eastAsia" w:ascii="仿宋" w:hAnsi="仿宋" w:eastAsia="仿宋" w:cs="仿宋"/>
          <w:color w:val="000000" w:themeColor="text1"/>
          <w:sz w:val="30"/>
          <w:szCs w:val="30"/>
          <w:lang w:val="en-US" w:eastAsia="zh-CN"/>
          <w14:textFill>
            <w14:solidFill>
              <w14:schemeClr w14:val="tx1"/>
            </w14:solidFill>
          </w14:textFill>
        </w:rPr>
        <w:t>9%的</w:t>
      </w:r>
      <w:r>
        <w:rPr>
          <w:rFonts w:hint="eastAsia" w:ascii="仿宋" w:hAnsi="仿宋" w:eastAsia="仿宋" w:cs="仿宋"/>
          <w:color w:val="000000" w:themeColor="text1"/>
          <w:sz w:val="30"/>
          <w:szCs w:val="30"/>
          <w:lang w:val="zh-CN"/>
          <w14:textFill>
            <w14:solidFill>
              <w14:schemeClr w14:val="tx1"/>
            </w14:solidFill>
          </w14:textFill>
        </w:rPr>
        <w:t>危险废物</w:t>
      </w:r>
      <w:r>
        <w:rPr>
          <w:rFonts w:hint="eastAsia" w:ascii="仿宋" w:hAnsi="仿宋" w:eastAsia="仿宋" w:cs="仿宋"/>
          <w:color w:val="000000" w:themeColor="text1"/>
          <w:sz w:val="30"/>
          <w:szCs w:val="30"/>
          <w:lang w:val="en-US" w:eastAsia="zh-CN"/>
          <w14:textFill>
            <w14:solidFill>
              <w14:schemeClr w14:val="tx1"/>
            </w14:solidFill>
          </w14:textFill>
        </w:rPr>
        <w:t>不能自处置利用。</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目前全县产生量相对较大且具有回收利用价值的铅酸蓄电池、废催化剂等危险废物，均存在缺少资源化利用设施和处置能力不足问题。</w:t>
      </w:r>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color w:val="000000" w:themeColor="text1"/>
          <w:sz w:val="30"/>
          <w:szCs w:val="30"/>
          <w:lang w:val="en-US" w:eastAsia="zh-CN"/>
          <w14:textFill>
            <w14:solidFill>
              <w14:schemeClr w14:val="tx1"/>
            </w14:solidFill>
          </w14:textFill>
        </w:rPr>
        <w:t>生活垃圾分类工作需要进一步强化，距离全覆盖的目标还有较大差距。居民分类引导、分类收集及转运体系、综合利用及无害化处理处置基础设施配套等全流程垃圾分类运行模式尚未建成。</w:t>
      </w:r>
    </w:p>
    <w:p>
      <w:pPr>
        <w:pStyle w:val="5"/>
        <w:bidi w:val="0"/>
        <w:ind w:firstLine="602" w:firstLineChars="200"/>
        <w:rPr>
          <w:rFonts w:hint="eastAsia" w:ascii="仿宋" w:hAnsi="仿宋" w:eastAsia="仿宋" w:cs="仿宋"/>
          <w:sz w:val="30"/>
          <w:szCs w:val="30"/>
          <w:lang w:eastAsia="zh-CN"/>
        </w:rPr>
      </w:pPr>
      <w:bookmarkStart w:id="20" w:name="_Toc3372"/>
      <w:r>
        <w:rPr>
          <w:rFonts w:hint="eastAsia" w:ascii="仿宋" w:hAnsi="仿宋" w:eastAsia="仿宋" w:cs="仿宋"/>
          <w:sz w:val="30"/>
          <w:szCs w:val="30"/>
          <w:lang w:eastAsia="zh-CN"/>
        </w:rPr>
        <w:t>二、治理能力与治理体系面临的挑战</w:t>
      </w:r>
      <w:bookmarkEnd w:id="20"/>
    </w:p>
    <w:p>
      <w:pPr>
        <w:bidi w:val="0"/>
        <w:spacing w:line="360" w:lineRule="auto"/>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1、</w:t>
      </w:r>
      <w:r>
        <w:rPr>
          <w:rFonts w:hint="eastAsia" w:ascii="仿宋" w:hAnsi="仿宋" w:eastAsia="仿宋" w:cs="仿宋"/>
          <w:b/>
          <w:bCs/>
          <w:color w:val="000000" w:themeColor="text1"/>
          <w:sz w:val="30"/>
          <w:szCs w:val="30"/>
          <w14:textFill>
            <w14:solidFill>
              <w14:schemeClr w14:val="tx1"/>
            </w14:solidFill>
          </w14:textFill>
        </w:rPr>
        <w:t>环境质量提升已接近平台期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pacing w:before="0" w:beforeAutospacing="0" w:afterAutospacing="0" w:line="360" w:lineRule="auto"/>
        <w:ind w:left="0" w:right="0" w:firstLine="600" w:firstLineChars="200"/>
        <w:jc w:val="left"/>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kern w:val="0"/>
          <w:sz w:val="30"/>
          <w:szCs w:val="30"/>
          <w:shd w:val="clear" w:fill="FFFFFF"/>
          <w:lang w:val="en-US" w:eastAsia="zh-CN" w:bidi="ar"/>
          <w14:textFill>
            <w14:solidFill>
              <w14:schemeClr w14:val="tx1"/>
            </w14:solidFill>
          </w14:textFill>
        </w:rPr>
        <w:t>依照中共中央、国务院《关于深入打好污染防治攻坚战的意见》的主要目标，“到2025年，生态环境持续改善，主要污染物排放总量持续下降，单位国内生产总值二氧化碳排放比2020年下降18%，地级及以上城市细颗粒物（PM2.5）浓度下降10%，空气质量优良天数比率达到87.5%，地表水Ⅰ－Ⅲ类水体比例达到85%，重污染天气、城市黑臭水体基本消除，土壤污染风险得到有效管控，固体废物和新污染物治理能力明显增强，生态系统质量和稳定性持续提升，生态环境治理体系更加完善，生态文明建设实现新进步。到2035年，广泛形成绿色生产生活方式，碳排放达峰后稳中有降，生态环境根本好转，美丽中国建设目标基本实现。”</w:t>
      </w:r>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随着</w:t>
      </w:r>
      <w:r>
        <w:rPr>
          <w:rFonts w:hint="eastAsia" w:ascii="仿宋" w:hAnsi="仿宋" w:eastAsia="仿宋" w:cs="仿宋"/>
          <w:color w:val="000000" w:themeColor="text1"/>
          <w:sz w:val="30"/>
          <w:szCs w:val="30"/>
          <w14:textFill>
            <w14:solidFill>
              <w14:schemeClr w14:val="tx1"/>
            </w14:solidFill>
          </w14:textFill>
        </w:rPr>
        <w:t>大气、水、土壤污染治理工作不断深化，环境质量</w:t>
      </w:r>
      <w:r>
        <w:rPr>
          <w:rFonts w:hint="eastAsia" w:ascii="仿宋" w:hAnsi="仿宋" w:eastAsia="仿宋" w:cs="仿宋"/>
          <w:color w:val="000000" w:themeColor="text1"/>
          <w:sz w:val="30"/>
          <w:szCs w:val="30"/>
          <w:lang w:eastAsia="zh-CN"/>
          <w14:textFill>
            <w14:solidFill>
              <w14:schemeClr w14:val="tx1"/>
            </w14:solidFill>
          </w14:textFill>
        </w:rPr>
        <w:t>在</w:t>
      </w:r>
      <w:r>
        <w:rPr>
          <w:rFonts w:hint="eastAsia" w:ascii="仿宋" w:hAnsi="仿宋" w:eastAsia="仿宋" w:cs="仿宋"/>
          <w:color w:val="000000" w:themeColor="text1"/>
          <w:sz w:val="30"/>
          <w:szCs w:val="30"/>
          <w14:textFill>
            <w14:solidFill>
              <w14:schemeClr w14:val="tx1"/>
            </w14:solidFill>
          </w14:textFill>
        </w:rPr>
        <w:t>得到改善</w:t>
      </w:r>
      <w:r>
        <w:rPr>
          <w:rFonts w:hint="eastAsia" w:ascii="仿宋" w:hAnsi="仿宋" w:eastAsia="仿宋" w:cs="仿宋"/>
          <w:color w:val="000000" w:themeColor="text1"/>
          <w:sz w:val="30"/>
          <w:szCs w:val="30"/>
          <w:lang w:eastAsia="zh-CN"/>
          <w14:textFill>
            <w14:solidFill>
              <w14:schemeClr w14:val="tx1"/>
            </w14:solidFill>
          </w14:textFill>
        </w:rPr>
        <w:t>的同时</w:t>
      </w:r>
      <w:r>
        <w:rPr>
          <w:rFonts w:hint="eastAsia" w:ascii="仿宋" w:hAnsi="仿宋" w:eastAsia="仿宋" w:cs="仿宋"/>
          <w:color w:val="000000" w:themeColor="text1"/>
          <w:sz w:val="30"/>
          <w:szCs w:val="30"/>
          <w14:textFill>
            <w14:solidFill>
              <w14:schemeClr w14:val="tx1"/>
            </w14:solidFill>
          </w14:textFill>
        </w:rPr>
        <w:t>，</w:t>
      </w:r>
      <w:r>
        <w:rPr>
          <w:rFonts w:hint="eastAsia" w:ascii="仿宋" w:hAnsi="仿宋" w:eastAsia="仿宋" w:cs="仿宋"/>
          <w:color w:val="000000" w:themeColor="text1"/>
          <w:sz w:val="30"/>
          <w:szCs w:val="30"/>
          <w:lang w:eastAsia="zh-CN"/>
          <w14:textFill>
            <w14:solidFill>
              <w14:schemeClr w14:val="tx1"/>
            </w14:solidFill>
          </w14:textFill>
        </w:rPr>
        <w:t>台安县</w:t>
      </w:r>
      <w:r>
        <w:rPr>
          <w:rFonts w:hint="eastAsia" w:ascii="仿宋" w:hAnsi="仿宋" w:eastAsia="仿宋" w:cs="仿宋"/>
          <w:color w:val="000000" w:themeColor="text1"/>
          <w:sz w:val="30"/>
          <w:szCs w:val="30"/>
          <w14:textFill>
            <w14:solidFill>
              <w14:schemeClr w14:val="tx1"/>
            </w14:solidFill>
          </w14:textFill>
        </w:rPr>
        <w:t>已较难进一步挖掘末端治理减排空间，以支撑环境质量持续稳定改善和更高的环境质量需求，亟需构建“大生态”环境体系，整体提升生态系统服务功能。</w:t>
      </w:r>
    </w:p>
    <w:p>
      <w:pPr>
        <w:bidi w:val="0"/>
        <w:spacing w:line="360" w:lineRule="auto"/>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2、</w:t>
      </w:r>
      <w:r>
        <w:rPr>
          <w:rFonts w:hint="eastAsia" w:ascii="仿宋" w:hAnsi="仿宋" w:eastAsia="仿宋" w:cs="仿宋"/>
          <w:b/>
          <w:bCs/>
          <w:color w:val="000000" w:themeColor="text1"/>
          <w:sz w:val="30"/>
          <w:szCs w:val="30"/>
          <w14:textFill>
            <w14:solidFill>
              <w14:schemeClr w14:val="tx1"/>
            </w14:solidFill>
          </w14:textFill>
        </w:rPr>
        <w:t>硬件和软件建设的双重准备</w:t>
      </w:r>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面对更高环境质量和人居环境需求，需要不断推升生态环境治理能力，构建完善的生态环境治理体系，不断提升污染治理、风险监控、环境科研、政策制度、环境管理等多方面能力水平，切实做好有效应对新挑战的硬件和软件建设双重准备。</w:t>
      </w:r>
    </w:p>
    <w:p>
      <w:pPr>
        <w:bidi w:val="0"/>
        <w:spacing w:line="360" w:lineRule="auto"/>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3、</w:t>
      </w:r>
      <w:r>
        <w:rPr>
          <w:rFonts w:hint="eastAsia" w:ascii="仿宋" w:hAnsi="仿宋" w:eastAsia="仿宋" w:cs="仿宋"/>
          <w:b/>
          <w:bCs/>
          <w:color w:val="000000" w:themeColor="text1"/>
          <w:sz w:val="30"/>
          <w:szCs w:val="30"/>
          <w14:textFill>
            <w14:solidFill>
              <w14:schemeClr w14:val="tx1"/>
            </w14:solidFill>
          </w14:textFill>
        </w:rPr>
        <w:t>乡镇及村屯生活污水治理尚存短板</w:t>
      </w:r>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已建成乡镇污水处理设施运行情况不佳，存在运行经费保障落实不到位、运行管理缺失、无法</w:t>
      </w:r>
      <w:r>
        <w:rPr>
          <w:rFonts w:hint="eastAsia" w:ascii="仿宋" w:hAnsi="仿宋" w:eastAsia="仿宋" w:cs="仿宋"/>
          <w:color w:val="000000" w:themeColor="text1"/>
          <w:sz w:val="30"/>
          <w:szCs w:val="30"/>
          <w:lang w:eastAsia="zh-CN"/>
          <w14:textFill>
            <w14:solidFill>
              <w14:schemeClr w14:val="tx1"/>
            </w14:solidFill>
          </w14:textFill>
        </w:rPr>
        <w:t>稳定</w:t>
      </w:r>
      <w:r>
        <w:rPr>
          <w:rFonts w:hint="eastAsia" w:ascii="仿宋" w:hAnsi="仿宋" w:eastAsia="仿宋" w:cs="仿宋"/>
          <w:color w:val="000000" w:themeColor="text1"/>
          <w:sz w:val="30"/>
          <w:szCs w:val="30"/>
          <w14:textFill>
            <w14:solidFill>
              <w14:schemeClr w14:val="tx1"/>
            </w14:solidFill>
          </w14:textFill>
        </w:rPr>
        <w:t>达标排放、污水收集率偏低等问题。部分乡镇及存在集中排水村屯尚未建有污水处理设施，直排污水直接对水体水质造成影响。</w:t>
      </w:r>
    </w:p>
    <w:p>
      <w:pPr>
        <w:bidi w:val="0"/>
        <w:spacing w:line="360" w:lineRule="auto"/>
        <w:ind w:firstLine="602" w:firstLineChars="200"/>
        <w:rPr>
          <w:rFonts w:hint="eastAsia" w:ascii="仿宋" w:hAnsi="仿宋" w:eastAsia="仿宋" w:cs="仿宋"/>
          <w:b/>
          <w:bCs/>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4、</w:t>
      </w:r>
      <w:r>
        <w:rPr>
          <w:rFonts w:hint="eastAsia" w:ascii="仿宋" w:hAnsi="仿宋" w:eastAsia="仿宋" w:cs="仿宋"/>
          <w:b/>
          <w:bCs/>
          <w:color w:val="000000" w:themeColor="text1"/>
          <w:sz w:val="30"/>
          <w:szCs w:val="30"/>
          <w14:textFill>
            <w14:solidFill>
              <w14:schemeClr w14:val="tx1"/>
            </w14:solidFill>
          </w14:textFill>
        </w:rPr>
        <w:t>绿色产业发展相对滞后</w:t>
      </w:r>
    </w:p>
    <w:p>
      <w:pPr>
        <w:keepNext w:val="0"/>
        <w:keepLines w:val="0"/>
        <w:pageBreakBefore w:val="0"/>
        <w:kinsoku/>
        <w:wordWrap/>
        <w:overflowPunct/>
        <w:topLinePunct w:val="0"/>
        <w:autoSpaceDE/>
        <w:autoSpaceDN/>
        <w:bidi w:val="0"/>
        <w:adjustRightInd/>
        <w:snapToGrid/>
        <w:spacing w:line="360" w:lineRule="auto"/>
        <w:ind w:firstLine="600" w:firstLineChars="200"/>
        <w:textAlignment w:val="auto"/>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绿色行业仍属于新兴产业，整体产业规模有限，小型企业居多，企业规模小且利润率低；规模以上企业较少，龙头企业带动作用不明显；产业体系尚不健全，在生态保护、绿色农业、超低公害产品、绿色服务业等还有待进一步发展深入。</w:t>
      </w:r>
    </w:p>
    <w:p>
      <w:pPr>
        <w:pStyle w:val="5"/>
        <w:bidi w:val="0"/>
        <w:ind w:firstLine="602" w:firstLineChars="200"/>
        <w:rPr>
          <w:rFonts w:hint="eastAsia" w:ascii="仿宋" w:hAnsi="仿宋" w:eastAsia="仿宋" w:cs="仿宋"/>
          <w:sz w:val="30"/>
          <w:szCs w:val="30"/>
          <w:lang w:eastAsia="zh-CN"/>
        </w:rPr>
      </w:pPr>
      <w:bookmarkStart w:id="21" w:name="_Toc16491"/>
      <w:r>
        <w:rPr>
          <w:rFonts w:hint="eastAsia" w:ascii="仿宋" w:hAnsi="仿宋" w:eastAsia="仿宋" w:cs="仿宋"/>
          <w:sz w:val="30"/>
          <w:szCs w:val="30"/>
          <w:lang w:eastAsia="zh-CN"/>
        </w:rPr>
        <w:t>三、产业结构升级与绿色转型面临的挑战</w:t>
      </w:r>
      <w:bookmarkEnd w:id="21"/>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360" w:lineRule="auto"/>
        <w:ind w:left="0" w:right="0" w:firstLine="600" w:firstLineChars="200"/>
        <w:jc w:val="left"/>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color w:val="000000" w:themeColor="text1"/>
          <w:sz w:val="30"/>
          <w:szCs w:val="30"/>
          <w:lang w:eastAsia="zh-CN"/>
          <w14:textFill>
            <w14:solidFill>
              <w14:schemeClr w14:val="tx1"/>
            </w14:solidFill>
          </w14:textFill>
        </w:rPr>
        <w:t>《关于完整准确全面贯彻新发展理念做好碳达峰碳中和工作的意见》（中共中央、国务院）中提出“</w:t>
      </w:r>
      <w:r>
        <w:rPr>
          <w:rFonts w:hint="eastAsia" w:ascii="仿宋" w:hAnsi="仿宋" w:eastAsia="仿宋" w:cs="仿宋"/>
          <w:color w:val="000000"/>
          <w:kern w:val="0"/>
          <w:sz w:val="30"/>
          <w:szCs w:val="30"/>
          <w:shd w:val="clear" w:fill="FFFFFF"/>
          <w:lang w:val="en-US" w:eastAsia="zh-CN" w:bidi="ar"/>
        </w:rPr>
        <w:t>到2025年，绿色低碳循环发展的经济体系初步形成，重点行业能源利用效率大幅提升。单位国内生产总值能耗比2020年下降13.5%；单位国内生产总值二氧化碳排放比2020年下降18%；非化石能源消费比重达到20%左右；森林覆盖率达到24.1%，森林蓄积量达到180亿立方米，为实现碳达峰、碳中和奠定坚实基础</w:t>
      </w:r>
      <w:r>
        <w:rPr>
          <w:rFonts w:hint="eastAsia" w:ascii="仿宋" w:hAnsi="仿宋" w:eastAsia="仿宋" w:cs="仿宋"/>
          <w:color w:val="000000" w:themeColor="text1"/>
          <w:sz w:val="30"/>
          <w:szCs w:val="30"/>
          <w:lang w:eastAsia="zh-CN"/>
          <w14:textFill>
            <w14:solidFill>
              <w14:schemeClr w14:val="tx1"/>
            </w14:solidFill>
          </w14:textFill>
        </w:rPr>
        <w:t>”的总体目标；《关于推动城乡建设绿色发展的意见》（中共中央办公厅、国务院办公厅）中提出“</w:t>
      </w:r>
      <w:r>
        <w:rPr>
          <w:rFonts w:hint="eastAsia" w:ascii="仿宋" w:hAnsi="仿宋" w:eastAsia="仿宋" w:cs="仿宋"/>
          <w:color w:val="000000" w:themeColor="text1"/>
          <w:kern w:val="0"/>
          <w:sz w:val="30"/>
          <w:szCs w:val="30"/>
          <w:shd w:val="clear" w:fill="FFFFFF"/>
          <w:lang w:val="en-US" w:eastAsia="zh-CN" w:bidi="ar"/>
          <w14:textFill>
            <w14:solidFill>
              <w14:schemeClr w14:val="tx1"/>
            </w14:solidFill>
          </w14:textFill>
        </w:rPr>
        <w:t>到2025年，城乡建设绿色发展体制机制和政策体系基本建立，建设方式绿色转型成效显著，碳减排扎实推进，城市整体性、系统性、生长性增强，城乡生态环境质量整体改善，城乡发展质量和资源环境承载能力明显提升，综合治理能力显著提高，绿色生活方式普遍推广</w:t>
      </w:r>
      <w:r>
        <w:rPr>
          <w:rFonts w:hint="eastAsia" w:ascii="仿宋" w:hAnsi="仿宋" w:eastAsia="仿宋" w:cs="仿宋"/>
          <w:color w:val="000000" w:themeColor="text1"/>
          <w:sz w:val="30"/>
          <w:szCs w:val="30"/>
          <w:lang w:eastAsia="zh-CN"/>
          <w14:textFill>
            <w14:solidFill>
              <w14:schemeClr w14:val="tx1"/>
            </w14:solidFill>
          </w14:textFill>
        </w:rPr>
        <w:t>”的总体目标。</w:t>
      </w:r>
    </w:p>
    <w:p>
      <w:pPr>
        <w:pStyle w:val="2"/>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2020年，台安县全年地区生产总值完成148.33亿元，增长0.1%。三次产业结构比22.7：37.6：39.7。</w:t>
      </w: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对照同时期我国的产业结构构成来看，台安县的产业结构中第一产业占比过大，第三产业占比较低。此外，台安县的第一产业规模化、集约化程度不高。为此，应充分发挥农业优势，在此基础上调整第一产业实现具有规模化、集约化、科技化、生态化和品牌化的新兴农业产业。积极培育和发展龙头企业，带动中小企业发展，从而促进农业集群化发展，提高台安县农业的整体市场竞争力。</w:t>
      </w:r>
    </w:p>
    <w:p>
      <w:pPr>
        <w:pStyle w:val="2"/>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从产业结构的占比可见，台安县第三产业发展缓慢，在国民经济中占比相对较低。第三产业发展可以带动县域经济快速增长。为此，应鼓励民营经济向第三产业投资。首先在确保传统服务业稳步发展的前提下，着重发展现代物流等新兴服务业，加大力度鼓励旅游业发展，促进绿色经济。</w:t>
      </w:r>
    </w:p>
    <w:p>
      <w:pPr>
        <w:pStyle w:val="2"/>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r>
        <w:rPr>
          <w:rFonts w:hint="eastAsia" w:ascii="仿宋" w:hAnsi="仿宋" w:eastAsia="仿宋" w:cs="仿宋"/>
          <w:i w:val="0"/>
          <w:iCs w:val="0"/>
          <w:caps w:val="0"/>
          <w:color w:val="000000" w:themeColor="text1"/>
          <w:spacing w:val="0"/>
          <w:sz w:val="30"/>
          <w:szCs w:val="30"/>
          <w:shd w:val="clear" w:fill="FFFFFF"/>
          <w:lang w:eastAsia="zh-CN"/>
          <w14:textFill>
            <w14:solidFill>
              <w14:schemeClr w14:val="tx1"/>
            </w14:solidFill>
          </w14:textFill>
        </w:rPr>
        <w:t>台安县</w:t>
      </w:r>
      <w:r>
        <w:rPr>
          <w:rFonts w:hint="eastAsia" w:ascii="仿宋" w:hAnsi="仿宋" w:eastAsia="仿宋" w:cs="仿宋"/>
          <w:color w:val="000000" w:themeColor="text1"/>
          <w:sz w:val="30"/>
          <w:szCs w:val="30"/>
          <w:lang w:eastAsia="zh-CN"/>
          <w14:textFill>
            <w14:solidFill>
              <w14:schemeClr w14:val="tx1"/>
            </w14:solidFill>
          </w14:textFill>
        </w:rPr>
        <w:t>第二产业的产业结构主要畜禽屠宰业、肉制品及副产品、原油加工及石油制品制造、耐火材料制品为主，其次钢铁、机械、化工，其能源结构尚以化石能源为主，在推动产业结构升级、发展绿色低碳产业、严控化石能源消费与发展非化石能源、污染物减排方面面临较大压力。</w:t>
      </w:r>
    </w:p>
    <w:p>
      <w:pPr>
        <w:pStyle w:val="2"/>
        <w:keepNext w:val="0"/>
        <w:keepLines w:val="0"/>
        <w:pageBreakBefore w:val="0"/>
        <w:kinsoku/>
        <w:wordWrap/>
        <w:overflowPunct/>
        <w:topLinePunct w:val="0"/>
        <w:autoSpaceDE/>
        <w:autoSpaceDN/>
        <w:bidi w:val="0"/>
        <w:adjustRightInd/>
        <w:spacing w:line="360" w:lineRule="auto"/>
        <w:ind w:firstLine="600" w:firstLineChars="200"/>
        <w:textAlignment w:val="auto"/>
        <w:rPr>
          <w:rFonts w:hint="eastAsia" w:ascii="仿宋" w:hAnsi="仿宋" w:eastAsia="仿宋" w:cs="仿宋"/>
          <w:color w:val="000000" w:themeColor="text1"/>
          <w:sz w:val="30"/>
          <w:szCs w:val="30"/>
          <w:lang w:eastAsia="zh-CN"/>
          <w14:textFill>
            <w14:solidFill>
              <w14:schemeClr w14:val="tx1"/>
            </w14:solidFill>
          </w14:textFill>
        </w:rPr>
      </w:pPr>
    </w:p>
    <w:p>
      <w:pPr>
        <w:pStyle w:val="3"/>
        <w:bidi w:val="0"/>
        <w:jc w:val="center"/>
        <w:rPr>
          <w:rFonts w:hint="eastAsia"/>
          <w:color w:val="000000" w:themeColor="text1"/>
          <w:sz w:val="36"/>
          <w:szCs w:val="36"/>
          <w:lang w:eastAsia="zh-CN"/>
          <w14:textFill>
            <w14:solidFill>
              <w14:schemeClr w14:val="tx1"/>
            </w14:solidFill>
          </w14:textFill>
        </w:rPr>
      </w:pPr>
      <w:bookmarkStart w:id="22" w:name="_Toc8600"/>
      <w:r>
        <w:rPr>
          <w:rFonts w:hint="eastAsia"/>
          <w:color w:val="000000" w:themeColor="text1"/>
          <w:sz w:val="36"/>
          <w:szCs w:val="36"/>
          <w:lang w:eastAsia="zh-CN"/>
          <w14:textFill>
            <w14:solidFill>
              <w14:schemeClr w14:val="tx1"/>
            </w14:solidFill>
          </w14:textFill>
        </w:rPr>
        <w:t>第四章</w:t>
      </w:r>
      <w:r>
        <w:rPr>
          <w:rFonts w:hint="eastAsia"/>
          <w:color w:val="000000" w:themeColor="text1"/>
          <w:sz w:val="36"/>
          <w:szCs w:val="36"/>
          <w:lang w:val="en-US" w:eastAsia="zh-CN"/>
          <w14:textFill>
            <w14:solidFill>
              <w14:schemeClr w14:val="tx1"/>
            </w14:solidFill>
          </w14:textFill>
        </w:rPr>
        <w:t xml:space="preserve"> </w:t>
      </w:r>
      <w:r>
        <w:rPr>
          <w:rFonts w:hint="eastAsia"/>
          <w:color w:val="000000" w:themeColor="text1"/>
          <w:sz w:val="36"/>
          <w:szCs w:val="36"/>
          <w:lang w:eastAsia="zh-CN"/>
          <w14:textFill>
            <w14:solidFill>
              <w14:schemeClr w14:val="tx1"/>
            </w14:solidFill>
          </w14:textFill>
        </w:rPr>
        <w:t>规划指导思想和目标</w:t>
      </w:r>
      <w:bookmarkEnd w:id="22"/>
    </w:p>
    <w:p>
      <w:pPr>
        <w:pStyle w:val="4"/>
        <w:numPr>
          <w:ilvl w:val="1"/>
          <w:numId w:val="0"/>
        </w:numPr>
        <w:bidi w:val="0"/>
        <w:ind w:leftChars="0"/>
        <w:jc w:val="center"/>
        <w:rPr>
          <w:rFonts w:hint="eastAsia"/>
          <w:color w:val="000000" w:themeColor="text1"/>
          <w:lang w:eastAsia="zh-CN"/>
          <w14:textFill>
            <w14:solidFill>
              <w14:schemeClr w14:val="tx1"/>
            </w14:solidFill>
          </w14:textFill>
        </w:rPr>
      </w:pPr>
      <w:bookmarkStart w:id="23" w:name="_Toc2305"/>
      <w:r>
        <w:rPr>
          <w:rFonts w:hint="eastAsia"/>
          <w:color w:val="000000" w:themeColor="text1"/>
          <w:lang w:eastAsia="zh-CN"/>
          <w14:textFill>
            <w14:solidFill>
              <w14:schemeClr w14:val="tx1"/>
            </w14:solidFill>
          </w14:textFill>
        </w:rPr>
        <w:t>第一节</w:t>
      </w:r>
      <w:r>
        <w:rPr>
          <w:rFonts w:hint="eastAsia"/>
          <w:color w:val="000000" w:themeColor="text1"/>
          <w:lang w:val="en-US" w:eastAsia="zh-CN"/>
          <w14:textFill>
            <w14:solidFill>
              <w14:schemeClr w14:val="tx1"/>
            </w14:solidFill>
          </w14:textFill>
        </w:rPr>
        <w:t xml:space="preserve"> </w:t>
      </w:r>
      <w:r>
        <w:rPr>
          <w:rFonts w:hint="eastAsia"/>
          <w:color w:val="000000" w:themeColor="text1"/>
          <w:lang w:eastAsia="zh-CN"/>
          <w14:textFill>
            <w14:solidFill>
              <w14:schemeClr w14:val="tx1"/>
            </w14:solidFill>
          </w14:textFill>
        </w:rPr>
        <w:t>指导思想</w:t>
      </w:r>
      <w:bookmarkEnd w:id="23"/>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以习近平新时代中国特色社会主义思想为指导，全面贯彻党的十九大和十九届二中、三中、四中全会精神，深入贯彻习近平生态文明思想，秉持人民至上的理念，贯彻落实新发展理念，坚持中国特色社会主义事业“五位一体”总体布局，</w:t>
      </w:r>
      <w:r>
        <w:rPr>
          <w:rFonts w:hint="eastAsia" w:ascii="仿宋" w:hAnsi="仿宋" w:eastAsia="仿宋" w:cs="仿宋"/>
          <w:color w:val="000000" w:themeColor="text1"/>
          <w:sz w:val="30"/>
          <w:szCs w:val="30"/>
          <w:lang w:eastAsia="zh-CN"/>
          <w14:textFill>
            <w14:solidFill>
              <w14:schemeClr w14:val="tx1"/>
            </w14:solidFill>
          </w14:textFill>
        </w:rPr>
        <w:t>全面落实鞍山市生态环境保护的总体部署，对接</w:t>
      </w:r>
      <w:r>
        <w:rPr>
          <w:rFonts w:hint="eastAsia" w:ascii="仿宋" w:hAnsi="仿宋" w:eastAsia="仿宋" w:cs="仿宋"/>
          <w:color w:val="000000" w:themeColor="text1"/>
          <w:sz w:val="30"/>
          <w:szCs w:val="30"/>
          <w14:textFill>
            <w14:solidFill>
              <w14:schemeClr w14:val="tx1"/>
            </w14:solidFill>
          </w14:textFill>
        </w:rPr>
        <w:t>2035年</w:t>
      </w:r>
      <w:r>
        <w:rPr>
          <w:rFonts w:hint="eastAsia" w:ascii="仿宋" w:hAnsi="仿宋" w:eastAsia="仿宋" w:cs="仿宋"/>
          <w:color w:val="000000" w:themeColor="text1"/>
          <w:sz w:val="30"/>
          <w:szCs w:val="30"/>
          <w:lang w:eastAsia="zh-CN"/>
          <w14:textFill>
            <w14:solidFill>
              <w14:schemeClr w14:val="tx1"/>
            </w14:solidFill>
          </w14:textFill>
        </w:rPr>
        <w:t>生态环境根本好转的</w:t>
      </w:r>
      <w:r>
        <w:rPr>
          <w:rFonts w:hint="eastAsia" w:ascii="仿宋" w:hAnsi="仿宋" w:eastAsia="仿宋" w:cs="仿宋"/>
          <w:color w:val="000000" w:themeColor="text1"/>
          <w:sz w:val="30"/>
          <w:szCs w:val="30"/>
          <w14:textFill>
            <w14:solidFill>
              <w14:schemeClr w14:val="tx1"/>
            </w14:solidFill>
          </w14:textFill>
        </w:rPr>
        <w:t>远景战略目标</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坚定不移贯彻新发展理念，加快生态</w:t>
      </w:r>
      <w:r>
        <w:rPr>
          <w:rFonts w:hint="eastAsia" w:ascii="仿宋" w:hAnsi="仿宋" w:eastAsia="仿宋" w:cs="仿宋"/>
          <w:color w:val="000000" w:themeColor="text1"/>
          <w:sz w:val="30"/>
          <w:szCs w:val="30"/>
          <w:lang w:eastAsia="zh-CN"/>
          <w14:textFill>
            <w14:solidFill>
              <w14:schemeClr w14:val="tx1"/>
            </w14:solidFill>
          </w14:textFill>
        </w:rPr>
        <w:t>环境</w:t>
      </w:r>
      <w:r>
        <w:rPr>
          <w:rFonts w:hint="eastAsia" w:ascii="仿宋" w:hAnsi="仿宋" w:eastAsia="仿宋" w:cs="仿宋"/>
          <w:color w:val="000000" w:themeColor="text1"/>
          <w:sz w:val="30"/>
          <w:szCs w:val="30"/>
          <w14:textFill>
            <w14:solidFill>
              <w14:schemeClr w14:val="tx1"/>
            </w14:solidFill>
          </w14:textFill>
        </w:rPr>
        <w:t>建设，全方位全过程推行绿色规划、绿色设计、绿色投资、绿色建设、绿色生产、绿色流通、绿色生活、绿色消费等绿色低碳发展模式，建立健全绿色低碳循环发展的经济体系，确保实现碳达峰、碳中和目标，推动全</w:t>
      </w:r>
      <w:r>
        <w:rPr>
          <w:rFonts w:hint="eastAsia" w:ascii="仿宋" w:hAnsi="仿宋" w:eastAsia="仿宋" w:cs="仿宋"/>
          <w:color w:val="000000" w:themeColor="text1"/>
          <w:sz w:val="30"/>
          <w:szCs w:val="30"/>
          <w:lang w:eastAsia="zh-CN"/>
          <w14:textFill>
            <w14:solidFill>
              <w14:schemeClr w14:val="tx1"/>
            </w14:solidFill>
          </w14:textFill>
        </w:rPr>
        <w:t>县</w:t>
      </w:r>
      <w:r>
        <w:rPr>
          <w:rFonts w:hint="eastAsia" w:ascii="仿宋" w:hAnsi="仿宋" w:eastAsia="仿宋" w:cs="仿宋"/>
          <w:color w:val="000000" w:themeColor="text1"/>
          <w:sz w:val="30"/>
          <w:szCs w:val="30"/>
          <w14:textFill>
            <w14:solidFill>
              <w14:schemeClr w14:val="tx1"/>
            </w14:solidFill>
          </w14:textFill>
        </w:rPr>
        <w:t>绿色发展迈上新台阶。做到系统谋划、兼顾长短、突出特色、补强短板</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以持续改善生态环境质量为核心，以同步推动结构调整和经济社会高质量发展为主线，以生态环境治理体系与治理能力现代化为支撑，坚持“党政同责、一岗双责”，在稳定巩固污染防治攻坚战成果基础上，</w:t>
      </w:r>
      <w:r>
        <w:rPr>
          <w:rFonts w:hint="eastAsia" w:ascii="仿宋" w:hAnsi="仿宋" w:eastAsia="仿宋" w:cs="仿宋"/>
          <w:color w:val="000000" w:themeColor="text1"/>
          <w:sz w:val="30"/>
          <w:szCs w:val="30"/>
          <w:lang w:eastAsia="zh-CN"/>
          <w14:textFill>
            <w14:solidFill>
              <w14:schemeClr w14:val="tx1"/>
            </w14:solidFill>
          </w14:textFill>
        </w:rPr>
        <w:t>坚持问题导向，重在推进源头削减，协同降碳减排，促进产业绿色转型发展，深化</w:t>
      </w:r>
      <w:r>
        <w:rPr>
          <w:rFonts w:hint="eastAsia" w:ascii="仿宋" w:hAnsi="仿宋" w:eastAsia="仿宋" w:cs="仿宋"/>
          <w:color w:val="000000" w:themeColor="text1"/>
          <w:sz w:val="30"/>
          <w:szCs w:val="30"/>
          <w14:textFill>
            <w14:solidFill>
              <w14:schemeClr w14:val="tx1"/>
            </w14:solidFill>
          </w14:textFill>
        </w:rPr>
        <w:t>污染防治攻坚战，</w:t>
      </w:r>
      <w:r>
        <w:rPr>
          <w:rFonts w:hint="eastAsia" w:ascii="仿宋" w:hAnsi="仿宋" w:eastAsia="仿宋" w:cs="仿宋"/>
          <w:color w:val="000000" w:themeColor="text1"/>
          <w:sz w:val="30"/>
          <w:szCs w:val="30"/>
          <w:lang w:eastAsia="zh-CN"/>
          <w14:textFill>
            <w14:solidFill>
              <w14:schemeClr w14:val="tx1"/>
            </w14:solidFill>
          </w14:textFill>
        </w:rPr>
        <w:t>强力推进生态保护与修复，加强环境风险防范，提升环境治理体系和治理能力现代化，</w:t>
      </w:r>
      <w:r>
        <w:rPr>
          <w:rFonts w:hint="eastAsia" w:ascii="仿宋" w:hAnsi="仿宋" w:eastAsia="仿宋" w:cs="仿宋"/>
          <w:color w:val="000000" w:themeColor="text1"/>
          <w:sz w:val="30"/>
          <w:szCs w:val="30"/>
          <w14:textFill>
            <w14:solidFill>
              <w14:schemeClr w14:val="tx1"/>
            </w14:solidFill>
          </w14:textFill>
        </w:rPr>
        <w:t>进一步突出精准治污、科学治污、依法治污，系统保护、综合治理、分类</w:t>
      </w:r>
      <w:r>
        <w:rPr>
          <w:rFonts w:hint="eastAsia" w:ascii="仿宋" w:hAnsi="仿宋" w:eastAsia="仿宋" w:cs="仿宋"/>
          <w:color w:val="000000" w:themeColor="text1"/>
          <w:sz w:val="30"/>
          <w:szCs w:val="30"/>
          <w:lang w:eastAsia="zh-CN"/>
          <w14:textFill>
            <w14:solidFill>
              <w14:schemeClr w14:val="tx1"/>
            </w14:solidFill>
          </w14:textFill>
        </w:rPr>
        <w:t>施策</w:t>
      </w:r>
      <w:r>
        <w:rPr>
          <w:rFonts w:hint="eastAsia" w:ascii="仿宋" w:hAnsi="仿宋" w:eastAsia="仿宋" w:cs="仿宋"/>
          <w:color w:val="000000" w:themeColor="text1"/>
          <w:sz w:val="30"/>
          <w:szCs w:val="30"/>
          <w14:textFill>
            <w14:solidFill>
              <w14:schemeClr w14:val="tx1"/>
            </w14:solidFill>
          </w14:textFill>
        </w:rPr>
        <w:t>、全民行动，建设生态环境优美</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人和自然和谐发展的新</w:t>
      </w:r>
      <w:r>
        <w:rPr>
          <w:rFonts w:hint="eastAsia" w:ascii="仿宋" w:hAnsi="仿宋" w:eastAsia="仿宋" w:cs="仿宋"/>
          <w:color w:val="000000" w:themeColor="text1"/>
          <w:sz w:val="30"/>
          <w:szCs w:val="30"/>
          <w:lang w:eastAsia="zh-CN"/>
          <w14:textFill>
            <w14:solidFill>
              <w14:schemeClr w14:val="tx1"/>
            </w14:solidFill>
          </w14:textFill>
        </w:rPr>
        <w:t>台安</w:t>
      </w:r>
      <w:r>
        <w:rPr>
          <w:rFonts w:hint="eastAsia" w:ascii="仿宋" w:hAnsi="仿宋" w:eastAsia="仿宋" w:cs="仿宋"/>
          <w:color w:val="000000" w:themeColor="text1"/>
          <w:sz w:val="30"/>
          <w:szCs w:val="30"/>
          <w14:textFill>
            <w14:solidFill>
              <w14:schemeClr w14:val="tx1"/>
            </w14:solidFill>
          </w14:textFill>
        </w:rPr>
        <w:t>。</w:t>
      </w:r>
    </w:p>
    <w:p>
      <w:pPr>
        <w:pStyle w:val="4"/>
        <w:numPr>
          <w:ilvl w:val="1"/>
          <w:numId w:val="0"/>
        </w:numPr>
        <w:bidi w:val="0"/>
        <w:ind w:leftChars="0"/>
        <w:jc w:val="center"/>
        <w:rPr>
          <w:rFonts w:hint="eastAsia"/>
          <w:lang w:eastAsia="zh-CN"/>
        </w:rPr>
      </w:pPr>
      <w:bookmarkStart w:id="24" w:name="_Toc32491"/>
      <w:r>
        <w:rPr>
          <w:rFonts w:hint="eastAsia"/>
          <w:lang w:eastAsia="zh-CN"/>
        </w:rPr>
        <w:t>第二节</w:t>
      </w:r>
      <w:r>
        <w:rPr>
          <w:rFonts w:hint="eastAsia"/>
          <w:lang w:val="en-US" w:eastAsia="zh-CN"/>
        </w:rPr>
        <w:t xml:space="preserve"> </w:t>
      </w:r>
      <w:r>
        <w:rPr>
          <w:rFonts w:hint="eastAsia"/>
          <w:lang w:eastAsia="zh-CN"/>
        </w:rPr>
        <w:t>基本原则</w:t>
      </w:r>
      <w:bookmarkEnd w:id="24"/>
    </w:p>
    <w:p>
      <w:pPr>
        <w:bidi w:val="0"/>
        <w:spacing w:line="360" w:lineRule="auto"/>
        <w:ind w:firstLine="602" w:firstLineChars="200"/>
        <w:outlineLvl w:val="2"/>
        <w:rPr>
          <w:rFonts w:hint="eastAsia" w:ascii="仿宋" w:hAnsi="仿宋" w:eastAsia="仿宋" w:cs="仿宋"/>
          <w:sz w:val="30"/>
          <w:szCs w:val="30"/>
          <w:lang w:val="en-US" w:eastAsia="zh-CN"/>
        </w:rPr>
      </w:pPr>
      <w:bookmarkStart w:id="25" w:name="_Toc9632"/>
      <w:bookmarkStart w:id="26" w:name="_Toc25543"/>
      <w:bookmarkStart w:id="27" w:name="_Toc12083"/>
      <w:bookmarkStart w:id="28" w:name="_Toc2766"/>
      <w:bookmarkStart w:id="29" w:name="_Toc4900"/>
      <w:bookmarkStart w:id="30" w:name="_Toc29167"/>
      <w:r>
        <w:rPr>
          <w:rFonts w:hint="eastAsia" w:ascii="仿宋" w:hAnsi="仿宋" w:eastAsia="仿宋" w:cs="仿宋"/>
          <w:b/>
          <w:bCs/>
          <w:sz w:val="30"/>
          <w:szCs w:val="30"/>
          <w:lang w:val="en-US" w:eastAsia="zh-CN"/>
        </w:rPr>
        <w:t>坚持生态优先，绿色发展</w:t>
      </w:r>
      <w:bookmarkEnd w:id="25"/>
      <w:bookmarkEnd w:id="26"/>
      <w:bookmarkEnd w:id="27"/>
      <w:r>
        <w:rPr>
          <w:rFonts w:hint="eastAsia" w:ascii="仿宋" w:hAnsi="仿宋" w:eastAsia="仿宋" w:cs="仿宋"/>
          <w:b/>
          <w:bCs/>
          <w:sz w:val="30"/>
          <w:szCs w:val="30"/>
          <w:lang w:val="en-US" w:eastAsia="zh-CN"/>
        </w:rPr>
        <w:t>。</w:t>
      </w:r>
      <w:r>
        <w:rPr>
          <w:rFonts w:hint="eastAsia" w:ascii="仿宋" w:hAnsi="仿宋" w:eastAsia="仿宋" w:cs="仿宋"/>
          <w:sz w:val="30"/>
          <w:szCs w:val="30"/>
          <w:lang w:val="en-US" w:eastAsia="zh-CN"/>
        </w:rPr>
        <w:t>坚持“绿水青山就是金山银山”理念，深入实施可持续发展战略，全力打造台安县鲜明的绿色底色，推动产业发展绿色转型，推动生产生活方式绿色转型，推动城市建设绿色转型，促进人与自然和谐共生，以生态环境高水平保护促进经济社会高质量发展。</w:t>
      </w:r>
      <w:bookmarkEnd w:id="28"/>
      <w:bookmarkEnd w:id="29"/>
      <w:bookmarkEnd w:id="30"/>
    </w:p>
    <w:p>
      <w:pPr>
        <w:bidi w:val="0"/>
        <w:spacing w:line="360" w:lineRule="auto"/>
        <w:ind w:firstLine="602" w:firstLineChars="200"/>
        <w:outlineLvl w:val="2"/>
        <w:rPr>
          <w:rFonts w:hint="eastAsia" w:ascii="仿宋" w:hAnsi="仿宋" w:eastAsia="仿宋" w:cs="仿宋"/>
          <w:sz w:val="30"/>
          <w:szCs w:val="30"/>
        </w:rPr>
      </w:pPr>
      <w:bookmarkStart w:id="31" w:name="_Toc17214"/>
      <w:bookmarkStart w:id="32" w:name="_Toc32765"/>
      <w:bookmarkStart w:id="33" w:name="_Toc20236"/>
      <w:bookmarkStart w:id="34" w:name="_Toc24447"/>
      <w:bookmarkStart w:id="35" w:name="_Toc26540"/>
      <w:bookmarkStart w:id="36" w:name="_Toc13898"/>
      <w:r>
        <w:rPr>
          <w:rFonts w:hint="eastAsia" w:ascii="仿宋" w:hAnsi="仿宋" w:eastAsia="仿宋" w:cs="仿宋"/>
          <w:b/>
          <w:bCs/>
          <w:sz w:val="30"/>
          <w:szCs w:val="30"/>
          <w:lang w:val="en-US" w:eastAsia="zh-CN"/>
        </w:rPr>
        <w:t>坚持实施主体功能区战略。</w:t>
      </w:r>
      <w:r>
        <w:rPr>
          <w:rFonts w:hint="eastAsia" w:ascii="仿宋" w:hAnsi="仿宋" w:eastAsia="仿宋" w:cs="仿宋"/>
          <w:sz w:val="30"/>
          <w:szCs w:val="30"/>
        </w:rPr>
        <w:t>坚持系统观念，从生态系统整体性出发，提升生态系统质量和稳定性，强化国土空间规划和用途管控，落实生态保护、基本农田、城镇开发等空间管控边界，实施主体功能区战略，划定并严守生态保护红线。抓住资源利用这个源头，推进资源总量管理、科学配置、全面节约、循环利用，全面提高资源利用效率。</w:t>
      </w:r>
      <w:bookmarkEnd w:id="31"/>
      <w:bookmarkEnd w:id="32"/>
      <w:bookmarkEnd w:id="33"/>
    </w:p>
    <w:p>
      <w:pPr>
        <w:bidi w:val="0"/>
        <w:spacing w:line="360" w:lineRule="auto"/>
        <w:ind w:firstLine="602" w:firstLineChars="200"/>
        <w:outlineLvl w:val="2"/>
        <w:rPr>
          <w:rFonts w:hint="eastAsia" w:ascii="仿宋" w:hAnsi="仿宋" w:eastAsia="仿宋" w:cs="仿宋"/>
          <w:sz w:val="30"/>
          <w:szCs w:val="30"/>
          <w:lang w:val="en-US" w:eastAsia="zh-CN"/>
        </w:rPr>
      </w:pPr>
      <w:bookmarkStart w:id="37" w:name="_Toc25622"/>
      <w:bookmarkStart w:id="38" w:name="_Toc16789"/>
      <w:bookmarkStart w:id="39" w:name="_Toc14313"/>
      <w:r>
        <w:rPr>
          <w:rFonts w:hint="eastAsia" w:ascii="仿宋" w:hAnsi="仿宋" w:eastAsia="仿宋" w:cs="仿宋"/>
          <w:b/>
          <w:bCs/>
          <w:sz w:val="30"/>
          <w:szCs w:val="30"/>
          <w:lang w:val="en-US" w:eastAsia="zh-CN"/>
        </w:rPr>
        <w:t>坚持推进产业结构调整部署。</w:t>
      </w:r>
      <w:r>
        <w:rPr>
          <w:rFonts w:hint="eastAsia" w:ascii="仿宋" w:hAnsi="仿宋" w:eastAsia="仿宋" w:cs="仿宋"/>
          <w:sz w:val="30"/>
          <w:szCs w:val="30"/>
        </w:rPr>
        <w:t>深</w:t>
      </w:r>
      <w:r>
        <w:rPr>
          <w:rFonts w:hint="eastAsia" w:ascii="仿宋" w:hAnsi="仿宋" w:eastAsia="仿宋" w:cs="仿宋"/>
          <w:sz w:val="30"/>
          <w:szCs w:val="30"/>
          <w:lang w:eastAsia="zh-CN"/>
        </w:rPr>
        <w:t>化</w:t>
      </w:r>
      <w:r>
        <w:rPr>
          <w:rFonts w:hint="eastAsia" w:ascii="仿宋" w:hAnsi="仿宋" w:eastAsia="仿宋" w:cs="仿宋"/>
          <w:sz w:val="30"/>
          <w:szCs w:val="30"/>
        </w:rPr>
        <w:t>抓住产业结构调整这个关键，推动战略性新兴产业、高技术产业、现代服务业加快发展，推动能源清洁低碳安全高效利用，持续降低碳排放强度，支持绿色低碳技术创新成果转化，支持绿</w:t>
      </w:r>
      <w:bookmarkEnd w:id="37"/>
      <w:bookmarkEnd w:id="38"/>
      <w:r>
        <w:rPr>
          <w:rFonts w:hint="eastAsia" w:ascii="仿宋" w:hAnsi="仿宋" w:eastAsia="仿宋" w:cs="仿宋"/>
          <w:sz w:val="30"/>
          <w:szCs w:val="30"/>
        </w:rPr>
        <w:t>色技术创新。</w:t>
      </w:r>
      <w:bookmarkEnd w:id="39"/>
    </w:p>
    <w:bookmarkEnd w:id="34"/>
    <w:bookmarkEnd w:id="35"/>
    <w:bookmarkEnd w:id="36"/>
    <w:p>
      <w:pPr>
        <w:bidi w:val="0"/>
        <w:spacing w:line="360" w:lineRule="auto"/>
        <w:ind w:firstLine="602" w:firstLineChars="200"/>
        <w:outlineLvl w:val="2"/>
        <w:rPr>
          <w:rFonts w:hint="eastAsia" w:ascii="仿宋" w:hAnsi="仿宋" w:eastAsia="仿宋" w:cs="仿宋"/>
          <w:sz w:val="30"/>
          <w:szCs w:val="30"/>
          <w:lang w:val="en-US" w:eastAsia="zh-CN"/>
        </w:rPr>
      </w:pPr>
      <w:bookmarkStart w:id="40" w:name="_Toc10878"/>
      <w:bookmarkStart w:id="41" w:name="_Toc13489"/>
      <w:bookmarkStart w:id="42" w:name="_Toc27241"/>
      <w:bookmarkStart w:id="43" w:name="_Toc21668"/>
      <w:bookmarkStart w:id="44" w:name="_Toc9799"/>
      <w:bookmarkStart w:id="45" w:name="_Toc5015"/>
      <w:r>
        <w:rPr>
          <w:rFonts w:hint="eastAsia" w:ascii="仿宋" w:hAnsi="仿宋" w:eastAsia="仿宋" w:cs="仿宋"/>
          <w:b/>
          <w:bCs/>
          <w:sz w:val="30"/>
          <w:szCs w:val="30"/>
          <w:lang w:val="en-US" w:eastAsia="zh-CN"/>
        </w:rPr>
        <w:t>坚持系统保护，综合施策</w:t>
      </w:r>
      <w:bookmarkEnd w:id="40"/>
      <w:bookmarkEnd w:id="41"/>
      <w:bookmarkEnd w:id="42"/>
      <w:r>
        <w:rPr>
          <w:rFonts w:hint="eastAsia" w:ascii="仿宋" w:hAnsi="仿宋" w:eastAsia="仿宋" w:cs="仿宋"/>
          <w:b/>
          <w:bCs/>
          <w:sz w:val="30"/>
          <w:szCs w:val="30"/>
          <w:lang w:val="en-US" w:eastAsia="zh-CN"/>
        </w:rPr>
        <w:t>。</w:t>
      </w:r>
      <w:r>
        <w:rPr>
          <w:rFonts w:hint="eastAsia" w:ascii="仿宋" w:hAnsi="仿宋" w:eastAsia="仿宋" w:cs="仿宋"/>
          <w:sz w:val="30"/>
          <w:szCs w:val="30"/>
          <w:lang w:val="zh-CN" w:eastAsia="zh-CN"/>
        </w:rPr>
        <w:t>坚持山水林田湖草沙系统治理，统筹城乡一体化建设与治理，</w:t>
      </w:r>
      <w:r>
        <w:rPr>
          <w:rFonts w:hint="eastAsia" w:ascii="仿宋" w:hAnsi="仿宋" w:eastAsia="仿宋" w:cs="仿宋"/>
          <w:sz w:val="30"/>
          <w:szCs w:val="30"/>
          <w:lang w:val="en-US" w:eastAsia="zh-CN"/>
        </w:rPr>
        <w:t>协同推进生态环境保护修复与治理，坚持目标导向与问题导向结合，坚持标本兼治、治本为主，坚持远近结合、综合施策，坚持分区施策、分类治理。</w:t>
      </w:r>
      <w:bookmarkEnd w:id="43"/>
      <w:bookmarkEnd w:id="44"/>
      <w:bookmarkEnd w:id="45"/>
    </w:p>
    <w:p>
      <w:pPr>
        <w:bidi w:val="0"/>
        <w:spacing w:line="360" w:lineRule="auto"/>
        <w:ind w:firstLine="602" w:firstLineChars="200"/>
        <w:outlineLvl w:val="2"/>
        <w:rPr>
          <w:rFonts w:hint="eastAsia" w:ascii="仿宋" w:hAnsi="仿宋" w:eastAsia="仿宋" w:cs="仿宋"/>
          <w:sz w:val="30"/>
          <w:szCs w:val="30"/>
          <w:lang w:val="en-US" w:eastAsia="zh-CN"/>
        </w:rPr>
      </w:pPr>
      <w:bookmarkStart w:id="46" w:name="_Toc30436"/>
      <w:bookmarkStart w:id="47" w:name="_Toc3967"/>
      <w:bookmarkStart w:id="48" w:name="_Toc8835"/>
      <w:bookmarkStart w:id="49" w:name="_Toc10229"/>
      <w:bookmarkStart w:id="50" w:name="_Toc2980"/>
      <w:bookmarkStart w:id="51" w:name="_Toc12464"/>
      <w:r>
        <w:rPr>
          <w:rFonts w:hint="eastAsia" w:ascii="仿宋" w:hAnsi="仿宋" w:eastAsia="仿宋" w:cs="仿宋"/>
          <w:b/>
          <w:bCs/>
          <w:sz w:val="30"/>
          <w:szCs w:val="30"/>
          <w:lang w:val="en-US" w:eastAsia="zh-CN"/>
        </w:rPr>
        <w:t>坚持稳中求进，重点突破</w:t>
      </w:r>
      <w:bookmarkEnd w:id="46"/>
      <w:bookmarkEnd w:id="47"/>
      <w:bookmarkEnd w:id="48"/>
      <w:r>
        <w:rPr>
          <w:rFonts w:hint="eastAsia" w:ascii="仿宋" w:hAnsi="仿宋" w:eastAsia="仿宋" w:cs="仿宋"/>
          <w:b/>
          <w:bCs/>
          <w:sz w:val="30"/>
          <w:szCs w:val="30"/>
          <w:lang w:val="en-US" w:eastAsia="zh-CN"/>
        </w:rPr>
        <w:t>。</w:t>
      </w:r>
      <w:r>
        <w:rPr>
          <w:rFonts w:hint="eastAsia" w:ascii="仿宋" w:hAnsi="仿宋" w:eastAsia="仿宋" w:cs="仿宋"/>
          <w:sz w:val="30"/>
          <w:szCs w:val="30"/>
          <w:lang w:val="en-US" w:eastAsia="zh-CN"/>
        </w:rPr>
        <w:t>深入巩固污染防治攻坚战成果，加大生态环境保护力度，坚持延伸深度、拓展广度，重点突破产业绿色转型，协同降碳减排，应对气候变化。重点突破重点行业、重点领域深度治理，有力推动生态环境保护迈向新台阶。</w:t>
      </w:r>
      <w:bookmarkEnd w:id="49"/>
      <w:bookmarkEnd w:id="50"/>
      <w:bookmarkEnd w:id="51"/>
    </w:p>
    <w:p>
      <w:pPr>
        <w:bidi w:val="0"/>
        <w:spacing w:line="360" w:lineRule="auto"/>
        <w:ind w:firstLine="602" w:firstLineChars="200"/>
        <w:outlineLvl w:val="2"/>
        <w:rPr>
          <w:rFonts w:hint="eastAsia" w:ascii="仿宋" w:hAnsi="仿宋" w:eastAsia="仿宋" w:cs="仿宋"/>
          <w:sz w:val="30"/>
          <w:szCs w:val="30"/>
          <w:lang w:val="en-US" w:eastAsia="zh-CN"/>
        </w:rPr>
      </w:pPr>
      <w:bookmarkStart w:id="52" w:name="_Toc19757"/>
      <w:bookmarkStart w:id="53" w:name="_Toc1369"/>
      <w:bookmarkStart w:id="54" w:name="_Toc29150"/>
      <w:bookmarkStart w:id="55" w:name="_Toc26332"/>
      <w:bookmarkStart w:id="56" w:name="_Toc500"/>
      <w:bookmarkStart w:id="57" w:name="_Toc7488"/>
      <w:r>
        <w:rPr>
          <w:rFonts w:hint="eastAsia" w:ascii="仿宋" w:hAnsi="仿宋" w:eastAsia="仿宋" w:cs="仿宋"/>
          <w:b/>
          <w:bCs/>
          <w:sz w:val="30"/>
          <w:szCs w:val="30"/>
          <w:lang w:val="en-US" w:eastAsia="zh-CN"/>
        </w:rPr>
        <w:t>坚持守住底线，防范风险</w:t>
      </w:r>
      <w:bookmarkEnd w:id="52"/>
      <w:bookmarkEnd w:id="53"/>
      <w:bookmarkEnd w:id="54"/>
      <w:r>
        <w:rPr>
          <w:rFonts w:hint="eastAsia" w:ascii="仿宋" w:hAnsi="仿宋" w:eastAsia="仿宋" w:cs="仿宋"/>
          <w:b/>
          <w:bCs/>
          <w:sz w:val="30"/>
          <w:szCs w:val="30"/>
          <w:lang w:val="en-US" w:eastAsia="zh-CN"/>
        </w:rPr>
        <w:t>。</w:t>
      </w:r>
      <w:r>
        <w:rPr>
          <w:rFonts w:hint="eastAsia" w:ascii="仿宋" w:hAnsi="仿宋" w:eastAsia="仿宋" w:cs="仿宋"/>
          <w:sz w:val="30"/>
          <w:szCs w:val="30"/>
          <w:lang w:val="en-US" w:eastAsia="zh-CN"/>
        </w:rPr>
        <w:t>坚持底线思维，保障生态环境安全。坚持守住生态保护红线，</w:t>
      </w:r>
      <w:r>
        <w:rPr>
          <w:rFonts w:hint="eastAsia" w:ascii="仿宋" w:hAnsi="仿宋" w:eastAsia="仿宋" w:cs="仿宋"/>
          <w:sz w:val="30"/>
          <w:szCs w:val="30"/>
          <w:lang w:val="zh-CN" w:eastAsia="zh-CN"/>
        </w:rPr>
        <w:t>坚持尊重自然、顺应自然、保护自然，守住自然生态安全边界。</w:t>
      </w:r>
      <w:r>
        <w:rPr>
          <w:rFonts w:hint="eastAsia" w:ascii="仿宋" w:hAnsi="仿宋" w:eastAsia="仿宋" w:cs="仿宋"/>
          <w:sz w:val="30"/>
          <w:szCs w:val="30"/>
          <w:lang w:val="en-US" w:eastAsia="zh-CN"/>
        </w:rPr>
        <w:t>坚持守住环境质量底线，深化生态环境污染防治，有效防范环境风险。坚持守住资源利用上线，科学合理规划与开发自然资源，保障经济社会环境可持续发展，为子孙后代留下优美的生态环境和丰富的物质资源。</w:t>
      </w:r>
      <w:bookmarkEnd w:id="55"/>
      <w:bookmarkEnd w:id="56"/>
      <w:bookmarkEnd w:id="57"/>
    </w:p>
    <w:p>
      <w:pPr>
        <w:bidi w:val="0"/>
        <w:spacing w:line="360" w:lineRule="auto"/>
        <w:ind w:firstLine="602" w:firstLineChars="200"/>
        <w:outlineLvl w:val="2"/>
        <w:rPr>
          <w:rFonts w:hint="eastAsia" w:ascii="仿宋" w:hAnsi="仿宋" w:eastAsia="仿宋" w:cs="仿宋"/>
          <w:sz w:val="30"/>
          <w:szCs w:val="30"/>
          <w:lang w:val="en-US" w:eastAsia="zh-CN"/>
        </w:rPr>
      </w:pPr>
      <w:bookmarkStart w:id="58" w:name="_Toc13063"/>
      <w:bookmarkStart w:id="59" w:name="_Toc29435"/>
      <w:bookmarkStart w:id="60" w:name="_Toc20993"/>
      <w:bookmarkStart w:id="61" w:name="_Toc18499"/>
      <w:bookmarkStart w:id="62" w:name="_Toc18825"/>
      <w:bookmarkStart w:id="63" w:name="_Toc20262"/>
      <w:r>
        <w:rPr>
          <w:rFonts w:hint="eastAsia" w:ascii="仿宋" w:hAnsi="仿宋" w:eastAsia="仿宋" w:cs="仿宋"/>
          <w:b/>
          <w:bCs/>
          <w:sz w:val="30"/>
          <w:szCs w:val="30"/>
          <w:lang w:val="en-US" w:eastAsia="zh-CN"/>
        </w:rPr>
        <w:t>坚持体制机制创新，激发内生动力</w:t>
      </w:r>
      <w:bookmarkEnd w:id="58"/>
      <w:bookmarkEnd w:id="59"/>
      <w:bookmarkEnd w:id="60"/>
      <w:r>
        <w:rPr>
          <w:rFonts w:hint="eastAsia" w:ascii="仿宋" w:hAnsi="仿宋" w:eastAsia="仿宋" w:cs="仿宋"/>
          <w:b/>
          <w:bCs/>
          <w:sz w:val="30"/>
          <w:szCs w:val="30"/>
          <w:lang w:val="en-US" w:eastAsia="zh-CN"/>
        </w:rPr>
        <w:t>。</w:t>
      </w:r>
      <w:r>
        <w:rPr>
          <w:rFonts w:hint="eastAsia" w:ascii="仿宋" w:hAnsi="仿宋" w:eastAsia="仿宋" w:cs="仿宋"/>
          <w:sz w:val="30"/>
          <w:szCs w:val="30"/>
          <w:lang w:val="en-US" w:eastAsia="zh-CN"/>
        </w:rPr>
        <w:t>坚持完善科技创新体制，面向科技前沿，加大节能减排、清洁能源等绿色创新技术发展，引领经济社会发展全面绿色转型。坚持完善生态文明领域统筹协调机制，建立健全生态环境治理体系，落实政府、企业、公众主体责任，增强市场活力，激发各类责任主体内生动力，加大监督执法力度，提升生态环境监管能力。突出精准治污、科学治污、依法治污，推进生态环境治理体系和治理能力现代化。</w:t>
      </w:r>
      <w:bookmarkEnd w:id="61"/>
      <w:bookmarkEnd w:id="62"/>
      <w:bookmarkEnd w:id="63"/>
    </w:p>
    <w:p>
      <w:pPr>
        <w:pStyle w:val="4"/>
        <w:numPr>
          <w:ilvl w:val="1"/>
          <w:numId w:val="0"/>
        </w:numPr>
        <w:bidi w:val="0"/>
        <w:ind w:leftChars="0"/>
        <w:jc w:val="center"/>
        <w:rPr>
          <w:rFonts w:hint="eastAsia"/>
          <w:lang w:eastAsia="zh-CN"/>
        </w:rPr>
      </w:pPr>
      <w:bookmarkStart w:id="64" w:name="_Toc9629"/>
      <w:r>
        <w:rPr>
          <w:rFonts w:hint="eastAsia"/>
          <w:lang w:eastAsia="zh-CN"/>
        </w:rPr>
        <w:t>第三节</w:t>
      </w:r>
      <w:r>
        <w:rPr>
          <w:rFonts w:hint="eastAsia"/>
          <w:lang w:val="en-US" w:eastAsia="zh-CN"/>
        </w:rPr>
        <w:t xml:space="preserve"> </w:t>
      </w:r>
      <w:r>
        <w:rPr>
          <w:rFonts w:hint="eastAsia"/>
          <w:lang w:eastAsia="zh-CN"/>
        </w:rPr>
        <w:t>规划目标</w:t>
      </w:r>
      <w:bookmarkEnd w:id="64"/>
    </w:p>
    <w:p>
      <w:pPr>
        <w:spacing w:line="360" w:lineRule="auto"/>
        <w:ind w:firstLine="600" w:firstLineChars="200"/>
        <w:rPr>
          <w:rFonts w:hint="eastAsia" w:ascii="仿宋" w:hAnsi="仿宋" w:eastAsia="仿宋" w:cs="仿宋"/>
          <w:color w:val="000000" w:themeColor="text1"/>
          <w:sz w:val="30"/>
          <w:szCs w:val="30"/>
          <w:lang w:val="zh-CN" w:eastAsia="zh-CN"/>
          <w14:textFill>
            <w14:solidFill>
              <w14:schemeClr w14:val="tx1"/>
            </w14:solidFill>
          </w14:textFill>
        </w:rPr>
      </w:pPr>
      <w:r>
        <w:rPr>
          <w:rFonts w:hint="eastAsia" w:ascii="仿宋" w:hAnsi="仿宋" w:eastAsia="仿宋" w:cs="仿宋"/>
          <w:color w:val="000000" w:themeColor="text1"/>
          <w:sz w:val="30"/>
          <w:szCs w:val="30"/>
          <w:lang w:val="zh-CN" w:eastAsia="zh-CN"/>
          <w14:textFill>
            <w14:solidFill>
              <w14:schemeClr w14:val="tx1"/>
            </w14:solidFill>
          </w14:textFill>
        </w:rPr>
        <w:t>本规划以《鞍山市“十四五”生态环境保护规划》为指导，到2025年，建立较为完善的“三线一单”生态环境分区管控体系和数据应用系统，全县生态环境建设取得新进步，生产生活方式绿色转型取得新进展，能源、资源配置更加合理，利用效率提高显著，主要污染物排放总量持续减少，水、大气、土壤等生态环境质量持续改善，生态安全屏障更加牢固，生态环境质量持续改善，突出环境问题得到有效治理，生态环境治理体系和治理能力现代化水平明显提升。</w:t>
      </w: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pStyle w:val="2"/>
        <w:rPr>
          <w:rFonts w:hint="eastAsia" w:ascii="仿宋" w:hAnsi="仿宋" w:eastAsia="仿宋" w:cs="仿宋"/>
          <w:color w:val="000000" w:themeColor="text1"/>
          <w:sz w:val="30"/>
          <w:szCs w:val="30"/>
          <w:lang w:val="zh-CN"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b/>
          <w:bCs/>
          <w:color w:val="000000" w:themeColor="text1"/>
          <w:sz w:val="24"/>
          <w:szCs w:val="24"/>
          <w:lang w:val="en-US" w:eastAsia="zh-CN"/>
          <w14:textFill>
            <w14:solidFill>
              <w14:schemeClr w14:val="tx1"/>
            </w14:solidFill>
          </w14:textFill>
        </w:rPr>
      </w:pPr>
      <w:r>
        <w:rPr>
          <w:rFonts w:hint="eastAsia" w:ascii="仿宋" w:hAnsi="仿宋" w:eastAsia="仿宋" w:cs="仿宋"/>
          <w:b/>
          <w:bCs/>
          <w:color w:val="000000" w:themeColor="text1"/>
          <w:sz w:val="24"/>
          <w:szCs w:val="24"/>
          <w:lang w:eastAsia="zh-CN"/>
          <w14:textFill>
            <w14:solidFill>
              <w14:schemeClr w14:val="tx1"/>
            </w14:solidFill>
          </w14:textFill>
        </w:rPr>
        <w:t>表</w:t>
      </w:r>
      <w:r>
        <w:rPr>
          <w:rFonts w:hint="eastAsia" w:ascii="仿宋" w:hAnsi="仿宋" w:eastAsia="仿宋" w:cs="仿宋"/>
          <w:b/>
          <w:bCs/>
          <w:color w:val="000000" w:themeColor="text1"/>
          <w:sz w:val="24"/>
          <w:szCs w:val="24"/>
          <w:lang w:val="en-US" w:eastAsia="zh-CN"/>
          <w14:textFill>
            <w14:solidFill>
              <w14:schemeClr w14:val="tx1"/>
            </w14:solidFill>
          </w14:textFill>
        </w:rPr>
        <w:t>4-1 台安县“十四五”生态环境保护指标体系</w:t>
      </w:r>
    </w:p>
    <w:tbl>
      <w:tblPr>
        <w:tblStyle w:val="15"/>
        <w:tblW w:w="8522"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485"/>
        <w:gridCol w:w="526"/>
        <w:gridCol w:w="427"/>
        <w:gridCol w:w="2263"/>
        <w:gridCol w:w="1092"/>
        <w:gridCol w:w="1500"/>
        <w:gridCol w:w="222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领域</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要素</w:t>
            </w: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序号</w:t>
            </w:r>
          </w:p>
        </w:tc>
        <w:tc>
          <w:tcPr>
            <w:tcW w:w="2263"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指标</w:t>
            </w:r>
          </w:p>
        </w:tc>
        <w:tc>
          <w:tcPr>
            <w:tcW w:w="10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b/>
                <w:bCs/>
                <w:color w:val="000000" w:themeColor="text1"/>
                <w:sz w:val="21"/>
                <w:szCs w:val="21"/>
                <w:vertAlign w:val="baseline"/>
                <w:lang w:val="en-US" w:eastAsia="zh-CN"/>
                <w14:textFill>
                  <w14:solidFill>
                    <w14:schemeClr w14:val="tx1"/>
                  </w14:solidFill>
                </w14:textFill>
              </w:rPr>
              <w:t>2020年</w:t>
            </w:r>
          </w:p>
        </w:tc>
        <w:tc>
          <w:tcPr>
            <w:tcW w:w="3729"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val="en-US" w:eastAsia="zh-CN"/>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p>
        </w:tc>
        <w:tc>
          <w:tcPr>
            <w:tcW w:w="1092"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eastAsia" w:ascii="Times New Roman" w:hAnsi="Times New Roman" w:eastAsia="仿宋" w:cs="Times New Roman"/>
                <w:b/>
                <w:bCs/>
                <w:color w:val="000000" w:themeColor="text1"/>
                <w:sz w:val="21"/>
                <w:szCs w:val="21"/>
                <w:vertAlign w:val="baseline"/>
                <w:lang w:val="en-US" w:eastAsia="zh-CN"/>
                <w14:textFill>
                  <w14:solidFill>
                    <w14:schemeClr w14:val="tx1"/>
                  </w14:solidFill>
                </w14:textFill>
              </w:rPr>
              <w:t>现状</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b/>
                <w:bCs/>
                <w:color w:val="000000" w:themeColor="text1"/>
                <w:sz w:val="21"/>
                <w:szCs w:val="21"/>
                <w:vertAlign w:val="baseline"/>
                <w:lang w:val="en-US" w:eastAsia="zh-CN"/>
                <w14:textFill>
                  <w14:solidFill>
                    <w14:schemeClr w14:val="tx1"/>
                  </w14:solidFill>
                </w14:textFill>
              </w:rPr>
              <w:t>目标</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val="en-US"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2" w:hRule="atLeast"/>
        </w:trPr>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生态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质量</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大气</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质量</w:t>
            </w: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县域建成区</w:t>
            </w: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细颗粒物（PM</w:t>
            </w:r>
            <w:r>
              <w:rPr>
                <w:rFonts w:hint="default" w:ascii="Times New Roman" w:hAnsi="Times New Roman" w:eastAsia="仿宋" w:cs="Times New Roman"/>
                <w:i w:val="0"/>
                <w:iCs w:val="0"/>
                <w:caps w:val="0"/>
                <w:color w:val="000000" w:themeColor="text1"/>
                <w:spacing w:val="0"/>
                <w:sz w:val="21"/>
                <w:szCs w:val="21"/>
                <w:highlight w:val="none"/>
                <w:shd w:val="clear" w:color="auto" w:fill="auto"/>
                <w:vertAlign w:val="subscript"/>
                <w:lang w:val="en-US" w:eastAsia="zh-CN" w:bidi="ar"/>
                <w14:textFill>
                  <w14:solidFill>
                    <w14:schemeClr w14:val="tx1"/>
                  </w14:solidFill>
                </w14:textFill>
              </w:rPr>
              <w:t>2.5</w:t>
            </w: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）浓度</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（微克/立方米）</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43.7</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34</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2"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辽宁省生态环境规划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4"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空气质量优良天数比例（%）</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84.4</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达标率</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88.8</w:t>
            </w: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614"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3</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重污染天气（天）</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9</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3</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p>
        </w:tc>
        <w:tc>
          <w:tcPr>
            <w:tcW w:w="5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4</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氮氧化物削减比例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达到上级管理部门考核要求</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p>
        </w:tc>
        <w:tc>
          <w:tcPr>
            <w:tcW w:w="5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5</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挥发性有机物削减</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达到上级管理部门考核要求</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水生</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态环</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境质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量</w:t>
            </w: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yellow"/>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地表水水质达到或优于Ⅲ类比例（%）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80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地表水劣Ⅴ类水体比例（%）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8</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县域</w:t>
            </w: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建成区黑臭水体比例（%）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9</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城镇集中式饮用水水源达到或优于Ⅲ类比例（%）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100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0</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美丽河流建设数量（个）</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恢复有草有鱼河流数量（个）</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12</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t>国考、省考断面水质</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达到上级管理部门考核要求</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13</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t>化学耗氧量削减比例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达到上级管理部门考核要求</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14</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t>氨氮削减比例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达到上级管理部门考核要求</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kern w:val="2"/>
                <w:sz w:val="21"/>
                <w:szCs w:val="21"/>
                <w:highlight w:val="none"/>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14:textFill>
                  <w14:solidFill>
                    <w14:schemeClr w14:val="tx1"/>
                  </w14:solidFill>
                </w14:textFill>
              </w:rPr>
            </w:pP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土壤</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质量</w:t>
            </w: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地下水质量Ⅲ类水比例（%）</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100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6</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受污染耕地</w:t>
            </w: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安全利用</w:t>
            </w: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率</w:t>
            </w: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100</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yellow"/>
                <w:shd w:val="clear" w:color="auto" w:fill="auto"/>
                <w:lang w:val="en-US" w:eastAsia="zh-CN" w:bidi="ar"/>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yellow"/>
                <w:shd w:val="clear" w:color="auto" w:fill="auto"/>
                <w:lang w:val="en-US" w:eastAsia="zh-CN" w:bidi="ar"/>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yellow"/>
                <w:vertAlign w:val="baseline"/>
                <w:lang w:val="en-US" w:eastAsia="zh-CN"/>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17</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污染地块安全利用率（%）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100</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yellow"/>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11"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资源</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利用</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18</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生活垃圾</w:t>
            </w: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无害化处理</w:t>
            </w: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9</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8</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19</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污泥无害化处理率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90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0</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万元地区生产总值</w:t>
            </w:r>
          </w:p>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用水量下降（%）</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16</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十四五循环经济发展规划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应对</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气候</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变化</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节能</w:t>
            </w: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单位地区生产总值能源消耗降低（%）</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15</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302"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减排</w:t>
            </w: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单位地区生产总值二氧化碳排放降低(</w:t>
            </w: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yellow"/>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达到上级管理部门考核要求</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环境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风险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防控</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危险</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废弃</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物管</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控</w:t>
            </w: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3</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危险废物处置率（%）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100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县级医疗废物无害化处置率（%）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100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5</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危险废物产生单位和处置利用单位规范化环境管理抽查合格率（%）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100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生态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highlight w:val="none"/>
                <w:vertAlign w:val="baseline"/>
                <w:lang w:eastAsia="zh-CN"/>
                <w14:textFill>
                  <w14:solidFill>
                    <w14:schemeClr w14:val="tx1"/>
                  </w14:solidFill>
                </w14:textFill>
              </w:rPr>
              <w:t>安全</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自然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生态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环境</w:t>
            </w: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26</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生态质量指数（新EI）</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&gt;</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55</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27</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森林覆盖率（%）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48</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48.5</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2"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28</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生态保护红线占国土面积比例（%）</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12.41</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18.1</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62"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29</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水土保持率（%）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77</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约束性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eastAsia="zh-CN"/>
                <w14:textFill>
                  <w14:solidFill>
                    <w14:schemeClr w14:val="tx1"/>
                  </w14:solidFill>
                </w14:textFill>
              </w:rPr>
              <w:t>辽宁省十四五规划和远景目标纲要</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农村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b/>
                <w:bCs/>
                <w:color w:val="000000" w:themeColor="text1"/>
                <w:sz w:val="21"/>
                <w:szCs w:val="21"/>
                <w:vertAlign w:val="baseline"/>
                <w:lang w:eastAsia="zh-CN"/>
                <w14:textFill>
                  <w14:solidFill>
                    <w14:schemeClr w14:val="tx1"/>
                  </w14:solidFill>
                </w14:textFill>
              </w:rPr>
              <w:t>环境</w:t>
            </w: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农村</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人居</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环境</w:t>
            </w: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0</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农村黑臭水体治理率（%）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100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3</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农村生活污水治理率（%）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50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3</w:t>
            </w: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2</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highlight w:val="none"/>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行政村环境整治数量（个）</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highlight w:val="none"/>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1</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highlight w:val="none"/>
                <w:vertAlign w:val="baseline"/>
                <w:lang w:val="en-US" w:eastAsia="zh-CN"/>
                <w14:textFill>
                  <w14:solidFill>
                    <w14:schemeClr w14:val="tx1"/>
                  </w14:solidFill>
                </w14:textFill>
              </w:rPr>
              <w:t>鞍山市生态环境规划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526"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农业</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环境</w:t>
            </w: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33</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主要农作物化肥利用率（%）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40.75</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43</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十四五农村绿色发展规划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34</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主要农作物农药利用率（%）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43</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十四五农村绿色发展规划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35</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畜禽粪污综合利用率（%）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color w:val="000000" w:themeColor="text1"/>
                <w:lang w:val="en-US"/>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十四五农村绿色发展规划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4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42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36</w:t>
            </w:r>
          </w:p>
        </w:tc>
        <w:tc>
          <w:tcPr>
            <w:tcW w:w="2263"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秸秆综合利用率（%）</w:t>
            </w:r>
          </w:p>
        </w:tc>
        <w:tc>
          <w:tcPr>
            <w:tcW w:w="1092"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&gt;90</w:t>
            </w:r>
          </w:p>
        </w:tc>
        <w:tc>
          <w:tcPr>
            <w:tcW w:w="1500"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&gt;90</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427"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37</w:t>
            </w:r>
          </w:p>
        </w:tc>
        <w:tc>
          <w:tcPr>
            <w:tcW w:w="2263"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废弃农膜回收率（%）</w:t>
            </w:r>
          </w:p>
        </w:tc>
        <w:tc>
          <w:tcPr>
            <w:tcW w:w="1092" w:type="dxa"/>
            <w:vMerge w:val="restart"/>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80</w:t>
            </w:r>
          </w:p>
        </w:tc>
        <w:tc>
          <w:tcPr>
            <w:tcW w:w="1500" w:type="dxa"/>
            <w:vMerge w:val="restar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85</w:t>
            </w: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eastAsia="zh-CN"/>
                <w14:textFill>
                  <w14:solidFill>
                    <w14:schemeClr w14:val="tx1"/>
                  </w14:solidFill>
                </w14:textFill>
              </w:rPr>
              <w:t>预期性</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156" w:hRule="atLeast"/>
        </w:trPr>
        <w:tc>
          <w:tcPr>
            <w:tcW w:w="485"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526"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427"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63"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092"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1500" w:type="dxa"/>
            <w:vMerge w:val="continue"/>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color w:val="000000" w:themeColor="text1"/>
                <w14:textFill>
                  <w14:solidFill>
                    <w14:schemeClr w14:val="tx1"/>
                  </w14:solidFill>
                </w14:textFill>
              </w:rPr>
            </w:pPr>
          </w:p>
        </w:tc>
        <w:tc>
          <w:tcPr>
            <w:tcW w:w="2229"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十四五农村绿色发展规划</w:t>
            </w:r>
          </w:p>
        </w:tc>
      </w:tr>
    </w:tbl>
    <w:p>
      <w:pPr>
        <w:spacing w:line="360" w:lineRule="auto"/>
        <w:rPr>
          <w:rFonts w:hint="eastAsia" w:ascii="仿宋" w:hAnsi="仿宋" w:eastAsia="仿宋" w:cs="仿宋"/>
          <w:sz w:val="30"/>
          <w:szCs w:val="30"/>
        </w:rPr>
      </w:pPr>
    </w:p>
    <w:p>
      <w:pPr>
        <w:pStyle w:val="3"/>
        <w:bidi w:val="0"/>
        <w:jc w:val="center"/>
        <w:rPr>
          <w:rFonts w:hint="eastAsia"/>
          <w:sz w:val="36"/>
          <w:szCs w:val="36"/>
          <w:lang w:eastAsia="zh-CN"/>
        </w:rPr>
      </w:pPr>
      <w:bookmarkStart w:id="65" w:name="_Toc9458"/>
      <w:r>
        <w:rPr>
          <w:rFonts w:hint="eastAsia"/>
          <w:sz w:val="36"/>
          <w:szCs w:val="36"/>
          <w:lang w:eastAsia="zh-CN"/>
        </w:rPr>
        <w:t>第五章</w:t>
      </w:r>
      <w:r>
        <w:rPr>
          <w:rFonts w:hint="eastAsia"/>
          <w:sz w:val="36"/>
          <w:szCs w:val="36"/>
          <w:lang w:val="en-US" w:eastAsia="zh-CN"/>
        </w:rPr>
        <w:t xml:space="preserve"> </w:t>
      </w:r>
      <w:r>
        <w:rPr>
          <w:rFonts w:hint="eastAsia"/>
          <w:sz w:val="36"/>
          <w:szCs w:val="36"/>
          <w:lang w:eastAsia="zh-CN"/>
        </w:rPr>
        <w:t>重点任务</w:t>
      </w:r>
      <w:bookmarkEnd w:id="65"/>
    </w:p>
    <w:p>
      <w:pPr>
        <w:bidi w:val="0"/>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sz w:val="30"/>
          <w:szCs w:val="30"/>
        </w:rPr>
        <w:t>“十四五”期间，</w:t>
      </w:r>
      <w:r>
        <w:rPr>
          <w:rFonts w:hint="eastAsia" w:ascii="仿宋" w:hAnsi="仿宋" w:eastAsia="仿宋" w:cs="仿宋"/>
          <w:sz w:val="30"/>
          <w:szCs w:val="30"/>
          <w:lang w:val="zh-CN" w:eastAsia="zh-CN"/>
        </w:rPr>
        <w:t>加快经济社会绿色转型发展，深化生态环境建设，</w:t>
      </w:r>
      <w:r>
        <w:rPr>
          <w:rFonts w:hint="eastAsia" w:ascii="仿宋" w:hAnsi="仿宋" w:eastAsia="仿宋" w:cs="仿宋"/>
          <w:sz w:val="30"/>
          <w:szCs w:val="30"/>
        </w:rPr>
        <w:t>实现“推动绿色发展，促进人与自然和谐共生”的生态文明建设目标，</w:t>
      </w:r>
      <w:r>
        <w:rPr>
          <w:rFonts w:hint="eastAsia" w:ascii="仿宋" w:hAnsi="仿宋" w:eastAsia="仿宋" w:cs="仿宋"/>
          <w:sz w:val="30"/>
          <w:szCs w:val="30"/>
          <w:lang w:eastAsia="zh-CN"/>
        </w:rPr>
        <w:t>夯牢</w:t>
      </w:r>
      <w:r>
        <w:rPr>
          <w:rFonts w:hint="eastAsia" w:ascii="仿宋" w:hAnsi="仿宋" w:eastAsia="仿宋" w:cs="仿宋"/>
          <w:sz w:val="30"/>
          <w:szCs w:val="30"/>
        </w:rPr>
        <w:t>压实生态</w:t>
      </w:r>
      <w:r>
        <w:rPr>
          <w:rFonts w:hint="eastAsia" w:ascii="仿宋" w:hAnsi="仿宋" w:eastAsia="仿宋" w:cs="仿宋"/>
          <w:sz w:val="30"/>
          <w:szCs w:val="30"/>
          <w:lang w:eastAsia="zh-CN"/>
        </w:rPr>
        <w:t>环境</w:t>
      </w:r>
      <w:r>
        <w:rPr>
          <w:rFonts w:hint="eastAsia" w:ascii="仿宋" w:hAnsi="仿宋" w:eastAsia="仿宋" w:cs="仿宋"/>
          <w:sz w:val="30"/>
          <w:szCs w:val="30"/>
        </w:rPr>
        <w:t>建设政治责任，按照“生态产业化、产业生态化”两条路径，统筹“发展和生态”两条底线</w:t>
      </w:r>
      <w:r>
        <w:rPr>
          <w:rFonts w:hint="eastAsia" w:ascii="仿宋" w:hAnsi="仿宋" w:eastAsia="仿宋" w:cs="仿宋"/>
          <w:sz w:val="30"/>
          <w:szCs w:val="30"/>
          <w:lang w:val="en-US" w:eastAsia="zh-CN"/>
        </w:rPr>
        <w:t>。</w:t>
      </w:r>
      <w:r>
        <w:rPr>
          <w:rFonts w:hint="eastAsia" w:ascii="仿宋" w:hAnsi="仿宋" w:eastAsia="仿宋" w:cs="仿宋"/>
          <w:sz w:val="30"/>
          <w:szCs w:val="30"/>
        </w:rPr>
        <w:t>以改善生态环境质量为核心，</w:t>
      </w:r>
      <w:r>
        <w:rPr>
          <w:rFonts w:hint="eastAsia" w:ascii="仿宋" w:hAnsi="仿宋" w:eastAsia="仿宋" w:cs="仿宋"/>
          <w:sz w:val="30"/>
          <w:szCs w:val="30"/>
          <w:lang w:eastAsia="zh-CN"/>
        </w:rPr>
        <w:t>坚持问题导向，加强生态保护与修复，</w:t>
      </w:r>
      <w:r>
        <w:rPr>
          <w:rFonts w:hint="eastAsia" w:ascii="仿宋" w:hAnsi="仿宋" w:eastAsia="仿宋" w:cs="仿宋"/>
          <w:sz w:val="30"/>
          <w:szCs w:val="30"/>
          <w:lang w:val="zh-CN" w:eastAsia="zh-CN"/>
        </w:rPr>
        <w:t>深入打好污染防治攻坚战，深化大气污染防治，统筹水生态、水环境、水资源系统治理，</w:t>
      </w:r>
      <w:r>
        <w:rPr>
          <w:rFonts w:hint="eastAsia" w:ascii="仿宋" w:hAnsi="仿宋" w:eastAsia="仿宋" w:cs="仿宋"/>
          <w:sz w:val="30"/>
          <w:szCs w:val="30"/>
          <w:lang w:val="en-US" w:eastAsia="zh-CN"/>
        </w:rPr>
        <w:t>推进土壤污染防治攻坚战，强化</w:t>
      </w:r>
      <w:r>
        <w:rPr>
          <w:rFonts w:hint="eastAsia" w:ascii="仿宋" w:hAnsi="仿宋" w:eastAsia="仿宋" w:cs="仿宋"/>
          <w:sz w:val="30"/>
          <w:szCs w:val="30"/>
          <w:lang w:val="zh-CN" w:eastAsia="zh-CN"/>
        </w:rPr>
        <w:t>环境风险防范，夯实生态修复，筑牢生态安全屏障，加强农村环境整治，推进高水平生态环境保护工作，提升生态系统的稳定性和可持续性，建立健全现代化生态环境治理体系，提升生态环境治理能力。</w:t>
      </w:r>
    </w:p>
    <w:p>
      <w:pPr>
        <w:pStyle w:val="4"/>
        <w:numPr>
          <w:ilvl w:val="1"/>
          <w:numId w:val="0"/>
        </w:numPr>
        <w:bidi w:val="0"/>
        <w:ind w:leftChars="0"/>
        <w:jc w:val="center"/>
        <w:rPr>
          <w:rFonts w:hint="eastAsia"/>
          <w:lang w:eastAsia="zh-CN"/>
        </w:rPr>
      </w:pPr>
      <w:bookmarkStart w:id="66" w:name="_Toc2363"/>
      <w:r>
        <w:rPr>
          <w:rFonts w:hint="eastAsia"/>
          <w:lang w:eastAsia="zh-CN"/>
        </w:rPr>
        <w:t>第一节</w:t>
      </w:r>
      <w:r>
        <w:rPr>
          <w:rFonts w:hint="eastAsia"/>
          <w:lang w:val="en-US" w:eastAsia="zh-CN"/>
        </w:rPr>
        <w:t xml:space="preserve"> </w:t>
      </w:r>
      <w:r>
        <w:rPr>
          <w:rFonts w:hint="eastAsia"/>
          <w:lang w:eastAsia="zh-CN"/>
        </w:rPr>
        <w:t>全面推进经济绿色低碳转型</w:t>
      </w:r>
      <w:bookmarkEnd w:id="66"/>
    </w:p>
    <w:p>
      <w:pPr>
        <w:pStyle w:val="5"/>
        <w:bidi w:val="0"/>
        <w:ind w:firstLine="602" w:firstLineChars="200"/>
        <w:rPr>
          <w:rFonts w:hint="eastAsia" w:ascii="仿宋" w:hAnsi="仿宋" w:eastAsia="仿宋" w:cs="仿宋"/>
          <w:sz w:val="30"/>
          <w:szCs w:val="30"/>
        </w:rPr>
      </w:pPr>
      <w:bookmarkStart w:id="67" w:name="_Toc13879"/>
      <w:r>
        <w:rPr>
          <w:rFonts w:hint="eastAsia" w:ascii="仿宋" w:hAnsi="仿宋" w:eastAsia="仿宋" w:cs="仿宋"/>
          <w:sz w:val="30"/>
          <w:szCs w:val="30"/>
          <w:lang w:eastAsia="zh-CN"/>
        </w:rPr>
        <w:t>一、推进产业发展绿色升级</w:t>
      </w:r>
      <w:bookmarkEnd w:id="67"/>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zh-CN" w:eastAsia="zh-CN"/>
        </w:rPr>
        <w:t>坚持生态优先，绿色发展。践行绿水青山就是金山银山理念，完善生态环境领域统筹协调机制，深入落实《辽宁省改造升级“老字号”、深度开发“原字号”、培育壮大“新字号”专项行动计划》及“数字辽宁、智造强省”建设。加大制造业设备更新和技术改造投资力度，加快5G、工业互联网和各行业深度融合，推进工业绿色低碳发展，引导工业企业开展“技术升级改造”、“数字化改造”、“节能改造”和“环保改造”，推动产业发展全面绿色转型。</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大力发展绿色低碳产业。</w:t>
      </w:r>
      <w:r>
        <w:rPr>
          <w:rFonts w:hint="eastAsia" w:ascii="仿宋" w:hAnsi="仿宋" w:eastAsia="仿宋" w:cs="仿宋"/>
          <w:sz w:val="30"/>
          <w:szCs w:val="30"/>
        </w:rPr>
        <w:t>加快发展新一代信息技术、生物技术、新能源、新材料、高端装备、绿色环保等战略性新兴产业。促进平台经济、共享经济健康发展。</w:t>
      </w:r>
    </w:p>
    <w:p>
      <w:pPr>
        <w:bidi w:val="0"/>
        <w:spacing w:line="360" w:lineRule="auto"/>
        <w:ind w:firstLine="602" w:firstLineChars="200"/>
        <w:rPr>
          <w:rFonts w:hint="eastAsia" w:ascii="仿宋" w:hAnsi="仿宋" w:eastAsia="仿宋" w:cs="仿宋"/>
          <w:color w:val="auto"/>
          <w:sz w:val="30"/>
          <w:szCs w:val="30"/>
          <w:lang w:val="zh-CN" w:eastAsia="zh-CN"/>
        </w:rPr>
      </w:pPr>
      <w:r>
        <w:rPr>
          <w:rFonts w:hint="eastAsia" w:ascii="仿宋" w:hAnsi="仿宋" w:eastAsia="仿宋" w:cs="仿宋"/>
          <w:b/>
          <w:bCs/>
          <w:sz w:val="30"/>
          <w:szCs w:val="30"/>
        </w:rPr>
        <w:t>推动传统产业全面低碳转型。</w:t>
      </w:r>
      <w:r>
        <w:rPr>
          <w:rFonts w:hint="eastAsia" w:ascii="仿宋" w:hAnsi="仿宋" w:eastAsia="仿宋" w:cs="仿宋"/>
          <w:sz w:val="30"/>
          <w:szCs w:val="30"/>
          <w:lang w:val="zh-CN" w:eastAsia="zh-CN"/>
        </w:rPr>
        <w:t>支持企业在新产品、新工艺、新设备、新产线、新标准等方面实施技术升级改造，推动企业增加新品种，扩大优势产品产能，改进工艺流程，采用先进标准和管理体系，提高生产效率与产品质量，提升</w:t>
      </w:r>
      <w:r>
        <w:rPr>
          <w:rFonts w:hint="eastAsia" w:ascii="仿宋" w:hAnsi="仿宋" w:eastAsia="仿宋" w:cs="仿宋"/>
          <w:color w:val="auto"/>
          <w:sz w:val="30"/>
          <w:szCs w:val="30"/>
          <w:lang w:val="zh-CN" w:eastAsia="zh-CN"/>
        </w:rPr>
        <w:t>品牌竞争力。</w:t>
      </w:r>
      <w:r>
        <w:rPr>
          <w:rFonts w:hint="eastAsia" w:ascii="仿宋" w:hAnsi="仿宋" w:eastAsia="仿宋" w:cs="仿宋"/>
          <w:color w:val="auto"/>
          <w:sz w:val="30"/>
          <w:szCs w:val="30"/>
          <w:highlight w:val="none"/>
          <w:lang w:val="zh-CN" w:eastAsia="zh-CN"/>
        </w:rPr>
        <w:t>到2023年底，</w:t>
      </w:r>
      <w:r>
        <w:rPr>
          <w:rFonts w:hint="eastAsia" w:ascii="仿宋" w:hAnsi="仿宋" w:eastAsia="仿宋" w:cs="仿宋"/>
          <w:color w:val="auto"/>
          <w:sz w:val="30"/>
          <w:szCs w:val="30"/>
          <w:highlight w:val="none"/>
          <w:lang w:val="en-US" w:eastAsia="zh-CN"/>
        </w:rPr>
        <w:t>12</w:t>
      </w:r>
      <w:r>
        <w:rPr>
          <w:rFonts w:hint="eastAsia" w:ascii="仿宋" w:hAnsi="仿宋" w:eastAsia="仿宋" w:cs="仿宋"/>
          <w:color w:val="auto"/>
          <w:sz w:val="30"/>
          <w:szCs w:val="30"/>
          <w:highlight w:val="none"/>
        </w:rPr>
        <w:t>户以上规模以上工业企业实现技术改造升级，引导工业企业滚动实施重点技术改造项目</w:t>
      </w:r>
      <w:r>
        <w:rPr>
          <w:rFonts w:hint="eastAsia" w:ascii="仿宋" w:hAnsi="仿宋" w:eastAsia="仿宋" w:cs="仿宋"/>
          <w:color w:val="auto"/>
          <w:sz w:val="30"/>
          <w:szCs w:val="30"/>
          <w:highlight w:val="none"/>
          <w:lang w:val="en-US" w:eastAsia="zh-CN"/>
        </w:rPr>
        <w:t>19</w:t>
      </w:r>
      <w:r>
        <w:rPr>
          <w:rFonts w:hint="eastAsia" w:ascii="仿宋" w:hAnsi="仿宋" w:eastAsia="仿宋" w:cs="仿宋"/>
          <w:color w:val="auto"/>
          <w:sz w:val="30"/>
          <w:szCs w:val="30"/>
          <w:highlight w:val="none"/>
        </w:rPr>
        <w:t>项</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highlight w:val="none"/>
        </w:rPr>
        <w:t>有效提升产业核心竞争力</w:t>
      </w:r>
      <w:r>
        <w:rPr>
          <w:rFonts w:hint="eastAsia" w:ascii="仿宋" w:hAnsi="仿宋" w:eastAsia="仿宋" w:cs="仿宋"/>
          <w:color w:val="auto"/>
          <w:sz w:val="30"/>
          <w:szCs w:val="30"/>
          <w:highlight w:val="none"/>
          <w:lang w:eastAsia="zh-CN"/>
        </w:rPr>
        <w:t>。</w:t>
      </w:r>
      <w:r>
        <w:rPr>
          <w:rFonts w:hint="eastAsia" w:ascii="仿宋" w:hAnsi="仿宋" w:eastAsia="仿宋" w:cs="仿宋"/>
          <w:color w:val="auto"/>
          <w:sz w:val="30"/>
          <w:szCs w:val="30"/>
          <w:lang w:val="zh-CN" w:eastAsia="zh-CN"/>
        </w:rPr>
        <w:t>支持1家市级规模以上工业企业技术中心升级为省级企业技术中心。建成</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val="zh-CN" w:eastAsia="zh-CN"/>
        </w:rPr>
        <w:t>个高标准化工园区，化工企业入园率达到</w:t>
      </w:r>
      <w:r>
        <w:rPr>
          <w:rFonts w:hint="eastAsia" w:ascii="仿宋" w:hAnsi="仿宋" w:eastAsia="仿宋" w:cs="仿宋"/>
          <w:color w:val="auto"/>
          <w:sz w:val="30"/>
          <w:szCs w:val="30"/>
          <w:lang w:val="en-US" w:eastAsia="zh-CN"/>
        </w:rPr>
        <w:t>10</w:t>
      </w:r>
      <w:r>
        <w:rPr>
          <w:rFonts w:hint="eastAsia" w:ascii="仿宋" w:hAnsi="仿宋" w:eastAsia="仿宋" w:cs="仿宋"/>
          <w:color w:val="auto"/>
          <w:sz w:val="30"/>
          <w:szCs w:val="30"/>
          <w:lang w:val="zh-CN" w:eastAsia="zh-CN"/>
        </w:rPr>
        <w:t>0%。</w:t>
      </w:r>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科学制定电力、钢铁、有色、石化、化工、建材、交通等重点行业碳达峰实施方案，实施传统产业节能低碳改造升级。大力开展清洁生产，推进产业园区和产业集群循环化改造，发展绿色工厂、绿色园区，推行绿色供应链管理。</w:t>
      </w:r>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挖掘企业工艺、装备节能潜力，推动全</w:t>
      </w:r>
      <w:r>
        <w:rPr>
          <w:rFonts w:hint="eastAsia" w:ascii="仿宋" w:hAnsi="仿宋" w:eastAsia="仿宋" w:cs="仿宋"/>
          <w:sz w:val="30"/>
          <w:szCs w:val="30"/>
          <w:lang w:eastAsia="zh-CN"/>
        </w:rPr>
        <w:t>县</w:t>
      </w:r>
      <w:r>
        <w:rPr>
          <w:rFonts w:hint="eastAsia" w:ascii="仿宋" w:hAnsi="仿宋" w:eastAsia="仿宋" w:cs="仿宋"/>
          <w:sz w:val="30"/>
          <w:szCs w:val="30"/>
        </w:rPr>
        <w:t>工业企业节能降耗。打造绿色工厂、绿色产品、绿色供应链，培育创建一批</w:t>
      </w:r>
      <w:r>
        <w:rPr>
          <w:rFonts w:hint="eastAsia" w:ascii="仿宋" w:hAnsi="仿宋" w:eastAsia="仿宋" w:cs="仿宋"/>
          <w:sz w:val="30"/>
          <w:szCs w:val="30"/>
          <w:lang w:eastAsia="zh-CN"/>
        </w:rPr>
        <w:t>省、市</w:t>
      </w:r>
      <w:r>
        <w:rPr>
          <w:rFonts w:hint="eastAsia" w:ascii="仿宋" w:hAnsi="仿宋" w:eastAsia="仿宋" w:cs="仿宋"/>
          <w:sz w:val="30"/>
          <w:szCs w:val="30"/>
        </w:rPr>
        <w:t>级绿色制造体系示范企业。打通装备再制造产业链回收（维修）-再制造-销售的关键环节，鼓励企业采用再制造产品。</w:t>
      </w:r>
      <w:r>
        <w:rPr>
          <w:rFonts w:hint="eastAsia" w:ascii="仿宋" w:hAnsi="仿宋" w:eastAsia="仿宋" w:cs="仿宋"/>
          <w:sz w:val="30"/>
          <w:szCs w:val="30"/>
          <w:lang w:val="zh-CN" w:eastAsia="zh-CN"/>
        </w:rPr>
        <w:t>培育一批“固体废物资源化”示范企业，到2025年，一般工业固体废物综合利用率达到60%以上，城市污泥无害化处置率达到90%以上。</w:t>
      </w:r>
      <w:r>
        <w:rPr>
          <w:rFonts w:hint="eastAsia" w:ascii="仿宋" w:hAnsi="仿宋" w:eastAsia="仿宋" w:cs="仿宋"/>
          <w:sz w:val="30"/>
          <w:szCs w:val="30"/>
        </w:rPr>
        <w:t>建立“散乱污”日常监督机制。深入实施排污许可制改革，建立全要素、全周期排污许可“一证式”监管。加强工业生产过程中危险废物管理。</w:t>
      </w:r>
    </w:p>
    <w:p>
      <w:pPr>
        <w:bidi w:val="0"/>
        <w:spacing w:line="360" w:lineRule="auto"/>
        <w:ind w:firstLine="602" w:firstLineChars="200"/>
        <w:rPr>
          <w:rFonts w:hint="eastAsia" w:ascii="仿宋" w:hAnsi="仿宋" w:eastAsia="仿宋" w:cs="仿宋"/>
          <w:color w:val="auto"/>
          <w:sz w:val="30"/>
          <w:szCs w:val="30"/>
          <w:lang w:val="zh-CN" w:eastAsia="zh-CN"/>
        </w:rPr>
      </w:pPr>
      <w:r>
        <w:rPr>
          <w:rFonts w:hint="eastAsia" w:ascii="仿宋" w:hAnsi="仿宋" w:eastAsia="仿宋" w:cs="仿宋"/>
          <w:b/>
          <w:bCs/>
          <w:sz w:val="30"/>
          <w:szCs w:val="30"/>
          <w:lang w:val="zh-CN" w:eastAsia="zh-CN"/>
        </w:rPr>
        <w:t>加快行业企业数字化改造。</w:t>
      </w:r>
      <w:r>
        <w:rPr>
          <w:rFonts w:hint="eastAsia" w:ascii="仿宋" w:hAnsi="仿宋" w:eastAsia="仿宋" w:cs="仿宋"/>
          <w:sz w:val="30"/>
          <w:szCs w:val="30"/>
          <w:lang w:val="zh-CN" w:eastAsia="zh-CN"/>
        </w:rPr>
        <w:t>围绕数字化赋能和数字化场景建设，加快工业互联网标识解析节点建设，推进数字化车间、智能工厂和智慧园区建设。加快工业设备数字化智能化改造，推动企业内外网升级改造，推动企业上云上平台。培育数字化管理、网</w:t>
      </w:r>
      <w:r>
        <w:rPr>
          <w:rFonts w:hint="eastAsia" w:ascii="仿宋" w:hAnsi="仿宋" w:eastAsia="仿宋" w:cs="仿宋"/>
          <w:color w:val="auto"/>
          <w:sz w:val="30"/>
          <w:szCs w:val="30"/>
          <w:lang w:val="zh-CN" w:eastAsia="zh-CN"/>
        </w:rPr>
        <w:t>络化协同、智能化改造、服务化延伸、个性化定制新模式新业态。打造数字化园区、数字化车间、智能化工厂、服务型制造企业和个性化定制企业。到2023年底，建设数字化车间</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val="zh-CN" w:eastAsia="zh-CN"/>
        </w:rPr>
        <w:t>个，智能工厂</w:t>
      </w:r>
      <w:r>
        <w:rPr>
          <w:rFonts w:hint="eastAsia" w:ascii="仿宋" w:hAnsi="仿宋" w:eastAsia="仿宋" w:cs="仿宋"/>
          <w:color w:val="auto"/>
          <w:sz w:val="30"/>
          <w:szCs w:val="30"/>
          <w:lang w:val="en-US" w:eastAsia="zh-CN"/>
        </w:rPr>
        <w:t>1</w:t>
      </w:r>
      <w:r>
        <w:rPr>
          <w:rFonts w:hint="eastAsia" w:ascii="仿宋" w:hAnsi="仿宋" w:eastAsia="仿宋" w:cs="仿宋"/>
          <w:color w:val="auto"/>
          <w:sz w:val="30"/>
          <w:szCs w:val="30"/>
          <w:lang w:val="zh-CN" w:eastAsia="zh-CN"/>
        </w:rPr>
        <w:t>个。规模以上工业企业接入工业互联网率达到50%以上。</w:t>
      </w:r>
    </w:p>
    <w:p>
      <w:pPr>
        <w:bidi w:val="0"/>
        <w:spacing w:line="360" w:lineRule="auto"/>
        <w:ind w:firstLine="602"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sz w:val="30"/>
          <w:szCs w:val="30"/>
          <w:lang w:val="zh-CN" w:eastAsia="zh-CN"/>
        </w:rPr>
        <w:t>推动重点行业企业和用能单位节能改造。</w:t>
      </w:r>
      <w:r>
        <w:rPr>
          <w:rFonts w:hint="eastAsia" w:ascii="仿宋" w:hAnsi="仿宋" w:eastAsia="仿宋" w:cs="仿宋"/>
          <w:sz w:val="30"/>
          <w:szCs w:val="30"/>
          <w:lang w:val="zh-CN" w:eastAsia="zh-CN"/>
        </w:rPr>
        <w:t>全面贯彻新发展理念，以碳达峰、碳中和目标为导向，大力推动重点行业企业和重点用能单位实施节能改造项目，提升重点行业节能管理水平，挖掘节能潜力，挖潜能耗指标，提升综合能效。加快节能工业锅炉和窑炉的升级改造，促进高效电机和变压器能效提升，加快余热余压高效回收和循环利用。打造绿色制造先进典型，引领绿色化改造。加强节能监察和诊断服</w:t>
      </w:r>
      <w:r>
        <w:rPr>
          <w:rFonts w:hint="eastAsia" w:ascii="仿宋" w:hAnsi="仿宋" w:eastAsia="仿宋" w:cs="仿宋"/>
          <w:color w:val="auto"/>
          <w:sz w:val="30"/>
          <w:szCs w:val="30"/>
          <w:lang w:val="zh-CN" w:eastAsia="zh-CN"/>
        </w:rPr>
        <w:t>务，加大先进节能环保装备产品供给能力，强化能源管理第三方服务。到2023年底，谋划并推全县重点工业企业和重点用能单位滚动重点节能改造项目</w:t>
      </w: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lang w:val="zh-CN" w:eastAsia="zh-CN"/>
        </w:rPr>
        <w:t>个，实</w:t>
      </w:r>
      <w:r>
        <w:rPr>
          <w:rFonts w:hint="eastAsia" w:ascii="仿宋" w:hAnsi="仿宋" w:eastAsia="仿宋" w:cs="仿宋"/>
          <w:color w:val="000000" w:themeColor="text1"/>
          <w:sz w:val="30"/>
          <w:szCs w:val="30"/>
          <w:lang w:val="zh-CN" w:eastAsia="zh-CN"/>
          <w14:textFill>
            <w14:solidFill>
              <w14:schemeClr w14:val="tx1"/>
            </w14:solidFill>
          </w14:textFill>
        </w:rPr>
        <w:t>现规模以上工业企业综合能源消费量下降率不低于全市单位地区总产值能源消耗降低率。依照“鞍山市十四五生态环境保护规划”的要求，冶金、</w:t>
      </w:r>
      <w:r>
        <w:rPr>
          <w:rFonts w:hint="eastAsia" w:ascii="仿宋" w:hAnsi="仿宋" w:eastAsia="仿宋" w:cs="仿宋"/>
          <w:color w:val="000000" w:themeColor="text1"/>
          <w:sz w:val="30"/>
          <w:szCs w:val="30"/>
          <w14:textFill>
            <w14:solidFill>
              <w14:schemeClr w14:val="tx1"/>
            </w14:solidFill>
          </w14:textFill>
        </w:rPr>
        <w:t>化工行业规模以上工业企业综合能源消费量下降</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%，重点工业产品平均能耗下降</w:t>
      </w:r>
      <w:r>
        <w:rPr>
          <w:rFonts w:hint="eastAsia" w:ascii="仿宋" w:hAnsi="仿宋" w:eastAsia="仿宋" w:cs="仿宋"/>
          <w:color w:val="000000" w:themeColor="text1"/>
          <w:sz w:val="30"/>
          <w:szCs w:val="30"/>
          <w:lang w:val="en-US" w:eastAsia="zh-CN"/>
          <w14:textFill>
            <w14:solidFill>
              <w14:schemeClr w14:val="tx1"/>
            </w14:solidFill>
          </w14:textFill>
        </w:rPr>
        <w:t>6</w:t>
      </w:r>
      <w:r>
        <w:rPr>
          <w:rFonts w:hint="eastAsia" w:ascii="仿宋" w:hAnsi="仿宋" w:eastAsia="仿宋" w:cs="仿宋"/>
          <w:color w:val="000000" w:themeColor="text1"/>
          <w:sz w:val="30"/>
          <w:szCs w:val="30"/>
          <w14:textFill>
            <w14:solidFill>
              <w14:schemeClr w14:val="tx1"/>
            </w14:solidFill>
          </w14:textFill>
        </w:rPr>
        <w:t>%。</w:t>
      </w:r>
    </w:p>
    <w:p>
      <w:pPr>
        <w:bidi w:val="0"/>
        <w:spacing w:line="360" w:lineRule="auto"/>
        <w:ind w:firstLine="602"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sz w:val="30"/>
          <w:szCs w:val="30"/>
          <w:lang w:val="zh-CN" w:eastAsia="zh-CN"/>
        </w:rPr>
        <w:t>推进重点行业企业减排技术改造。</w:t>
      </w:r>
      <w:r>
        <w:rPr>
          <w:rFonts w:hint="eastAsia" w:ascii="仿宋" w:hAnsi="仿宋" w:eastAsia="仿宋" w:cs="仿宋"/>
          <w:sz w:val="30"/>
          <w:szCs w:val="30"/>
          <w:lang w:val="zh-CN" w:eastAsia="zh-CN"/>
        </w:rPr>
        <w:t>加大企业减排技术改造力度，采用先进环保技术装备及产品实施减排改造工程，形成绿色低碳循环的产业结</w:t>
      </w:r>
      <w:r>
        <w:rPr>
          <w:rFonts w:hint="eastAsia" w:ascii="仿宋" w:hAnsi="仿宋" w:eastAsia="仿宋" w:cs="仿宋"/>
          <w:color w:val="000000" w:themeColor="text1"/>
          <w:sz w:val="30"/>
          <w:szCs w:val="30"/>
          <w:lang w:val="zh-CN" w:eastAsia="zh-CN"/>
          <w14:textFill>
            <w14:solidFill>
              <w14:schemeClr w14:val="tx1"/>
            </w14:solidFill>
          </w14:textFill>
        </w:rPr>
        <w:t>构。推进钢铁、有色、化工等重点行业企业实施一批减排改造项目，加快除尘、脱硫脱硝、系统升级改造，挥发性有机物（VOCs）治理。加快新型窑炉及环保装</w:t>
      </w:r>
      <w:r>
        <w:rPr>
          <w:rFonts w:hint="eastAsia" w:ascii="仿宋" w:hAnsi="仿宋" w:eastAsia="仿宋" w:cs="仿宋"/>
          <w:sz w:val="30"/>
          <w:szCs w:val="30"/>
          <w:lang w:val="zh-CN" w:eastAsia="zh-CN"/>
        </w:rPr>
        <w:t>备升级改造，加大先进适用环保技术、装备及产品的推广应用，推进清洁能源使用和二氧化碳回收利用，</w:t>
      </w:r>
      <w:r>
        <w:rPr>
          <w:rFonts w:hint="eastAsia" w:ascii="仿宋" w:hAnsi="仿宋" w:eastAsia="仿宋" w:cs="仿宋"/>
          <w:sz w:val="30"/>
          <w:szCs w:val="30"/>
          <w:lang w:val="zh-TW" w:eastAsia="zh-CN"/>
        </w:rPr>
        <w:t>实施碳捕集与利用试点示范，推进二氧化碳资源化利用。严格执行国家钢铁、电解铝、水泥、平板玻璃等行</w:t>
      </w:r>
      <w:r>
        <w:rPr>
          <w:rFonts w:hint="eastAsia" w:ascii="仿宋" w:hAnsi="仿宋" w:eastAsia="仿宋" w:cs="仿宋"/>
          <w:color w:val="000000" w:themeColor="text1"/>
          <w:sz w:val="30"/>
          <w:szCs w:val="30"/>
          <w:lang w:val="zh-TW" w:eastAsia="zh-CN"/>
          <w14:textFill>
            <w14:solidFill>
              <w14:schemeClr w14:val="tx1"/>
            </w14:solidFill>
          </w14:textFill>
        </w:rPr>
        <w:t>业产能置换和项目备案等相关规定，严禁以任何名义、任何方式新增产能。</w:t>
      </w:r>
      <w:r>
        <w:rPr>
          <w:rFonts w:hint="eastAsia" w:ascii="仿宋" w:hAnsi="仿宋" w:eastAsia="仿宋" w:cs="仿宋"/>
          <w:color w:val="000000" w:themeColor="text1"/>
          <w:sz w:val="30"/>
          <w:szCs w:val="30"/>
          <w:lang w:val="zh-CN" w:eastAsia="zh-CN"/>
          <w14:textFill>
            <w14:solidFill>
              <w14:schemeClr w14:val="tx1"/>
            </w14:solidFill>
          </w14:textFill>
        </w:rPr>
        <w:t>到2023年底，广泛推广应用先进适用</w:t>
      </w:r>
      <w:r>
        <w:rPr>
          <w:rFonts w:hint="eastAsia" w:ascii="仿宋" w:hAnsi="仿宋" w:eastAsia="仿宋" w:cs="仿宋"/>
          <w:color w:val="000000" w:themeColor="text1"/>
          <w:sz w:val="30"/>
          <w:szCs w:val="30"/>
          <w:lang w:val="zh-TW" w:eastAsia="zh-CN"/>
          <w14:textFill>
            <w14:solidFill>
              <w14:schemeClr w14:val="tx1"/>
            </w14:solidFill>
          </w14:textFill>
        </w:rPr>
        <w:t>环保</w:t>
      </w:r>
      <w:r>
        <w:rPr>
          <w:rFonts w:hint="eastAsia" w:ascii="仿宋" w:hAnsi="仿宋" w:eastAsia="仿宋" w:cs="仿宋"/>
          <w:color w:val="000000" w:themeColor="text1"/>
          <w:sz w:val="30"/>
          <w:szCs w:val="30"/>
          <w:lang w:val="zh-CN" w:eastAsia="zh-CN"/>
          <w14:textFill>
            <w14:solidFill>
              <w14:schemeClr w14:val="tx1"/>
            </w14:solidFill>
          </w14:textFill>
        </w:rPr>
        <w:t>技术装备及产品，</w:t>
      </w:r>
      <w:r>
        <w:rPr>
          <w:rFonts w:hint="eastAsia" w:ascii="仿宋" w:hAnsi="仿宋" w:eastAsia="仿宋" w:cs="仿宋"/>
          <w:i w:val="0"/>
          <w:iCs w:val="0"/>
          <w:caps w:val="0"/>
          <w:color w:val="000000" w:themeColor="text1"/>
          <w:spacing w:val="0"/>
          <w:sz w:val="30"/>
          <w:szCs w:val="30"/>
          <w:shd w:val="clear" w:color="auto" w:fill="auto"/>
          <w:lang w:val="zh-CN" w:eastAsia="zh-CN" w:bidi="ar"/>
          <w14:textFill>
            <w14:solidFill>
              <w14:schemeClr w14:val="tx1"/>
            </w14:solidFill>
          </w14:textFill>
        </w:rPr>
        <w:t>全面完成钢铁行业超低排放改造任务。钢铁、有色、</w:t>
      </w:r>
      <w:r>
        <w:rPr>
          <w:rFonts w:hint="eastAsia" w:ascii="仿宋" w:hAnsi="仿宋" w:eastAsia="仿宋" w:cs="仿宋"/>
          <w:color w:val="000000" w:themeColor="text1"/>
          <w:sz w:val="30"/>
          <w:szCs w:val="30"/>
          <w:lang w:val="zh-CN" w:eastAsia="zh-CN"/>
          <w14:textFill>
            <w14:solidFill>
              <w14:schemeClr w14:val="tx1"/>
            </w14:solidFill>
          </w14:textFill>
        </w:rPr>
        <w:t>水泥、化工等重点行业企业污染物排放</w:t>
      </w:r>
      <w:r>
        <w:rPr>
          <w:rFonts w:hint="eastAsia" w:ascii="仿宋" w:hAnsi="仿宋" w:eastAsia="仿宋" w:cs="仿宋"/>
          <w:color w:val="000000" w:themeColor="text1"/>
          <w:sz w:val="30"/>
          <w:szCs w:val="30"/>
          <w14:textFill>
            <w14:solidFill>
              <w14:schemeClr w14:val="tx1"/>
            </w14:solidFill>
          </w14:textFill>
        </w:rPr>
        <w:t>总量得到有</w:t>
      </w:r>
      <w:r>
        <w:rPr>
          <w:rFonts w:hint="eastAsia" w:ascii="仿宋" w:hAnsi="仿宋" w:eastAsia="仿宋" w:cs="仿宋"/>
          <w:color w:val="000000" w:themeColor="text1"/>
          <w:sz w:val="30"/>
          <w:szCs w:val="30"/>
          <w:lang w:val="zh-CN" w:eastAsia="zh-CN"/>
          <w14:textFill>
            <w14:solidFill>
              <w14:schemeClr w14:val="tx1"/>
            </w14:solidFill>
          </w14:textFill>
        </w:rPr>
        <w:t>效控制，大幅削减二氧化硫、氮氧化物、颗粒物、挥发性有机物（VOCs）排放总量。</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val="zh-CN" w:eastAsia="zh-CN"/>
        </w:rPr>
        <w:t>推动重点行业企业生产过程清洁化。</w:t>
      </w:r>
      <w:r>
        <w:rPr>
          <w:rFonts w:hint="eastAsia" w:ascii="仿宋" w:hAnsi="仿宋" w:eastAsia="仿宋" w:cs="仿宋"/>
          <w:sz w:val="30"/>
          <w:szCs w:val="30"/>
          <w:lang w:val="zh-CN" w:eastAsia="zh-CN"/>
        </w:rPr>
        <w:t>推进重点行业企业依法实施清洁生产审核。开展“双超”“双有”企业、超能耗限额企业强制性清洁生产审核，鼓励其他企业开展自愿性清洁生产审核。引导企业在生产过程中使用无毒无害或低毒低害原料，从源头削减或避免污染物的产生，通过改进生产工艺流程、调整生产布局等措施促进减排改造，全面提升清洁生产水平。</w:t>
      </w:r>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sz w:val="30"/>
          <w:szCs w:val="30"/>
          <w:lang w:val="zh-CN" w:eastAsia="zh-CN"/>
        </w:rPr>
        <w:t>推动区域绿色协同发展。</w:t>
      </w:r>
      <w:r>
        <w:rPr>
          <w:rFonts w:hint="eastAsia" w:ascii="仿宋" w:hAnsi="仿宋" w:eastAsia="仿宋" w:cs="仿宋"/>
          <w:sz w:val="30"/>
          <w:szCs w:val="30"/>
          <w:lang w:val="zh-CN" w:eastAsia="zh-CN"/>
        </w:rPr>
        <w:t>坚持融入辽宁生态安全空间发展格局，融入</w:t>
      </w:r>
      <w:r>
        <w:rPr>
          <w:rFonts w:hint="eastAsia" w:ascii="仿宋" w:hAnsi="仿宋" w:eastAsia="仿宋" w:cs="仿宋"/>
          <w:sz w:val="30"/>
          <w:szCs w:val="30"/>
          <w:lang w:val="en-US" w:eastAsia="zh-CN"/>
        </w:rPr>
        <w:t>沈阳现代化都市圈大气污染联防联控，</w:t>
      </w:r>
      <w:r>
        <w:rPr>
          <w:rFonts w:hint="eastAsia" w:ascii="仿宋" w:hAnsi="仿宋" w:eastAsia="仿宋" w:cs="仿宋"/>
          <w:sz w:val="30"/>
          <w:szCs w:val="30"/>
          <w:lang w:val="zh-CN" w:eastAsia="zh-CN"/>
        </w:rPr>
        <w:t>融入沈阳经济区一体化一屏、两廊、三区、四轴的水生态安全格局，融入</w:t>
      </w:r>
      <w:r>
        <w:rPr>
          <w:rFonts w:hint="eastAsia" w:ascii="仿宋" w:hAnsi="仿宋" w:eastAsia="仿宋" w:cs="仿宋"/>
          <w:sz w:val="30"/>
          <w:szCs w:val="30"/>
          <w:lang w:val="en-US" w:eastAsia="zh-CN"/>
        </w:rPr>
        <w:t>辽西部生态屏障建设，</w:t>
      </w:r>
      <w:r>
        <w:rPr>
          <w:rFonts w:hint="eastAsia" w:ascii="仿宋" w:hAnsi="仿宋" w:eastAsia="仿宋" w:cs="仿宋"/>
          <w:sz w:val="30"/>
          <w:szCs w:val="30"/>
          <w:lang w:val="zh-CN" w:eastAsia="zh-CN"/>
        </w:rPr>
        <w:t>融入</w:t>
      </w:r>
      <w:r>
        <w:rPr>
          <w:rFonts w:hint="eastAsia" w:ascii="仿宋" w:hAnsi="仿宋" w:eastAsia="仿宋" w:cs="仿宋"/>
          <w:sz w:val="30"/>
          <w:szCs w:val="30"/>
          <w:lang w:val="en-US" w:eastAsia="zh-CN"/>
        </w:rPr>
        <w:t>辽东绿色经济区建设，</w:t>
      </w:r>
      <w:r>
        <w:rPr>
          <w:rFonts w:hint="eastAsia" w:ascii="仿宋" w:hAnsi="仿宋" w:eastAsia="仿宋" w:cs="仿宋"/>
          <w:sz w:val="30"/>
          <w:szCs w:val="30"/>
          <w:lang w:val="zh-CN" w:eastAsia="zh-CN"/>
        </w:rPr>
        <w:t>融入辽宁生态环境保护一体化发展，</w:t>
      </w:r>
      <w:r>
        <w:rPr>
          <w:rFonts w:hint="eastAsia" w:ascii="仿宋" w:hAnsi="仿宋" w:eastAsia="仿宋" w:cs="仿宋"/>
          <w:sz w:val="30"/>
          <w:szCs w:val="30"/>
          <w:lang w:val="en-US" w:eastAsia="zh-CN"/>
        </w:rPr>
        <w:t>支撑</w:t>
      </w:r>
      <w:r>
        <w:rPr>
          <w:rFonts w:hint="eastAsia" w:ascii="仿宋" w:hAnsi="仿宋" w:eastAsia="仿宋" w:cs="仿宋"/>
          <w:sz w:val="30"/>
          <w:szCs w:val="30"/>
          <w:lang w:val="zh-CN" w:eastAsia="zh-CN"/>
        </w:rPr>
        <w:t>辽宁生态安全空间格局。</w:t>
      </w:r>
    </w:p>
    <w:p>
      <w:pPr>
        <w:bidi w:val="0"/>
        <w:spacing w:line="360" w:lineRule="auto"/>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sz w:val="30"/>
          <w:szCs w:val="30"/>
          <w:lang w:val="zh-CN" w:eastAsia="zh-CN"/>
        </w:rPr>
        <w:t>加快构建绿色低碳循环发展体系。</w:t>
      </w:r>
      <w:r>
        <w:rPr>
          <w:rFonts w:hint="eastAsia" w:ascii="仿宋" w:hAnsi="仿宋" w:eastAsia="仿宋" w:cs="仿宋"/>
          <w:sz w:val="30"/>
          <w:szCs w:val="30"/>
          <w:lang w:val="zh-CN" w:eastAsia="zh-CN"/>
        </w:rPr>
        <w:t>加快构建现代“两翼一体化”产业发展体系、生产体系、流通体系、消费体系的绿色低碳循环发展体系。</w:t>
      </w:r>
      <w:r>
        <w:rPr>
          <w:rFonts w:hint="eastAsia" w:ascii="仿宋" w:hAnsi="仿宋" w:eastAsia="仿宋" w:cs="仿宋"/>
          <w:sz w:val="30"/>
          <w:szCs w:val="30"/>
          <w:lang w:val="en-US" w:eastAsia="zh-CN"/>
        </w:rPr>
        <w:t>强化“三线一单”引领和刚性约束作用，推行环评审批和监督执法“两个正面清单”，实现重点产业园区规划环评全覆盖，缓批、限批完成能耗强度下降目标困难、用能空间不</w:t>
      </w:r>
      <w:r>
        <w:rPr>
          <w:rFonts w:hint="eastAsia" w:ascii="仿宋" w:hAnsi="仿宋" w:eastAsia="仿宋" w:cs="仿宋"/>
          <w:color w:val="auto"/>
          <w:sz w:val="30"/>
          <w:szCs w:val="30"/>
          <w:lang w:val="en-US" w:eastAsia="zh-CN"/>
        </w:rPr>
        <w:t>足地区的高耗能项目。</w:t>
      </w:r>
      <w:r>
        <w:rPr>
          <w:rFonts w:hint="eastAsia" w:ascii="仿宋" w:hAnsi="仿宋" w:eastAsia="仿宋" w:cs="仿宋"/>
          <w:color w:val="auto"/>
          <w:sz w:val="30"/>
          <w:szCs w:val="30"/>
        </w:rPr>
        <w:t>做好产业园区规划环境影响评价，明确生态环保和资源消耗等方面准入标准，提高新建园区绿色化水平。推进</w:t>
      </w:r>
      <w:r>
        <w:rPr>
          <w:rFonts w:hint="eastAsia" w:ascii="仿宋" w:hAnsi="仿宋" w:eastAsia="仿宋" w:cs="仿宋"/>
          <w:color w:val="auto"/>
          <w:sz w:val="30"/>
          <w:szCs w:val="30"/>
          <w:lang w:eastAsia="zh-CN"/>
        </w:rPr>
        <w:t>产业园区</w:t>
      </w:r>
      <w:r>
        <w:rPr>
          <w:rFonts w:hint="eastAsia" w:ascii="仿宋" w:hAnsi="仿宋" w:eastAsia="仿宋" w:cs="仿宋"/>
          <w:color w:val="auto"/>
          <w:sz w:val="30"/>
          <w:szCs w:val="30"/>
        </w:rPr>
        <w:t>实施循环化改造。</w:t>
      </w:r>
      <w:r>
        <w:rPr>
          <w:rFonts w:hint="eastAsia" w:ascii="仿宋" w:hAnsi="仿宋" w:eastAsia="仿宋" w:cs="仿宋"/>
          <w:color w:val="auto"/>
          <w:sz w:val="30"/>
          <w:szCs w:val="30"/>
          <w:lang w:val="en-US" w:eastAsia="zh-CN"/>
        </w:rPr>
        <w:t>实施煤炭消费总量和强度“双控”管理，严禁高耗煤、能效水平较低的项目建设，到 2025 年煤炭消费总量下降3%</w:t>
      </w:r>
      <w:r>
        <w:rPr>
          <w:rFonts w:hint="eastAsia" w:ascii="仿宋" w:hAnsi="仿宋" w:eastAsia="仿宋" w:cs="仿宋"/>
          <w:color w:val="auto"/>
          <w:sz w:val="30"/>
          <w:szCs w:val="30"/>
          <w:lang w:val="zh-CN" w:eastAsia="zh-CN"/>
        </w:rPr>
        <w:t>。</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color w:val="auto"/>
          <w:sz w:val="30"/>
          <w:szCs w:val="30"/>
          <w:lang w:val="zh-CN" w:eastAsia="zh-CN"/>
        </w:rPr>
        <w:t>坚持创新驱动发展。</w:t>
      </w:r>
      <w:r>
        <w:rPr>
          <w:rFonts w:hint="eastAsia" w:ascii="仿宋" w:hAnsi="仿宋" w:eastAsia="仿宋" w:cs="仿宋"/>
          <w:color w:val="auto"/>
          <w:sz w:val="30"/>
          <w:szCs w:val="30"/>
          <w:lang w:val="zh-CN" w:eastAsia="zh-CN"/>
        </w:rPr>
        <w:t>建立以企业为主体、市场为导向、产学研深度融合的技术创新体系，鼓励企业牵头组</w:t>
      </w:r>
      <w:r>
        <w:rPr>
          <w:rFonts w:hint="eastAsia" w:ascii="仿宋" w:hAnsi="仿宋" w:eastAsia="仿宋" w:cs="仿宋"/>
          <w:sz w:val="30"/>
          <w:szCs w:val="30"/>
          <w:lang w:val="zh-CN" w:eastAsia="zh-CN"/>
        </w:rPr>
        <w:t>建创新联合体，构建产学研市场化利益联结机制，鼓励支持高新技术研发团队参与重点产业创新发展，鼓励和支持民营研究院发展。推动成果转化，做大产业规模，使高新技术产业成为台安绿色转型发展的强力引擎和重要支撑。</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提高服务业绿色发展水平</w:t>
      </w:r>
      <w:r>
        <w:rPr>
          <w:rFonts w:hint="eastAsia" w:ascii="仿宋" w:hAnsi="仿宋" w:eastAsia="仿宋" w:cs="仿宋"/>
          <w:b/>
          <w:bCs/>
          <w:sz w:val="30"/>
          <w:szCs w:val="30"/>
          <w:lang w:eastAsia="zh-CN"/>
        </w:rPr>
        <w:t>。</w:t>
      </w:r>
      <w:r>
        <w:rPr>
          <w:rFonts w:hint="eastAsia" w:ascii="仿宋" w:hAnsi="仿宋" w:eastAsia="仿宋" w:cs="仿宋"/>
          <w:sz w:val="30"/>
          <w:szCs w:val="30"/>
        </w:rPr>
        <w:t>推动汽修、装修装饰等行业使用低挥发性有机物含量原辅材料。协调行业协会向餐饮行业企业、星级饭店发出不主动提供一次性用品的倡议。</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壮大绿色环保产业</w:t>
      </w:r>
      <w:r>
        <w:rPr>
          <w:rFonts w:hint="eastAsia" w:ascii="仿宋" w:hAnsi="仿宋" w:eastAsia="仿宋" w:cs="仿宋"/>
          <w:b/>
          <w:bCs/>
          <w:sz w:val="30"/>
          <w:szCs w:val="30"/>
          <w:lang w:eastAsia="zh-CN"/>
        </w:rPr>
        <w:t>。</w:t>
      </w:r>
      <w:r>
        <w:rPr>
          <w:rFonts w:hint="eastAsia" w:ascii="仿宋" w:hAnsi="仿宋" w:eastAsia="仿宋" w:cs="仿宋"/>
          <w:sz w:val="30"/>
          <w:szCs w:val="30"/>
        </w:rPr>
        <w:t>组织符合条件的园区申报国家绿色产业示范基地。推进国有企业混合所有制改革，培育大型绿色产业集团。在绿色环保产业领域培育一批“专精特新”中小企业，建立年度培育库。建立重点行业用能、用水单位清单，推广合同能源管理、合同节水管理。推进完善大气、水、土壤、危废、农村环境等领域的环境托管服务。鼓励公共机构实施能源托管服务，将能源托管服务纳入节能工作考核。</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rPr>
        <w:t>促进绿色产品消费</w:t>
      </w:r>
      <w:r>
        <w:rPr>
          <w:rFonts w:hint="eastAsia" w:ascii="仿宋" w:hAnsi="仿宋" w:eastAsia="仿宋" w:cs="仿宋"/>
          <w:b/>
          <w:bCs/>
          <w:sz w:val="30"/>
          <w:szCs w:val="30"/>
          <w:lang w:eastAsia="zh-CN"/>
        </w:rPr>
        <w:t>。</w:t>
      </w:r>
      <w:r>
        <w:rPr>
          <w:rFonts w:hint="eastAsia" w:ascii="仿宋" w:hAnsi="仿宋" w:eastAsia="仿宋" w:cs="仿宋"/>
          <w:sz w:val="30"/>
          <w:szCs w:val="30"/>
        </w:rPr>
        <w:t>制定绿色产品品目采购清单，引导政府部门单位采购节能产品、环境标志产品。依据“双随机一公开”原则，监督检查绿色认证机构。引领全社会提升绿色电力消费。强化绿色产品证后监管，依法打击虚标绿色产品行为，在国家企业信用信息系统公示。</w:t>
      </w:r>
    </w:p>
    <w:p>
      <w:pPr>
        <w:pStyle w:val="5"/>
        <w:bidi w:val="0"/>
        <w:ind w:firstLine="602" w:firstLineChars="200"/>
        <w:rPr>
          <w:rFonts w:hint="eastAsia" w:ascii="仿宋" w:hAnsi="仿宋" w:eastAsia="仿宋" w:cs="仿宋"/>
          <w:sz w:val="30"/>
          <w:szCs w:val="30"/>
          <w:lang w:eastAsia="zh-CN"/>
        </w:rPr>
      </w:pPr>
      <w:bookmarkStart w:id="68" w:name="_Toc24493"/>
      <w:r>
        <w:rPr>
          <w:rFonts w:hint="eastAsia" w:ascii="仿宋" w:hAnsi="仿宋" w:eastAsia="仿宋" w:cs="仿宋"/>
          <w:sz w:val="30"/>
          <w:szCs w:val="30"/>
          <w:lang w:eastAsia="zh-CN"/>
        </w:rPr>
        <w:t>二、加快优化能源结构</w:t>
      </w:r>
      <w:bookmarkEnd w:id="68"/>
    </w:p>
    <w:p>
      <w:pPr>
        <w:pStyle w:val="6"/>
        <w:ind w:firstLine="600" w:firstLineChars="200"/>
        <w:rPr>
          <w:rFonts w:hint="eastAsia" w:ascii="仿宋" w:hAnsi="仿宋" w:eastAsia="仿宋" w:cs="仿宋"/>
          <w:sz w:val="30"/>
          <w:szCs w:val="30"/>
          <w:lang w:val="zh-CN" w:eastAsia="zh-CN"/>
        </w:rPr>
      </w:pPr>
      <w:r>
        <w:rPr>
          <w:rFonts w:hint="eastAsia" w:ascii="仿宋" w:hAnsi="仿宋" w:eastAsia="仿宋" w:cs="仿宋"/>
          <w:sz w:val="30"/>
          <w:szCs w:val="30"/>
          <w:lang w:val="en-US" w:eastAsia="zh-CN"/>
        </w:rPr>
        <w:t>全面构建清洁低碳、安全高效的能源体系。</w:t>
      </w:r>
      <w:r>
        <w:rPr>
          <w:rFonts w:hint="eastAsia" w:ascii="仿宋" w:hAnsi="仿宋" w:eastAsia="仿宋" w:cs="仿宋"/>
          <w:sz w:val="30"/>
          <w:szCs w:val="30"/>
          <w:lang w:val="zh-CN" w:eastAsia="zh-CN"/>
        </w:rPr>
        <w:t>加快补齐清洁能源储备短板，超前布局风电、太阳能（光伏）发电，加快推进生物质能等可再生能源建设，不断提高非化石能源在能源消费中的比。到</w:t>
      </w:r>
      <w:r>
        <w:rPr>
          <w:rFonts w:hint="eastAsia" w:ascii="仿宋" w:hAnsi="仿宋" w:eastAsia="仿宋" w:cs="仿宋"/>
          <w:sz w:val="30"/>
          <w:szCs w:val="30"/>
          <w:lang w:val="en-US" w:eastAsia="zh-CN"/>
        </w:rPr>
        <w:t>2025年，非化石能源占能源消费总量占比13.7%。（</w:t>
      </w:r>
      <w:r>
        <w:rPr>
          <w:rFonts w:hint="eastAsia" w:ascii="仿宋" w:hAnsi="仿宋" w:eastAsia="仿宋" w:cs="仿宋"/>
          <w:sz w:val="30"/>
          <w:szCs w:val="30"/>
          <w:lang w:eastAsia="zh-CN"/>
        </w:rPr>
        <w:t>辽宁省“十四五”生态环境保护规划</w:t>
      </w:r>
      <w:r>
        <w:rPr>
          <w:rFonts w:hint="eastAsia" w:ascii="仿宋" w:hAnsi="仿宋" w:eastAsia="仿宋" w:cs="仿宋"/>
          <w:sz w:val="30"/>
          <w:szCs w:val="30"/>
          <w:lang w:val="en-US" w:eastAsia="zh-CN"/>
        </w:rPr>
        <w:t>）</w:t>
      </w:r>
      <w:r>
        <w:rPr>
          <w:rFonts w:hint="eastAsia" w:ascii="仿宋" w:hAnsi="仿宋" w:eastAsia="仿宋" w:cs="仿宋"/>
          <w:sz w:val="30"/>
          <w:szCs w:val="30"/>
          <w:lang w:val="zh-CN" w:eastAsia="zh-CN"/>
        </w:rPr>
        <w:t>构建现代清洁能源市场体系，推进煤电油气产供储销体系建设，加强洁净型煤和环保炉具推广，提升能源安全保障能力。推进电能替代、燃气替代、热电联产、余热利用、清洁供暖和散煤替代等，2</w:t>
      </w:r>
      <w:r>
        <w:rPr>
          <w:rFonts w:hint="eastAsia" w:ascii="仿宋" w:hAnsi="仿宋" w:eastAsia="仿宋" w:cs="仿宋"/>
          <w:sz w:val="30"/>
          <w:szCs w:val="30"/>
          <w:lang w:val="en-US" w:eastAsia="zh-CN"/>
        </w:rPr>
        <w:t>023年底前</w:t>
      </w:r>
      <w:r>
        <w:rPr>
          <w:rFonts w:hint="eastAsia" w:ascii="仿宋" w:hAnsi="仿宋" w:eastAsia="仿宋" w:cs="仿宋"/>
          <w:sz w:val="30"/>
          <w:szCs w:val="30"/>
          <w:lang w:val="zh-CN" w:eastAsia="zh-CN"/>
        </w:rPr>
        <w:t>完成城乡结合部散煤全部治理，到2025年力争完成“城乡结合部天然气入户”工程，</w:t>
      </w:r>
      <w:r>
        <w:rPr>
          <w:rFonts w:hint="eastAsia" w:ascii="仿宋" w:hAnsi="仿宋" w:eastAsia="仿宋" w:cs="仿宋"/>
          <w:sz w:val="30"/>
          <w:szCs w:val="30"/>
          <w:lang w:val="en-US" w:eastAsia="zh-CN"/>
        </w:rPr>
        <w:t>清洁取暖率达到90%以上（辽环提复【2021】041号）。</w:t>
      </w:r>
    </w:p>
    <w:p>
      <w:pPr>
        <w:pStyle w:val="5"/>
        <w:bidi w:val="0"/>
        <w:ind w:firstLine="602" w:firstLineChars="200"/>
        <w:rPr>
          <w:rFonts w:hint="eastAsia" w:ascii="仿宋" w:hAnsi="仿宋" w:eastAsia="仿宋" w:cs="仿宋"/>
          <w:sz w:val="30"/>
          <w:szCs w:val="30"/>
          <w:lang w:eastAsia="zh-CN"/>
        </w:rPr>
      </w:pPr>
      <w:bookmarkStart w:id="69" w:name="_Toc22584"/>
      <w:r>
        <w:rPr>
          <w:rFonts w:hint="eastAsia" w:ascii="仿宋" w:hAnsi="仿宋" w:eastAsia="仿宋" w:cs="仿宋"/>
          <w:sz w:val="30"/>
          <w:szCs w:val="30"/>
          <w:lang w:eastAsia="zh-CN"/>
        </w:rPr>
        <w:t>三、加快推进低碳交通运输体系建设</w:t>
      </w:r>
      <w:bookmarkEnd w:id="69"/>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sz w:val="30"/>
          <w:szCs w:val="30"/>
          <w:lang w:val="en-US" w:eastAsia="zh-CN"/>
        </w:rPr>
        <w:t>积极引导低碳出行方式。</w:t>
      </w:r>
      <w:r>
        <w:rPr>
          <w:rFonts w:hint="eastAsia" w:ascii="仿宋" w:hAnsi="仿宋" w:eastAsia="仿宋" w:cs="仿宋"/>
          <w:sz w:val="30"/>
          <w:szCs w:val="30"/>
          <w:lang w:val="zh-CN" w:eastAsia="zh-CN"/>
        </w:rPr>
        <w:t>积极倡导绿色出行方式，加快公交专用道等公共交通基础设施建设，加强自行车专用道和行人步道等城市慢行系统建设。</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优化交通运输结构。</w:t>
      </w:r>
      <w:r>
        <w:rPr>
          <w:rFonts w:hint="eastAsia" w:ascii="仿宋" w:hAnsi="仿宋" w:eastAsia="仿宋" w:cs="仿宋"/>
          <w:sz w:val="30"/>
          <w:szCs w:val="30"/>
          <w:lang w:val="zh-CN" w:eastAsia="zh-CN"/>
        </w:rPr>
        <w:t>加快淘汰老旧车辆，</w:t>
      </w:r>
      <w:r>
        <w:rPr>
          <w:rFonts w:hint="eastAsia" w:ascii="仿宋" w:hAnsi="仿宋" w:eastAsia="仿宋" w:cs="仿宋"/>
          <w:sz w:val="30"/>
          <w:szCs w:val="30"/>
          <w:lang w:val="en-US" w:eastAsia="zh-CN"/>
        </w:rPr>
        <w:t>禁止国家已淘汰的外省、市老旧燃油车辆向台安县转移注册登记，</w:t>
      </w:r>
      <w:r>
        <w:rPr>
          <w:rFonts w:hint="eastAsia" w:ascii="仿宋" w:hAnsi="仿宋" w:eastAsia="仿宋" w:cs="仿宋"/>
          <w:sz w:val="30"/>
          <w:szCs w:val="30"/>
          <w:lang w:val="zh-CN" w:eastAsia="zh-CN"/>
        </w:rPr>
        <w:t>推广普及新能源车，</w:t>
      </w:r>
      <w:r>
        <w:rPr>
          <w:rFonts w:hint="eastAsia" w:ascii="仿宋" w:hAnsi="仿宋" w:eastAsia="仿宋" w:cs="仿宋"/>
          <w:sz w:val="30"/>
          <w:szCs w:val="30"/>
          <w:lang w:val="en-US" w:eastAsia="zh-CN"/>
        </w:rPr>
        <w:t>到2025年，新能源汽车销售额占总汽车销售额的20%以上</w:t>
      </w:r>
      <w:r>
        <w:rPr>
          <w:rFonts w:hint="eastAsia" w:ascii="仿宋" w:hAnsi="仿宋" w:eastAsia="仿宋" w:cs="仿宋"/>
          <w:sz w:val="30"/>
          <w:szCs w:val="30"/>
          <w:lang w:val="zh-CN" w:eastAsia="zh-CN"/>
        </w:rPr>
        <w:t>。持续推进城市客运行业“油改气”，鼓励客运、货运车辆优先使用清洁能源或新能源车辆，推动运输装备低碳升级，2025年底县域建成区客运、环卫、邮政、出租、通勤、轻型物流配送车辆全部使用新能源或清洁能源汽车。</w:t>
      </w:r>
    </w:p>
    <w:p>
      <w:pPr>
        <w:pStyle w:val="5"/>
        <w:bidi w:val="0"/>
        <w:ind w:firstLine="602" w:firstLineChars="200"/>
        <w:rPr>
          <w:rFonts w:hint="eastAsia" w:ascii="仿宋" w:hAnsi="仿宋" w:eastAsia="仿宋" w:cs="仿宋"/>
          <w:sz w:val="30"/>
          <w:szCs w:val="30"/>
          <w:lang w:eastAsia="zh-CN"/>
        </w:rPr>
      </w:pPr>
      <w:bookmarkStart w:id="70" w:name="_Toc15680"/>
      <w:r>
        <w:rPr>
          <w:rFonts w:hint="eastAsia" w:ascii="仿宋" w:hAnsi="仿宋" w:eastAsia="仿宋" w:cs="仿宋"/>
          <w:sz w:val="30"/>
          <w:szCs w:val="30"/>
          <w:lang w:eastAsia="zh-CN"/>
        </w:rPr>
        <w:t>四、推进农业有机化</w:t>
      </w:r>
      <w:bookmarkEnd w:id="70"/>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sz w:val="30"/>
          <w:szCs w:val="30"/>
          <w:lang w:val="zh-CN" w:eastAsia="zh-CN"/>
        </w:rPr>
        <w:t>加快农业转型升级。</w:t>
      </w:r>
      <w:r>
        <w:rPr>
          <w:rFonts w:hint="eastAsia" w:ascii="仿宋" w:hAnsi="仿宋" w:eastAsia="仿宋" w:cs="仿宋"/>
          <w:sz w:val="30"/>
          <w:szCs w:val="30"/>
          <w:lang w:val="zh-CN" w:eastAsia="zh-CN"/>
        </w:rPr>
        <w:t>推进绿色特色产业发展，加快推进绿色特色产业生产基地建设，</w:t>
      </w:r>
      <w:r>
        <w:rPr>
          <w:rFonts w:hint="eastAsia" w:ascii="仿宋" w:hAnsi="仿宋" w:eastAsia="仿宋" w:cs="仿宋"/>
          <w:sz w:val="30"/>
          <w:szCs w:val="30"/>
        </w:rPr>
        <w:t>发展以“生态绿色、品质优良、环境友好”为基本特征的绿色低碳循环农业，鼓励农事企业申报绿色食品。</w:t>
      </w:r>
      <w:r>
        <w:rPr>
          <w:rFonts w:hint="eastAsia" w:ascii="仿宋" w:hAnsi="仿宋" w:eastAsia="仿宋" w:cs="仿宋"/>
          <w:sz w:val="30"/>
          <w:szCs w:val="30"/>
          <w:lang w:val="zh-CN" w:eastAsia="zh-CN"/>
        </w:rPr>
        <w:t>优化产业布局，着力构建“生态农业基地”、“高效农业基地”等农业绿色发展格局。坚持质量兴农、绿色兴农、品牌强农，深入推进种植结构调整，做稳做优粮油产业。加快补齐农业绿色特色发展短板，推进农业由增产向提质转变。大力推进农业产业向智能化、数字化转型升级，</w:t>
      </w:r>
      <w:r>
        <w:rPr>
          <w:rFonts w:hint="eastAsia" w:ascii="仿宋" w:hAnsi="仿宋" w:eastAsia="仿宋" w:cs="仿宋"/>
          <w:sz w:val="30"/>
          <w:szCs w:val="30"/>
        </w:rPr>
        <w:t>推进农业生态技术、绿色技术和增汇型技术研发和推广应用，实现产业健康持续发展，</w:t>
      </w:r>
      <w:r>
        <w:rPr>
          <w:rFonts w:hint="eastAsia" w:ascii="仿宋" w:hAnsi="仿宋" w:eastAsia="仿宋" w:cs="仿宋"/>
          <w:sz w:val="30"/>
          <w:szCs w:val="30"/>
          <w:lang w:val="zh-CN" w:eastAsia="zh-CN"/>
        </w:rPr>
        <w:t>提高农业现代化水平。</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zh-CN" w:eastAsia="zh-CN"/>
        </w:rPr>
        <w:t>降低农业投入。</w:t>
      </w:r>
      <w:r>
        <w:rPr>
          <w:rFonts w:hint="eastAsia" w:ascii="仿宋" w:hAnsi="仿宋" w:eastAsia="仿宋" w:cs="仿宋"/>
          <w:sz w:val="30"/>
          <w:szCs w:val="30"/>
          <w:lang w:val="en-US" w:eastAsia="zh-CN"/>
        </w:rPr>
        <w:t>实施东北黑土地保护性耕作，加快调整施肥结构，转变施肥方式，鼓励增施有机肥和新型肥料，推广应用测土配方施肥技术，降低化肥农药投入量。加强畜禽投入品管理，推进养殖用药减量，推广应用配合饲料。</w:t>
      </w:r>
      <w:r>
        <w:rPr>
          <w:rFonts w:hint="eastAsia" w:ascii="仿宋" w:hAnsi="仿宋" w:eastAsia="仿宋" w:cs="仿宋"/>
          <w:sz w:val="30"/>
          <w:szCs w:val="30"/>
        </w:rPr>
        <w:t>推进秸秆和畜禽粪污等资源化利用，加强秸秆收储体系，坚持农作物五化利用方向，综合利用率稳定在</w:t>
      </w:r>
      <w:r>
        <w:rPr>
          <w:rFonts w:hint="eastAsia" w:ascii="仿宋" w:hAnsi="仿宋" w:eastAsia="仿宋" w:cs="仿宋"/>
          <w:sz w:val="30"/>
          <w:szCs w:val="30"/>
          <w:lang w:val="en-US" w:eastAsia="zh-CN"/>
        </w:rPr>
        <w:t>86</w:t>
      </w:r>
      <w:r>
        <w:rPr>
          <w:rFonts w:hint="eastAsia" w:ascii="仿宋" w:hAnsi="仿宋" w:eastAsia="仿宋" w:cs="仿宋"/>
          <w:sz w:val="30"/>
          <w:szCs w:val="30"/>
        </w:rPr>
        <w:t>%以上；完善畜禽养殖粪便综合利用措施，综合利用率达到 80%以上。强化耕地质量保护与提升，开展耕地（地块）质量等级评价工作。</w:t>
      </w:r>
    </w:p>
    <w:p>
      <w:pPr>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lang w:val="en-US" w:eastAsia="zh-CN"/>
        </w:rPr>
        <w:t>推动农作物病虫害专业化防治和绿色防控融合，推广应用生物防治、物理防治等非化学绿色防控措施和高效低毒低残留环境友好型农药、高效植保机械，</w:t>
      </w:r>
      <w:r>
        <w:rPr>
          <w:rFonts w:hint="eastAsia" w:ascii="仿宋" w:hAnsi="仿宋" w:eastAsia="仿宋" w:cs="仿宋"/>
          <w:sz w:val="30"/>
          <w:szCs w:val="30"/>
          <w:lang w:val="zh-CN" w:eastAsia="zh-CN"/>
        </w:rPr>
        <w:t>到2025年测土配方施肥技术覆盖率达到90%以上，</w:t>
      </w:r>
      <w:r>
        <w:rPr>
          <w:rFonts w:hint="eastAsia" w:ascii="仿宋" w:hAnsi="仿宋" w:eastAsia="仿宋" w:cs="仿宋"/>
          <w:sz w:val="30"/>
          <w:szCs w:val="30"/>
          <w:lang w:val="en-US" w:eastAsia="zh-CN"/>
        </w:rPr>
        <w:t>主要农作物化肥利用率达到43%</w:t>
      </w:r>
      <w:r>
        <w:rPr>
          <w:rFonts w:hint="eastAsia" w:ascii="仿宋" w:hAnsi="仿宋" w:eastAsia="仿宋" w:cs="仿宋"/>
          <w:sz w:val="30"/>
          <w:szCs w:val="30"/>
          <w:lang w:val="zh-CN" w:eastAsia="zh-CN"/>
        </w:rPr>
        <w:t>以上</w:t>
      </w:r>
      <w:r>
        <w:rPr>
          <w:rFonts w:hint="eastAsia" w:ascii="仿宋" w:hAnsi="仿宋" w:eastAsia="仿宋" w:cs="仿宋"/>
          <w:sz w:val="30"/>
          <w:szCs w:val="30"/>
          <w:lang w:val="en-US" w:eastAsia="zh-CN"/>
        </w:rPr>
        <w:t>，主要农作物农药利用率达到43%</w:t>
      </w:r>
      <w:r>
        <w:rPr>
          <w:rFonts w:hint="eastAsia" w:ascii="仿宋" w:hAnsi="仿宋" w:eastAsia="仿宋" w:cs="仿宋"/>
          <w:sz w:val="30"/>
          <w:szCs w:val="30"/>
          <w:lang w:val="zh-CN" w:eastAsia="zh-CN"/>
        </w:rPr>
        <w:t>以上</w:t>
      </w:r>
      <w:r>
        <w:rPr>
          <w:rFonts w:hint="eastAsia" w:ascii="仿宋" w:hAnsi="仿宋" w:eastAsia="仿宋" w:cs="仿宋"/>
          <w:sz w:val="30"/>
          <w:szCs w:val="30"/>
          <w:lang w:val="en-US" w:eastAsia="zh-CN"/>
        </w:rPr>
        <w:t>。</w:t>
      </w:r>
    </w:p>
    <w:p>
      <w:pPr>
        <w:spacing w:line="360" w:lineRule="auto"/>
        <w:rPr>
          <w:rFonts w:hint="eastAsia" w:ascii="仿宋" w:hAnsi="仿宋" w:eastAsia="仿宋" w:cs="仿宋"/>
          <w:sz w:val="30"/>
          <w:szCs w:val="30"/>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18"/>
        <w:gridCol w:w="6345"/>
        <w:gridCol w:w="1245"/>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08"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sz w:val="21"/>
                <w:szCs w:val="21"/>
                <w:vertAlign w:val="baseline"/>
              </w:rPr>
            </w:pPr>
            <w:r>
              <w:rPr>
                <w:rFonts w:hint="eastAsia" w:ascii="仿宋" w:hAnsi="仿宋" w:eastAsia="仿宋" w:cs="仿宋"/>
                <w:b/>
                <w:bCs/>
                <w:sz w:val="24"/>
                <w:szCs w:val="24"/>
                <w:vertAlign w:val="baseline"/>
                <w:lang w:eastAsia="zh-CN"/>
              </w:rPr>
              <w:t>专栏一</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产业绿色转型工程项目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sz w:val="21"/>
                <w:szCs w:val="21"/>
                <w:vertAlign w:val="baseline"/>
                <w:lang w:eastAsia="zh-CN"/>
                <w14:textFill>
                  <w14:solidFill>
                    <w14:schemeClr w14:val="tx1"/>
                  </w14:solidFill>
                </w14:textFill>
              </w:rPr>
            </w:pPr>
            <w:r>
              <w:rPr>
                <w:rFonts w:hint="eastAsia" w:ascii="仿宋" w:hAnsi="仿宋" w:eastAsia="仿宋" w:cs="仿宋"/>
                <w:b/>
                <w:bCs/>
                <w:color w:val="000000" w:themeColor="text1"/>
                <w:sz w:val="21"/>
                <w:szCs w:val="21"/>
                <w:vertAlign w:val="baseline"/>
                <w:lang w:eastAsia="zh-CN"/>
                <w14:textFill>
                  <w14:solidFill>
                    <w14:schemeClr w14:val="tx1"/>
                  </w14:solidFill>
                </w14:textFill>
              </w:rPr>
              <w:t>序号</w:t>
            </w:r>
          </w:p>
        </w:tc>
        <w:tc>
          <w:tcPr>
            <w:tcW w:w="63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sz w:val="21"/>
                <w:szCs w:val="21"/>
                <w:vertAlign w:val="baseline"/>
                <w:lang w:eastAsia="zh-CN"/>
                <w14:textFill>
                  <w14:solidFill>
                    <w14:schemeClr w14:val="tx1"/>
                  </w14:solidFill>
                </w14:textFill>
              </w:rPr>
            </w:pPr>
            <w:r>
              <w:rPr>
                <w:rFonts w:hint="eastAsia" w:ascii="仿宋" w:hAnsi="仿宋" w:eastAsia="仿宋" w:cs="仿宋"/>
                <w:b/>
                <w:bCs/>
                <w:color w:val="000000" w:themeColor="text1"/>
                <w:sz w:val="21"/>
                <w:szCs w:val="21"/>
                <w:vertAlign w:val="baseline"/>
                <w:lang w:eastAsia="zh-CN"/>
                <w14:textFill>
                  <w14:solidFill>
                    <w14:schemeClr w14:val="tx1"/>
                  </w14:solidFill>
                </w14:textFill>
              </w:rPr>
              <w:t>项目名称</w:t>
            </w:r>
          </w:p>
        </w:tc>
        <w:tc>
          <w:tcPr>
            <w:tcW w:w="124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b/>
                <w:bCs/>
                <w:color w:val="000000" w:themeColor="text1"/>
                <w:sz w:val="21"/>
                <w:szCs w:val="21"/>
                <w:vertAlign w:val="baseline"/>
                <w:lang w:eastAsia="zh-CN"/>
                <w14:textFill>
                  <w14:solidFill>
                    <w14:schemeClr w14:val="tx1"/>
                  </w14:solidFill>
                </w14:textFill>
              </w:rPr>
            </w:pPr>
            <w:r>
              <w:rPr>
                <w:rFonts w:hint="eastAsia" w:ascii="仿宋" w:hAnsi="仿宋" w:eastAsia="仿宋" w:cs="仿宋"/>
                <w:b/>
                <w:bCs/>
                <w:color w:val="000000" w:themeColor="text1"/>
                <w:sz w:val="21"/>
                <w:szCs w:val="21"/>
                <w:vertAlign w:val="baseline"/>
                <w:lang w:eastAsia="zh-CN"/>
                <w14:textFill>
                  <w14:solidFill>
                    <w14:schemeClr w14:val="tx1"/>
                  </w14:solidFill>
                </w14:textFill>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1</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建设高标准化工园区（1项）</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钢铁行业超低排放改造</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3</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sz w:val="21"/>
                <w:szCs w:val="21"/>
              </w:rPr>
              <w:t>鞍山兴源燃气有限公司的乡村管线工程</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4</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sz w:val="21"/>
                <w:szCs w:val="21"/>
              </w:rPr>
              <w:t>台安县天福天然气有限公司加气站二期工程</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5</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sz w:val="21"/>
                <w:szCs w:val="21"/>
              </w:rPr>
              <w:t>鞍山中联石化有限公司环路加气站工程（LNG加气站）</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6</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鞍山科顺建筑材料有限公司新型防水材料智能化生产基地技术改造项目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2024年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7</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lang w:eastAsia="zh-CN"/>
              </w:rPr>
              <w:t>鞍山科顺建筑材料有限公司防水卷材数字化车间升级</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8</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eastAsia="zh-CN"/>
              </w:rPr>
              <w:t>辽宁禾丰蛋业有限公司年深加工</w:t>
            </w:r>
            <w:r>
              <w:rPr>
                <w:rFonts w:hint="default" w:ascii="Times New Roman" w:hAnsi="Times New Roman" w:eastAsia="仿宋" w:cs="Times New Roman"/>
                <w:sz w:val="21"/>
                <w:szCs w:val="21"/>
                <w:lang w:val="en-US" w:eastAsia="zh-CN"/>
              </w:rPr>
              <w:t>2.5万吨鸡蛋、1.5万吨鹌鹑蛋5G信息化智能工厂建设项目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9</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台安县嘉恒铁合金有限公司车间节能式回转窑技术改造项目（节能改造）</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10</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台安县供热有限责任公司台安县城区集中供热工程改扩建项目（节能改造）</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11</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eastAsia="zh-CN"/>
              </w:rPr>
              <w:t>辽宁源宇化工有限公司年产</w:t>
            </w:r>
            <w:r>
              <w:rPr>
                <w:rFonts w:hint="default" w:ascii="Times New Roman" w:hAnsi="Times New Roman" w:eastAsia="仿宋" w:cs="Times New Roman"/>
                <w:sz w:val="21"/>
                <w:szCs w:val="21"/>
                <w:lang w:val="en-US" w:eastAsia="zh-CN"/>
              </w:rPr>
              <w:t>4000吨蒽油深加工技术改造项目</w:t>
            </w:r>
            <w:r>
              <w:rPr>
                <w:rFonts w:hint="default" w:ascii="Times New Roman" w:hAnsi="Times New Roman" w:eastAsia="仿宋" w:cs="Times New Roman"/>
                <w:sz w:val="21"/>
                <w:szCs w:val="21"/>
                <w:lang w:eastAsia="zh-CN"/>
              </w:rPr>
              <w:t>（节能改造）</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策划中</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t>12</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桓洞二期</w:t>
            </w:r>
            <w:r>
              <w:rPr>
                <w:rFonts w:hint="default" w:ascii="Times New Roman" w:hAnsi="Times New Roman" w:eastAsia="仿宋" w:cs="Times New Roman"/>
                <w:sz w:val="21"/>
                <w:szCs w:val="21"/>
                <w:lang w:val="en-US" w:eastAsia="zh-CN"/>
              </w:rPr>
              <w:t>150兆瓦风电机组项目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13</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智慧交通项目（运营车辆更新为新能源或清洁能源车型）</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14</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化工材料产业基地</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15</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年屠宰</w:t>
            </w:r>
            <w:r>
              <w:rPr>
                <w:rFonts w:hint="default" w:ascii="Times New Roman" w:hAnsi="Times New Roman" w:eastAsia="仿宋" w:cs="Times New Roman"/>
                <w:sz w:val="21"/>
                <w:szCs w:val="21"/>
                <w:lang w:val="en-US" w:eastAsia="zh-CN"/>
              </w:rPr>
              <w:t>10万头肉牛深加工项目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16</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年屠宰</w:t>
            </w:r>
            <w:r>
              <w:rPr>
                <w:rFonts w:hint="default" w:ascii="Times New Roman" w:hAnsi="Times New Roman" w:eastAsia="仿宋" w:cs="Times New Roman"/>
                <w:sz w:val="21"/>
                <w:szCs w:val="21"/>
                <w:lang w:val="en-US" w:eastAsia="zh-CN"/>
              </w:rPr>
              <w:t>4500万只白羽肉鸡深加工项目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2024年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17</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无皮鲜糯玉米生产项目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2024年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18</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年加工</w:t>
            </w:r>
            <w:r>
              <w:rPr>
                <w:rFonts w:hint="default" w:ascii="Times New Roman" w:hAnsi="Times New Roman" w:eastAsia="仿宋" w:cs="Times New Roman"/>
                <w:sz w:val="21"/>
                <w:szCs w:val="21"/>
                <w:lang w:val="en-US" w:eastAsia="zh-CN"/>
              </w:rPr>
              <w:t>2万吨肉松项目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2024年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19</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现代农业产业园建设项目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年加工杂粮</w:t>
            </w:r>
            <w:r>
              <w:rPr>
                <w:rFonts w:hint="default" w:ascii="Times New Roman" w:hAnsi="Times New Roman" w:eastAsia="仿宋" w:cs="Times New Roman"/>
                <w:sz w:val="21"/>
                <w:szCs w:val="21"/>
                <w:lang w:val="en-US" w:eastAsia="zh-CN"/>
              </w:rPr>
              <w:t>5万吨健康食品项目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2024年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21</w:t>
            </w:r>
          </w:p>
        </w:tc>
        <w:tc>
          <w:tcPr>
            <w:tcW w:w="63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台安县畜禽粪污资源化利用整县推进（有机肥处理中心）项目</w:t>
            </w:r>
          </w:p>
        </w:tc>
        <w:tc>
          <w:tcPr>
            <w:tcW w:w="1245"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22</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水产品健康养殖项目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23</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台安经济开发区科技研发中心创谷基地项目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24</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辽宁富鹏</w:t>
            </w: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再生资源产业园区三期工程（100万吨/年废渣资源化综合利用项目）</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18"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25</w:t>
            </w:r>
          </w:p>
        </w:tc>
        <w:tc>
          <w:tcPr>
            <w:tcW w:w="63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辽宁富鹏</w:t>
            </w: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再生资源产业园区四期工程（报废车绿色拆解资源化利用项目，年拆解报废车辆2万辆）</w:t>
            </w:r>
          </w:p>
        </w:tc>
        <w:tc>
          <w:tcPr>
            <w:tcW w:w="1245"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eastAsia"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bl>
    <w:p>
      <w:pPr>
        <w:spacing w:line="360" w:lineRule="auto"/>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71" w:name="_Toc23002"/>
      <w:r>
        <w:rPr>
          <w:rFonts w:hint="eastAsia"/>
          <w:lang w:eastAsia="zh-CN"/>
        </w:rPr>
        <w:t>第二节</w:t>
      </w:r>
      <w:r>
        <w:rPr>
          <w:rFonts w:hint="eastAsia"/>
          <w:lang w:val="en-US" w:eastAsia="zh-CN"/>
        </w:rPr>
        <w:t xml:space="preserve"> </w:t>
      </w:r>
      <w:r>
        <w:rPr>
          <w:rFonts w:hint="eastAsia"/>
          <w:lang w:eastAsia="zh-CN"/>
        </w:rPr>
        <w:t>加强生态系统保护与保障生态安全</w:t>
      </w:r>
      <w:bookmarkEnd w:id="71"/>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以生态环境资源承载力和国土开发空间适宜性评价为基准，结合环境功能区要求以及禁止开发、限制开发、重点开发、优化开发区域，建立国土空间用途管制制度，严格按照主体功能区定位走特色发展之路。从生态系统整体性出发，推进山水林田湖草沙一体化保护和修复，更加注重综合治理、系统治理、源头治理，明确生态安全底线与生态绿色发展高线。</w:t>
      </w:r>
    </w:p>
    <w:p>
      <w:pPr>
        <w:pStyle w:val="5"/>
        <w:bidi w:val="0"/>
        <w:ind w:firstLine="602" w:firstLineChars="200"/>
        <w:rPr>
          <w:rFonts w:hint="eastAsia" w:ascii="仿宋" w:hAnsi="仿宋" w:eastAsia="仿宋" w:cs="仿宋"/>
          <w:sz w:val="30"/>
          <w:szCs w:val="30"/>
          <w:lang w:eastAsia="zh-CN"/>
        </w:rPr>
      </w:pPr>
      <w:bookmarkStart w:id="72" w:name="_Toc14824"/>
      <w:r>
        <w:rPr>
          <w:rFonts w:hint="eastAsia" w:ascii="仿宋" w:hAnsi="仿宋" w:eastAsia="仿宋" w:cs="仿宋"/>
          <w:sz w:val="30"/>
          <w:szCs w:val="30"/>
          <w:lang w:eastAsia="zh-CN"/>
        </w:rPr>
        <w:t>一、优化国土空间开发保护格局</w:t>
      </w:r>
      <w:bookmarkEnd w:id="72"/>
    </w:p>
    <w:p>
      <w:pPr>
        <w:bidi w:val="0"/>
        <w:spacing w:line="360" w:lineRule="auto"/>
        <w:ind w:firstLine="602"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color w:val="000000" w:themeColor="text1"/>
          <w:sz w:val="30"/>
          <w:szCs w:val="30"/>
          <w14:textFill>
            <w14:solidFill>
              <w14:schemeClr w14:val="tx1"/>
            </w14:solidFill>
          </w14:textFill>
        </w:rPr>
        <w:t>实施主体功能区战略</w:t>
      </w:r>
      <w:r>
        <w:rPr>
          <w:rFonts w:hint="eastAsia" w:ascii="仿宋" w:hAnsi="仿宋" w:eastAsia="仿宋" w:cs="仿宋"/>
          <w:b/>
          <w:bCs/>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着眼绿色发展的特色、高效、循环、互惠、环保等要求，以《</w:t>
      </w:r>
      <w:r>
        <w:rPr>
          <w:rFonts w:hint="eastAsia" w:ascii="仿宋" w:hAnsi="仿宋" w:eastAsia="仿宋" w:cs="仿宋"/>
          <w:color w:val="000000" w:themeColor="text1"/>
          <w:sz w:val="30"/>
          <w:szCs w:val="30"/>
          <w:lang w:eastAsia="zh-CN"/>
          <w14:textFill>
            <w14:solidFill>
              <w14:schemeClr w14:val="tx1"/>
            </w14:solidFill>
          </w14:textFill>
        </w:rPr>
        <w:t>鞍山</w:t>
      </w:r>
      <w:r>
        <w:rPr>
          <w:rFonts w:hint="eastAsia" w:ascii="仿宋" w:hAnsi="仿宋" w:eastAsia="仿宋" w:cs="仿宋"/>
          <w:color w:val="000000" w:themeColor="text1"/>
          <w:sz w:val="30"/>
          <w:szCs w:val="30"/>
          <w14:textFill>
            <w14:solidFill>
              <w14:schemeClr w14:val="tx1"/>
            </w14:solidFill>
          </w14:textFill>
        </w:rPr>
        <w:t>市国土空间总体规划（2019-2035 年）》为一张蓝图，实现主体功能区规划、土地利用规划和城乡规划等“多规合一”，</w:t>
      </w:r>
      <w:r>
        <w:rPr>
          <w:rFonts w:hint="eastAsia" w:ascii="仿宋" w:hAnsi="仿宋" w:eastAsia="仿宋" w:cs="仿宋"/>
          <w:i w:val="0"/>
          <w:iCs w:val="0"/>
          <w:caps w:val="0"/>
          <w:color w:val="000000" w:themeColor="text1"/>
          <w:spacing w:val="0"/>
          <w:sz w:val="30"/>
          <w:szCs w:val="30"/>
          <w:shd w:val="clear" w:fill="FFFFFF"/>
          <w14:textFill>
            <w14:solidFill>
              <w14:schemeClr w14:val="tx1"/>
            </w14:solidFill>
          </w14:textFill>
        </w:rPr>
        <w:t>统筹安排城镇、农业、生态三大功能区域。同时，统筹优化“三生空间”，明确重大交通市政基础设施、公共服务设施和重大产业平台布局</w:t>
      </w:r>
      <w:r>
        <w:rPr>
          <w:rFonts w:hint="eastAsia" w:ascii="仿宋" w:hAnsi="仿宋" w:eastAsia="仿宋" w:cs="仿宋"/>
          <w:color w:val="000000" w:themeColor="text1"/>
          <w:sz w:val="30"/>
          <w:szCs w:val="30"/>
          <w14:textFill>
            <w14:solidFill>
              <w14:schemeClr w14:val="tx1"/>
            </w14:solidFill>
          </w14:textFill>
        </w:rPr>
        <w:t>。到 2025 年，健全国土空间规划法规政策和技术标准体系，全面实施国土空间监测预警和绩效考核机制，形成以国土空间规划为基础，以统一用途管制为手段的国土空间开发保护制度。</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color w:val="000000" w:themeColor="text1"/>
          <w:sz w:val="30"/>
          <w:szCs w:val="30"/>
          <w14:textFill>
            <w14:solidFill>
              <w14:schemeClr w14:val="tx1"/>
            </w14:solidFill>
          </w14:textFill>
        </w:rPr>
        <w:t>强化 “ 三线一单 ” 刚性约束</w:t>
      </w:r>
      <w:r>
        <w:rPr>
          <w:rFonts w:hint="eastAsia" w:ascii="仿宋" w:hAnsi="仿宋" w:eastAsia="仿宋" w:cs="仿宋"/>
          <w:b/>
          <w:bCs/>
          <w:color w:val="000000" w:themeColor="text1"/>
          <w:sz w:val="30"/>
          <w:szCs w:val="30"/>
          <w:lang w:eastAsia="zh-CN"/>
          <w14:textFill>
            <w14:solidFill>
              <w14:schemeClr w14:val="tx1"/>
            </w14:solidFill>
          </w14:textFill>
        </w:rPr>
        <w:t>。</w:t>
      </w:r>
      <w:r>
        <w:rPr>
          <w:rFonts w:hint="eastAsia" w:ascii="仿宋" w:hAnsi="仿宋" w:eastAsia="仿宋" w:cs="仿宋"/>
          <w:color w:val="000000" w:themeColor="text1"/>
          <w:sz w:val="30"/>
          <w:szCs w:val="30"/>
          <w14:textFill>
            <w14:solidFill>
              <w14:schemeClr w14:val="tx1"/>
            </w14:solidFill>
          </w14:textFill>
        </w:rPr>
        <w:t>将落实生态保护红线、环境质量底线、资源利用上线和生态环境准入清单管控要求，作为规划和项目环评、重大项目选址等</w:t>
      </w:r>
      <w:r>
        <w:rPr>
          <w:rFonts w:hint="eastAsia" w:ascii="仿宋" w:hAnsi="仿宋" w:eastAsia="仿宋" w:cs="仿宋"/>
          <w:sz w:val="30"/>
          <w:szCs w:val="30"/>
        </w:rPr>
        <w:t>工作的重要参考，形成城市发展不可逾越的限制条件。建立健全生态保护红线区管理制度，建立生态保护红线区监测、预警、评估体系，制定和执行严格的环境准入制度与管理措施。</w:t>
      </w:r>
    </w:p>
    <w:p>
      <w:pPr>
        <w:pStyle w:val="5"/>
        <w:bidi w:val="0"/>
        <w:ind w:firstLine="602" w:firstLineChars="200"/>
        <w:rPr>
          <w:rFonts w:hint="eastAsia" w:ascii="仿宋" w:hAnsi="仿宋" w:eastAsia="仿宋" w:cs="仿宋"/>
          <w:sz w:val="30"/>
          <w:szCs w:val="30"/>
          <w:lang w:val="en-US" w:eastAsia="zh-CN"/>
        </w:rPr>
      </w:pPr>
      <w:bookmarkStart w:id="73" w:name="_Toc27995"/>
      <w:r>
        <w:rPr>
          <w:rFonts w:hint="eastAsia" w:ascii="仿宋" w:hAnsi="仿宋" w:eastAsia="仿宋" w:cs="仿宋"/>
          <w:sz w:val="30"/>
          <w:szCs w:val="30"/>
          <w:lang w:val="en-US" w:eastAsia="zh-CN"/>
        </w:rPr>
        <w:t>二、实施生物多样性保护工程</w:t>
      </w:r>
      <w:bookmarkEnd w:id="73"/>
    </w:p>
    <w:p>
      <w:pPr>
        <w:bidi w:val="0"/>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定期实施生物多样性调查、监测、预警与评价。加强生态系统和物种资源的监测能力建设，定期开展</w:t>
      </w:r>
      <w:r>
        <w:rPr>
          <w:rFonts w:hint="eastAsia" w:ascii="仿宋" w:hAnsi="仿宋" w:eastAsia="仿宋" w:cs="仿宋"/>
          <w:color w:val="000000" w:themeColor="text1"/>
          <w:sz w:val="30"/>
          <w:szCs w:val="30"/>
          <w:lang w:eastAsia="zh-CN"/>
          <w14:textFill>
            <w14:solidFill>
              <w14:schemeClr w14:val="tx1"/>
            </w14:solidFill>
          </w14:textFill>
        </w:rPr>
        <w:t>县域范围内</w:t>
      </w:r>
      <w:r>
        <w:rPr>
          <w:rFonts w:hint="eastAsia" w:ascii="仿宋" w:hAnsi="仿宋" w:eastAsia="仿宋" w:cs="仿宋"/>
          <w:color w:val="000000" w:themeColor="text1"/>
          <w:sz w:val="30"/>
          <w:szCs w:val="30"/>
          <w14:textFill>
            <w14:solidFill>
              <w14:schemeClr w14:val="tx1"/>
            </w14:solidFill>
          </w14:textFill>
        </w:rPr>
        <w:t>生物多样性调查工作，推进生物多样性监测工作的标准化和规范化，构建生物多样性监测网络，开展系统性监测，实现数据共享。建立预警技术体系和应急响应机制，实现长期、动态监控。对重要生态系统和生物类群的分布格局、变化趋势、保护现状及存在问题进行评估，建立健全濒危物种评估机制。</w:t>
      </w:r>
    </w:p>
    <w:p>
      <w:pPr>
        <w:pStyle w:val="4"/>
        <w:numPr>
          <w:ilvl w:val="1"/>
          <w:numId w:val="0"/>
        </w:numPr>
        <w:bidi w:val="0"/>
        <w:ind w:leftChars="0"/>
        <w:jc w:val="center"/>
        <w:rPr>
          <w:rFonts w:hint="eastAsia"/>
          <w:lang w:eastAsia="zh-CN"/>
        </w:rPr>
      </w:pPr>
      <w:bookmarkStart w:id="74" w:name="_Toc14491"/>
      <w:r>
        <w:rPr>
          <w:rFonts w:hint="eastAsia"/>
          <w:lang w:eastAsia="zh-CN"/>
        </w:rPr>
        <w:t>第三节</w:t>
      </w:r>
      <w:r>
        <w:rPr>
          <w:rFonts w:hint="eastAsia"/>
          <w:lang w:val="en-US" w:eastAsia="zh-CN"/>
        </w:rPr>
        <w:t xml:space="preserve"> </w:t>
      </w:r>
      <w:r>
        <w:rPr>
          <w:rFonts w:hint="eastAsia"/>
          <w:lang w:eastAsia="zh-CN"/>
        </w:rPr>
        <w:t>提高生态环境治理体系和治理能力水平</w:t>
      </w:r>
      <w:bookmarkEnd w:id="74"/>
    </w:p>
    <w:p>
      <w:pPr>
        <w:pStyle w:val="5"/>
        <w:bidi w:val="0"/>
        <w:ind w:firstLine="602" w:firstLineChars="200"/>
        <w:rPr>
          <w:rFonts w:hint="eastAsia" w:ascii="仿宋" w:hAnsi="仿宋" w:eastAsia="仿宋" w:cs="仿宋"/>
          <w:sz w:val="30"/>
          <w:szCs w:val="30"/>
          <w:lang w:eastAsia="zh-CN"/>
        </w:rPr>
      </w:pPr>
      <w:bookmarkStart w:id="75" w:name="_Toc17604"/>
      <w:r>
        <w:rPr>
          <w:rFonts w:hint="eastAsia" w:ascii="仿宋" w:hAnsi="仿宋" w:eastAsia="仿宋" w:cs="仿宋"/>
          <w:sz w:val="30"/>
          <w:szCs w:val="30"/>
          <w:lang w:eastAsia="zh-CN"/>
        </w:rPr>
        <w:t>一、健全生态环境管理体制机制</w:t>
      </w:r>
      <w:bookmarkEnd w:id="75"/>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落实党委、政府领导责任。落实县（乡镇、街道）党委和政府承担具体责任。县党委、政府负总责，县有关部门履行生态环境保护职责，制定生态环境保护责任清单，统筹做好监管执法、市场规范、资金安排、宣传教育等工作。</w:t>
      </w:r>
    </w:p>
    <w:p>
      <w:pPr>
        <w:numPr>
          <w:ilvl w:val="0"/>
          <w:numId w:val="0"/>
        </w:num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建立健全部门协同治理机制。</w:t>
      </w:r>
      <w:r>
        <w:rPr>
          <w:rFonts w:hint="eastAsia" w:ascii="仿宋" w:hAnsi="仿宋" w:eastAsia="仿宋" w:cs="仿宋"/>
          <w:sz w:val="30"/>
          <w:szCs w:val="30"/>
          <w:lang w:val="en-US" w:eastAsia="zh-CN"/>
        </w:rPr>
        <w:t>建立健全环保、发改、住建、工信、交通、自然资源等各相关职能部门生态环境保护工作协同机制，以及各职能部门内部生态环境保护工作协同机制，建立健全环境风险防范长效协同机制。</w:t>
      </w:r>
    </w:p>
    <w:p>
      <w:pPr>
        <w:numPr>
          <w:ilvl w:val="0"/>
          <w:numId w:val="0"/>
        </w:num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健全落实生态环境保护督察制度机制。</w:t>
      </w:r>
      <w:r>
        <w:rPr>
          <w:rFonts w:hint="eastAsia" w:ascii="仿宋" w:hAnsi="仿宋" w:eastAsia="仿宋" w:cs="仿宋"/>
          <w:sz w:val="30"/>
          <w:szCs w:val="30"/>
          <w:lang w:val="en-US" w:eastAsia="zh-CN"/>
        </w:rPr>
        <w:t>配合做好生态环境保护督察工作，推动督察反馈问题整改，积极承担上级交办的各项整治任务，压实生态环境保护责任，高效推进整改工作。</w:t>
      </w:r>
    </w:p>
    <w:p>
      <w:pPr>
        <w:pStyle w:val="5"/>
        <w:bidi w:val="0"/>
        <w:ind w:firstLine="602" w:firstLineChars="200"/>
        <w:rPr>
          <w:rFonts w:hint="eastAsia" w:ascii="仿宋" w:hAnsi="仿宋" w:eastAsia="仿宋" w:cs="仿宋"/>
          <w:sz w:val="30"/>
          <w:szCs w:val="30"/>
          <w:lang w:eastAsia="zh-CN"/>
        </w:rPr>
      </w:pPr>
      <w:bookmarkStart w:id="76" w:name="_Toc14975"/>
      <w:r>
        <w:rPr>
          <w:rFonts w:hint="eastAsia" w:ascii="仿宋" w:hAnsi="仿宋" w:eastAsia="仿宋" w:cs="仿宋"/>
          <w:sz w:val="30"/>
          <w:szCs w:val="30"/>
        </w:rPr>
        <w:t> </w:t>
      </w:r>
      <w:r>
        <w:rPr>
          <w:rFonts w:hint="eastAsia" w:ascii="仿宋" w:hAnsi="仿宋" w:eastAsia="仿宋" w:cs="仿宋"/>
          <w:sz w:val="30"/>
          <w:szCs w:val="30"/>
          <w:lang w:eastAsia="zh-CN"/>
        </w:rPr>
        <w:t>二、完善生态环境管理体制</w:t>
      </w:r>
      <w:bookmarkEnd w:id="76"/>
    </w:p>
    <w:p>
      <w:pPr>
        <w:bidi w:val="0"/>
        <w:spacing w:line="360" w:lineRule="auto"/>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en-US" w:eastAsia="zh-CN"/>
        </w:rPr>
        <w:t>全面实行排污许可制。</w:t>
      </w:r>
      <w:r>
        <w:rPr>
          <w:rFonts w:hint="eastAsia" w:ascii="仿宋" w:hAnsi="仿宋" w:eastAsia="仿宋" w:cs="仿宋"/>
          <w:color w:val="auto"/>
          <w:sz w:val="30"/>
          <w:szCs w:val="30"/>
          <w:lang w:val="en-US" w:eastAsia="zh-CN"/>
        </w:rPr>
        <w:t>构建以排污许可制为核心的固定污染源全流程闭环监管制度体系，配合鞍山市生态环境保护主管部门做好排污许可证换证或登记延续动态更新。开展排污许可专项执法检查，落实排污许可“一证式”管理。</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color w:val="auto"/>
          <w:sz w:val="30"/>
          <w:szCs w:val="30"/>
          <w:lang w:val="en-US" w:eastAsia="zh-CN"/>
        </w:rPr>
        <w:t>健全环境治理信用体系。</w:t>
      </w:r>
      <w:r>
        <w:rPr>
          <w:rFonts w:hint="eastAsia" w:ascii="仿宋" w:hAnsi="仿宋" w:eastAsia="仿宋" w:cs="仿宋"/>
          <w:color w:val="auto"/>
          <w:sz w:val="30"/>
          <w:szCs w:val="30"/>
          <w:lang w:val="en-US" w:eastAsia="zh-CN"/>
        </w:rPr>
        <w:t>建立健全环境治理政务失信记录，依法纳入政务失信记录并归集至相关信用信息共享平台。2022 年，完成年度企业环境信用评价工作。落实强制性环境治理信息披露制度，推动上市公司和发债企业履行环境保护社</w:t>
      </w:r>
      <w:r>
        <w:rPr>
          <w:rFonts w:hint="eastAsia" w:ascii="仿宋" w:hAnsi="仿宋" w:eastAsia="仿宋" w:cs="仿宋"/>
          <w:sz w:val="30"/>
          <w:szCs w:val="30"/>
          <w:lang w:val="en-US" w:eastAsia="zh-CN"/>
        </w:rPr>
        <w:t>会责任。</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构建生态环境科技和产业支撑体系。</w:t>
      </w:r>
      <w:r>
        <w:rPr>
          <w:rFonts w:hint="eastAsia" w:ascii="仿宋" w:hAnsi="仿宋" w:eastAsia="仿宋" w:cs="仿宋"/>
          <w:sz w:val="30"/>
          <w:szCs w:val="30"/>
          <w:lang w:val="en-US" w:eastAsia="zh-CN"/>
        </w:rPr>
        <w:t>围绕节能减排、清洁能源、资源综合利用、污染深度治理等技术需求，进一步整合环保产业链资源，加快推进环保产业集聚发展，推进先进科技成果转化和推广应用示范。2022年底前，开展环境服务业调查，推动科技与产业融合发展。2023年底前，形成“产学研”一体化环保科技创新体系建设，鼓励环保装备龙头企业向一体化综合环境服务商发展，培育一批专业化骨干企业。</w:t>
      </w:r>
    </w:p>
    <w:p>
      <w:pPr>
        <w:pStyle w:val="5"/>
        <w:bidi w:val="0"/>
        <w:ind w:firstLine="602" w:firstLineChars="200"/>
        <w:rPr>
          <w:rFonts w:hint="eastAsia" w:ascii="仿宋" w:hAnsi="仿宋" w:eastAsia="仿宋" w:cs="仿宋"/>
          <w:sz w:val="30"/>
          <w:szCs w:val="30"/>
          <w:lang w:eastAsia="zh-CN"/>
        </w:rPr>
      </w:pPr>
      <w:bookmarkStart w:id="77" w:name="_Toc7898"/>
      <w:r>
        <w:rPr>
          <w:rFonts w:hint="eastAsia" w:ascii="仿宋" w:hAnsi="仿宋" w:eastAsia="仿宋" w:cs="仿宋"/>
          <w:sz w:val="30"/>
          <w:szCs w:val="30"/>
          <w:lang w:eastAsia="zh-CN"/>
        </w:rPr>
        <w:t>三、健全生态环境治理市场体系</w:t>
      </w:r>
      <w:bookmarkEnd w:id="77"/>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构建规范开放环境治理市场。</w:t>
      </w:r>
      <w:r>
        <w:rPr>
          <w:rFonts w:hint="eastAsia" w:ascii="仿宋" w:hAnsi="仿宋" w:eastAsia="仿宋" w:cs="仿宋"/>
          <w:sz w:val="30"/>
          <w:szCs w:val="30"/>
          <w:lang w:val="en-US" w:eastAsia="zh-CN"/>
        </w:rPr>
        <w:t>深化“放管服”改革，持续推进“减证便民”行动。规范、推广政府和社会资本合作模式，规范市场秩序，，开展小城镇环境综合治理托管服务试点。</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深化生态环境价格改革。</w:t>
      </w:r>
      <w:r>
        <w:rPr>
          <w:rFonts w:hint="eastAsia" w:ascii="仿宋" w:hAnsi="仿宋" w:eastAsia="仿宋" w:cs="仿宋"/>
          <w:sz w:val="30"/>
          <w:szCs w:val="30"/>
          <w:lang w:val="en-US" w:eastAsia="zh-CN"/>
        </w:rPr>
        <w:t>严格落实“谁污染、谁付费”政策，建立健全“污染者付费+第三方治理”等机制。制定污水、垃圾处理收费标准和实施措施，鼓励绿色节约行为。</w:t>
      </w:r>
    </w:p>
    <w:p>
      <w:pPr>
        <w:pStyle w:val="5"/>
        <w:bidi w:val="0"/>
        <w:ind w:firstLine="602" w:firstLineChars="200"/>
        <w:rPr>
          <w:rFonts w:hint="eastAsia" w:ascii="仿宋" w:hAnsi="仿宋" w:eastAsia="仿宋" w:cs="仿宋"/>
          <w:sz w:val="30"/>
          <w:szCs w:val="30"/>
          <w:lang w:eastAsia="zh-CN"/>
        </w:rPr>
      </w:pPr>
      <w:bookmarkStart w:id="78" w:name="_Toc9370"/>
      <w:r>
        <w:rPr>
          <w:rFonts w:hint="eastAsia" w:ascii="仿宋" w:hAnsi="仿宋" w:eastAsia="仿宋" w:cs="仿宋"/>
          <w:sz w:val="30"/>
          <w:szCs w:val="30"/>
          <w:lang w:eastAsia="zh-CN"/>
        </w:rPr>
        <w:t>四、健全环境监管体系</w:t>
      </w:r>
      <w:bookmarkEnd w:id="78"/>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完善生态环境监测体系。</w:t>
      </w:r>
      <w:r>
        <w:rPr>
          <w:rFonts w:hint="eastAsia" w:ascii="仿宋" w:hAnsi="仿宋" w:eastAsia="仿宋" w:cs="仿宋"/>
          <w:sz w:val="30"/>
          <w:szCs w:val="30"/>
          <w:lang w:val="en-US" w:eastAsia="zh-CN"/>
        </w:rPr>
        <w:t>建立天地一体、上下协同、信息共享和生态保护红线重点区域的生态环境质量监测网络。落实在线监控设施“建、管、用”要求，以现场抽查和网络核查方式，每季度帮扶指导1%重点排污单位自行监测及信息公开。落实社会化生态环境监测机构监督管理办法。推进生态环境监测机构能力建设，确保基层监测机构业务用房、仪器装备、监测人员等满足监管需要。推进生态环境执法权限和力量向市县下移。</w:t>
      </w:r>
    </w:p>
    <w:p>
      <w:pPr>
        <w:bidi w:val="0"/>
        <w:spacing w:line="360" w:lineRule="auto"/>
        <w:ind w:firstLine="602" w:firstLineChars="200"/>
        <w:rPr>
          <w:rFonts w:hint="eastAsia" w:ascii="仿宋" w:hAnsi="仿宋" w:eastAsia="仿宋" w:cs="仿宋"/>
          <w:sz w:val="30"/>
          <w:szCs w:val="30"/>
          <w:lang w:val="en-US"/>
        </w:rPr>
      </w:pPr>
      <w:r>
        <w:rPr>
          <w:rFonts w:hint="eastAsia" w:ascii="仿宋" w:hAnsi="仿宋" w:eastAsia="仿宋" w:cs="仿宋"/>
          <w:b/>
          <w:bCs/>
          <w:sz w:val="30"/>
          <w:szCs w:val="30"/>
          <w:lang w:val="en-US" w:eastAsia="zh-CN"/>
        </w:rPr>
        <w:t>完善区域联防联控机制。</w:t>
      </w:r>
      <w:r>
        <w:rPr>
          <w:rFonts w:hint="eastAsia" w:ascii="仿宋" w:hAnsi="仿宋" w:eastAsia="仿宋" w:cs="仿宋"/>
          <w:sz w:val="30"/>
          <w:szCs w:val="30"/>
          <w:lang w:val="en-US" w:eastAsia="zh-CN"/>
        </w:rPr>
        <w:t>积极参与重污染天气应对，完善重污染天气应急预案，适时开展重污染天气应急演练。健全突发环境事件应急联防联控机制和协作制度，加强风险研判、事件应对、纠纷处理等方面合作。健全区域联防联控机制，联合防控和协调解决跨区域环境污染。</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健全生态环境综合执法体系。</w:t>
      </w:r>
      <w:r>
        <w:rPr>
          <w:rFonts w:hint="eastAsia" w:ascii="仿宋" w:hAnsi="仿宋" w:eastAsia="仿宋" w:cs="仿宋"/>
          <w:sz w:val="30"/>
          <w:szCs w:val="30"/>
          <w:lang w:val="en-US" w:eastAsia="zh-CN"/>
        </w:rPr>
        <w:t>全面落实《辽宁省生态环境行政处罚裁量若干规定（试行）》，扎实推进生态环境保护综合行政执法改革，加快补齐应对气候变化、生态监管等领域执法能力短板，推进执法能力规范化建设。建立市级执法指挥工作专班，全面推行“双随机、一公开”模式，推行跨区域跨流域联合执法、交叉执法。</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加强司法保障。</w:t>
      </w:r>
      <w:r>
        <w:rPr>
          <w:rFonts w:hint="eastAsia" w:ascii="仿宋" w:hAnsi="仿宋" w:eastAsia="仿宋" w:cs="仿宋"/>
          <w:sz w:val="30"/>
          <w:szCs w:val="30"/>
          <w:lang w:val="en-US" w:eastAsia="zh-CN"/>
        </w:rPr>
        <w:t>建立健全生态环境保护综合行政执法、公安、检察、司法等机关协同联动机制，完善信息共享、案情通报、联合调查、案件移送、重大案件会商督办和案件双向咨询制度。</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完善生态环境监管机制。</w:t>
      </w:r>
      <w:r>
        <w:rPr>
          <w:rFonts w:hint="eastAsia" w:ascii="仿宋" w:hAnsi="仿宋" w:eastAsia="仿宋" w:cs="仿宋"/>
          <w:sz w:val="30"/>
          <w:szCs w:val="30"/>
          <w:lang w:val="en-US" w:eastAsia="zh-CN"/>
        </w:rPr>
        <w:t>完善环境监管网络化体系，继续推进生态环境数据采集和整合集成，形成生态环境信息“一张图”。深化督查督办制度，通过约谈、通报等方式，督</w:t>
      </w:r>
      <w:r>
        <w:rPr>
          <w:rFonts w:hint="eastAsia" w:ascii="仿宋" w:hAnsi="仿宋" w:eastAsia="仿宋" w:cs="仿宋"/>
          <w:sz w:val="30"/>
          <w:szCs w:val="30"/>
          <w:lang w:val="zh-CN" w:eastAsia="zh-CN"/>
        </w:rPr>
        <w:t>促整改和落实污染防治任务。</w:t>
      </w:r>
      <w:r>
        <w:rPr>
          <w:rFonts w:hint="eastAsia" w:ascii="仿宋" w:hAnsi="仿宋" w:eastAsia="仿宋" w:cs="仿宋"/>
          <w:sz w:val="30"/>
          <w:szCs w:val="30"/>
          <w:lang w:val="en-US" w:eastAsia="zh-CN"/>
        </w:rPr>
        <w:t>将生态环境保护重点任务纳入生态环境保护督察，监督重点任务落实情况，推进绩效考核和督察问责。落实生态环境损害赔偿和责任追究制度，加大对挤占和损害重要生态系统行为的惩处力度。</w:t>
      </w:r>
    </w:p>
    <w:p>
      <w:pPr>
        <w:pStyle w:val="5"/>
        <w:bidi w:val="0"/>
        <w:ind w:firstLine="602" w:firstLineChars="200"/>
        <w:rPr>
          <w:rFonts w:hint="eastAsia" w:ascii="仿宋" w:hAnsi="仿宋" w:eastAsia="仿宋" w:cs="仿宋"/>
          <w:sz w:val="30"/>
          <w:szCs w:val="30"/>
          <w:lang w:eastAsia="zh-CN"/>
        </w:rPr>
      </w:pPr>
      <w:bookmarkStart w:id="79" w:name="_Toc12437"/>
      <w:r>
        <w:rPr>
          <w:rFonts w:hint="eastAsia" w:ascii="仿宋" w:hAnsi="仿宋" w:eastAsia="仿宋" w:cs="仿宋"/>
          <w:sz w:val="30"/>
          <w:szCs w:val="30"/>
          <w:lang w:eastAsia="zh-CN"/>
        </w:rPr>
        <w:t>五、健全生态环境保护全民参与机制</w:t>
      </w:r>
      <w:bookmarkEnd w:id="79"/>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发挥领导环境治理主体作用。</w:t>
      </w:r>
      <w:r>
        <w:rPr>
          <w:rFonts w:hint="eastAsia" w:ascii="仿宋" w:hAnsi="仿宋" w:eastAsia="仿宋" w:cs="仿宋"/>
          <w:sz w:val="30"/>
          <w:szCs w:val="30"/>
          <w:lang w:val="en-US" w:eastAsia="zh-CN"/>
        </w:rPr>
        <w:t>县政府领导深刻领会生态文明建设对经济社会高质量发展和生态环境高水平保护的重要性，坚决落实生态环境保护的主体责任，实行最严格的生态环保制度，抓实大气污染防治、水体污染防治、土壤污染防治、生活垃圾分类、节能减排等各项重点生态环保任务，全面推动生态环境高水平保护，全面改善生态环境质量。</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企业承担环境治理主体责任。</w:t>
      </w:r>
      <w:r>
        <w:rPr>
          <w:rFonts w:hint="eastAsia" w:ascii="仿宋" w:hAnsi="仿宋" w:eastAsia="仿宋" w:cs="仿宋"/>
          <w:sz w:val="30"/>
          <w:szCs w:val="30"/>
          <w:lang w:val="en-US" w:eastAsia="zh-CN"/>
        </w:rPr>
        <w:t>建立环境管理台账，加强环境治理责任制度建设，落实环境管理、污染治理、生态保护、风险管控、应急处置等措施。从源头防治污染，践行绿色生产方式，减少污染物排放。落实生产者责任延伸制度，向社会公开相关环境信息。设立企业开放日、环境教育体验场所、环保课堂等多种方式向公众开放， 组织开展生态文明公益活动。</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强化公众社会监督。</w:t>
      </w:r>
      <w:r>
        <w:rPr>
          <w:rFonts w:hint="eastAsia" w:ascii="仿宋" w:hAnsi="仿宋" w:eastAsia="仿宋" w:cs="仿宋"/>
          <w:sz w:val="30"/>
          <w:szCs w:val="30"/>
          <w:lang w:val="en-US" w:eastAsia="zh-CN"/>
        </w:rPr>
        <w:t>健全环境决策公众参与机制，保障公众的知情权、监督权、参与权。充分利用报刊、电视、广播网络和新媒体等渠道，加强宣传生态环境保护典型经验做法和曝光突出问题。健全公</w:t>
      </w:r>
      <w:r>
        <w:rPr>
          <w:rFonts w:hint="eastAsia" w:ascii="仿宋" w:hAnsi="仿宋" w:eastAsia="仿宋" w:cs="仿宋"/>
          <w:color w:val="auto"/>
          <w:sz w:val="30"/>
          <w:szCs w:val="30"/>
          <w:lang w:val="en-US" w:eastAsia="zh-CN"/>
        </w:rPr>
        <w:t>众监督和举报反馈机制，进一步拓宽信、访、网、电、微等举报渠道，充分发挥“12369”、</w:t>
      </w:r>
      <w:r>
        <w:rPr>
          <w:rFonts w:hint="eastAsia" w:ascii="仿宋" w:hAnsi="仿宋" w:eastAsia="仿宋" w:cs="仿宋"/>
          <w:color w:val="auto"/>
          <w:sz w:val="30"/>
          <w:szCs w:val="30"/>
          <w:lang w:val="zh-CN" w:eastAsia="zh-CN"/>
        </w:rPr>
        <w:t>“12345”热线作用</w:t>
      </w:r>
      <w:r>
        <w:rPr>
          <w:rFonts w:hint="eastAsia" w:ascii="仿宋" w:hAnsi="仿宋" w:eastAsia="仿宋" w:cs="仿宋"/>
          <w:color w:val="auto"/>
          <w:sz w:val="30"/>
          <w:szCs w:val="30"/>
          <w:lang w:val="en-US" w:eastAsia="zh-CN"/>
        </w:rPr>
        <w:t>，完善环境信访举报办理与反馈机制，切实解决群众投诉举报问题。建立实施生态环境违法行为举报奖励制度，扩大公众参</w:t>
      </w:r>
      <w:r>
        <w:rPr>
          <w:rFonts w:hint="eastAsia" w:ascii="仿宋" w:hAnsi="仿宋" w:eastAsia="仿宋" w:cs="仿宋"/>
          <w:sz w:val="30"/>
          <w:szCs w:val="30"/>
          <w:lang w:val="en-US" w:eastAsia="zh-CN"/>
        </w:rPr>
        <w:t>与环保监督渠道。</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zh-CN" w:eastAsia="zh-CN"/>
        </w:rPr>
        <w:t>大力践行绿色生活方式。</w:t>
      </w:r>
      <w:r>
        <w:rPr>
          <w:rFonts w:hint="eastAsia" w:ascii="仿宋" w:hAnsi="仿宋" w:eastAsia="仿宋" w:cs="仿宋"/>
          <w:sz w:val="30"/>
          <w:szCs w:val="30"/>
          <w:lang w:val="zh-CN" w:eastAsia="zh-CN"/>
        </w:rPr>
        <w:t>依托</w:t>
      </w:r>
      <w:r>
        <w:rPr>
          <w:rFonts w:hint="eastAsia" w:ascii="仿宋" w:hAnsi="仿宋" w:eastAsia="仿宋" w:cs="仿宋"/>
          <w:sz w:val="30"/>
          <w:szCs w:val="30"/>
          <w:lang w:val="en-US" w:eastAsia="zh-CN"/>
        </w:rPr>
        <w:t>鞍山云、微鞍山、鞍山发布</w:t>
      </w:r>
      <w:r>
        <w:rPr>
          <w:rFonts w:hint="eastAsia" w:ascii="仿宋" w:hAnsi="仿宋" w:eastAsia="仿宋" w:cs="仿宋"/>
          <w:sz w:val="30"/>
          <w:szCs w:val="30"/>
          <w:lang w:val="zh-CN" w:eastAsia="zh-CN"/>
        </w:rPr>
        <w:t>等平台，“六·五”环境日等重大纪念日，广泛宣传</w:t>
      </w:r>
      <w:r>
        <w:rPr>
          <w:rFonts w:hint="eastAsia" w:ascii="仿宋" w:hAnsi="仿宋" w:eastAsia="仿宋" w:cs="仿宋"/>
          <w:sz w:val="30"/>
          <w:szCs w:val="30"/>
          <w:lang w:val="en-US" w:eastAsia="zh-CN"/>
        </w:rPr>
        <w:t>生态环境保护相关理论知识、</w:t>
      </w:r>
      <w:r>
        <w:rPr>
          <w:rFonts w:hint="eastAsia" w:ascii="仿宋" w:hAnsi="仿宋" w:eastAsia="仿宋" w:cs="仿宋"/>
          <w:sz w:val="30"/>
          <w:szCs w:val="30"/>
          <w:lang w:val="zh-CN" w:eastAsia="zh-CN"/>
        </w:rPr>
        <w:t>绿色低碳生活理念和生活方式，开展节约型机关、绿色家庭、绿色学校、绿色社区、绿色出行、绿色商场、绿色建筑等重点领域创建活动。党政机关</w:t>
      </w:r>
      <w:r>
        <w:rPr>
          <w:rFonts w:hint="eastAsia" w:ascii="仿宋" w:hAnsi="仿宋" w:eastAsia="仿宋" w:cs="仿宋"/>
          <w:sz w:val="30"/>
          <w:szCs w:val="30"/>
          <w:lang w:val="en-US" w:eastAsia="zh-CN"/>
        </w:rPr>
        <w:t>要厉行勤俭节约、反对铺张浪费。</w:t>
      </w:r>
    </w:p>
    <w:p>
      <w:pPr>
        <w:pStyle w:val="2"/>
        <w:rPr>
          <w:rFonts w:hint="eastAsia" w:ascii="仿宋" w:hAnsi="仿宋" w:eastAsia="仿宋" w:cs="仿宋"/>
          <w:sz w:val="30"/>
          <w:szCs w:val="30"/>
          <w:lang w:val="en-US" w:eastAsia="zh-CN"/>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948"/>
        <w:gridCol w:w="6240"/>
        <w:gridCol w:w="133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sz w:val="21"/>
                <w:szCs w:val="21"/>
                <w:vertAlign w:val="baseline"/>
              </w:rPr>
            </w:pPr>
            <w:r>
              <w:rPr>
                <w:rFonts w:hint="eastAsia" w:ascii="仿宋" w:hAnsi="仿宋" w:eastAsia="仿宋" w:cs="仿宋"/>
                <w:b/>
                <w:bCs/>
                <w:sz w:val="24"/>
                <w:szCs w:val="24"/>
                <w:vertAlign w:val="baseline"/>
                <w:lang w:eastAsia="zh-CN"/>
              </w:rPr>
              <w:t>专栏二</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生态环境治理体系和能力建设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48" w:type="dxa"/>
            <w:tcBorders>
              <w:tl2br w:val="nil"/>
              <w:tr2bl w:val="nil"/>
            </w:tcBorders>
            <w:vAlign w:val="center"/>
          </w:tcPr>
          <w:p>
            <w:pPr>
              <w:spacing w:line="24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序号</w:t>
            </w:r>
          </w:p>
        </w:tc>
        <w:tc>
          <w:tcPr>
            <w:tcW w:w="6240" w:type="dxa"/>
            <w:tcBorders>
              <w:tl2br w:val="nil"/>
              <w:tr2bl w:val="nil"/>
            </w:tcBorders>
            <w:vAlign w:val="center"/>
          </w:tcPr>
          <w:p>
            <w:pPr>
              <w:spacing w:line="24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项目名称</w:t>
            </w:r>
          </w:p>
        </w:tc>
        <w:tc>
          <w:tcPr>
            <w:tcW w:w="1334" w:type="dxa"/>
            <w:tcBorders>
              <w:tl2br w:val="nil"/>
              <w:tr2bl w:val="nil"/>
            </w:tcBorders>
            <w:vAlign w:val="center"/>
          </w:tcPr>
          <w:p>
            <w:pPr>
              <w:spacing w:line="240" w:lineRule="auto"/>
              <w:jc w:val="center"/>
              <w:rPr>
                <w:rFonts w:hint="eastAsia" w:ascii="仿宋" w:hAnsi="仿宋" w:eastAsia="仿宋" w:cs="仿宋"/>
                <w:b/>
                <w:bCs/>
                <w:sz w:val="21"/>
                <w:szCs w:val="21"/>
                <w:vertAlign w:val="baseline"/>
                <w:lang w:eastAsia="zh-CN"/>
              </w:rPr>
            </w:pPr>
            <w:r>
              <w:rPr>
                <w:rFonts w:hint="eastAsia" w:ascii="仿宋" w:hAnsi="仿宋" w:eastAsia="仿宋" w:cs="仿宋"/>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4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1</w:t>
            </w:r>
          </w:p>
        </w:tc>
        <w:tc>
          <w:tcPr>
            <w:tcW w:w="624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台安经济开发区化工产业园有毒有害气体环境风险预警体系建设</w:t>
            </w:r>
          </w:p>
        </w:tc>
        <w:tc>
          <w:tcPr>
            <w:tcW w:w="133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2022</w:t>
            </w: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4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2</w:t>
            </w:r>
          </w:p>
        </w:tc>
        <w:tc>
          <w:tcPr>
            <w:tcW w:w="624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购置便捷式VOC检测设备</w:t>
            </w: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2</w:t>
            </w: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套</w:t>
            </w:r>
          </w:p>
        </w:tc>
        <w:tc>
          <w:tcPr>
            <w:tcW w:w="133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4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3</w:t>
            </w:r>
          </w:p>
        </w:tc>
        <w:tc>
          <w:tcPr>
            <w:tcW w:w="624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秸秆焚烧视频监控系统</w:t>
            </w:r>
          </w:p>
        </w:tc>
        <w:tc>
          <w:tcPr>
            <w:tcW w:w="133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租用卫星</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94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4</w:t>
            </w:r>
          </w:p>
        </w:tc>
        <w:tc>
          <w:tcPr>
            <w:tcW w:w="624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移动式机动车尾气遥感装置1套</w:t>
            </w:r>
          </w:p>
        </w:tc>
        <w:tc>
          <w:tcPr>
            <w:tcW w:w="133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已完成</w:t>
            </w:r>
          </w:p>
        </w:tc>
      </w:tr>
    </w:tbl>
    <w:p>
      <w:pPr>
        <w:spacing w:line="360" w:lineRule="auto"/>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80" w:name="_Toc21473"/>
      <w:r>
        <w:rPr>
          <w:rFonts w:hint="eastAsia"/>
          <w:lang w:eastAsia="zh-CN"/>
        </w:rPr>
        <w:t>第四节</w:t>
      </w:r>
      <w:r>
        <w:rPr>
          <w:rFonts w:hint="eastAsia"/>
          <w:lang w:val="en-US" w:eastAsia="zh-CN"/>
        </w:rPr>
        <w:t xml:space="preserve"> </w:t>
      </w:r>
      <w:r>
        <w:rPr>
          <w:rFonts w:hint="eastAsia"/>
          <w:lang w:eastAsia="zh-CN"/>
        </w:rPr>
        <w:t>深化大气污染防治，提升大气环境质量</w:t>
      </w:r>
      <w:bookmarkEnd w:id="80"/>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强化多污染物协同控制和区域协同治理，加强细颗粒物和臭氧协同控制，基本消除重污染天气。以改善大气环境质量为核心，坚持问题导向与目标引领，全力突破制约环境空气质量改善瓶颈问题，切实推进能源结构调整，探索交通运输结构优化，强化重点行业排污时空分布特征实施精准治理，加强大气污染成因解析，强化</w:t>
      </w:r>
      <w:r>
        <w:rPr>
          <w:rFonts w:hint="eastAsia" w:ascii="仿宋" w:hAnsi="仿宋" w:eastAsia="仿宋" w:cs="仿宋"/>
          <w:sz w:val="30"/>
          <w:szCs w:val="30"/>
          <w:lang w:val="en-US" w:eastAsia="zh-CN"/>
        </w:rPr>
        <w:t>PM</w:t>
      </w:r>
      <w:r>
        <w:rPr>
          <w:rFonts w:hint="eastAsia" w:ascii="仿宋" w:hAnsi="仿宋" w:eastAsia="仿宋" w:cs="仿宋"/>
          <w:sz w:val="30"/>
          <w:szCs w:val="30"/>
          <w:vertAlign w:val="subscript"/>
          <w:lang w:val="en-US" w:eastAsia="zh-CN"/>
        </w:rPr>
        <w:t>2.5</w:t>
      </w:r>
      <w:r>
        <w:rPr>
          <w:rFonts w:hint="eastAsia" w:ascii="仿宋" w:hAnsi="仿宋" w:eastAsia="仿宋" w:cs="仿宋"/>
          <w:sz w:val="30"/>
          <w:szCs w:val="30"/>
        </w:rPr>
        <w:t>与</w:t>
      </w:r>
      <w:r>
        <w:rPr>
          <w:rFonts w:hint="eastAsia" w:ascii="仿宋" w:hAnsi="仿宋" w:eastAsia="仿宋" w:cs="仿宋"/>
          <w:sz w:val="30"/>
          <w:szCs w:val="30"/>
          <w:lang w:val="en-US" w:eastAsia="zh-CN"/>
        </w:rPr>
        <w:t>O</w:t>
      </w:r>
      <w:r>
        <w:rPr>
          <w:rFonts w:hint="eastAsia" w:ascii="仿宋" w:hAnsi="仿宋" w:eastAsia="仿宋" w:cs="仿宋"/>
          <w:sz w:val="30"/>
          <w:szCs w:val="30"/>
          <w:vertAlign w:val="subscript"/>
          <w:lang w:val="en-US" w:eastAsia="zh-CN"/>
        </w:rPr>
        <w:t>3</w:t>
      </w:r>
      <w:r>
        <w:rPr>
          <w:rFonts w:hint="eastAsia" w:ascii="仿宋" w:hAnsi="仿宋" w:eastAsia="仿宋" w:cs="仿宋"/>
          <w:sz w:val="30"/>
          <w:szCs w:val="30"/>
        </w:rPr>
        <w:t>的协同控制及温室气体协同减排，推进大气环境管理体系和治理能力现代化进程。</w:t>
      </w:r>
    </w:p>
    <w:p>
      <w:pPr>
        <w:pStyle w:val="5"/>
        <w:bidi w:val="0"/>
        <w:ind w:firstLine="602" w:firstLineChars="200"/>
        <w:rPr>
          <w:rFonts w:hint="eastAsia" w:ascii="仿宋" w:hAnsi="仿宋" w:eastAsia="仿宋" w:cs="仿宋"/>
          <w:sz w:val="30"/>
          <w:szCs w:val="30"/>
          <w:lang w:val="en-US" w:eastAsia="zh-CN"/>
        </w:rPr>
      </w:pPr>
      <w:bookmarkStart w:id="81" w:name="_Toc17574"/>
      <w:bookmarkStart w:id="82" w:name="_Toc13756"/>
      <w:bookmarkStart w:id="83" w:name="_Toc10166"/>
      <w:bookmarkStart w:id="84" w:name="_Toc30577"/>
      <w:r>
        <w:rPr>
          <w:rFonts w:hint="eastAsia" w:ascii="仿宋" w:hAnsi="仿宋" w:eastAsia="仿宋" w:cs="仿宋"/>
          <w:sz w:val="30"/>
          <w:szCs w:val="30"/>
          <w:lang w:eastAsia="zh-CN"/>
        </w:rPr>
        <w:t>一、</w:t>
      </w:r>
      <w:r>
        <w:rPr>
          <w:rFonts w:hint="eastAsia" w:ascii="仿宋" w:hAnsi="仿宋" w:eastAsia="仿宋" w:cs="仿宋"/>
          <w:sz w:val="30"/>
          <w:szCs w:val="30"/>
        </w:rPr>
        <w:t>精准防控大气污染</w:t>
      </w:r>
      <w:bookmarkEnd w:id="81"/>
      <w:bookmarkEnd w:id="82"/>
      <w:bookmarkEnd w:id="83"/>
      <w:bookmarkEnd w:id="84"/>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完善大气污染监管机制。</w:t>
      </w:r>
      <w:r>
        <w:rPr>
          <w:rFonts w:hint="eastAsia" w:ascii="仿宋" w:hAnsi="仿宋" w:eastAsia="仿宋" w:cs="仿宋"/>
          <w:sz w:val="30"/>
          <w:szCs w:val="30"/>
          <w:lang w:val="en-US" w:eastAsia="zh-CN"/>
        </w:rPr>
        <w:t>编制大气环境质量限期达标规划，向社会公开空气质量达标路线图及污染防治重点任务，建立大气环境质量监测与污染源监测联动机制，增强环境空气质量预测预警能力建设，配合鞍山市生态环境主管部门建立大气污染源解析和污染源清单等工作，实现污染源精准管控。完善区域联防联控机制，健全联合执法信息共享机制与平台，实现监管数据共享、互联、互通，协同落实大气污染控制对策，建立大气污染闭环式过程控制管理，2025年实现大气环境质量全面达标。</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健全重污染天气应对机制。</w:t>
      </w:r>
      <w:r>
        <w:rPr>
          <w:rFonts w:hint="eastAsia" w:ascii="仿宋" w:hAnsi="仿宋" w:eastAsia="仿宋" w:cs="仿宋"/>
          <w:sz w:val="30"/>
          <w:szCs w:val="30"/>
          <w:lang w:val="zh-CN" w:eastAsia="zh-CN"/>
        </w:rPr>
        <w:t>严格落实重污染天气应急预案。</w:t>
      </w:r>
      <w:r>
        <w:rPr>
          <w:rFonts w:hint="eastAsia" w:ascii="仿宋" w:hAnsi="仿宋" w:eastAsia="仿宋" w:cs="仿宋"/>
          <w:sz w:val="30"/>
          <w:szCs w:val="30"/>
          <w:lang w:val="en-US" w:eastAsia="zh-CN"/>
        </w:rPr>
        <w:t>健全与市级应急预案的衔接，强化县区、企业应急预案与市级应急预案的对接。完善重污染天气预警应急启动、响应和解除机制，定期完善全县重污染天气</w:t>
      </w:r>
      <w:r>
        <w:rPr>
          <w:rFonts w:hint="eastAsia" w:ascii="仿宋" w:hAnsi="仿宋" w:eastAsia="仿宋" w:cs="仿宋"/>
          <w:sz w:val="30"/>
          <w:szCs w:val="30"/>
          <w:lang w:val="zh-CN" w:eastAsia="zh-CN"/>
        </w:rPr>
        <w:t>应急预案，每年</w:t>
      </w:r>
      <w:r>
        <w:rPr>
          <w:rFonts w:hint="eastAsia" w:ascii="仿宋" w:hAnsi="仿宋" w:eastAsia="仿宋" w:cs="仿宋"/>
          <w:sz w:val="30"/>
          <w:szCs w:val="30"/>
          <w:lang w:val="en-US" w:eastAsia="zh-CN"/>
        </w:rPr>
        <w:t>更新重污染天气重点行业企业应急减排名单</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强化监督与效果评估，保障应急措施落实与完善。</w:t>
      </w:r>
    </w:p>
    <w:p>
      <w:pPr>
        <w:pStyle w:val="5"/>
        <w:bidi w:val="0"/>
        <w:ind w:firstLine="602" w:firstLineChars="200"/>
        <w:rPr>
          <w:rFonts w:hint="eastAsia" w:ascii="仿宋" w:hAnsi="仿宋" w:eastAsia="仿宋" w:cs="仿宋"/>
          <w:sz w:val="30"/>
          <w:szCs w:val="30"/>
          <w:lang w:val="en-US" w:eastAsia="zh-CN"/>
        </w:rPr>
      </w:pPr>
      <w:bookmarkStart w:id="85" w:name="_Toc2063"/>
      <w:bookmarkStart w:id="86" w:name="_Toc20228"/>
      <w:bookmarkStart w:id="87" w:name="_Toc6913"/>
      <w:bookmarkStart w:id="88" w:name="_Toc31449"/>
      <w:r>
        <w:rPr>
          <w:rFonts w:hint="eastAsia" w:ascii="仿宋" w:hAnsi="仿宋" w:eastAsia="仿宋" w:cs="仿宋"/>
          <w:sz w:val="30"/>
          <w:szCs w:val="30"/>
          <w:lang w:val="zh-CN" w:eastAsia="zh-CN"/>
        </w:rPr>
        <w:t>二、深化固定源治理</w:t>
      </w:r>
      <w:bookmarkEnd w:id="85"/>
      <w:bookmarkEnd w:id="86"/>
      <w:bookmarkEnd w:id="87"/>
      <w:bookmarkEnd w:id="88"/>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zh-CN" w:eastAsia="zh-CN"/>
        </w:rPr>
        <w:t>强化燃煤锅炉与散煤治理。</w:t>
      </w:r>
      <w:r>
        <w:rPr>
          <w:rFonts w:hint="eastAsia" w:ascii="仿宋" w:hAnsi="仿宋" w:eastAsia="仿宋" w:cs="仿宋"/>
          <w:sz w:val="30"/>
          <w:szCs w:val="30"/>
          <w:lang w:val="zh-CN" w:eastAsia="zh-CN"/>
        </w:rPr>
        <w:t>开展20吨以上燃煤锅炉全面排查，淘汰关停</w:t>
      </w:r>
      <w:r>
        <w:rPr>
          <w:rFonts w:hint="eastAsia" w:ascii="仿宋" w:hAnsi="仿宋" w:eastAsia="仿宋" w:cs="仿宋"/>
          <w:sz w:val="30"/>
          <w:szCs w:val="30"/>
          <w:lang w:val="en-US" w:eastAsia="zh-CN"/>
        </w:rPr>
        <w:t>安全、节能、环保不达标的</w:t>
      </w:r>
      <w:r>
        <w:rPr>
          <w:rFonts w:hint="eastAsia" w:ascii="仿宋" w:hAnsi="仿宋" w:eastAsia="仿宋" w:cs="仿宋"/>
          <w:sz w:val="30"/>
          <w:szCs w:val="30"/>
          <w:lang w:val="zh-CN" w:eastAsia="zh-CN"/>
        </w:rPr>
        <w:t>30万千瓦以下不达标燃煤机组，全面实现燃煤锅炉污染物达标排放。关停整合县域建成区热电联产电厂、集中热源厂供暖辐射范围内的燃煤小锅炉，逐步取消分散燃煤锅炉，严控新建燃煤锅炉，推动</w:t>
      </w:r>
      <w:r>
        <w:rPr>
          <w:rFonts w:hint="eastAsia" w:ascii="仿宋" w:hAnsi="仿宋" w:eastAsia="仿宋" w:cs="仿宋"/>
          <w:sz w:val="30"/>
          <w:szCs w:val="30"/>
          <w:lang w:val="en-US" w:eastAsia="zh-CN"/>
        </w:rPr>
        <w:t>燃煤锅炉执行大气污染物特别排放限值</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全面推进清洁供暖，坚持宜电则电、宜气则气、宜煤则煤、宜热则热原则，结合具体条件实施电能替代、天然气替代、集中供热替代、新能源替代及型煤替代等，加强供热热源和配套管网建设。2024年，县域建成区清洁取暖率达到90%。</w:t>
      </w:r>
    </w:p>
    <w:p>
      <w:pPr>
        <w:bidi w:val="0"/>
        <w:spacing w:line="360" w:lineRule="auto"/>
        <w:ind w:firstLine="602" w:firstLineChars="200"/>
        <w:rPr>
          <w:rFonts w:hint="eastAsia" w:ascii="仿宋" w:hAnsi="仿宋" w:eastAsia="仿宋" w:cs="仿宋"/>
          <w:color w:val="auto"/>
          <w:sz w:val="30"/>
          <w:szCs w:val="30"/>
          <w:lang w:val="zh-CN" w:eastAsia="zh-CN"/>
        </w:rPr>
      </w:pPr>
      <w:r>
        <w:rPr>
          <w:rFonts w:hint="eastAsia" w:ascii="仿宋" w:hAnsi="仿宋" w:eastAsia="仿宋" w:cs="仿宋"/>
          <w:b/>
          <w:bCs/>
          <w:sz w:val="30"/>
          <w:szCs w:val="30"/>
          <w:lang w:val="zh-CN" w:eastAsia="zh-CN"/>
        </w:rPr>
        <w:t>深度治理工业炉窑与“散乱污”企业。</w:t>
      </w:r>
      <w:r>
        <w:rPr>
          <w:rFonts w:hint="eastAsia" w:ascii="仿宋" w:hAnsi="仿宋" w:eastAsia="仿宋" w:cs="仿宋"/>
          <w:sz w:val="30"/>
          <w:szCs w:val="30"/>
          <w:lang w:val="zh-CN" w:eastAsia="zh-CN"/>
        </w:rPr>
        <w:t>按照“淘汰一批、替代一</w:t>
      </w:r>
      <w:r>
        <w:rPr>
          <w:rFonts w:hint="eastAsia" w:ascii="仿宋" w:hAnsi="仿宋" w:eastAsia="仿宋" w:cs="仿宋"/>
          <w:color w:val="auto"/>
          <w:sz w:val="30"/>
          <w:szCs w:val="30"/>
          <w:lang w:val="zh-CN" w:eastAsia="zh-CN"/>
        </w:rPr>
        <w:t>批、治理一批”的原则，坚持“突出重点、分类施策”，</w:t>
      </w:r>
      <w:r>
        <w:rPr>
          <w:rFonts w:hint="eastAsia" w:ascii="仿宋" w:hAnsi="仿宋" w:eastAsia="仿宋" w:cs="仿宋"/>
          <w:color w:val="auto"/>
          <w:sz w:val="30"/>
          <w:szCs w:val="30"/>
          <w:lang w:val="en-US" w:eastAsia="zh-CN"/>
        </w:rPr>
        <w:t>推动工业炉窑全面实现污染物达标排放。鼓励工业炉窑使用电、天然气、煤气等清洁能源，加强物料储存、输送及生产工艺过程无组织排放治理。</w:t>
      </w:r>
      <w:r>
        <w:rPr>
          <w:rFonts w:hint="eastAsia" w:ascii="仿宋" w:hAnsi="仿宋" w:eastAsia="仿宋" w:cs="仿宋"/>
          <w:color w:val="auto"/>
          <w:sz w:val="30"/>
          <w:szCs w:val="30"/>
          <w:lang w:val="zh-CN" w:eastAsia="zh-CN"/>
        </w:rPr>
        <w:t>全面排查“散乱污”企业，加大“散乱污”企业整治力度，确保整治到位。</w:t>
      </w:r>
    </w:p>
    <w:p>
      <w:pPr>
        <w:bidi w:val="0"/>
        <w:spacing w:line="360" w:lineRule="auto"/>
        <w:ind w:firstLine="600" w:firstLineChars="200"/>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全面实施超低排放。全面实施钢铁、焦化、水泥等行业超低排放，重点推动钢铁行业超低排放，将自动监测数据作为执法依据，加大超标处罚和联合整治力度。2023年底前全面完成钢铁行业超低排放。</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color w:val="auto"/>
          <w:sz w:val="30"/>
          <w:szCs w:val="30"/>
          <w:lang w:val="en-US" w:eastAsia="zh-CN"/>
        </w:rPr>
        <w:t>推进重点行业氮氧化物与挥发性有机物治理。</w:t>
      </w:r>
      <w:r>
        <w:rPr>
          <w:rFonts w:hint="eastAsia" w:ascii="仿宋" w:hAnsi="仿宋" w:eastAsia="仿宋" w:cs="仿宋"/>
          <w:color w:val="auto"/>
          <w:sz w:val="30"/>
          <w:szCs w:val="30"/>
          <w:lang w:val="zh-CN" w:eastAsia="zh-CN"/>
        </w:rPr>
        <w:t>推进钢铁、有色等重点行业企业氮氧化物治理，</w:t>
      </w:r>
      <w:r>
        <w:rPr>
          <w:rFonts w:hint="eastAsia" w:ascii="仿宋" w:hAnsi="仿宋" w:eastAsia="仿宋" w:cs="仿宋"/>
          <w:color w:val="auto"/>
          <w:sz w:val="30"/>
          <w:szCs w:val="30"/>
          <w:lang w:val="en-US" w:eastAsia="zh-CN"/>
        </w:rPr>
        <w:t>针对</w:t>
      </w:r>
      <w:r>
        <w:rPr>
          <w:rFonts w:hint="eastAsia" w:ascii="仿宋" w:hAnsi="仿宋" w:eastAsia="仿宋" w:cs="仿宋"/>
          <w:color w:val="auto"/>
          <w:sz w:val="30"/>
          <w:szCs w:val="30"/>
          <w:lang w:val="zh-CN" w:eastAsia="zh-CN"/>
        </w:rPr>
        <w:t>石化、化工、金</w:t>
      </w:r>
      <w:r>
        <w:rPr>
          <w:rFonts w:hint="eastAsia" w:ascii="仿宋" w:hAnsi="仿宋" w:eastAsia="仿宋" w:cs="仿宋"/>
          <w:sz w:val="30"/>
          <w:szCs w:val="30"/>
          <w:lang w:val="zh-CN" w:eastAsia="zh-CN"/>
        </w:rPr>
        <w:t>属表面处理和加工、涂装、有机化学原料制造、</w:t>
      </w:r>
      <w:r>
        <w:rPr>
          <w:rFonts w:hint="eastAsia" w:ascii="仿宋" w:hAnsi="仿宋" w:eastAsia="仿宋" w:cs="仿宋"/>
          <w:sz w:val="30"/>
          <w:szCs w:val="30"/>
          <w:lang w:val="en-US" w:eastAsia="zh-CN"/>
        </w:rPr>
        <w:t>包装印刷、橡胶制品、油品储运销等重点行业VOC</w:t>
      </w:r>
      <w:r>
        <w:rPr>
          <w:rFonts w:hint="eastAsia" w:ascii="仿宋" w:hAnsi="仿宋" w:eastAsia="仿宋" w:cs="仿宋"/>
          <w:sz w:val="30"/>
          <w:szCs w:val="30"/>
          <w:vertAlign w:val="subscript"/>
          <w:lang w:val="en-US" w:eastAsia="zh-CN"/>
        </w:rPr>
        <w:t>S</w:t>
      </w:r>
      <w:r>
        <w:rPr>
          <w:rFonts w:hint="eastAsia" w:ascii="仿宋" w:hAnsi="仿宋" w:eastAsia="仿宋" w:cs="仿宋"/>
          <w:sz w:val="30"/>
          <w:szCs w:val="30"/>
          <w:lang w:val="en-US" w:eastAsia="zh-CN"/>
        </w:rPr>
        <w:t>排放，开展监测、排查、源头调整、治理、管控等全过程精细化管理，建立污染源整治清单，重点对石化、化工企业进行管控，将VOC</w:t>
      </w:r>
      <w:r>
        <w:rPr>
          <w:rFonts w:hint="eastAsia" w:ascii="仿宋" w:hAnsi="仿宋" w:eastAsia="仿宋" w:cs="仿宋"/>
          <w:sz w:val="30"/>
          <w:szCs w:val="30"/>
          <w:vertAlign w:val="subscript"/>
          <w:lang w:val="en-US" w:eastAsia="zh-CN"/>
        </w:rPr>
        <w:t>S</w:t>
      </w:r>
      <w:r>
        <w:rPr>
          <w:rFonts w:hint="eastAsia" w:ascii="仿宋" w:hAnsi="仿宋" w:eastAsia="仿宋" w:cs="仿宋"/>
          <w:sz w:val="30"/>
          <w:szCs w:val="30"/>
          <w:lang w:val="en-US" w:eastAsia="zh-CN"/>
        </w:rPr>
        <w:t>监测纳入企业自行监测指标。建立重点企业 VOC</w:t>
      </w:r>
      <w:r>
        <w:rPr>
          <w:rFonts w:hint="eastAsia" w:ascii="仿宋" w:hAnsi="仿宋" w:eastAsia="仿宋" w:cs="仿宋"/>
          <w:sz w:val="30"/>
          <w:szCs w:val="30"/>
          <w:vertAlign w:val="subscript"/>
          <w:lang w:val="en-US" w:eastAsia="zh-CN"/>
        </w:rPr>
        <w:t>S</w:t>
      </w:r>
      <w:r>
        <w:rPr>
          <w:rFonts w:hint="eastAsia" w:ascii="仿宋" w:hAnsi="仿宋" w:eastAsia="仿宋" w:cs="仿宋"/>
          <w:sz w:val="30"/>
          <w:szCs w:val="30"/>
          <w:lang w:val="en-US" w:eastAsia="zh-CN"/>
        </w:rPr>
        <w:t>治理“一厂一策”，按《挥发性有机物无组织排放控制标准》，对现有工业企业 VOC</w:t>
      </w:r>
      <w:r>
        <w:rPr>
          <w:rFonts w:hint="eastAsia" w:ascii="仿宋" w:hAnsi="仿宋" w:eastAsia="仿宋" w:cs="仿宋"/>
          <w:sz w:val="30"/>
          <w:szCs w:val="30"/>
          <w:vertAlign w:val="subscript"/>
          <w:lang w:val="en-US" w:eastAsia="zh-CN"/>
        </w:rPr>
        <w:t>S</w:t>
      </w:r>
      <w:r>
        <w:rPr>
          <w:rFonts w:hint="eastAsia" w:ascii="仿宋" w:hAnsi="仿宋" w:eastAsia="仿宋" w:cs="仿宋"/>
          <w:sz w:val="30"/>
          <w:szCs w:val="30"/>
          <w:lang w:val="en-US" w:eastAsia="zh-CN"/>
        </w:rPr>
        <w:t>治理设施进行评估，对采用低效治理技术的企业进行升级改造。利用在线监测、抽查监督监测等方式加强重点企业、重点工业园区监管，深化</w:t>
      </w:r>
      <w:r>
        <w:rPr>
          <w:rFonts w:hint="eastAsia" w:ascii="仿宋" w:hAnsi="仿宋" w:eastAsia="仿宋" w:cs="仿宋"/>
          <w:sz w:val="30"/>
          <w:szCs w:val="30"/>
          <w:lang w:val="zh-CN" w:eastAsia="zh-CN"/>
        </w:rPr>
        <w:t>挥发性有机物（</w:t>
      </w:r>
      <w:r>
        <w:rPr>
          <w:rFonts w:hint="eastAsia" w:ascii="仿宋" w:hAnsi="仿宋" w:eastAsia="仿宋" w:cs="仿宋"/>
          <w:sz w:val="30"/>
          <w:szCs w:val="30"/>
          <w:lang w:val="en-US" w:eastAsia="zh-CN"/>
        </w:rPr>
        <w:t>VOC</w:t>
      </w:r>
      <w:r>
        <w:rPr>
          <w:rFonts w:hint="eastAsia" w:ascii="仿宋" w:hAnsi="仿宋" w:eastAsia="仿宋" w:cs="仿宋"/>
          <w:sz w:val="30"/>
          <w:szCs w:val="30"/>
          <w:vertAlign w:val="subscript"/>
          <w:lang w:val="en-US" w:eastAsia="zh-CN"/>
        </w:rPr>
        <w:t>S</w:t>
      </w:r>
      <w:r>
        <w:rPr>
          <w:rFonts w:hint="eastAsia" w:ascii="仿宋" w:hAnsi="仿宋" w:eastAsia="仿宋" w:cs="仿宋"/>
          <w:sz w:val="30"/>
          <w:szCs w:val="30"/>
          <w:lang w:val="zh-CN" w:eastAsia="zh-CN"/>
        </w:rPr>
        <w:t>）治理。</w:t>
      </w:r>
    </w:p>
    <w:p>
      <w:pPr>
        <w:pStyle w:val="5"/>
        <w:bidi w:val="0"/>
        <w:ind w:firstLine="602" w:firstLineChars="200"/>
        <w:rPr>
          <w:rFonts w:hint="eastAsia" w:ascii="仿宋" w:hAnsi="仿宋" w:eastAsia="仿宋" w:cs="仿宋"/>
          <w:sz w:val="30"/>
          <w:szCs w:val="30"/>
          <w:lang w:val="zh-CN"/>
        </w:rPr>
      </w:pPr>
      <w:bookmarkStart w:id="89" w:name="_Toc1980"/>
      <w:bookmarkStart w:id="90" w:name="_Toc25704"/>
      <w:bookmarkStart w:id="91" w:name="_Toc15520"/>
      <w:bookmarkStart w:id="92" w:name="_Toc8971"/>
      <w:r>
        <w:rPr>
          <w:rFonts w:hint="eastAsia" w:ascii="仿宋" w:hAnsi="仿宋" w:eastAsia="仿宋" w:cs="仿宋"/>
          <w:sz w:val="30"/>
          <w:szCs w:val="30"/>
          <w:lang w:val="zh-CN" w:eastAsia="zh-CN"/>
        </w:rPr>
        <w:t>三、强化</w:t>
      </w:r>
      <w:r>
        <w:rPr>
          <w:rFonts w:hint="eastAsia" w:ascii="仿宋" w:hAnsi="仿宋" w:eastAsia="仿宋" w:cs="仿宋"/>
          <w:sz w:val="30"/>
          <w:szCs w:val="30"/>
          <w:lang w:val="zh-CN"/>
        </w:rPr>
        <w:t>移动源监管</w:t>
      </w:r>
      <w:bookmarkEnd w:id="89"/>
      <w:bookmarkEnd w:id="90"/>
      <w:bookmarkEnd w:id="91"/>
      <w:bookmarkEnd w:id="92"/>
    </w:p>
    <w:p>
      <w:pPr>
        <w:bidi w:val="0"/>
        <w:spacing w:line="360" w:lineRule="auto"/>
        <w:ind w:firstLine="600" w:firstLineChars="200"/>
        <w:rPr>
          <w:rFonts w:hint="eastAsia" w:ascii="仿宋" w:hAnsi="仿宋" w:eastAsia="仿宋" w:cs="仿宋"/>
          <w:sz w:val="30"/>
          <w:szCs w:val="30"/>
          <w:lang w:val="zh-CN" w:eastAsia="zh-CN"/>
        </w:rPr>
      </w:pPr>
      <w:r>
        <w:rPr>
          <w:rFonts w:hint="eastAsia" w:ascii="仿宋" w:hAnsi="仿宋" w:eastAsia="仿宋" w:cs="仿宋"/>
          <w:sz w:val="30"/>
          <w:szCs w:val="30"/>
          <w:lang w:val="zh-CN" w:eastAsia="zh-CN"/>
        </w:rPr>
        <w:t>完善在用车检测维护制度，</w:t>
      </w:r>
      <w:r>
        <w:rPr>
          <w:rFonts w:hint="eastAsia" w:ascii="仿宋" w:hAnsi="仿宋" w:eastAsia="仿宋" w:cs="仿宋"/>
          <w:sz w:val="30"/>
          <w:szCs w:val="30"/>
          <w:lang w:val="en-US" w:eastAsia="zh-CN"/>
        </w:rPr>
        <w:t>逐步执行国VI汽、柴油标准。</w:t>
      </w:r>
      <w:r>
        <w:rPr>
          <w:rFonts w:hint="eastAsia" w:ascii="仿宋" w:hAnsi="仿宋" w:eastAsia="仿宋" w:cs="仿宋"/>
          <w:sz w:val="30"/>
          <w:szCs w:val="30"/>
          <w:lang w:val="zh-CN" w:eastAsia="zh-CN"/>
        </w:rPr>
        <w:t>建立柴油车和非道路移动机械远程在线监控系统建设，完善“一车一档”，</w:t>
      </w:r>
      <w:r>
        <w:rPr>
          <w:rFonts w:hint="eastAsia" w:ascii="仿宋" w:hAnsi="仿宋" w:eastAsia="仿宋" w:cs="仿宋"/>
          <w:sz w:val="30"/>
          <w:szCs w:val="30"/>
          <w:lang w:val="en-US" w:eastAsia="zh-CN"/>
        </w:rPr>
        <w:t>应用机动车遥感监测、抓拍黑烟车数据。开展新生产机动车、发动机、非道路移动机械监督检查，主要车（机）型系族年度抽检率达到 80%以上，柴油车检测线现场检查全覆盖，柴油货车监督抽测比例不低于保有量的50%。非道路移动机械监督抽测比例不低于 10%，</w:t>
      </w:r>
      <w:r>
        <w:rPr>
          <w:rFonts w:hint="eastAsia" w:ascii="仿宋" w:hAnsi="仿宋" w:eastAsia="仿宋" w:cs="仿宋"/>
          <w:sz w:val="30"/>
          <w:szCs w:val="30"/>
          <w:lang w:val="zh-CN" w:eastAsia="zh-CN"/>
        </w:rPr>
        <w:t>加速淘汰国三及以下营运柴油货车。</w:t>
      </w:r>
    </w:p>
    <w:p>
      <w:pPr>
        <w:pStyle w:val="5"/>
        <w:bidi w:val="0"/>
        <w:ind w:firstLine="602" w:firstLineChars="200"/>
        <w:rPr>
          <w:rFonts w:hint="eastAsia" w:ascii="仿宋" w:hAnsi="仿宋" w:eastAsia="仿宋" w:cs="仿宋"/>
          <w:sz w:val="30"/>
          <w:szCs w:val="30"/>
          <w:lang w:val="en-US" w:eastAsia="zh-CN"/>
        </w:rPr>
      </w:pPr>
      <w:bookmarkStart w:id="93" w:name="_Toc68"/>
      <w:bookmarkStart w:id="94" w:name="_Toc5983"/>
      <w:bookmarkStart w:id="95" w:name="_Toc2999"/>
      <w:bookmarkStart w:id="96" w:name="_Toc23846"/>
      <w:r>
        <w:rPr>
          <w:rFonts w:hint="eastAsia" w:ascii="仿宋" w:hAnsi="仿宋" w:eastAsia="仿宋" w:cs="仿宋"/>
          <w:sz w:val="30"/>
          <w:szCs w:val="30"/>
          <w:lang w:val="zh-CN" w:eastAsia="zh-CN"/>
        </w:rPr>
        <w:t>四、全面加强面源管控</w:t>
      </w:r>
      <w:bookmarkEnd w:id="93"/>
      <w:bookmarkEnd w:id="94"/>
      <w:bookmarkEnd w:id="95"/>
      <w:bookmarkEnd w:id="96"/>
    </w:p>
    <w:p>
      <w:pPr>
        <w:bidi w:val="0"/>
        <w:spacing w:line="360" w:lineRule="auto"/>
        <w:ind w:firstLine="602" w:firstLineChars="200"/>
        <w:rPr>
          <w:rFonts w:hint="eastAsia" w:ascii="仿宋" w:hAnsi="仿宋" w:eastAsia="仿宋" w:cs="仿宋"/>
          <w:color w:val="000000" w:themeColor="text1"/>
          <w:sz w:val="30"/>
          <w:szCs w:val="30"/>
          <w:lang w:val="zh-CN" w:eastAsia="zh-CN"/>
          <w14:textFill>
            <w14:solidFill>
              <w14:schemeClr w14:val="tx1"/>
            </w14:solidFill>
          </w14:textFill>
        </w:rPr>
      </w:pPr>
      <w:r>
        <w:rPr>
          <w:rFonts w:hint="eastAsia" w:ascii="仿宋" w:hAnsi="仿宋" w:eastAsia="仿宋" w:cs="仿宋"/>
          <w:b/>
          <w:bCs/>
          <w:sz w:val="30"/>
          <w:szCs w:val="30"/>
          <w:lang w:val="zh-CN" w:eastAsia="zh-CN"/>
        </w:rPr>
        <w:t>强化扬尘管控。</w:t>
      </w:r>
      <w:r>
        <w:rPr>
          <w:rFonts w:hint="eastAsia" w:ascii="仿宋" w:hAnsi="仿宋" w:eastAsia="仿宋" w:cs="仿宋"/>
          <w:sz w:val="30"/>
          <w:szCs w:val="30"/>
          <w:lang w:val="en-US" w:eastAsia="zh-CN"/>
        </w:rPr>
        <w:t>实施网格化降尘量监测考核，</w:t>
      </w:r>
      <w:r>
        <w:rPr>
          <w:rFonts w:hint="eastAsia" w:ascii="仿宋" w:hAnsi="仿宋" w:eastAsia="仿宋" w:cs="仿宋"/>
          <w:sz w:val="30"/>
          <w:szCs w:val="30"/>
          <w:lang w:val="zh-CN" w:eastAsia="zh-CN"/>
        </w:rPr>
        <w:t>严格落实建筑工地“六个百分百”，加大对各乡镇（街道）、开发区扬尘专项整治行</w:t>
      </w:r>
      <w:r>
        <w:rPr>
          <w:rFonts w:hint="eastAsia" w:ascii="仿宋" w:hAnsi="仿宋" w:eastAsia="仿宋" w:cs="仿宋"/>
          <w:color w:val="000000" w:themeColor="text1"/>
          <w:sz w:val="30"/>
          <w:szCs w:val="30"/>
          <w:lang w:val="zh-CN" w:eastAsia="zh-CN"/>
          <w14:textFill>
            <w14:solidFill>
              <w14:schemeClr w14:val="tx1"/>
            </w14:solidFill>
          </w14:textFill>
        </w:rPr>
        <w:t>动督促指导力度。县城道路低尘机械化</w:t>
      </w:r>
      <w:r>
        <w:rPr>
          <w:rFonts w:hint="eastAsia" w:ascii="仿宋" w:hAnsi="仿宋" w:eastAsia="仿宋" w:cs="仿宋"/>
          <w:color w:val="000000" w:themeColor="text1"/>
          <w:sz w:val="30"/>
          <w:szCs w:val="30"/>
          <w:lang w:val="en-US" w:eastAsia="zh-CN"/>
          <w14:textFill>
            <w14:solidFill>
              <w14:schemeClr w14:val="tx1"/>
            </w14:solidFill>
          </w14:textFill>
        </w:rPr>
        <w:t>湿式清扫</w:t>
      </w:r>
      <w:r>
        <w:rPr>
          <w:rFonts w:hint="eastAsia" w:ascii="仿宋" w:hAnsi="仿宋" w:eastAsia="仿宋" w:cs="仿宋"/>
          <w:color w:val="000000" w:themeColor="text1"/>
          <w:sz w:val="30"/>
          <w:szCs w:val="30"/>
          <w:lang w:val="zh-CN" w:eastAsia="zh-CN"/>
          <w14:textFill>
            <w14:solidFill>
              <w14:schemeClr w14:val="tx1"/>
            </w14:solidFill>
          </w14:textFill>
        </w:rPr>
        <w:t>率稳定达到85%以上</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lang w:val="zh-CN" w:eastAsia="zh-CN"/>
          <w14:textFill>
            <w14:solidFill>
              <w14:schemeClr w14:val="tx1"/>
            </w14:solidFill>
          </w14:textFill>
        </w:rPr>
        <w:t>加大对矿山运输车辆、运输道路、矿物加工等扬尘防治，</w:t>
      </w:r>
      <w:r>
        <w:rPr>
          <w:rFonts w:hint="eastAsia" w:ascii="仿宋" w:hAnsi="仿宋" w:eastAsia="仿宋" w:cs="仿宋"/>
          <w:color w:val="000000" w:themeColor="text1"/>
          <w:sz w:val="30"/>
          <w:szCs w:val="30"/>
          <w:lang w:val="en-US" w:eastAsia="zh-CN"/>
          <w14:textFill>
            <w14:solidFill>
              <w14:schemeClr w14:val="tx1"/>
            </w14:solidFill>
          </w14:textFill>
        </w:rPr>
        <w:t>推进绿色矿山建设，</w:t>
      </w:r>
      <w:r>
        <w:rPr>
          <w:rFonts w:hint="eastAsia" w:ascii="仿宋" w:hAnsi="仿宋" w:eastAsia="仿宋" w:cs="仿宋"/>
          <w:color w:val="000000" w:themeColor="text1"/>
          <w:sz w:val="30"/>
          <w:szCs w:val="30"/>
          <w:lang w:val="zh-CN" w:eastAsia="zh-CN"/>
          <w14:textFill>
            <w14:solidFill>
              <w14:schemeClr w14:val="tx1"/>
            </w14:solidFill>
          </w14:textFill>
        </w:rPr>
        <w:t>彻底取缔占道经营砂石物料</w:t>
      </w:r>
      <w:r>
        <w:rPr>
          <w:rFonts w:hint="eastAsia" w:ascii="仿宋" w:hAnsi="仿宋" w:eastAsia="仿宋" w:cs="仿宋"/>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lang w:val="zh-CN" w:eastAsia="zh-CN"/>
          <w14:textFill>
            <w14:solidFill>
              <w14:schemeClr w14:val="tx1"/>
            </w14:solidFill>
          </w14:textFill>
        </w:rPr>
        <w:t>严厉查处车辆遗撒行为。全面开展县域建成区裸露土地排查，争取实现城市裸露土地绿化全覆盖，</w:t>
      </w:r>
      <w:r>
        <w:rPr>
          <w:rFonts w:hint="eastAsia" w:ascii="仿宋" w:hAnsi="仿宋" w:eastAsia="仿宋" w:cs="仿宋"/>
          <w:color w:val="000000" w:themeColor="text1"/>
          <w:sz w:val="30"/>
          <w:szCs w:val="30"/>
          <w:lang w:val="en-US" w:eastAsia="zh-CN"/>
          <w14:textFill>
            <w14:solidFill>
              <w14:schemeClr w14:val="tx1"/>
            </w14:solidFill>
          </w14:textFill>
        </w:rPr>
        <w:t>2024年底前通过卫星遥感全面识别监控。</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zh-CN" w:eastAsia="zh-CN"/>
        </w:rPr>
        <w:t>严禁秸秆焚烧。</w:t>
      </w:r>
      <w:r>
        <w:rPr>
          <w:rFonts w:hint="eastAsia" w:ascii="仿宋" w:hAnsi="仿宋" w:eastAsia="仿宋" w:cs="仿宋"/>
          <w:sz w:val="30"/>
          <w:szCs w:val="30"/>
          <w:lang w:val="zh-CN" w:eastAsia="zh-CN"/>
        </w:rPr>
        <w:t>严格落实秸秆禁烧管控措施，全面</w:t>
      </w:r>
      <w:r>
        <w:rPr>
          <w:rFonts w:hint="eastAsia" w:ascii="仿宋" w:hAnsi="仿宋" w:eastAsia="仿宋" w:cs="仿宋"/>
          <w:sz w:val="30"/>
          <w:szCs w:val="30"/>
          <w:lang w:val="en-US" w:eastAsia="zh-CN"/>
        </w:rPr>
        <w:t>禁烧秸秆</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建立秸秆焚烧监控体系，完善县、乡、村三级秸秆禁烧管控问责机制，完善责任人清单，春秋冬季按月公布秸秆焚烧火点责任追究情况。坚持秸秆综合利用与农业生产相结合，在满足种植业和畜牧业需求的基础上，抓好肥料化、饲料化、基料化等领域新技术、新装备、新工艺的示范推广。合理引导秸秆燃料化、原料化，推动秸秆向多元循环的方向发展。</w:t>
      </w:r>
    </w:p>
    <w:p>
      <w:pPr>
        <w:pStyle w:val="2"/>
        <w:rPr>
          <w:rFonts w:hint="eastAsia" w:ascii="仿宋" w:hAnsi="仿宋" w:eastAsia="仿宋" w:cs="仿宋"/>
          <w:sz w:val="30"/>
          <w:szCs w:val="30"/>
          <w:lang w:val="en-US" w:eastAsia="zh-CN"/>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858"/>
        <w:gridCol w:w="6450"/>
        <w:gridCol w:w="121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b/>
                <w:bCs/>
                <w:sz w:val="21"/>
                <w:szCs w:val="21"/>
                <w:vertAlign w:val="baseline"/>
              </w:rPr>
            </w:pPr>
            <w:r>
              <w:rPr>
                <w:rFonts w:hint="eastAsia" w:ascii="仿宋" w:hAnsi="仿宋" w:eastAsia="仿宋" w:cs="仿宋"/>
                <w:b/>
                <w:bCs/>
                <w:sz w:val="24"/>
                <w:szCs w:val="24"/>
                <w:vertAlign w:val="baseline"/>
                <w:lang w:eastAsia="zh-CN"/>
              </w:rPr>
              <w:t>专栏三</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蓝天工程项目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序号</w:t>
            </w:r>
          </w:p>
        </w:tc>
        <w:tc>
          <w:tcPr>
            <w:tcW w:w="6450"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项目名称</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6450" w:type="dxa"/>
            <w:tcBorders>
              <w:tl2br w:val="nil"/>
              <w:tr2bl w:val="nil"/>
            </w:tcBorders>
            <w:vAlign w:val="center"/>
          </w:tcPr>
          <w:p>
            <w:pPr>
              <w:spacing w:line="240" w:lineRule="auto"/>
              <w:jc w:val="both"/>
              <w:rPr>
                <w:rFonts w:hint="default" w:ascii="Times New Roman" w:hAnsi="Times New Roman" w:eastAsia="仿宋" w:cs="Times New Roman"/>
                <w:color w:val="000000" w:themeColor="text1"/>
                <w:sz w:val="21"/>
                <w:szCs w:val="21"/>
                <w:vertAlign w:val="baseline"/>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台安经济开发区化工产业园有毒有害气体环境风险预警体系建设</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鞍山神龙腾达工贸有限公司VOC治理项目</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鞍山五环化工有限公司VOCs治理项目</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汎宇化学（辽宁）有限公司废气治理项目</w:t>
            </w:r>
          </w:p>
        </w:tc>
        <w:tc>
          <w:tcPr>
            <w:tcW w:w="1214"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辽宁缘泰石油化工有限公司VOCs减排项目</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台安县供电局高力镁砂厂扬尘污染防治改造</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台安县海林冶炼有限公司扬尘污染防治改造</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台安县高力房海天耐火材料厂扬尘污染防治改造</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辽宁俊龙耐火材料有限公司扬尘污染防治改造</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辽宁源宇化工有限公司年产15000t蒽油精制工程技术改造项目（涉及工艺尾气处理、废水处理）</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鞍山科顺建筑材料有限公司防水卷材生产效能升级改造项目（涉及烟气回收改造）</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w:t>
            </w:r>
          </w:p>
        </w:tc>
        <w:tc>
          <w:tcPr>
            <w:tcW w:w="645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台安县供暖公司提标升级改造项目</w:t>
            </w:r>
          </w:p>
        </w:tc>
        <w:tc>
          <w:tcPr>
            <w:tcW w:w="1214"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r>
    </w:tbl>
    <w:p>
      <w:pPr>
        <w:spacing w:line="360" w:lineRule="auto"/>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97" w:name="_Toc30957"/>
      <w:r>
        <w:rPr>
          <w:rFonts w:hint="eastAsia"/>
          <w:lang w:eastAsia="zh-CN"/>
        </w:rPr>
        <w:t>第五节</w:t>
      </w:r>
      <w:r>
        <w:rPr>
          <w:rFonts w:hint="eastAsia"/>
          <w:lang w:val="en-US" w:eastAsia="zh-CN"/>
        </w:rPr>
        <w:t xml:space="preserve"> </w:t>
      </w:r>
      <w:r>
        <w:rPr>
          <w:rFonts w:hint="eastAsia"/>
          <w:lang w:eastAsia="zh-CN"/>
        </w:rPr>
        <w:t>降碳减排，应对气候变化</w:t>
      </w:r>
      <w:bookmarkEnd w:id="97"/>
    </w:p>
    <w:p>
      <w:pPr>
        <w:pStyle w:val="5"/>
        <w:bidi w:val="0"/>
        <w:ind w:firstLine="602" w:firstLineChars="200"/>
        <w:rPr>
          <w:rFonts w:hint="eastAsia" w:ascii="仿宋" w:hAnsi="仿宋" w:eastAsia="仿宋" w:cs="仿宋"/>
          <w:sz w:val="30"/>
          <w:szCs w:val="30"/>
          <w:lang w:eastAsia="zh-CN"/>
        </w:rPr>
      </w:pPr>
      <w:bookmarkStart w:id="98" w:name="_Toc9500"/>
      <w:bookmarkStart w:id="99" w:name="_Toc15939"/>
      <w:bookmarkStart w:id="100" w:name="_Toc26812"/>
      <w:bookmarkStart w:id="101" w:name="_Toc24770"/>
      <w:r>
        <w:rPr>
          <w:rFonts w:hint="eastAsia" w:ascii="仿宋" w:hAnsi="仿宋" w:eastAsia="仿宋" w:cs="仿宋"/>
          <w:sz w:val="30"/>
          <w:szCs w:val="30"/>
          <w:lang w:eastAsia="zh-CN"/>
        </w:rPr>
        <w:t>一、</w:t>
      </w:r>
      <w:r>
        <w:rPr>
          <w:rFonts w:hint="eastAsia" w:ascii="仿宋" w:hAnsi="仿宋" w:eastAsia="仿宋" w:cs="仿宋"/>
          <w:sz w:val="30"/>
          <w:szCs w:val="30"/>
          <w:lang w:val="en-US" w:eastAsia="zh-CN"/>
        </w:rPr>
        <w:t>制订碳排放达峰行动方案</w:t>
      </w:r>
      <w:bookmarkEnd w:id="98"/>
      <w:bookmarkEnd w:id="99"/>
      <w:bookmarkEnd w:id="100"/>
      <w:bookmarkEnd w:id="101"/>
    </w:p>
    <w:p>
      <w:pPr>
        <w:bidi w:val="0"/>
        <w:spacing w:line="360" w:lineRule="auto"/>
        <w:ind w:firstLine="600" w:firstLineChars="200"/>
        <w:rPr>
          <w:rFonts w:hint="eastAsia" w:ascii="仿宋" w:hAnsi="仿宋" w:eastAsia="仿宋" w:cs="仿宋"/>
          <w:color w:val="C00000"/>
          <w:sz w:val="30"/>
          <w:szCs w:val="30"/>
          <w:lang w:val="zh-CN" w:eastAsia="zh-CN"/>
        </w:rPr>
      </w:pPr>
      <w:r>
        <w:rPr>
          <w:rFonts w:hint="eastAsia" w:ascii="仿宋" w:hAnsi="仿宋" w:eastAsia="仿宋" w:cs="仿宋"/>
          <w:sz w:val="30"/>
          <w:szCs w:val="30"/>
          <w:lang w:val="zh-CN" w:eastAsia="zh-CN"/>
        </w:rPr>
        <w:t>围绕鞍山市</w:t>
      </w:r>
      <w:r>
        <w:rPr>
          <w:rFonts w:hint="eastAsia" w:ascii="仿宋" w:hAnsi="仿宋" w:eastAsia="仿宋" w:cs="仿宋"/>
          <w:sz w:val="30"/>
          <w:szCs w:val="30"/>
          <w:lang w:val="en-US" w:eastAsia="zh-CN"/>
        </w:rPr>
        <w:t>碳排放达峰目标</w:t>
      </w:r>
      <w:r>
        <w:rPr>
          <w:rFonts w:hint="eastAsia" w:ascii="仿宋" w:hAnsi="仿宋" w:eastAsia="仿宋" w:cs="仿宋"/>
          <w:sz w:val="30"/>
          <w:szCs w:val="30"/>
          <w:lang w:val="zh-CN" w:eastAsia="zh-CN"/>
        </w:rPr>
        <w:t>考核要求以及鞍山市的减排计划，</w:t>
      </w:r>
      <w:r>
        <w:rPr>
          <w:rFonts w:hint="eastAsia" w:ascii="仿宋" w:hAnsi="仿宋" w:eastAsia="仿宋" w:cs="仿宋"/>
          <w:sz w:val="30"/>
          <w:szCs w:val="30"/>
          <w:lang w:val="en-US" w:eastAsia="zh-CN"/>
        </w:rPr>
        <w:t>制定台安县碳达峰行动实施方案和配套措施，</w:t>
      </w:r>
      <w:r>
        <w:rPr>
          <w:rFonts w:hint="eastAsia" w:ascii="仿宋" w:hAnsi="仿宋" w:eastAsia="仿宋" w:cs="仿宋"/>
          <w:sz w:val="30"/>
          <w:szCs w:val="30"/>
          <w:lang w:val="zh-CN" w:eastAsia="zh-CN"/>
        </w:rPr>
        <w:t>制定</w:t>
      </w:r>
      <w:r>
        <w:rPr>
          <w:rFonts w:hint="eastAsia" w:ascii="仿宋" w:hAnsi="仿宋" w:eastAsia="仿宋" w:cs="仿宋"/>
          <w:sz w:val="30"/>
          <w:szCs w:val="30"/>
          <w:lang w:eastAsia="zh-CN"/>
        </w:rPr>
        <w:t>碳达蜂实施路线图</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实施以二氧化碳排放强度控制为主、二氧化</w:t>
      </w:r>
      <w:r>
        <w:rPr>
          <w:rFonts w:hint="eastAsia" w:ascii="仿宋" w:hAnsi="仿宋" w:eastAsia="仿宋" w:cs="仿宋"/>
          <w:color w:val="000000" w:themeColor="text1"/>
          <w:sz w:val="30"/>
          <w:szCs w:val="30"/>
          <w:lang w:val="en-US" w:eastAsia="zh-CN"/>
          <w14:textFill>
            <w14:solidFill>
              <w14:schemeClr w14:val="tx1"/>
            </w14:solidFill>
          </w14:textFill>
        </w:rPr>
        <w:t>碳排放总量控制为辅的制度。鼓励能源、工业、交通、建筑等重点领域制定碳达峰专项方案，推动钢铁、建材、有色、化工、石化、电力等重点行业提出明确的达峰目标并制定达峰行动方案</w:t>
      </w:r>
      <w:r>
        <w:rPr>
          <w:rFonts w:hint="eastAsia" w:ascii="仿宋" w:hAnsi="仿宋" w:eastAsia="仿宋" w:cs="仿宋"/>
          <w:color w:val="000000" w:themeColor="text1"/>
          <w:sz w:val="30"/>
          <w:szCs w:val="30"/>
          <w:lang w:val="zh-CN" w:eastAsia="zh-CN"/>
          <w14:textFill>
            <w14:solidFill>
              <w14:schemeClr w14:val="tx1"/>
            </w14:solidFill>
          </w14:textFill>
        </w:rPr>
        <w:t>。</w:t>
      </w:r>
    </w:p>
    <w:p>
      <w:pPr>
        <w:pStyle w:val="5"/>
        <w:bidi w:val="0"/>
        <w:ind w:firstLine="602" w:firstLineChars="200"/>
        <w:rPr>
          <w:rFonts w:hint="eastAsia" w:ascii="仿宋" w:hAnsi="仿宋" w:eastAsia="仿宋" w:cs="仿宋"/>
          <w:sz w:val="30"/>
          <w:szCs w:val="30"/>
          <w:lang w:val="zh-CN" w:eastAsia="zh-CN"/>
        </w:rPr>
      </w:pPr>
      <w:bookmarkStart w:id="102" w:name="_Toc15159"/>
      <w:bookmarkStart w:id="103" w:name="_Toc15334"/>
      <w:bookmarkStart w:id="104" w:name="_Toc30077"/>
      <w:bookmarkStart w:id="105" w:name="_Toc27510"/>
      <w:r>
        <w:rPr>
          <w:rFonts w:hint="eastAsia" w:ascii="仿宋" w:hAnsi="仿宋" w:eastAsia="仿宋" w:cs="仿宋"/>
          <w:sz w:val="30"/>
          <w:szCs w:val="30"/>
          <w:lang w:val="zh-CN" w:eastAsia="zh-CN"/>
        </w:rPr>
        <w:t>二、积极开展碳排放权交易市场</w:t>
      </w:r>
      <w:bookmarkEnd w:id="102"/>
      <w:bookmarkEnd w:id="103"/>
      <w:bookmarkEnd w:id="104"/>
      <w:bookmarkEnd w:id="105"/>
    </w:p>
    <w:p>
      <w:pPr>
        <w:bidi w:val="0"/>
        <w:spacing w:line="360" w:lineRule="auto"/>
        <w:ind w:firstLine="600" w:firstLineChars="200"/>
        <w:rPr>
          <w:rFonts w:hint="eastAsia" w:ascii="仿宋" w:hAnsi="仿宋" w:eastAsia="仿宋" w:cs="仿宋"/>
          <w:sz w:val="30"/>
          <w:szCs w:val="30"/>
          <w:lang w:val="zh-CN" w:eastAsia="zh-CN"/>
        </w:rPr>
      </w:pPr>
      <w:r>
        <w:rPr>
          <w:rFonts w:hint="eastAsia" w:ascii="仿宋" w:hAnsi="仿宋" w:eastAsia="仿宋" w:cs="仿宋"/>
          <w:sz w:val="30"/>
          <w:szCs w:val="30"/>
          <w:lang w:val="zh-CN" w:eastAsia="zh-CN"/>
        </w:rPr>
        <w:t>将温室气体监测纳入生态环境</w:t>
      </w:r>
      <w:r>
        <w:rPr>
          <w:rFonts w:hint="eastAsia" w:ascii="仿宋" w:hAnsi="仿宋" w:eastAsia="仿宋" w:cs="仿宋"/>
          <w:sz w:val="30"/>
          <w:szCs w:val="30"/>
          <w:lang w:val="en-US" w:eastAsia="zh-CN"/>
        </w:rPr>
        <w:t>日常</w:t>
      </w:r>
      <w:r>
        <w:rPr>
          <w:rFonts w:hint="eastAsia" w:ascii="仿宋" w:hAnsi="仿宋" w:eastAsia="仿宋" w:cs="仿宋"/>
          <w:sz w:val="30"/>
          <w:szCs w:val="30"/>
          <w:lang w:val="zh-CN" w:eastAsia="zh-CN"/>
        </w:rPr>
        <w:t>监测体系，协同</w:t>
      </w:r>
      <w:r>
        <w:rPr>
          <w:rFonts w:hint="eastAsia" w:ascii="仿宋" w:hAnsi="仿宋" w:eastAsia="仿宋" w:cs="仿宋"/>
          <w:sz w:val="30"/>
          <w:szCs w:val="30"/>
          <w:lang w:val="en-US" w:eastAsia="zh-CN"/>
        </w:rPr>
        <w:t>开</w:t>
      </w:r>
      <w:r>
        <w:rPr>
          <w:rFonts w:hint="eastAsia" w:ascii="仿宋" w:hAnsi="仿宋" w:eastAsia="仿宋" w:cs="仿宋"/>
          <w:sz w:val="30"/>
          <w:szCs w:val="30"/>
          <w:lang w:val="zh-CN" w:eastAsia="zh-CN"/>
        </w:rPr>
        <w:t>展污染源</w:t>
      </w:r>
      <w:r>
        <w:rPr>
          <w:rFonts w:hint="eastAsia" w:ascii="仿宋" w:hAnsi="仿宋" w:eastAsia="仿宋" w:cs="仿宋"/>
          <w:sz w:val="30"/>
          <w:szCs w:val="30"/>
          <w:lang w:val="en-US" w:eastAsia="zh-CN"/>
        </w:rPr>
        <w:t>排放</w:t>
      </w:r>
      <w:r>
        <w:rPr>
          <w:rFonts w:hint="eastAsia" w:ascii="仿宋" w:hAnsi="仿宋" w:eastAsia="仿宋" w:cs="仿宋"/>
          <w:sz w:val="30"/>
          <w:szCs w:val="30"/>
          <w:lang w:val="zh-CN" w:eastAsia="zh-CN"/>
        </w:rPr>
        <w:t>与大气环境</w:t>
      </w:r>
      <w:r>
        <w:rPr>
          <w:rFonts w:hint="eastAsia" w:ascii="仿宋" w:hAnsi="仿宋" w:eastAsia="仿宋" w:cs="仿宋"/>
          <w:sz w:val="30"/>
          <w:szCs w:val="30"/>
          <w:lang w:val="en-US" w:eastAsia="zh-CN"/>
        </w:rPr>
        <w:t>质量</w:t>
      </w:r>
      <w:r>
        <w:rPr>
          <w:rFonts w:hint="eastAsia" w:ascii="仿宋" w:hAnsi="仿宋" w:eastAsia="仿宋" w:cs="仿宋"/>
          <w:sz w:val="30"/>
          <w:szCs w:val="30"/>
          <w:lang w:val="zh-CN" w:eastAsia="zh-CN"/>
        </w:rPr>
        <w:t>温室气体监测。</w:t>
      </w:r>
      <w:r>
        <w:rPr>
          <w:rFonts w:hint="eastAsia" w:ascii="仿宋" w:hAnsi="仿宋" w:eastAsia="仿宋" w:cs="仿宋"/>
          <w:sz w:val="30"/>
          <w:szCs w:val="30"/>
          <w:lang w:val="en-US" w:eastAsia="zh-CN"/>
        </w:rPr>
        <w:t>开展重点排放单位温室气体排放监测、核算、数据报送、核查审核、履约监管和监督检查工作，推进全县省、市级重点控排企业通过排污许可平台报送碳市场数据，保障企业碳排放数据质量，督促企业及时履约。</w:t>
      </w:r>
      <w:r>
        <w:rPr>
          <w:rFonts w:hint="eastAsia" w:ascii="仿宋" w:hAnsi="仿宋" w:eastAsia="仿宋" w:cs="仿宋"/>
          <w:sz w:val="30"/>
          <w:szCs w:val="30"/>
          <w:lang w:val="zh-CN" w:eastAsia="zh-CN"/>
        </w:rPr>
        <w:t>推进重点排放单位碳排放交易，并接受监督管理。</w:t>
      </w:r>
    </w:p>
    <w:p>
      <w:pPr>
        <w:pStyle w:val="5"/>
        <w:bidi w:val="0"/>
        <w:ind w:firstLine="602" w:firstLineChars="200"/>
        <w:rPr>
          <w:rFonts w:hint="eastAsia" w:ascii="仿宋" w:hAnsi="仿宋" w:eastAsia="仿宋" w:cs="仿宋"/>
          <w:sz w:val="30"/>
          <w:szCs w:val="30"/>
          <w:lang w:val="en-US" w:eastAsia="zh-CN"/>
        </w:rPr>
      </w:pPr>
      <w:bookmarkStart w:id="106" w:name="_Toc28461"/>
      <w:bookmarkStart w:id="107" w:name="_Toc16865"/>
      <w:bookmarkStart w:id="108" w:name="_Toc10292"/>
      <w:bookmarkStart w:id="109" w:name="_Toc27054"/>
      <w:r>
        <w:rPr>
          <w:rFonts w:hint="eastAsia" w:ascii="仿宋" w:hAnsi="仿宋" w:eastAsia="仿宋" w:cs="仿宋"/>
          <w:sz w:val="30"/>
          <w:szCs w:val="30"/>
          <w:lang w:val="en-US" w:eastAsia="zh-CN"/>
        </w:rPr>
        <w:t>三、控制温室气体排放</w:t>
      </w:r>
      <w:bookmarkEnd w:id="106"/>
      <w:bookmarkEnd w:id="107"/>
      <w:bookmarkEnd w:id="108"/>
      <w:bookmarkEnd w:id="109"/>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控制工业、交通、建筑等重点领域二氧化碳排放，开展水泥生产原料替代技术，鼓励利用工业固体废物等非碳酸盐原料生产水</w:t>
      </w:r>
      <w:r>
        <w:rPr>
          <w:rFonts w:hint="eastAsia" w:ascii="仿宋" w:hAnsi="仿宋" w:eastAsia="仿宋" w:cs="仿宋"/>
          <w:color w:val="000000" w:themeColor="text1"/>
          <w:sz w:val="30"/>
          <w:szCs w:val="30"/>
          <w:lang w:val="en-US" w:eastAsia="zh-CN"/>
          <w14:textFill>
            <w14:solidFill>
              <w14:schemeClr w14:val="tx1"/>
            </w14:solidFill>
          </w14:textFill>
        </w:rPr>
        <w:t>泥。推动煤电、钢铁、石化等行业开展二氧化碳捕集、利用与封存全流程示范工程。开展交通运输节能、发展低碳交通体系、加快充电基础设施建设，到2025年，“电-气”联合充电桩覆盖率达到80%以上，充电站覆盖率达到95%以上，加气站覆盖率达到85%以上。构建绿色低碳建筑体系，加快建筑节能改造，推行绿色建筑星级标准，推动可再生能源建筑应用，到2025年，城镇新建建筑中绿色建筑面积占比达到80%。控制非二氧化碳温</w:t>
      </w:r>
      <w:r>
        <w:rPr>
          <w:rFonts w:hint="eastAsia" w:ascii="仿宋" w:hAnsi="仿宋" w:eastAsia="仿宋" w:cs="仿宋"/>
          <w:sz w:val="30"/>
          <w:szCs w:val="30"/>
          <w:lang w:val="en-US" w:eastAsia="zh-CN"/>
        </w:rPr>
        <w:t>室气体排放，严格石化和化工行业无组织环境监测，建立工业非二氧化碳温室气体监测体系，减少无组织温室气体排放。</w:t>
      </w:r>
    </w:p>
    <w:p>
      <w:pPr>
        <w:pStyle w:val="5"/>
        <w:bidi w:val="0"/>
        <w:ind w:firstLine="602" w:firstLineChars="200"/>
        <w:rPr>
          <w:rFonts w:hint="eastAsia" w:ascii="仿宋" w:hAnsi="仿宋" w:eastAsia="仿宋" w:cs="仿宋"/>
          <w:sz w:val="30"/>
          <w:szCs w:val="30"/>
          <w:lang w:val="en-US" w:eastAsia="zh-CN"/>
        </w:rPr>
      </w:pPr>
      <w:bookmarkStart w:id="110" w:name="_Toc17793"/>
      <w:bookmarkStart w:id="111" w:name="_Toc28564"/>
      <w:bookmarkStart w:id="112" w:name="_Toc2760"/>
      <w:bookmarkStart w:id="113" w:name="_Toc9534"/>
      <w:r>
        <w:rPr>
          <w:rFonts w:hint="eastAsia" w:ascii="仿宋" w:hAnsi="仿宋" w:eastAsia="仿宋" w:cs="仿宋"/>
          <w:sz w:val="30"/>
          <w:szCs w:val="30"/>
          <w:lang w:val="en-US" w:eastAsia="zh-CN"/>
        </w:rPr>
        <w:t>四、积极践行绿色低碳行动</w:t>
      </w:r>
      <w:bookmarkEnd w:id="110"/>
      <w:bookmarkEnd w:id="111"/>
      <w:bookmarkEnd w:id="112"/>
      <w:bookmarkEnd w:id="113"/>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加大林草保护，增加林草碳汇。</w:t>
      </w:r>
      <w:r>
        <w:rPr>
          <w:rFonts w:hint="eastAsia" w:ascii="仿宋" w:hAnsi="仿宋" w:eastAsia="仿宋" w:cs="仿宋"/>
          <w:sz w:val="30"/>
          <w:szCs w:val="30"/>
          <w:lang w:val="zh-CN" w:eastAsia="zh-CN"/>
        </w:rPr>
        <w:t>加大</w:t>
      </w:r>
      <w:r>
        <w:rPr>
          <w:rFonts w:hint="eastAsia" w:ascii="仿宋" w:hAnsi="仿宋" w:eastAsia="仿宋" w:cs="仿宋"/>
          <w:sz w:val="30"/>
          <w:szCs w:val="30"/>
          <w:lang w:val="en-US" w:eastAsia="zh-CN"/>
        </w:rPr>
        <w:t>林地保护力度，优化重点公益林和商品林结构，强化林业产业发展，加强公益林管理，提高现有林分质量，增加森林碳汇功能。加大草地保护力度与建设，增强草地碳汇功能。</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建设低碳示范点与工程。</w:t>
      </w:r>
      <w:r>
        <w:rPr>
          <w:rFonts w:hint="eastAsia" w:ascii="仿宋" w:hAnsi="仿宋" w:eastAsia="仿宋" w:cs="仿宋"/>
          <w:color w:val="000000" w:themeColor="text1"/>
          <w:sz w:val="30"/>
          <w:szCs w:val="30"/>
          <w:lang w:val="en-US" w:eastAsia="zh-CN"/>
          <w14:textFill>
            <w14:solidFill>
              <w14:schemeClr w14:val="tx1"/>
            </w14:solidFill>
          </w14:textFill>
        </w:rPr>
        <w:t>推进低碳学校、低碳园区、低碳社区等建设，到2025，开展至少1家市级低碳学校试点，1家市级低碳园区试点。推进近零碳技术在能源、建筑、交通等重点领域的综合集成示范应用，推进 CCUS 试点在煤化工、火力发电、钢铁等行业示范应用。开展应对气候投融资基础工作，发布重点支持应对气候项目目录，完善气候信息披露制度，制定投资负面清单，引导更多资金投向应对气候变化领域的投资和融资活动，拒绝高碳投资，鼓励开展碳普惠试点建设。</w:t>
      </w:r>
    </w:p>
    <w:p>
      <w:pPr>
        <w:pStyle w:val="5"/>
        <w:bidi w:val="0"/>
        <w:ind w:firstLine="602" w:firstLineChars="200"/>
        <w:rPr>
          <w:rFonts w:hint="eastAsia" w:ascii="仿宋" w:hAnsi="仿宋" w:eastAsia="仿宋" w:cs="仿宋"/>
          <w:sz w:val="30"/>
          <w:szCs w:val="30"/>
          <w:lang w:val="en-US" w:eastAsia="zh-CN"/>
        </w:rPr>
      </w:pPr>
      <w:bookmarkStart w:id="114" w:name="_Toc15453"/>
      <w:bookmarkStart w:id="115" w:name="_Toc18472"/>
      <w:bookmarkStart w:id="116" w:name="_Toc23593"/>
      <w:bookmarkStart w:id="117" w:name="_Toc825"/>
      <w:bookmarkStart w:id="118" w:name="_Toc23637"/>
      <w:r>
        <w:rPr>
          <w:rFonts w:hint="eastAsia" w:ascii="仿宋" w:hAnsi="仿宋" w:eastAsia="仿宋" w:cs="仿宋"/>
          <w:sz w:val="30"/>
          <w:szCs w:val="30"/>
          <w:lang w:val="en-US" w:eastAsia="zh-CN"/>
        </w:rPr>
        <w:t>五、提升应对气候变化</w:t>
      </w:r>
      <w:bookmarkEnd w:id="114"/>
      <w:r>
        <w:rPr>
          <w:rFonts w:hint="eastAsia" w:ascii="仿宋" w:hAnsi="仿宋" w:eastAsia="仿宋" w:cs="仿宋"/>
          <w:sz w:val="30"/>
          <w:szCs w:val="30"/>
          <w:lang w:val="en-US" w:eastAsia="zh-CN"/>
        </w:rPr>
        <w:t>能力</w:t>
      </w:r>
      <w:bookmarkEnd w:id="115"/>
      <w:bookmarkEnd w:id="116"/>
      <w:bookmarkEnd w:id="117"/>
      <w:bookmarkEnd w:id="118"/>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强化防灾减灾体系建设。</w:t>
      </w:r>
      <w:r>
        <w:rPr>
          <w:rFonts w:hint="eastAsia" w:ascii="仿宋" w:hAnsi="仿宋" w:eastAsia="仿宋" w:cs="仿宋"/>
          <w:sz w:val="30"/>
          <w:szCs w:val="30"/>
          <w:lang w:val="en-US" w:eastAsia="zh-CN"/>
        </w:rPr>
        <w:t>提高气候变化灾害预警能力，对气候灾害敏感区进行灾害重点防控，尤其是城镇、学校、幼儿园、医院、养老院，重要铁路、公路等交通干线沿线和重要工程建设活动区、旅游景区、生产矿山和在建工程等薄弱环节。</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强化城乡农林基础设施建设。</w:t>
      </w:r>
      <w:r>
        <w:rPr>
          <w:rFonts w:hint="eastAsia" w:ascii="仿宋" w:hAnsi="仿宋" w:eastAsia="仿宋" w:cs="仿宋"/>
          <w:sz w:val="30"/>
          <w:szCs w:val="30"/>
          <w:lang w:val="en-US" w:eastAsia="zh-CN"/>
        </w:rPr>
        <w:t>提高农林基础设施气候韧性，提高农业种植适应能力，引导畜禽和水产养殖业合理发展，开展病虫害监测减灾措施。提高天然林、重点防护林及其他生态系统气候适应能力，完善林业有害生物监测预警系统，森林火灾、林火阻隔系统以及应急处置系统。</w:t>
      </w:r>
    </w:p>
    <w:p>
      <w:pPr>
        <w:pStyle w:val="2"/>
        <w:rPr>
          <w:rFonts w:hint="eastAsia" w:ascii="仿宋" w:hAnsi="仿宋" w:eastAsia="仿宋" w:cs="仿宋"/>
          <w:sz w:val="30"/>
          <w:szCs w:val="30"/>
          <w:lang w:val="en-US" w:eastAsia="zh-CN"/>
        </w:rPr>
      </w:pP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12" w:space="0"/>
              <w:left w:val="single" w:color="auto" w:sz="12" w:space="0"/>
              <w:bottom w:val="single" w:color="auto" w:sz="8" w:space="0"/>
              <w:right w:val="single" w:color="auto" w:sz="12" w:space="0"/>
            </w:tcBorders>
            <w:vAlign w:val="center"/>
          </w:tcPr>
          <w:p>
            <w:pPr>
              <w:spacing w:line="240" w:lineRule="auto"/>
              <w:jc w:val="center"/>
              <w:rPr>
                <w:rFonts w:hint="eastAsia" w:ascii="仿宋" w:hAnsi="仿宋" w:eastAsia="仿宋" w:cs="仿宋"/>
                <w:color w:val="000000" w:themeColor="text1"/>
                <w:sz w:val="21"/>
                <w:szCs w:val="21"/>
                <w:vertAlign w:val="baseline"/>
                <w:lang w:eastAsia="zh-CN"/>
                <w14:textFill>
                  <w14:solidFill>
                    <w14:schemeClr w14:val="tx1"/>
                  </w14:solidFill>
                </w14:textFill>
              </w:rPr>
            </w:pPr>
            <w:r>
              <w:rPr>
                <w:rFonts w:hint="eastAsia" w:ascii="仿宋" w:hAnsi="仿宋" w:eastAsia="仿宋" w:cs="仿宋"/>
                <w:b/>
                <w:bCs/>
                <w:color w:val="000000" w:themeColor="text1"/>
                <w:sz w:val="24"/>
                <w:szCs w:val="24"/>
                <w:vertAlign w:val="baseline"/>
                <w:lang w:eastAsia="zh-CN"/>
                <w14:textFill>
                  <w14:solidFill>
                    <w14:schemeClr w14:val="tx1"/>
                  </w14:solidFill>
                </w14:textFill>
              </w:rPr>
              <w:t>专栏四</w:t>
            </w:r>
            <w:r>
              <w:rPr>
                <w:rFonts w:hint="eastAsia" w:ascii="仿宋" w:hAnsi="仿宋" w:eastAsia="仿宋" w:cs="仿宋"/>
                <w:b/>
                <w:bCs/>
                <w:color w:val="000000" w:themeColor="text1"/>
                <w:sz w:val="24"/>
                <w:szCs w:val="24"/>
                <w:vertAlign w:val="baseline"/>
                <w:lang w:val="en-US" w:eastAsia="zh-CN"/>
                <w14:textFill>
                  <w14:solidFill>
                    <w14:schemeClr w14:val="tx1"/>
                  </w14:solidFill>
                </w14:textFill>
              </w:rPr>
              <w:t xml:space="preserve"> </w:t>
            </w:r>
            <w:r>
              <w:rPr>
                <w:rFonts w:hint="eastAsia" w:ascii="仿宋" w:hAnsi="仿宋" w:eastAsia="仿宋" w:cs="仿宋"/>
                <w:b/>
                <w:bCs/>
                <w:color w:val="000000" w:themeColor="text1"/>
                <w:sz w:val="24"/>
                <w:szCs w:val="24"/>
                <w:vertAlign w:val="baseline"/>
                <w:lang w:eastAsia="zh-CN"/>
                <w14:textFill>
                  <w14:solidFill>
                    <w14:schemeClr w14:val="tx1"/>
                  </w14:solidFill>
                </w14:textFill>
              </w:rPr>
              <w:t>控制温室气体排放工程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Borders>
              <w:top w:val="single" w:color="auto" w:sz="8" w:space="0"/>
              <w:left w:val="single" w:color="auto" w:sz="12" w:space="0"/>
              <w:bottom w:val="single" w:color="auto" w:sz="12" w:space="0"/>
              <w:right w:val="single" w:color="auto" w:sz="12" w:space="0"/>
            </w:tcBorders>
            <w:vAlign w:val="center"/>
          </w:tcPr>
          <w:p>
            <w:pPr>
              <w:widowControl/>
              <w:adjustRightInd w:val="0"/>
              <w:snapToGrid w:val="0"/>
              <w:spacing w:line="240" w:lineRule="auto"/>
              <w:jc w:val="both"/>
              <w:textAlignment w:val="center"/>
              <w:rPr>
                <w:rFonts w:hint="eastAsia" w:ascii="仿宋" w:hAnsi="仿宋" w:eastAsia="仿宋" w:cs="仿宋"/>
                <w:i w:val="0"/>
                <w:iCs w:val="0"/>
                <w:caps w:val="0"/>
                <w:color w:val="000000" w:themeColor="text1"/>
                <w:spacing w:val="0"/>
                <w:kern w:val="2"/>
                <w:sz w:val="24"/>
                <w:szCs w:val="24"/>
                <w:shd w:val="clear" w:color="auto" w:fill="auto"/>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2"/>
                <w:sz w:val="24"/>
                <w:szCs w:val="24"/>
                <w:shd w:val="clear" w:color="auto" w:fill="auto"/>
                <w:lang w:val="en-US" w:eastAsia="zh-CN" w:bidi="ar"/>
                <w14:textFill>
                  <w14:solidFill>
                    <w14:schemeClr w14:val="tx1"/>
                  </w14:solidFill>
                </w14:textFill>
              </w:rPr>
              <w:t>（一）碳减排统计核算与达峰方案制定</w:t>
            </w:r>
          </w:p>
          <w:p>
            <w:pPr>
              <w:widowControl/>
              <w:adjustRightInd w:val="0"/>
              <w:snapToGrid w:val="0"/>
              <w:spacing w:line="240" w:lineRule="auto"/>
              <w:ind w:firstLine="720" w:firstLineChars="300"/>
              <w:jc w:val="both"/>
              <w:textAlignment w:val="center"/>
              <w:rPr>
                <w:rFonts w:hint="eastAsia" w:ascii="仿宋" w:hAnsi="仿宋" w:eastAsia="仿宋" w:cs="仿宋"/>
                <w:i w:val="0"/>
                <w:iCs w:val="0"/>
                <w:caps w:val="0"/>
                <w:color w:val="000000" w:themeColor="text1"/>
                <w:spacing w:val="0"/>
                <w:kern w:val="2"/>
                <w:sz w:val="24"/>
                <w:szCs w:val="24"/>
                <w:shd w:val="clear" w:color="auto" w:fill="auto"/>
                <w:lang w:val="en-US" w:eastAsia="zh-CN" w:bidi="ar"/>
                <w14:textFill>
                  <w14:solidFill>
                    <w14:schemeClr w14:val="tx1"/>
                  </w14:solidFill>
                </w14:textFill>
              </w:rPr>
            </w:pPr>
            <w:r>
              <w:rPr>
                <w:rFonts w:hint="eastAsia" w:ascii="仿宋" w:hAnsi="仿宋" w:eastAsia="仿宋" w:cs="仿宋"/>
                <w:i w:val="0"/>
                <w:iCs w:val="0"/>
                <w:caps w:val="0"/>
                <w:color w:val="000000" w:themeColor="text1"/>
                <w:spacing w:val="0"/>
                <w:kern w:val="2"/>
                <w:sz w:val="24"/>
                <w:szCs w:val="24"/>
                <w:shd w:val="clear" w:color="auto" w:fill="auto"/>
                <w:lang w:val="en-US" w:eastAsia="zh-CN" w:bidi="ar"/>
                <w14:textFill>
                  <w14:solidFill>
                    <w14:schemeClr w14:val="tx1"/>
                  </w14:solidFill>
                </w14:textFill>
              </w:rPr>
              <w:t>编制台安县温室气体排放清单，编制台安县碳排放达峰行动方案</w:t>
            </w:r>
          </w:p>
          <w:p>
            <w:pPr>
              <w:spacing w:line="240" w:lineRule="auto"/>
              <w:jc w:val="both"/>
              <w:rPr>
                <w:rFonts w:hint="eastAsia" w:ascii="仿宋" w:hAnsi="仿宋" w:eastAsia="仿宋" w:cs="仿宋"/>
                <w:color w:val="000000" w:themeColor="text1"/>
                <w:sz w:val="21"/>
                <w:szCs w:val="21"/>
                <w:vertAlign w:val="baseline"/>
                <w14:textFill>
                  <w14:solidFill>
                    <w14:schemeClr w14:val="tx1"/>
                  </w14:solidFill>
                </w14:textFill>
              </w:rPr>
            </w:pPr>
            <w:r>
              <w:rPr>
                <w:rFonts w:hint="eastAsia" w:ascii="仿宋" w:hAnsi="仿宋" w:eastAsia="仿宋" w:cs="仿宋"/>
                <w:i w:val="0"/>
                <w:iCs w:val="0"/>
                <w:caps w:val="0"/>
                <w:color w:val="000000" w:themeColor="text1"/>
                <w:spacing w:val="0"/>
                <w:kern w:val="2"/>
                <w:sz w:val="24"/>
                <w:szCs w:val="24"/>
                <w:shd w:val="clear" w:color="auto" w:fill="auto"/>
                <w:lang w:val="en-US" w:eastAsia="zh-CN" w:bidi="ar"/>
                <w14:textFill>
                  <w14:solidFill>
                    <w14:schemeClr w14:val="tx1"/>
                  </w14:solidFill>
                </w14:textFill>
              </w:rPr>
              <w:t>（二）近零碳技术在能源、建筑、交通等重点领域的综合集成示范应用</w:t>
            </w:r>
          </w:p>
        </w:tc>
      </w:tr>
    </w:tbl>
    <w:p>
      <w:pPr>
        <w:spacing w:line="360" w:lineRule="auto"/>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119" w:name="_Toc5228"/>
      <w:r>
        <w:rPr>
          <w:rFonts w:hint="eastAsia"/>
          <w:lang w:eastAsia="zh-CN"/>
        </w:rPr>
        <w:t>第六节</w:t>
      </w:r>
      <w:r>
        <w:rPr>
          <w:rFonts w:hint="eastAsia"/>
          <w:lang w:val="en-US" w:eastAsia="zh-CN"/>
        </w:rPr>
        <w:t xml:space="preserve"> </w:t>
      </w:r>
      <w:r>
        <w:rPr>
          <w:rFonts w:hint="eastAsia"/>
          <w:lang w:eastAsia="zh-CN"/>
        </w:rPr>
        <w:t>强化“三水”统筹，改善水生态环境</w:t>
      </w:r>
      <w:bookmarkEnd w:id="119"/>
    </w:p>
    <w:p>
      <w:pPr>
        <w:bidi w:val="0"/>
        <w:spacing w:line="360" w:lineRule="auto"/>
        <w:ind w:firstLine="600" w:firstLineChars="200"/>
        <w:rPr>
          <w:rFonts w:hint="eastAsia" w:ascii="仿宋" w:hAnsi="仿宋" w:eastAsia="仿宋" w:cs="仿宋"/>
          <w:sz w:val="30"/>
          <w:szCs w:val="30"/>
        </w:rPr>
      </w:pPr>
      <w:r>
        <w:rPr>
          <w:rFonts w:hint="eastAsia" w:ascii="仿宋" w:hAnsi="仿宋" w:eastAsia="仿宋" w:cs="仿宋"/>
          <w:sz w:val="30"/>
          <w:szCs w:val="30"/>
        </w:rPr>
        <w:t>统筹水资源、水环境、水生态治理，有效保护居民饮用水安全，坚决治理城市黑臭水体。以巩固水污染治理成果、持续改善水环境质量为核心，坚持“三水统筹”，以水污染问题和水生态需求为导向，强化水污染源头治理，有效推进水资源开发结构优化和排水布局优化，分流域、分区域科学施治，系统推进水污染防治、水生态保护和水资源管理各项工作。突出精准治污、科学治污、依法治污。</w:t>
      </w:r>
    </w:p>
    <w:p>
      <w:pPr>
        <w:pStyle w:val="5"/>
        <w:bidi w:val="0"/>
        <w:ind w:firstLine="602" w:firstLineChars="200"/>
        <w:rPr>
          <w:rFonts w:hint="eastAsia" w:ascii="仿宋" w:hAnsi="仿宋" w:eastAsia="仿宋" w:cs="仿宋"/>
          <w:sz w:val="30"/>
          <w:szCs w:val="30"/>
          <w:lang w:val="en-US" w:eastAsia="zh-CN"/>
        </w:rPr>
      </w:pPr>
      <w:bookmarkStart w:id="120" w:name="_Toc28061"/>
      <w:bookmarkStart w:id="121" w:name="_Toc10990"/>
      <w:bookmarkStart w:id="122" w:name="_Toc26878"/>
      <w:bookmarkStart w:id="123" w:name="_Toc17413"/>
      <w:r>
        <w:rPr>
          <w:rFonts w:hint="eastAsia" w:ascii="仿宋" w:hAnsi="仿宋" w:eastAsia="仿宋" w:cs="仿宋"/>
          <w:sz w:val="30"/>
          <w:szCs w:val="30"/>
          <w:lang w:val="en-US" w:eastAsia="zh-CN"/>
        </w:rPr>
        <w:t>一、强化“三水”统筹</w:t>
      </w:r>
      <w:bookmarkEnd w:id="120"/>
      <w:r>
        <w:rPr>
          <w:rFonts w:hint="eastAsia" w:ascii="仿宋" w:hAnsi="仿宋" w:eastAsia="仿宋" w:cs="仿宋"/>
          <w:sz w:val="30"/>
          <w:szCs w:val="30"/>
          <w:lang w:val="en-US" w:eastAsia="zh-CN"/>
        </w:rPr>
        <w:t>系统治理</w:t>
      </w:r>
      <w:bookmarkEnd w:id="121"/>
      <w:bookmarkEnd w:id="122"/>
      <w:bookmarkEnd w:id="123"/>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强化水环境、水资源、水生态“三水”统筹系统治理，保障“有河有水、有鱼有草、人水和谐”，逐步恢复水生态系统功能，提升水生态系统的稳定性和可持续性。</w:t>
      </w:r>
    </w:p>
    <w:p>
      <w:pPr>
        <w:pStyle w:val="5"/>
        <w:bidi w:val="0"/>
        <w:ind w:firstLine="602" w:firstLineChars="200"/>
        <w:rPr>
          <w:rFonts w:hint="eastAsia" w:ascii="仿宋" w:hAnsi="仿宋" w:eastAsia="仿宋" w:cs="仿宋"/>
          <w:sz w:val="30"/>
          <w:szCs w:val="30"/>
          <w:lang w:val="zh-CN" w:eastAsia="zh-CN"/>
        </w:rPr>
      </w:pPr>
      <w:bookmarkStart w:id="124" w:name="_Toc27644"/>
      <w:bookmarkStart w:id="125" w:name="_Toc8873"/>
      <w:bookmarkStart w:id="126" w:name="_Toc25098"/>
      <w:bookmarkStart w:id="127" w:name="_Toc16437"/>
      <w:bookmarkStart w:id="128" w:name="_Toc3126"/>
      <w:bookmarkStart w:id="129" w:name="_Toc10683"/>
      <w:bookmarkStart w:id="130" w:name="_Toc17887"/>
      <w:bookmarkStart w:id="131" w:name="_Toc1542"/>
      <w:bookmarkStart w:id="132" w:name="_Toc12359"/>
      <w:bookmarkStart w:id="133" w:name="_Toc10588"/>
      <w:bookmarkStart w:id="134" w:name="_Toc29484"/>
      <w:bookmarkStart w:id="135" w:name="_Toc21122"/>
      <w:bookmarkStart w:id="136" w:name="_Toc7630"/>
      <w:r>
        <w:rPr>
          <w:rFonts w:hint="eastAsia" w:ascii="仿宋" w:hAnsi="仿宋" w:eastAsia="仿宋" w:cs="仿宋"/>
          <w:sz w:val="30"/>
          <w:szCs w:val="30"/>
          <w:lang w:val="zh-CN" w:eastAsia="zh-CN"/>
        </w:rPr>
        <w:t>二、深化水污染治理</w:t>
      </w:r>
      <w:bookmarkEnd w:id="124"/>
      <w:bookmarkEnd w:id="125"/>
      <w:bookmarkEnd w:id="126"/>
      <w:bookmarkEnd w:id="127"/>
      <w:bookmarkEnd w:id="128"/>
      <w:bookmarkEnd w:id="129"/>
      <w:bookmarkEnd w:id="130"/>
      <w:bookmarkEnd w:id="131"/>
      <w:bookmarkEnd w:id="132"/>
      <w:bookmarkEnd w:id="133"/>
      <w:bookmarkEnd w:id="134"/>
      <w:bookmarkEnd w:id="135"/>
      <w:bookmarkEnd w:id="136"/>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强化工业企业与固定源管控，实施排污口规范化整治。</w:t>
      </w:r>
      <w:r>
        <w:rPr>
          <w:rFonts w:hint="eastAsia" w:ascii="仿宋" w:hAnsi="仿宋" w:eastAsia="仿宋" w:cs="仿宋"/>
          <w:sz w:val="30"/>
          <w:szCs w:val="30"/>
          <w:lang w:val="en-US" w:eastAsia="zh-CN"/>
        </w:rPr>
        <w:t>以化工、制药等行业为重点，强化工业企业排污治理，重点做好工业集聚区污水收集处理监管。加强城镇污水处理厂监督管理，强化监督监测、在线监控、飞行抽检等监管措施，确保稳定运行达标排放。推进入河排污口规范整治工作，对全县入河排污口实施“一口一档”管理，严管重罚违规排污口。</w:t>
      </w:r>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建立排污口"一口一档"管理台账，逐一明确排污口责任主体。按照“取缔一批、合并一批、规范一批”要求，实施排污口分类整治，</w:t>
      </w:r>
      <w:r>
        <w:rPr>
          <w:rFonts w:hint="eastAsia" w:ascii="仿宋" w:hAnsi="仿宋" w:eastAsia="仿宋" w:cs="仿宋"/>
          <w:sz w:val="30"/>
          <w:szCs w:val="30"/>
          <w:lang w:val="zh-CN" w:eastAsia="zh-CN"/>
        </w:rPr>
        <w:t>封堵或拆除违法排污口，</w:t>
      </w:r>
      <w:r>
        <w:rPr>
          <w:rFonts w:hint="eastAsia" w:ascii="仿宋" w:hAnsi="仿宋" w:eastAsia="仿宋" w:cs="仿宋"/>
          <w:sz w:val="30"/>
          <w:szCs w:val="30"/>
          <w:lang w:val="en-US" w:eastAsia="zh-CN"/>
        </w:rPr>
        <w:t>建立排污口整治销号制度，建立排污口清单，</w:t>
      </w:r>
      <w:r>
        <w:rPr>
          <w:rFonts w:hint="eastAsia" w:ascii="仿宋" w:hAnsi="仿宋" w:eastAsia="仿宋" w:cs="仿宋"/>
          <w:sz w:val="30"/>
          <w:szCs w:val="30"/>
          <w:lang w:val="zh-CN" w:eastAsia="zh-CN"/>
        </w:rPr>
        <w:t>将入河排污口纳入日常监管，深度治理不达标排污口。依照鞍山市“十四五”生态环境规划的要求，</w:t>
      </w:r>
      <w:r>
        <w:rPr>
          <w:rFonts w:hint="eastAsia" w:ascii="仿宋" w:hAnsi="仿宋" w:eastAsia="仿宋" w:cs="仿宋"/>
          <w:sz w:val="30"/>
          <w:szCs w:val="30"/>
          <w:lang w:val="en-US" w:eastAsia="zh-CN"/>
        </w:rPr>
        <w:t>2022年底前，基本完成县域内一级支流排污口整治。2025年底前，基本完成县域内小柳河、饶阳河、饶阳运河流域入河（湖库）排污口整治，实现数字化管理。</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强化城镇污水处理能力。</w:t>
      </w:r>
      <w:r>
        <w:rPr>
          <w:rFonts w:hint="eastAsia" w:ascii="仿宋" w:hAnsi="仿宋" w:eastAsia="仿宋" w:cs="仿宋"/>
          <w:sz w:val="30"/>
          <w:szCs w:val="30"/>
          <w:lang w:val="zh-CN" w:eastAsia="zh-CN"/>
        </w:rPr>
        <w:t>加强城镇污水设施监管，全面提升污水处理设施运行效率，对全县重点污水处理设施安装</w:t>
      </w:r>
      <w:r>
        <w:rPr>
          <w:rFonts w:hint="eastAsia" w:ascii="仿宋" w:hAnsi="仿宋" w:eastAsia="仿宋" w:cs="仿宋"/>
          <w:sz w:val="30"/>
          <w:szCs w:val="30"/>
          <w:lang w:val="en-US" w:eastAsia="zh-CN"/>
        </w:rPr>
        <w:t>在线</w:t>
      </w:r>
      <w:r>
        <w:rPr>
          <w:rFonts w:hint="eastAsia" w:ascii="仿宋" w:hAnsi="仿宋" w:eastAsia="仿宋" w:cs="仿宋"/>
          <w:sz w:val="30"/>
          <w:szCs w:val="30"/>
          <w:lang w:val="zh-CN" w:eastAsia="zh-CN"/>
        </w:rPr>
        <w:t>监控设施，强化污水处理设施运行全过程监管，保障</w:t>
      </w:r>
      <w:r>
        <w:rPr>
          <w:rFonts w:hint="eastAsia" w:ascii="仿宋" w:hAnsi="仿宋" w:eastAsia="仿宋" w:cs="仿宋"/>
          <w:sz w:val="30"/>
          <w:szCs w:val="30"/>
          <w:lang w:val="en-US" w:eastAsia="zh-CN"/>
        </w:rPr>
        <w:t>出水水质</w:t>
      </w:r>
      <w:r>
        <w:rPr>
          <w:rFonts w:hint="eastAsia" w:ascii="仿宋" w:hAnsi="仿宋" w:eastAsia="仿宋" w:cs="仿宋"/>
          <w:sz w:val="30"/>
          <w:szCs w:val="30"/>
          <w:lang w:val="zh-CN" w:eastAsia="zh-CN"/>
        </w:rPr>
        <w:t>达标排放。扩大污水处理设施建设，</w:t>
      </w:r>
      <w:r>
        <w:rPr>
          <w:rFonts w:hint="eastAsia" w:ascii="仿宋" w:hAnsi="仿宋" w:eastAsia="仿宋" w:cs="仿宋"/>
          <w:sz w:val="30"/>
          <w:szCs w:val="30"/>
          <w:lang w:val="en-US" w:eastAsia="zh-CN"/>
        </w:rPr>
        <w:t>逐步实现</w:t>
      </w:r>
      <w:r>
        <w:rPr>
          <w:rFonts w:hint="eastAsia" w:ascii="仿宋" w:hAnsi="仿宋" w:eastAsia="仿宋" w:cs="仿宋"/>
          <w:sz w:val="30"/>
          <w:szCs w:val="30"/>
          <w:lang w:val="zh-CN" w:eastAsia="zh-CN"/>
        </w:rPr>
        <w:t>城镇污水管网全覆盖，深度治理不能稳定达标的污水处理设施。加强污水处理设施</w:t>
      </w:r>
      <w:r>
        <w:rPr>
          <w:rFonts w:hint="eastAsia" w:ascii="仿宋" w:hAnsi="仿宋" w:eastAsia="仿宋" w:cs="仿宋"/>
          <w:sz w:val="30"/>
          <w:szCs w:val="30"/>
          <w:lang w:val="en-US" w:eastAsia="zh-CN"/>
        </w:rPr>
        <w:t>提质增效</w:t>
      </w:r>
      <w:r>
        <w:rPr>
          <w:rFonts w:hint="eastAsia" w:ascii="仿宋" w:hAnsi="仿宋" w:eastAsia="仿宋" w:cs="仿宋"/>
          <w:sz w:val="30"/>
          <w:szCs w:val="30"/>
          <w:lang w:val="zh-CN" w:eastAsia="zh-CN"/>
        </w:rPr>
        <w:t>，重点流域内污水处理设施</w:t>
      </w:r>
      <w:r>
        <w:rPr>
          <w:rFonts w:hint="eastAsia" w:ascii="仿宋" w:hAnsi="仿宋" w:eastAsia="仿宋" w:cs="仿宋"/>
          <w:sz w:val="30"/>
          <w:szCs w:val="30"/>
          <w:lang w:val="en-US" w:eastAsia="zh-CN"/>
        </w:rPr>
        <w:t>出水水质</w:t>
      </w:r>
      <w:r>
        <w:rPr>
          <w:rFonts w:hint="eastAsia" w:ascii="仿宋" w:hAnsi="仿宋" w:eastAsia="仿宋" w:cs="仿宋"/>
          <w:sz w:val="30"/>
          <w:szCs w:val="30"/>
          <w:lang w:val="zh-CN" w:eastAsia="zh-CN"/>
        </w:rPr>
        <w:t>达到地表水</w:t>
      </w:r>
      <w:r>
        <w:rPr>
          <w:rFonts w:hint="eastAsia" w:ascii="仿宋" w:hAnsi="仿宋" w:eastAsia="仿宋" w:cs="仿宋"/>
          <w:sz w:val="30"/>
          <w:szCs w:val="30"/>
          <w:lang w:val="en-US" w:eastAsia="zh-CN"/>
        </w:rPr>
        <w:t>水质要求。</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en-US" w:eastAsia="zh-CN"/>
        </w:rPr>
        <w:t>强化水环境基础设施管理和维护。</w:t>
      </w:r>
      <w:r>
        <w:rPr>
          <w:rFonts w:hint="eastAsia" w:ascii="仿宋" w:hAnsi="仿宋" w:eastAsia="仿宋" w:cs="仿宋"/>
          <w:sz w:val="30"/>
          <w:szCs w:val="30"/>
          <w:lang w:val="en-US" w:eastAsia="zh-CN"/>
        </w:rPr>
        <w:t>建立沿河雨污合流制及雨排暗渠巡查管理制度，</w:t>
      </w:r>
      <w:r>
        <w:rPr>
          <w:rFonts w:hint="eastAsia" w:ascii="仿宋" w:hAnsi="仿宋" w:eastAsia="仿宋" w:cs="仿宋"/>
          <w:sz w:val="30"/>
          <w:szCs w:val="30"/>
          <w:lang w:val="zh-CN" w:eastAsia="zh-CN"/>
        </w:rPr>
        <w:t>加强雨排暗渠、管网、强排泵站等设施监管，</w:t>
      </w:r>
      <w:r>
        <w:rPr>
          <w:rFonts w:hint="eastAsia" w:ascii="仿宋" w:hAnsi="仿宋" w:eastAsia="仿宋" w:cs="仿宋"/>
          <w:sz w:val="30"/>
          <w:szCs w:val="30"/>
          <w:lang w:val="en-US" w:eastAsia="zh-CN"/>
        </w:rPr>
        <w:t>2021年底前，完成城镇生活污水直排、雨污混排等问题排查，加快</w:t>
      </w:r>
      <w:r>
        <w:rPr>
          <w:rFonts w:hint="eastAsia" w:ascii="仿宋" w:hAnsi="仿宋" w:eastAsia="仿宋" w:cs="仿宋"/>
          <w:color w:val="000000" w:themeColor="text1"/>
          <w:sz w:val="30"/>
          <w:szCs w:val="30"/>
          <w:lang w:val="en-US" w:eastAsia="zh-CN"/>
          <w14:textFill>
            <w14:solidFill>
              <w14:schemeClr w14:val="tx1"/>
            </w14:solidFill>
          </w14:textFill>
        </w:rPr>
        <w:t>现有合流制排水系统雨污混流整治，新建排水管网实行雨污分流，</w:t>
      </w:r>
      <w:r>
        <w:rPr>
          <w:rFonts w:hint="eastAsia" w:ascii="仿宋" w:hAnsi="仿宋" w:eastAsia="仿宋" w:cs="仿宋"/>
          <w:color w:val="000000" w:themeColor="text1"/>
          <w:sz w:val="30"/>
          <w:szCs w:val="30"/>
          <w:lang w:val="zh-CN" w:eastAsia="zh-CN"/>
          <w14:textFill>
            <w14:solidFill>
              <w14:schemeClr w14:val="tx1"/>
            </w14:solidFill>
          </w14:textFill>
        </w:rPr>
        <w:t>彻底解决城镇生活污水直排、污水溢流等现象。加强基础设施建设、管理和维护，</w:t>
      </w:r>
      <w:r>
        <w:rPr>
          <w:rFonts w:hint="eastAsia" w:ascii="仿宋" w:hAnsi="仿宋" w:eastAsia="仿宋" w:cs="仿宋"/>
          <w:color w:val="000000" w:themeColor="text1"/>
          <w:sz w:val="30"/>
          <w:szCs w:val="30"/>
          <w:lang w:val="en-US" w:eastAsia="zh-CN"/>
          <w14:textFill>
            <w14:solidFill>
              <w14:schemeClr w14:val="tx1"/>
            </w14:solidFill>
          </w14:textFill>
        </w:rPr>
        <w:t>推动县域建成区老旧污水管网改造和破损修复，加快污泥无害化集中处理设施建设。2025年底前，改造与新增城市管网长度159.5公里，实现县域建成区污水“零直排”，污泥无害化处置率达到90%以上。</w:t>
      </w:r>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color w:val="000000" w:themeColor="text1"/>
          <w:sz w:val="30"/>
          <w:szCs w:val="30"/>
          <w:lang w:val="en-US" w:eastAsia="zh-CN"/>
          <w14:textFill>
            <w14:solidFill>
              <w14:schemeClr w14:val="tx1"/>
            </w14:solidFill>
          </w14:textFill>
        </w:rPr>
        <w:t>强化沿河面源污染管控。</w:t>
      </w:r>
      <w:r>
        <w:rPr>
          <w:rFonts w:hint="eastAsia" w:ascii="仿宋" w:hAnsi="仿宋" w:eastAsia="仿宋" w:cs="仿宋"/>
          <w:color w:val="000000" w:themeColor="text1"/>
          <w:sz w:val="30"/>
          <w:szCs w:val="30"/>
          <w:lang w:val="en-US" w:eastAsia="zh-CN"/>
          <w14:textFill>
            <w14:solidFill>
              <w14:schemeClr w14:val="tx1"/>
            </w14:solidFill>
          </w14:textFill>
        </w:rPr>
        <w:t>优先控制重点流域氮磷超标河段农业面源，2024年底前，按规定逐步退出河岸缓冲带及河道耕地。</w:t>
      </w:r>
      <w:r>
        <w:rPr>
          <w:rFonts w:hint="eastAsia" w:ascii="仿宋" w:hAnsi="仿宋" w:eastAsia="仿宋" w:cs="仿宋"/>
          <w:sz w:val="30"/>
          <w:szCs w:val="30"/>
          <w:lang w:val="en-US" w:eastAsia="zh-CN"/>
        </w:rPr>
        <w:t>加强农村生活污水治理</w:t>
      </w:r>
      <w:r>
        <w:rPr>
          <w:rFonts w:hint="eastAsia" w:ascii="仿宋" w:hAnsi="仿宋" w:eastAsia="仿宋" w:cs="仿宋"/>
          <w:color w:val="auto"/>
          <w:sz w:val="30"/>
          <w:szCs w:val="30"/>
          <w:lang w:val="en-US" w:eastAsia="zh-CN"/>
        </w:rPr>
        <w:t>，以乡镇为单元，推进农村生活污水治理统一规划、统一建设、统一运行和统一管理，加强已建农村污水处理实施运行维护，2021年底前，运行率达到80%以上，2025年底前，农村生活污水治理率达到50%左右。加强规模化畜禽养殖污染治理，对设有固定排污口的规模化畜禽养殖场实施排污许可制度。强化</w:t>
      </w:r>
      <w:r>
        <w:rPr>
          <w:rFonts w:hint="eastAsia" w:ascii="仿宋" w:hAnsi="仿宋" w:eastAsia="仿宋" w:cs="仿宋"/>
          <w:color w:val="auto"/>
          <w:sz w:val="30"/>
          <w:szCs w:val="30"/>
          <w:lang w:val="zh-CN" w:eastAsia="zh-CN"/>
        </w:rPr>
        <w:t>沿河面源</w:t>
      </w:r>
      <w:r>
        <w:rPr>
          <w:rFonts w:hint="eastAsia" w:ascii="仿宋" w:hAnsi="仿宋" w:eastAsia="仿宋" w:cs="仿宋"/>
          <w:color w:val="auto"/>
          <w:sz w:val="30"/>
          <w:szCs w:val="30"/>
          <w:lang w:val="en-US" w:eastAsia="zh-CN"/>
        </w:rPr>
        <w:t>日常监管</w:t>
      </w:r>
      <w:r>
        <w:rPr>
          <w:rFonts w:hint="eastAsia" w:ascii="仿宋" w:hAnsi="仿宋" w:eastAsia="仿宋" w:cs="仿宋"/>
          <w:color w:val="auto"/>
          <w:sz w:val="30"/>
          <w:szCs w:val="30"/>
          <w:lang w:val="zh-CN" w:eastAsia="zh-CN"/>
        </w:rPr>
        <w:t>，及时清理河道、河面及河岸各种垃圾、</w:t>
      </w:r>
      <w:r>
        <w:rPr>
          <w:rFonts w:hint="eastAsia" w:ascii="仿宋" w:hAnsi="仿宋" w:eastAsia="仿宋" w:cs="仿宋"/>
          <w:sz w:val="30"/>
          <w:szCs w:val="30"/>
          <w:lang w:val="zh-CN" w:eastAsia="zh-CN"/>
        </w:rPr>
        <w:t>漂浮物。彻底排查畜禽养殖污染，杜绝畜禽养殖污水直接排放及畜禽粪便乱堆乱放。</w:t>
      </w:r>
    </w:p>
    <w:p>
      <w:pPr>
        <w:pStyle w:val="5"/>
        <w:bidi w:val="0"/>
        <w:ind w:firstLine="602" w:firstLineChars="200"/>
        <w:rPr>
          <w:rFonts w:hint="eastAsia" w:ascii="仿宋" w:hAnsi="仿宋" w:eastAsia="仿宋" w:cs="仿宋"/>
          <w:sz w:val="30"/>
          <w:szCs w:val="30"/>
          <w:lang w:val="zh-CN" w:eastAsia="zh-CN"/>
        </w:rPr>
      </w:pPr>
      <w:bookmarkStart w:id="137" w:name="_Toc29045"/>
      <w:bookmarkStart w:id="138" w:name="_Toc27215"/>
      <w:bookmarkStart w:id="139" w:name="_Toc4892"/>
      <w:bookmarkStart w:id="140" w:name="_Toc17957"/>
      <w:r>
        <w:rPr>
          <w:rFonts w:hint="eastAsia" w:ascii="仿宋" w:hAnsi="仿宋" w:eastAsia="仿宋" w:cs="仿宋"/>
          <w:sz w:val="30"/>
          <w:szCs w:val="30"/>
          <w:lang w:val="zh-CN" w:eastAsia="zh-CN"/>
        </w:rPr>
        <w:t>三、增强水生态流量</w:t>
      </w:r>
      <w:bookmarkEnd w:id="137"/>
      <w:bookmarkEnd w:id="138"/>
      <w:bookmarkEnd w:id="139"/>
      <w:bookmarkEnd w:id="140"/>
    </w:p>
    <w:p>
      <w:pPr>
        <w:bidi w:val="0"/>
        <w:spacing w:line="360" w:lineRule="auto"/>
        <w:ind w:firstLine="602" w:firstLineChars="200"/>
        <w:rPr>
          <w:rFonts w:hint="eastAsia" w:ascii="仿宋" w:hAnsi="仿宋" w:eastAsia="仿宋" w:cs="仿宋"/>
          <w:color w:val="000000" w:themeColor="text1"/>
          <w:sz w:val="30"/>
          <w:szCs w:val="30"/>
          <w:lang w:val="zh-CN"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推进节水工程建设。</w:t>
      </w:r>
      <w:r>
        <w:rPr>
          <w:rFonts w:hint="eastAsia" w:ascii="仿宋" w:hAnsi="仿宋" w:eastAsia="仿宋" w:cs="仿宋"/>
          <w:color w:val="000000" w:themeColor="text1"/>
          <w:sz w:val="30"/>
          <w:szCs w:val="30"/>
          <w:lang w:val="en-US" w:eastAsia="zh-CN"/>
          <w14:textFill>
            <w14:solidFill>
              <w14:schemeClr w14:val="tx1"/>
            </w14:solidFill>
          </w14:textFill>
        </w:rPr>
        <w:t>推动高标准农田建设，农田灌溉水有效利用系数达到0.593（辽宁省国民经济和社会发展第十四个五年规划和2035年远景目标纲要）。推行人工湿地等水质净化工程建设，处理达标后尾水补给生态水量，纳入水资源统一调配。</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color w:val="000000" w:themeColor="text1"/>
          <w:sz w:val="30"/>
          <w:szCs w:val="30"/>
          <w:lang w:val="en-US" w:eastAsia="zh-CN"/>
          <w14:textFill>
            <w14:solidFill>
              <w14:schemeClr w14:val="tx1"/>
            </w14:solidFill>
          </w14:textFill>
        </w:rPr>
        <w:t>保障饮用水水源安全。</w:t>
      </w:r>
      <w:r>
        <w:rPr>
          <w:rFonts w:hint="eastAsia" w:ascii="仿宋" w:hAnsi="仿宋" w:eastAsia="仿宋" w:cs="仿宋"/>
          <w:color w:val="000000" w:themeColor="text1"/>
          <w:sz w:val="30"/>
          <w:szCs w:val="30"/>
          <w:lang w:val="en-US" w:eastAsia="zh-CN"/>
          <w14:textFill>
            <w14:solidFill>
              <w14:schemeClr w14:val="tx1"/>
            </w14:solidFill>
          </w14:textFill>
        </w:rPr>
        <w:t>推进水源地规范化建设和环境整治，进一步强化水源地一级保护区封闭管护和二级保</w:t>
      </w:r>
      <w:r>
        <w:rPr>
          <w:rFonts w:hint="eastAsia" w:ascii="仿宋" w:hAnsi="仿宋" w:eastAsia="仿宋" w:cs="仿宋"/>
          <w:sz w:val="30"/>
          <w:szCs w:val="30"/>
          <w:lang w:val="en-US" w:eastAsia="zh-CN"/>
        </w:rPr>
        <w:t>护区风险防范设施建设，建立风险源清单。开展乡镇及以上饮用水源地风险源排查和整治，加强监测、监控和应急能力建设，建立水源地固定巡查管理制度，制定风险防控方案，重要水源地主要入库河流制定“一河一图一策”环境应急措施。2022年底前，饮用水源全部达标。推进农村集中式饮用水水源保护区划定，加强农村水源水质监测，建立健全部门间监测数据共享机制。到2025 年，完成乡镇集中式饮用水水源保护区划定与勘界立标。</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深化黑臭水体整治。</w:t>
      </w:r>
      <w:r>
        <w:rPr>
          <w:rFonts w:hint="eastAsia" w:ascii="仿宋" w:hAnsi="仿宋" w:eastAsia="仿宋" w:cs="仿宋"/>
          <w:sz w:val="30"/>
          <w:szCs w:val="30"/>
          <w:lang w:val="en-US" w:eastAsia="zh-CN"/>
        </w:rPr>
        <w:t>持续开展建成区黑臭水体整治专项督查，定期实施交叉监测，巩固黑臭水体治理成果，到2025年，基本消除劣V类水质断面。</w:t>
      </w:r>
    </w:p>
    <w:p>
      <w:pPr>
        <w:pStyle w:val="5"/>
        <w:bidi w:val="0"/>
        <w:ind w:firstLine="602" w:firstLineChars="200"/>
        <w:rPr>
          <w:rFonts w:hint="eastAsia" w:ascii="仿宋" w:hAnsi="仿宋" w:eastAsia="仿宋" w:cs="仿宋"/>
          <w:sz w:val="30"/>
          <w:szCs w:val="30"/>
          <w:lang w:val="en-US" w:eastAsia="zh-CN"/>
        </w:rPr>
      </w:pPr>
      <w:bookmarkStart w:id="141" w:name="_Toc14843"/>
      <w:bookmarkStart w:id="142" w:name="_Toc30498"/>
      <w:bookmarkStart w:id="143" w:name="_Toc2733"/>
      <w:bookmarkStart w:id="144" w:name="_Toc7613"/>
      <w:r>
        <w:rPr>
          <w:rFonts w:hint="eastAsia" w:ascii="仿宋" w:hAnsi="仿宋" w:eastAsia="仿宋" w:cs="仿宋"/>
          <w:sz w:val="30"/>
          <w:szCs w:val="30"/>
          <w:lang w:val="en-US" w:eastAsia="zh-CN"/>
        </w:rPr>
        <w:t>四、推进水生态保护修复</w:t>
      </w:r>
      <w:bookmarkEnd w:id="141"/>
      <w:bookmarkEnd w:id="142"/>
      <w:bookmarkEnd w:id="143"/>
      <w:bookmarkEnd w:id="144"/>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加强水源涵养与水土保持。</w:t>
      </w:r>
      <w:r>
        <w:rPr>
          <w:rFonts w:hint="eastAsia" w:ascii="仿宋" w:hAnsi="仿宋" w:eastAsia="仿宋" w:cs="仿宋"/>
          <w:sz w:val="30"/>
          <w:szCs w:val="30"/>
          <w:lang w:val="en-US" w:eastAsia="zh-CN"/>
        </w:rPr>
        <w:t>增强小柳河、饶阳河、饶阳运河在县辖域内</w:t>
      </w:r>
      <w:r>
        <w:rPr>
          <w:rFonts w:hint="eastAsia" w:ascii="仿宋" w:hAnsi="仿宋" w:eastAsia="仿宋" w:cs="仿宋"/>
          <w:sz w:val="30"/>
          <w:szCs w:val="30"/>
          <w:lang w:eastAsia="zh-CN"/>
        </w:rPr>
        <w:t>中上游</w:t>
      </w:r>
      <w:r>
        <w:rPr>
          <w:rFonts w:hint="eastAsia" w:ascii="仿宋" w:hAnsi="仿宋" w:eastAsia="仿宋" w:cs="仿宋"/>
          <w:sz w:val="30"/>
          <w:szCs w:val="30"/>
          <w:lang w:val="en-US" w:eastAsia="zh-CN"/>
        </w:rPr>
        <w:t>水土保持功能水源涵养功能，推进水源涵养、水土保持工程建设。</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强化生态修复与培育河道生态示范区。</w:t>
      </w:r>
      <w:r>
        <w:rPr>
          <w:rFonts w:hint="eastAsia" w:ascii="仿宋" w:hAnsi="仿宋" w:eastAsia="仿宋" w:cs="仿宋"/>
          <w:sz w:val="30"/>
          <w:szCs w:val="30"/>
          <w:lang w:val="en-US" w:eastAsia="zh-CN"/>
        </w:rPr>
        <w:t>加大河岸缓冲带、河道退耕还林、还湿、还草力度。在小柳河、饶阳河、饶阳运河等重点流域培育典型河道生态示范区，呈现河道治理、生物多样性恢复、湿地生态修复、美丽河湖建设、生态补水等典型生态保护修复景观，提升河流水生态环境质量。</w:t>
      </w:r>
    </w:p>
    <w:p>
      <w:pPr>
        <w:pStyle w:val="5"/>
        <w:bidi w:val="0"/>
        <w:ind w:firstLine="602" w:firstLineChars="200"/>
        <w:rPr>
          <w:rFonts w:hint="eastAsia" w:ascii="仿宋" w:hAnsi="仿宋" w:eastAsia="仿宋" w:cs="仿宋"/>
          <w:sz w:val="30"/>
          <w:szCs w:val="30"/>
          <w:lang w:val="zh-CN" w:eastAsia="zh-CN"/>
        </w:rPr>
      </w:pPr>
      <w:bookmarkStart w:id="145" w:name="_Toc13673"/>
      <w:bookmarkStart w:id="146" w:name="_Toc2394"/>
      <w:bookmarkStart w:id="147" w:name="_Toc5013"/>
      <w:bookmarkStart w:id="148" w:name="_Toc29422"/>
      <w:bookmarkStart w:id="149" w:name="_Toc9962"/>
      <w:bookmarkStart w:id="150" w:name="_Toc14742"/>
      <w:bookmarkStart w:id="151" w:name="_Toc31024"/>
      <w:bookmarkStart w:id="152" w:name="_Toc16001"/>
      <w:bookmarkStart w:id="153" w:name="_Toc18707"/>
      <w:bookmarkStart w:id="154" w:name="_Toc30570"/>
      <w:bookmarkStart w:id="155" w:name="_Toc16002"/>
      <w:bookmarkStart w:id="156" w:name="_Toc3339"/>
      <w:bookmarkStart w:id="157" w:name="_Toc4106"/>
      <w:r>
        <w:rPr>
          <w:rFonts w:hint="eastAsia" w:ascii="仿宋" w:hAnsi="仿宋" w:eastAsia="仿宋" w:cs="仿宋"/>
          <w:sz w:val="30"/>
          <w:szCs w:val="30"/>
          <w:lang w:val="en-US" w:eastAsia="zh-CN"/>
        </w:rPr>
        <w:t>五、</w:t>
      </w:r>
      <w:r>
        <w:rPr>
          <w:rFonts w:hint="eastAsia" w:ascii="仿宋" w:hAnsi="仿宋" w:eastAsia="仿宋" w:cs="仿宋"/>
          <w:sz w:val="30"/>
          <w:szCs w:val="30"/>
          <w:lang w:val="zh-CN" w:eastAsia="zh-CN"/>
        </w:rPr>
        <w:t>健全水污染治理长效机制</w:t>
      </w:r>
      <w:bookmarkEnd w:id="145"/>
      <w:bookmarkEnd w:id="146"/>
      <w:bookmarkEnd w:id="147"/>
      <w:bookmarkEnd w:id="148"/>
      <w:bookmarkEnd w:id="149"/>
      <w:bookmarkEnd w:id="150"/>
      <w:bookmarkEnd w:id="151"/>
      <w:bookmarkEnd w:id="152"/>
      <w:bookmarkEnd w:id="153"/>
      <w:bookmarkEnd w:id="154"/>
      <w:bookmarkEnd w:id="155"/>
      <w:bookmarkEnd w:id="156"/>
      <w:bookmarkEnd w:id="157"/>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健全水环境管理责任体系。</w:t>
      </w:r>
      <w:r>
        <w:rPr>
          <w:rFonts w:hint="eastAsia" w:ascii="仿宋" w:hAnsi="仿宋" w:eastAsia="仿宋" w:cs="仿宋"/>
          <w:sz w:val="30"/>
          <w:szCs w:val="30"/>
          <w:lang w:val="en-US" w:eastAsia="zh-CN"/>
        </w:rPr>
        <w:t>建立健全县区/乡镇水环境管理体系，落实主体责任，强化村级水环境管理主体责任，构建“水体-排污口-排污管线-污染源”全链条水污染物排放治理体系。</w:t>
      </w:r>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sz w:val="30"/>
          <w:szCs w:val="30"/>
          <w:lang w:val="zh-CN" w:eastAsia="zh-CN"/>
        </w:rPr>
        <w:t>严格落实“河长制”。</w:t>
      </w:r>
      <w:r>
        <w:rPr>
          <w:rFonts w:hint="eastAsia" w:ascii="仿宋" w:hAnsi="仿宋" w:eastAsia="仿宋" w:cs="仿宋"/>
          <w:sz w:val="30"/>
          <w:szCs w:val="30"/>
          <w:lang w:val="zh-CN" w:eastAsia="zh-CN"/>
        </w:rPr>
        <w:t>深入落实和完善“河长制”，充分发挥各级河长的作用，将“河长制”变为常态化、长效化管理机制。</w:t>
      </w:r>
      <w:r>
        <w:rPr>
          <w:rFonts w:hint="eastAsia" w:ascii="仿宋" w:hAnsi="仿宋" w:eastAsia="仿宋" w:cs="仿宋"/>
          <w:sz w:val="30"/>
          <w:szCs w:val="30"/>
          <w:lang w:val="en-US" w:eastAsia="zh-CN"/>
        </w:rPr>
        <w:t>继续实施河流断面水质包保制度，</w:t>
      </w:r>
      <w:r>
        <w:rPr>
          <w:rFonts w:hint="eastAsia" w:ascii="仿宋" w:hAnsi="仿宋" w:eastAsia="仿宋" w:cs="仿宋"/>
          <w:sz w:val="30"/>
          <w:szCs w:val="30"/>
          <w:lang w:val="zh-CN" w:eastAsia="zh-CN"/>
        </w:rPr>
        <w:t>对全市河流逐河段、逐区域进行细化，施行各乡镇、开发区对本辖区内河流断面水质领导包保制度。</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zh-CN" w:eastAsia="zh-CN"/>
        </w:rPr>
        <w:t>健全水环境监测网络。</w:t>
      </w:r>
      <w:r>
        <w:rPr>
          <w:rFonts w:hint="eastAsia" w:ascii="仿宋" w:hAnsi="仿宋" w:eastAsia="仿宋" w:cs="仿宋"/>
          <w:sz w:val="30"/>
          <w:szCs w:val="30"/>
          <w:lang w:val="zh-CN" w:eastAsia="zh-CN"/>
        </w:rPr>
        <w:t>健全地表水环境质量监测网络，全面提升国控、省控、市控断面在线监测能力，实现重点断面水质全范围、全时段监测。2023年底前市级工业集聚区全部安装自动在线监控装置，2025年底前县级工业集聚区全部安装自动在线监控装置。</w:t>
      </w:r>
      <w:r>
        <w:rPr>
          <w:rFonts w:hint="eastAsia" w:ascii="仿宋" w:hAnsi="仿宋" w:eastAsia="仿宋" w:cs="仿宋"/>
          <w:sz w:val="30"/>
          <w:szCs w:val="30"/>
          <w:lang w:val="en-US" w:eastAsia="zh-CN"/>
        </w:rPr>
        <w:t>建立智能水环境管理系统，科学评估水环境、水资源、水生态等变化趋势，实现预报预警与污染物溯源。</w:t>
      </w:r>
    </w:p>
    <w:p>
      <w:pPr>
        <w:pStyle w:val="2"/>
        <w:rPr>
          <w:rFonts w:hint="eastAsia" w:ascii="仿宋" w:hAnsi="仿宋" w:eastAsia="仿宋" w:cs="仿宋"/>
          <w:sz w:val="30"/>
          <w:szCs w:val="30"/>
          <w:lang w:val="en-US" w:eastAsia="zh-CN"/>
        </w:rPr>
      </w:pPr>
    </w:p>
    <w:p>
      <w:pPr>
        <w:pStyle w:val="2"/>
        <w:rPr>
          <w:rFonts w:hint="eastAsia" w:ascii="仿宋" w:hAnsi="仿宋" w:eastAsia="仿宋" w:cs="仿宋"/>
          <w:sz w:val="30"/>
          <w:szCs w:val="30"/>
          <w:lang w:val="en-US" w:eastAsia="zh-CN"/>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858"/>
        <w:gridCol w:w="6300"/>
        <w:gridCol w:w="136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b/>
                <w:bCs/>
                <w:sz w:val="21"/>
                <w:szCs w:val="21"/>
                <w:vertAlign w:val="baseline"/>
              </w:rPr>
            </w:pPr>
            <w:r>
              <w:rPr>
                <w:rFonts w:hint="eastAsia" w:ascii="仿宋" w:hAnsi="仿宋" w:eastAsia="仿宋" w:cs="仿宋"/>
                <w:b/>
                <w:bCs/>
                <w:sz w:val="24"/>
                <w:szCs w:val="24"/>
                <w:vertAlign w:val="baseline"/>
                <w:lang w:eastAsia="zh-CN"/>
              </w:rPr>
              <w:t>专栏五</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碧水工程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序号</w:t>
            </w:r>
          </w:p>
        </w:tc>
        <w:tc>
          <w:tcPr>
            <w:tcW w:w="6300"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项目名称</w:t>
            </w:r>
          </w:p>
        </w:tc>
        <w:tc>
          <w:tcPr>
            <w:tcW w:w="1364"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台安县桑林镇黑臭水体整治建设项目</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台安县乡镇污水处理设施及配套管网工程（包括达牛镇、新开河镇、黄沙坨镇、高力房镇等）</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台安县城区生态水系工程（黑臭水体整治工程）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辽宁台安经济开发区污水处理厂扩建工程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color w:val="auto"/>
                <w:kern w:val="0"/>
                <w:sz w:val="21"/>
                <w:szCs w:val="21"/>
                <w:highlight w:val="none"/>
                <w:lang w:bidi="ar"/>
              </w:rPr>
              <w:t>台安农业高新技术产业园污水处理厂提标改造工程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lang w:val="en-US" w:eastAsia="zh-CN" w:bidi="ar"/>
              </w:rPr>
            </w:pPr>
            <w:r>
              <w:rPr>
                <w:rFonts w:hint="default" w:ascii="Times New Roman" w:hAnsi="Times New Roman" w:eastAsia="仿宋" w:cs="Times New Roman"/>
                <w:color w:val="auto"/>
                <w:sz w:val="21"/>
                <w:szCs w:val="21"/>
                <w:lang w:eastAsia="zh-CN"/>
              </w:rPr>
              <w:t>台安县城区雨污合流管线分流改造工程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color w:val="auto"/>
                <w:sz w:val="21"/>
                <w:szCs w:val="21"/>
                <w:lang w:val="en-US" w:eastAsia="zh-CN"/>
              </w:rPr>
              <w:t>台安县农村生活污水治理工程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辽宁台安经济开发区基础设施建设工程（一期）</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辽宁台安经济开发区基础设施建设工程（二期）</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台安县新建供水工程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辽河流域生态修复工程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辽河干流提升工程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13</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台安县域水系连通工程</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14</w:t>
            </w:r>
          </w:p>
        </w:tc>
        <w:tc>
          <w:tcPr>
            <w:tcW w:w="630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中小河流治理工程（包括小柳河、九股河、浑河河道水生态修复等）</w:t>
            </w:r>
          </w:p>
        </w:tc>
        <w:tc>
          <w:tcPr>
            <w:tcW w:w="136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r>
    </w:tbl>
    <w:p>
      <w:pPr>
        <w:pStyle w:val="2"/>
        <w:rPr>
          <w:rFonts w:hint="eastAsia" w:ascii="仿宋" w:hAnsi="仿宋" w:eastAsia="仿宋" w:cs="仿宋"/>
          <w:sz w:val="30"/>
          <w:szCs w:val="30"/>
        </w:rPr>
      </w:pPr>
    </w:p>
    <w:p>
      <w:pPr>
        <w:pStyle w:val="2"/>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158" w:name="_Toc19729"/>
      <w:r>
        <w:rPr>
          <w:rFonts w:hint="eastAsia"/>
          <w:lang w:eastAsia="zh-CN"/>
        </w:rPr>
        <w:t>第七节</w:t>
      </w:r>
      <w:r>
        <w:rPr>
          <w:rFonts w:hint="eastAsia"/>
          <w:lang w:val="en-US" w:eastAsia="zh-CN"/>
        </w:rPr>
        <w:t xml:space="preserve"> </w:t>
      </w:r>
      <w:r>
        <w:rPr>
          <w:rFonts w:hint="eastAsia"/>
          <w:lang w:eastAsia="zh-CN"/>
        </w:rPr>
        <w:t>加强土壤污染防范，保证土壤安全</w:t>
      </w:r>
      <w:bookmarkEnd w:id="158"/>
    </w:p>
    <w:p>
      <w:pPr>
        <w:pStyle w:val="5"/>
        <w:bidi w:val="0"/>
        <w:ind w:firstLine="602" w:firstLineChars="200"/>
        <w:rPr>
          <w:rFonts w:hint="eastAsia" w:ascii="仿宋" w:hAnsi="仿宋" w:eastAsia="仿宋" w:cs="仿宋"/>
          <w:sz w:val="30"/>
          <w:szCs w:val="30"/>
          <w:lang w:val="en-US" w:eastAsia="zh-CN"/>
        </w:rPr>
      </w:pPr>
      <w:bookmarkStart w:id="159" w:name="_Toc22768"/>
      <w:bookmarkStart w:id="160" w:name="_Toc12509"/>
      <w:bookmarkStart w:id="161" w:name="_Toc1234"/>
      <w:bookmarkStart w:id="162" w:name="_Toc7331"/>
      <w:r>
        <w:rPr>
          <w:rFonts w:hint="eastAsia" w:ascii="仿宋" w:hAnsi="仿宋" w:eastAsia="仿宋" w:cs="仿宋"/>
          <w:sz w:val="30"/>
          <w:szCs w:val="30"/>
          <w:lang w:val="en-US" w:eastAsia="zh-CN"/>
        </w:rPr>
        <w:t>一、加强土壤污染防范体系建设</w:t>
      </w:r>
      <w:bookmarkEnd w:id="159"/>
      <w:bookmarkEnd w:id="160"/>
      <w:bookmarkEnd w:id="161"/>
      <w:bookmarkEnd w:id="162"/>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严格土壤污染源头管控。</w:t>
      </w:r>
      <w:r>
        <w:rPr>
          <w:rFonts w:hint="eastAsia" w:ascii="仿宋" w:hAnsi="仿宋" w:eastAsia="仿宋" w:cs="仿宋"/>
          <w:sz w:val="30"/>
          <w:szCs w:val="30"/>
          <w:lang w:val="en-US" w:eastAsia="zh-CN"/>
        </w:rPr>
        <w:t>将土壤和地下水环境要求纳入国土空间规划，根据土壤污染状况和风险级别合理规划土地用途。禁止永久基本农田集中区域规划新建可能造成土壤污染的建设项目，新 （改、扩）建涉及有毒有害物质可能造成土壤污染的建设项目，提出并落实土壤和地下水污染防治要求。严格建设用地准</w:t>
      </w:r>
      <w:r>
        <w:rPr>
          <w:rFonts w:hint="eastAsia" w:ascii="仿宋" w:hAnsi="仿宋" w:eastAsia="仿宋" w:cs="仿宋"/>
          <w:sz w:val="30"/>
          <w:szCs w:val="30"/>
          <w:lang w:val="zh-CN" w:eastAsia="zh-CN"/>
        </w:rPr>
        <w:t>入</w:t>
      </w:r>
      <w:r>
        <w:rPr>
          <w:rFonts w:hint="eastAsia" w:ascii="仿宋" w:hAnsi="仿宋" w:eastAsia="仿宋" w:cs="仿宋"/>
          <w:sz w:val="30"/>
          <w:szCs w:val="30"/>
          <w:lang w:val="en-US" w:eastAsia="zh-CN"/>
        </w:rPr>
        <w:t>管理</w:t>
      </w:r>
      <w:r>
        <w:rPr>
          <w:rFonts w:hint="eastAsia" w:ascii="仿宋" w:hAnsi="仿宋" w:eastAsia="仿宋" w:cs="仿宋"/>
          <w:sz w:val="30"/>
          <w:szCs w:val="30"/>
          <w:lang w:val="zh-CN" w:eastAsia="zh-CN"/>
        </w:rPr>
        <w:t>，</w:t>
      </w:r>
      <w:r>
        <w:rPr>
          <w:rFonts w:hint="eastAsia" w:ascii="仿宋" w:hAnsi="仿宋" w:eastAsia="仿宋" w:cs="仿宋"/>
          <w:sz w:val="30"/>
          <w:szCs w:val="30"/>
          <w:lang w:val="en-US" w:eastAsia="zh-CN"/>
        </w:rPr>
        <w:t>严控开发未达到</w:t>
      </w:r>
      <w:r>
        <w:rPr>
          <w:rFonts w:hint="eastAsia" w:ascii="仿宋" w:hAnsi="仿宋" w:eastAsia="仿宋" w:cs="仿宋"/>
          <w:sz w:val="30"/>
          <w:szCs w:val="30"/>
          <w:lang w:val="zh-CN" w:eastAsia="zh-CN"/>
        </w:rPr>
        <w:t>土壤污染风险评估</w:t>
      </w:r>
      <w:r>
        <w:rPr>
          <w:rFonts w:hint="eastAsia" w:ascii="仿宋" w:hAnsi="仿宋" w:eastAsia="仿宋" w:cs="仿宋"/>
          <w:sz w:val="30"/>
          <w:szCs w:val="30"/>
          <w:lang w:val="en-US" w:eastAsia="zh-CN"/>
        </w:rPr>
        <w:t>目标的地块</w:t>
      </w:r>
      <w:r>
        <w:rPr>
          <w:rFonts w:hint="eastAsia" w:ascii="仿宋" w:hAnsi="仿宋" w:eastAsia="仿宋" w:cs="仿宋"/>
          <w:sz w:val="30"/>
          <w:szCs w:val="30"/>
          <w:lang w:val="zh-CN" w:eastAsia="zh-CN"/>
        </w:rPr>
        <w:t>，深</w:t>
      </w:r>
      <w:r>
        <w:rPr>
          <w:rFonts w:hint="eastAsia" w:ascii="仿宋" w:hAnsi="仿宋" w:eastAsia="仿宋" w:cs="仿宋"/>
          <w:sz w:val="30"/>
          <w:szCs w:val="30"/>
          <w:lang w:val="en-US" w:eastAsia="zh-CN"/>
        </w:rPr>
        <w:t>入实施污染</w:t>
      </w:r>
      <w:r>
        <w:rPr>
          <w:rFonts w:hint="eastAsia" w:ascii="仿宋" w:hAnsi="仿宋" w:eastAsia="仿宋" w:cs="仿宋"/>
          <w:sz w:val="30"/>
          <w:szCs w:val="30"/>
          <w:lang w:val="zh-CN" w:eastAsia="zh-CN"/>
        </w:rPr>
        <w:t>耕地分类管理，严格</w:t>
      </w:r>
      <w:r>
        <w:rPr>
          <w:rFonts w:hint="eastAsia" w:ascii="仿宋" w:hAnsi="仿宋" w:eastAsia="仿宋" w:cs="仿宋"/>
          <w:sz w:val="30"/>
          <w:szCs w:val="30"/>
          <w:lang w:val="en-US" w:eastAsia="zh-CN"/>
        </w:rPr>
        <w:t>落实</w:t>
      </w:r>
      <w:r>
        <w:rPr>
          <w:rFonts w:hint="eastAsia" w:ascii="仿宋" w:hAnsi="仿宋" w:eastAsia="仿宋" w:cs="仿宋"/>
          <w:sz w:val="30"/>
          <w:szCs w:val="30"/>
          <w:lang w:val="zh-CN" w:eastAsia="zh-CN"/>
        </w:rPr>
        <w:t>受污染耕地安全利用和管控措施</w:t>
      </w:r>
      <w:r>
        <w:rPr>
          <w:rFonts w:hint="eastAsia" w:ascii="仿宋" w:hAnsi="仿宋" w:eastAsia="仿宋" w:cs="仿宋"/>
          <w:sz w:val="30"/>
          <w:szCs w:val="30"/>
          <w:lang w:val="en-US" w:eastAsia="zh-CN"/>
        </w:rPr>
        <w:t>。严格涉重金属行业污染排放，将涉重金属行业企业纳入大气、水污染物重点排污单位名录，到2025年底前，全部安装污染物排放自动监测设备，对重金属实行自动监测。</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防范新增土壤污染。</w:t>
      </w:r>
      <w:r>
        <w:rPr>
          <w:rFonts w:hint="eastAsia" w:ascii="仿宋" w:hAnsi="仿宋" w:eastAsia="仿宋" w:cs="仿宋"/>
          <w:sz w:val="30"/>
          <w:szCs w:val="30"/>
          <w:lang w:val="en-US" w:eastAsia="zh-CN"/>
        </w:rPr>
        <w:t>定期更新土壤污染重点监管单位名录，完善土壤污染重点监管单位名录，探索建立地下水重点污染源清单，到2025年底，全县土壤污染重点监管单位排污许可证应当全部载明土壤和地下水污染防治要求。定期对土壤污染重点监管单位和地下水重点污染源周边土壤、地下水开展监督性监测。督促企业定期开展土壤及地下水环境自行监测、污染隐患排查，到2025年，至少完成一轮排查整改。</w:t>
      </w:r>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sz w:val="30"/>
          <w:szCs w:val="30"/>
          <w:lang w:val="zh-CN" w:eastAsia="zh-CN"/>
        </w:rPr>
        <w:t>强化部门联动监管机制。</w:t>
      </w:r>
      <w:r>
        <w:rPr>
          <w:rFonts w:hint="eastAsia" w:ascii="仿宋" w:hAnsi="仿宋" w:eastAsia="仿宋" w:cs="仿宋"/>
          <w:sz w:val="30"/>
          <w:szCs w:val="30"/>
          <w:lang w:val="en-US" w:eastAsia="zh-CN"/>
        </w:rPr>
        <w:t>动态更新高风险区域监控点位，建立重点行业企业用地土壤污染状况调查和污染源普查成果数据平台，开展土壤污染健康风险评估，选取典型超筛选值农用地和建设用地开展评估。</w:t>
      </w:r>
      <w:r>
        <w:rPr>
          <w:rFonts w:hint="eastAsia" w:ascii="仿宋" w:hAnsi="仿宋" w:eastAsia="仿宋" w:cs="仿宋"/>
          <w:sz w:val="30"/>
          <w:szCs w:val="30"/>
          <w:lang w:val="zh-CN" w:eastAsia="zh-CN"/>
        </w:rPr>
        <w:t>会同自然资源、农业农村、工信、行政审批等部门定期召开土壤污染联席会议，抓好相关部门和重点企业土壤污染防治相关法律法规宣贯，统筹推进全市土壤污染防治工作。</w:t>
      </w:r>
    </w:p>
    <w:p>
      <w:pPr>
        <w:pStyle w:val="5"/>
        <w:bidi w:val="0"/>
        <w:ind w:firstLine="602" w:firstLineChars="200"/>
        <w:rPr>
          <w:rFonts w:hint="eastAsia" w:ascii="仿宋" w:hAnsi="仿宋" w:eastAsia="仿宋" w:cs="仿宋"/>
          <w:sz w:val="30"/>
          <w:szCs w:val="30"/>
          <w:lang w:val="en-US" w:eastAsia="zh-CN"/>
        </w:rPr>
      </w:pPr>
      <w:bookmarkStart w:id="163" w:name="_Toc24350"/>
      <w:bookmarkStart w:id="164" w:name="_Toc28865"/>
      <w:bookmarkStart w:id="165" w:name="_Toc19843"/>
      <w:bookmarkStart w:id="166" w:name="_Toc4777"/>
      <w:r>
        <w:rPr>
          <w:rFonts w:hint="eastAsia" w:ascii="仿宋" w:hAnsi="仿宋" w:eastAsia="仿宋" w:cs="仿宋"/>
          <w:sz w:val="30"/>
          <w:szCs w:val="30"/>
          <w:lang w:val="en-US" w:eastAsia="zh-CN"/>
        </w:rPr>
        <w:t>二、强化耕地安全利用管控</w:t>
      </w:r>
      <w:bookmarkEnd w:id="163"/>
      <w:bookmarkEnd w:id="164"/>
      <w:bookmarkEnd w:id="165"/>
      <w:bookmarkEnd w:id="166"/>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zh-CN" w:eastAsia="zh-CN"/>
        </w:rPr>
        <w:t>推进耕地污染风险排查。</w:t>
      </w:r>
      <w:r>
        <w:rPr>
          <w:rFonts w:hint="eastAsia" w:ascii="仿宋" w:hAnsi="仿宋" w:eastAsia="仿宋" w:cs="仿宋"/>
          <w:color w:val="000000" w:themeColor="text1"/>
          <w:sz w:val="30"/>
          <w:szCs w:val="30"/>
          <w:lang w:val="en-US" w:eastAsia="zh-CN"/>
          <w14:textFill>
            <w14:solidFill>
              <w14:schemeClr w14:val="tx1"/>
            </w14:solidFill>
          </w14:textFill>
        </w:rPr>
        <w:t>持续推进耕地周边涉重金属行业企业排查整治，动态更新污染源排查整治清单，综合应用卫星遥感、无人机和现场踏勘等方式分阶段排查，2022年底前，完成耕地周边涉重金属行业企业污染源排查整治。</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强化耕地安全利用。</w:t>
      </w:r>
      <w:r>
        <w:rPr>
          <w:rFonts w:hint="eastAsia" w:ascii="仿宋" w:hAnsi="仿宋" w:eastAsia="仿宋" w:cs="仿宋"/>
          <w:sz w:val="30"/>
          <w:szCs w:val="30"/>
          <w:lang w:val="en-US" w:eastAsia="zh-CN"/>
        </w:rPr>
        <w:t>严格保护优先保护类农用地，确保其面积不减、土壤环境质量不降。推广应用品种替代、水肥调控、土壤调理等技术，建立完善安全利用技术库和农作物种植推荐清单。加强严格管控类耕地监管，依法划定特定农产品禁止生产区域，鼓励采取种植结构调整、退耕还林还草</w:t>
      </w:r>
      <w:r>
        <w:rPr>
          <w:rFonts w:hint="eastAsia" w:ascii="仿宋" w:hAnsi="仿宋" w:eastAsia="仿宋" w:cs="仿宋"/>
          <w:color w:val="auto"/>
          <w:sz w:val="30"/>
          <w:szCs w:val="30"/>
          <w:lang w:val="en-US" w:eastAsia="zh-CN"/>
        </w:rPr>
        <w:t>等措施。到2025年，完成省、市下达的安全利用和严格管控任务，受污染耕地安全利用率达到90%以上。</w:t>
      </w:r>
    </w:p>
    <w:p>
      <w:pPr>
        <w:pStyle w:val="5"/>
        <w:bidi w:val="0"/>
        <w:ind w:firstLine="602" w:firstLineChars="200"/>
        <w:rPr>
          <w:rFonts w:hint="eastAsia" w:ascii="仿宋" w:hAnsi="仿宋" w:eastAsia="仿宋" w:cs="仿宋"/>
          <w:sz w:val="30"/>
          <w:szCs w:val="30"/>
          <w:lang w:val="en-US" w:eastAsia="zh-CN"/>
        </w:rPr>
      </w:pPr>
      <w:bookmarkStart w:id="167" w:name="_Toc4128"/>
      <w:bookmarkStart w:id="168" w:name="_Toc28687"/>
      <w:bookmarkStart w:id="169" w:name="_Toc17569"/>
      <w:bookmarkStart w:id="170" w:name="_Toc22609"/>
      <w:r>
        <w:rPr>
          <w:rFonts w:hint="eastAsia" w:ascii="仿宋" w:hAnsi="仿宋" w:eastAsia="仿宋" w:cs="仿宋"/>
          <w:sz w:val="30"/>
          <w:szCs w:val="30"/>
          <w:lang w:val="en-US" w:eastAsia="zh-CN"/>
        </w:rPr>
        <w:t>三、有序实施建设用地风险管控</w:t>
      </w:r>
      <w:bookmarkEnd w:id="167"/>
      <w:bookmarkEnd w:id="168"/>
      <w:bookmarkEnd w:id="169"/>
      <w:bookmarkEnd w:id="170"/>
    </w:p>
    <w:p>
      <w:pPr>
        <w:bidi w:val="0"/>
        <w:spacing w:line="360" w:lineRule="auto"/>
        <w:ind w:firstLine="600" w:firstLineChars="200"/>
        <w:rPr>
          <w:rFonts w:hint="eastAsia" w:ascii="仿宋" w:hAnsi="仿宋" w:eastAsia="仿宋" w:cs="仿宋"/>
          <w:color w:val="auto"/>
          <w:sz w:val="30"/>
          <w:szCs w:val="30"/>
          <w:lang w:val="en-US" w:eastAsia="zh-CN"/>
        </w:rPr>
      </w:pPr>
      <w:r>
        <w:rPr>
          <w:rFonts w:hint="eastAsia" w:ascii="仿宋" w:hAnsi="仿宋" w:eastAsia="仿宋" w:cs="仿宋"/>
          <w:sz w:val="30"/>
          <w:szCs w:val="30"/>
          <w:lang w:val="en-US" w:eastAsia="zh-CN"/>
        </w:rPr>
        <w:t>实行建设用地土壤污染风险管控和修复名录制度。2022年，完成重点行业企业用地土壤污染状况调查成果集成与上报，印发优先管控地块名单。健全土壤和地下水环境基础数据库，加强部门间信息共享。2023年底前，以用途变更为住宅、公共管理与公共服务用地的污染地块为重点，建立污染地块联动监管准入、严格评估评审、定期调度通报、跟踪督查整改机制。加强信息公开，在土地出让以及房地产出售等环节，实行土壤污染状况公示制度，土地使用权人根据有关要求公开地块土壤污染状况及污染治理和修复情况。强化土壤修复过程二次污染防控，加强重点地区危险化学品搬迁改造腾退土地污染风险管控和治</w:t>
      </w:r>
      <w:r>
        <w:rPr>
          <w:rFonts w:hint="eastAsia" w:ascii="仿宋" w:hAnsi="仿宋" w:eastAsia="仿宋" w:cs="仿宋"/>
          <w:color w:val="auto"/>
          <w:sz w:val="30"/>
          <w:szCs w:val="30"/>
          <w:lang w:val="en-US" w:eastAsia="zh-CN"/>
        </w:rPr>
        <w:t>理修复，落实土壤污染防治和风险管控措施。</w:t>
      </w:r>
    </w:p>
    <w:p>
      <w:pPr>
        <w:pStyle w:val="5"/>
        <w:bidi w:val="0"/>
        <w:ind w:firstLine="602" w:firstLineChars="200"/>
        <w:rPr>
          <w:rFonts w:hint="eastAsia" w:ascii="仿宋" w:hAnsi="仿宋" w:eastAsia="仿宋" w:cs="仿宋"/>
          <w:sz w:val="30"/>
          <w:szCs w:val="30"/>
          <w:lang w:val="en-US" w:eastAsia="zh-CN"/>
        </w:rPr>
      </w:pPr>
      <w:bookmarkStart w:id="171" w:name="_Toc12880"/>
      <w:bookmarkStart w:id="172" w:name="_Toc12312"/>
      <w:bookmarkStart w:id="173" w:name="_Toc16656"/>
      <w:bookmarkStart w:id="174" w:name="_Toc20062"/>
      <w:r>
        <w:rPr>
          <w:rFonts w:hint="eastAsia" w:ascii="仿宋" w:hAnsi="仿宋" w:eastAsia="仿宋" w:cs="仿宋"/>
          <w:sz w:val="30"/>
          <w:szCs w:val="30"/>
          <w:lang w:val="en-US" w:eastAsia="zh-CN"/>
        </w:rPr>
        <w:t>四、推进土壤安全利用示范与修复工程</w:t>
      </w:r>
      <w:bookmarkEnd w:id="171"/>
      <w:bookmarkEnd w:id="172"/>
      <w:bookmarkEnd w:id="173"/>
      <w:bookmarkEnd w:id="174"/>
    </w:p>
    <w:p>
      <w:pPr>
        <w:bidi w:val="0"/>
        <w:spacing w:line="360" w:lineRule="auto"/>
        <w:ind w:firstLine="600" w:firstLineChars="200"/>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en-US" w:eastAsia="zh-CN"/>
        </w:rPr>
        <w:t>推动区域受污染农用地安全利用示范，开展一批农用地安全利用示范工程。</w:t>
      </w:r>
      <w:r>
        <w:rPr>
          <w:rFonts w:hint="eastAsia" w:ascii="仿宋" w:hAnsi="仿宋" w:eastAsia="仿宋" w:cs="仿宋"/>
          <w:color w:val="auto"/>
          <w:sz w:val="30"/>
          <w:szCs w:val="30"/>
          <w:lang w:val="zh-CN" w:eastAsia="zh-CN"/>
        </w:rPr>
        <w:t>以石化污染场地、暂不开发的受污染建设地块为重点，按照“发现一块、管控一块”的原则，在重点区域、重点行业，实施一批风险管控和治理修复重点工程。对已经停产或废弃的工业企业污染地块进行土壤修复试点。</w:t>
      </w:r>
    </w:p>
    <w:p>
      <w:pPr>
        <w:pStyle w:val="5"/>
        <w:bidi w:val="0"/>
        <w:ind w:firstLine="602" w:firstLineChars="200"/>
        <w:rPr>
          <w:rFonts w:hint="eastAsia" w:ascii="仿宋" w:hAnsi="仿宋" w:eastAsia="仿宋" w:cs="仿宋"/>
          <w:sz w:val="30"/>
          <w:szCs w:val="30"/>
          <w:lang w:val="zh-CN" w:eastAsia="zh-CN"/>
        </w:rPr>
      </w:pPr>
      <w:bookmarkStart w:id="175" w:name="_Toc15516"/>
      <w:bookmarkStart w:id="176" w:name="_Toc16275"/>
      <w:bookmarkStart w:id="177" w:name="_Toc23628"/>
      <w:bookmarkStart w:id="178" w:name="_Toc7327"/>
      <w:r>
        <w:rPr>
          <w:rFonts w:hint="eastAsia" w:ascii="仿宋" w:hAnsi="仿宋" w:eastAsia="仿宋" w:cs="仿宋"/>
          <w:sz w:val="30"/>
          <w:szCs w:val="30"/>
          <w:lang w:val="zh-CN" w:eastAsia="zh-CN"/>
        </w:rPr>
        <w:t>五、持续开展地下水风险管控</w:t>
      </w:r>
      <w:bookmarkEnd w:id="175"/>
      <w:bookmarkEnd w:id="176"/>
      <w:bookmarkEnd w:id="177"/>
      <w:bookmarkEnd w:id="178"/>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color w:val="auto"/>
          <w:sz w:val="30"/>
          <w:szCs w:val="30"/>
          <w:lang w:val="en-US" w:eastAsia="zh-CN"/>
        </w:rPr>
        <w:t>推动地下水环境分区管理。</w:t>
      </w:r>
      <w:r>
        <w:rPr>
          <w:rFonts w:hint="eastAsia" w:ascii="仿宋" w:hAnsi="仿宋" w:eastAsia="仿宋" w:cs="仿宋"/>
          <w:sz w:val="30"/>
          <w:szCs w:val="30"/>
          <w:lang w:val="en-US" w:eastAsia="zh-CN"/>
        </w:rPr>
        <w:t>以饮用水水源保护为核心，加强地下水型饮用水水源补给区保护，科学划定地下水污染防治重点区，强化地下水污染源及周边风险管控，选择典型区域，探索地下水污染防治重点区管控模式与配套政策。</w:t>
      </w:r>
    </w:p>
    <w:p>
      <w:pPr>
        <w:bidi w:val="0"/>
        <w:spacing w:line="360" w:lineRule="auto"/>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sz w:val="30"/>
          <w:szCs w:val="30"/>
          <w:lang w:val="en-US" w:eastAsia="zh-CN"/>
        </w:rPr>
        <w:t>推进地下水污染调查评估。</w:t>
      </w:r>
      <w:r>
        <w:rPr>
          <w:rFonts w:hint="eastAsia" w:ascii="仿宋" w:hAnsi="仿宋" w:eastAsia="仿宋" w:cs="仿宋"/>
          <w:sz w:val="30"/>
          <w:szCs w:val="30"/>
          <w:lang w:val="en-US" w:eastAsia="zh-CN"/>
        </w:rPr>
        <w:t>持续开展“双源”（地下水型饮用水源和重点污染源）地下水环境状况调查评估，排查乡镇地下水型饮用水水源污染风险，2022年底前，开展地下水水源补给区环境状况调查，识别可能存在的污染源，研判污染源风险等级，建立和完善地下水型饮用水水源补</w:t>
      </w:r>
      <w:r>
        <w:rPr>
          <w:rFonts w:hint="eastAsia" w:ascii="仿宋" w:hAnsi="仿宋" w:eastAsia="仿宋" w:cs="仿宋"/>
          <w:color w:val="auto"/>
          <w:sz w:val="30"/>
          <w:szCs w:val="30"/>
          <w:lang w:val="en-US" w:eastAsia="zh-CN"/>
        </w:rPr>
        <w:t>给区内优先管控污染源清单。开展污染源周边地下水环境状况评估，对化学品生产企业、工业集聚区 、垃圾填埋场等地下水污染源及周边区域，开展地下水环境状况专项调查，评估地下水环境污染风险。2023年底前，完成化工园区和危险废物填埋场地下水环境状况调查评估。2025年底前，完成一批其他污染源地下水环境状况调查评估。完善生态环境、自然资源、水利、水文地质勘察部门联动监管机制，</w:t>
      </w:r>
      <w:r>
        <w:rPr>
          <w:rFonts w:hint="eastAsia" w:ascii="仿宋" w:hAnsi="仿宋" w:eastAsia="仿宋" w:cs="仿宋"/>
          <w:sz w:val="30"/>
          <w:szCs w:val="30"/>
          <w:lang w:val="en-US" w:eastAsia="zh-CN"/>
        </w:rPr>
        <w:t>联合开展区域地下水污染成因、趋势分析和区域地下水污染防治区划、管控</w:t>
      </w:r>
      <w:r>
        <w:rPr>
          <w:rFonts w:hint="eastAsia" w:ascii="仿宋" w:hAnsi="仿宋" w:eastAsia="仿宋" w:cs="仿宋"/>
          <w:color w:val="auto"/>
          <w:sz w:val="30"/>
          <w:szCs w:val="30"/>
          <w:lang w:val="en-US" w:eastAsia="zh-CN"/>
        </w:rPr>
        <w:t>等工作。到2025年，实现地下水环境“一张图”管理。</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color w:val="auto"/>
          <w:sz w:val="30"/>
          <w:szCs w:val="30"/>
          <w:lang w:val="en-US" w:eastAsia="zh-CN"/>
        </w:rPr>
        <w:t>加强地下水环境风险管控。</w:t>
      </w:r>
      <w:r>
        <w:rPr>
          <w:rFonts w:hint="eastAsia" w:ascii="仿宋" w:hAnsi="仿宋" w:eastAsia="仿宋" w:cs="仿宋"/>
          <w:color w:val="auto"/>
          <w:sz w:val="30"/>
          <w:szCs w:val="30"/>
          <w:lang w:val="en-US" w:eastAsia="zh-CN"/>
        </w:rPr>
        <w:t>加强地下水污染源头防治，化学品生产企业、危险废物处置场、垃圾填埋场等申领排污许可证时，载明地下水污染防渗和水质监测相关义务，采取防渗防漏等措施，建设地下水水质监测井并进行监测。</w:t>
      </w:r>
      <w:r>
        <w:rPr>
          <w:rFonts w:hint="eastAsia" w:ascii="仿宋" w:hAnsi="仿宋" w:eastAsia="仿宋" w:cs="仿宋"/>
          <w:color w:val="auto"/>
          <w:sz w:val="30"/>
          <w:szCs w:val="30"/>
          <w:lang w:val="zh-CN" w:eastAsia="zh-CN"/>
        </w:rPr>
        <w:t>2025年底前，</w:t>
      </w:r>
      <w:r>
        <w:rPr>
          <w:rFonts w:hint="eastAsia" w:ascii="仿宋" w:hAnsi="仿宋" w:eastAsia="仿宋" w:cs="仿宋"/>
          <w:color w:val="auto"/>
          <w:sz w:val="30"/>
          <w:szCs w:val="30"/>
          <w:lang w:val="en-US" w:eastAsia="zh-CN"/>
        </w:rPr>
        <w:t>完成石油加工、化工、工业集聚区重点区域地下水污染风险管控。</w:t>
      </w:r>
    </w:p>
    <w:p>
      <w:pPr>
        <w:pStyle w:val="4"/>
        <w:numPr>
          <w:ilvl w:val="1"/>
          <w:numId w:val="0"/>
        </w:numPr>
        <w:bidi w:val="0"/>
        <w:ind w:leftChars="0"/>
        <w:jc w:val="center"/>
        <w:rPr>
          <w:rFonts w:hint="eastAsia"/>
          <w:lang w:eastAsia="zh-CN"/>
        </w:rPr>
      </w:pPr>
      <w:bookmarkStart w:id="179" w:name="_Toc20561"/>
      <w:r>
        <w:rPr>
          <w:rFonts w:hint="eastAsia"/>
          <w:lang w:eastAsia="zh-CN"/>
        </w:rPr>
        <w:t>第八节</w:t>
      </w:r>
      <w:r>
        <w:rPr>
          <w:rFonts w:hint="eastAsia"/>
          <w:lang w:val="en-US" w:eastAsia="zh-CN"/>
        </w:rPr>
        <w:t xml:space="preserve"> </w:t>
      </w:r>
      <w:r>
        <w:rPr>
          <w:rFonts w:hint="eastAsia"/>
          <w:lang w:eastAsia="zh-CN"/>
        </w:rPr>
        <w:t>加强固体废物处置与资源利用化</w:t>
      </w:r>
      <w:bookmarkEnd w:id="179"/>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全面提升危险废物处置能力。</w:t>
      </w:r>
      <w:r>
        <w:rPr>
          <w:rFonts w:hint="eastAsia" w:ascii="仿宋" w:hAnsi="仿宋" w:eastAsia="仿宋" w:cs="仿宋"/>
          <w:sz w:val="30"/>
          <w:szCs w:val="30"/>
        </w:rPr>
        <w:t>立足“十四五”期间危险废物焚烧及填埋处置需要，建立工矿企业内部危险废物减量化、资源化引导及管控机制，探索开展危险废物“点对点”定向利用的经营许可豁免试点。</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sz w:val="30"/>
          <w:szCs w:val="30"/>
          <w:lang w:val="en-US" w:eastAsia="zh-CN"/>
        </w:rPr>
        <w:t>强化医疗废物无害化处置。</w:t>
      </w:r>
      <w:r>
        <w:rPr>
          <w:rFonts w:hint="eastAsia" w:ascii="仿宋" w:hAnsi="仿宋" w:eastAsia="仿宋" w:cs="仿宋"/>
          <w:sz w:val="30"/>
          <w:szCs w:val="30"/>
        </w:rPr>
        <w:t>稳定运行医疗废物处置设施，完善并严格落实覆盖产生-收集-转运-处置的全过程风险防控机制。建立并逐步优化乡镇医疗机构医疗废物收运体系。完善并整合医疗结构、收集和处置单位内部管理系统，加强部门联动，建立协调联络、信息互通、联合监管的工作机制，推进医疗废物综合管控。</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加强一般工业固体废物资源化利用。</w:t>
      </w:r>
      <w:r>
        <w:rPr>
          <w:rFonts w:hint="eastAsia" w:ascii="仿宋" w:hAnsi="仿宋" w:eastAsia="仿宋" w:cs="仿宋"/>
          <w:sz w:val="30"/>
          <w:szCs w:val="30"/>
        </w:rPr>
        <w:t>策划废机动车拆解、废钢、废塑料、废纸等一般工业固废再生利用项目建设，推进集中资源化，完善收集运输体系，加强政策扶持，完善相关管理制度，切实降低二次污染风险。进一步推进煤矸石、炉渣、粉煤灰、脱硫石膏等一般工业固体废物源头减量和资源化利用技术推广。强化一般工业固废监管。梳理排查工业固体废物环境污染风险节点，建立工业固体废物企业信息清单和环境污染风险管控台账。</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en-US" w:eastAsia="zh-CN"/>
        </w:rPr>
        <w:t>推进生活垃圾分类工作。</w:t>
      </w:r>
      <w:r>
        <w:rPr>
          <w:rFonts w:hint="eastAsia" w:ascii="仿宋" w:hAnsi="仿宋" w:eastAsia="仿宋" w:cs="仿宋"/>
          <w:sz w:val="30"/>
          <w:szCs w:val="30"/>
          <w:lang w:val="en-US" w:eastAsia="zh-CN"/>
        </w:rPr>
        <w:t>建立以县域建成区为基础，不断向农村延伸的生活垃圾分类体系。实施生活垃圾分类配套基础设施建设，完善分类后垃圾的暂存、运输、资源化和无害化处理处置体系。加强社会宣传，推进全民</w:t>
      </w:r>
      <w:r>
        <w:rPr>
          <w:rFonts w:hint="eastAsia" w:ascii="仿宋" w:hAnsi="仿宋" w:eastAsia="仿宋" w:cs="仿宋"/>
          <w:color w:val="000000" w:themeColor="text1"/>
          <w:sz w:val="30"/>
          <w:szCs w:val="30"/>
          <w:lang w:val="en-US" w:eastAsia="zh-CN"/>
          <w14:textFill>
            <w14:solidFill>
              <w14:schemeClr w14:val="tx1"/>
            </w14:solidFill>
          </w14:textFill>
        </w:rPr>
        <w:t>参与进程。至 2025 年，全县城市生活垃圾无害化处理率达到 98%以上。</w:t>
      </w:r>
    </w:p>
    <w:p>
      <w:pPr>
        <w:pStyle w:val="2"/>
        <w:rPr>
          <w:rFonts w:hint="eastAsia" w:ascii="仿宋" w:hAnsi="仿宋" w:eastAsia="仿宋" w:cs="仿宋"/>
          <w:color w:val="000000" w:themeColor="text1"/>
          <w:sz w:val="30"/>
          <w:szCs w:val="30"/>
          <w:lang w:val="en-US" w:eastAsia="zh-CN"/>
          <w14:textFill>
            <w14:solidFill>
              <w14:schemeClr w14:val="tx1"/>
            </w14:solidFill>
          </w14:textFill>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53"/>
        <w:gridCol w:w="6045"/>
        <w:gridCol w:w="142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b/>
                <w:bCs/>
                <w:sz w:val="21"/>
                <w:szCs w:val="21"/>
                <w:vertAlign w:val="baseline"/>
              </w:rPr>
            </w:pPr>
            <w:r>
              <w:rPr>
                <w:rFonts w:hint="eastAsia" w:ascii="仿宋" w:hAnsi="仿宋" w:eastAsia="仿宋" w:cs="仿宋"/>
                <w:b/>
                <w:bCs/>
                <w:sz w:val="24"/>
                <w:szCs w:val="24"/>
                <w:vertAlign w:val="baseline"/>
                <w:lang w:eastAsia="zh-CN"/>
              </w:rPr>
              <w:t>专栏六</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固体废物处置及资源化工程项目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序号</w:t>
            </w:r>
          </w:p>
        </w:tc>
        <w:tc>
          <w:tcPr>
            <w:tcW w:w="6045"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项目名称</w:t>
            </w:r>
          </w:p>
        </w:tc>
        <w:tc>
          <w:tcPr>
            <w:tcW w:w="1424"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危险废物处理处置工程</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医疗废物处理处置工程</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一般工业固体废物处置及资源化利用项目</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城镇生活垃圾污染控制工程（含垃圾的回收与资源化利用）</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台安县垃圾焚烧发电项目</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台安县处理废油泥（渣）及修复污染土壤、地下水工程项目</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台安县畜禽粪污资源化利用整县推进（有机肥处理中心）项目</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辽宁富鹏</w:t>
            </w: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再生资源产业园一期工程（</w:t>
            </w: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20万吨/年油泥处理热解项目</w:t>
            </w: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辽宁富鹏</w:t>
            </w: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再生资源产业园二期工程（年处理废酸碱液、农药废物及化工残渣10万吨</w:t>
            </w: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项目</w:t>
            </w: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2024年</w:t>
            </w:r>
          </w:p>
        </w:tc>
      </w:tr>
    </w:tbl>
    <w:p>
      <w:pPr>
        <w:pStyle w:val="2"/>
        <w:rPr>
          <w:rFonts w:hint="eastAsia" w:ascii="仿宋" w:hAnsi="仿宋" w:eastAsia="仿宋" w:cs="仿宋"/>
          <w:color w:val="000000" w:themeColor="text1"/>
          <w:sz w:val="30"/>
          <w:szCs w:val="30"/>
          <w:lang w:val="en-US" w:eastAsia="zh-CN"/>
          <w14:textFill>
            <w14:solidFill>
              <w14:schemeClr w14:val="tx1"/>
            </w14:solidFill>
          </w14:textFill>
        </w:rPr>
      </w:pPr>
    </w:p>
    <w:p>
      <w:pPr>
        <w:pStyle w:val="2"/>
        <w:rPr>
          <w:rFonts w:hint="eastAsia" w:ascii="仿宋" w:hAnsi="仿宋" w:eastAsia="仿宋" w:cs="仿宋"/>
          <w:color w:val="000000" w:themeColor="text1"/>
          <w:sz w:val="30"/>
          <w:szCs w:val="30"/>
          <w:lang w:val="en-US" w:eastAsia="zh-CN"/>
          <w14:textFill>
            <w14:solidFill>
              <w14:schemeClr w14:val="tx1"/>
            </w14:solidFill>
          </w14:textFill>
        </w:rPr>
      </w:pPr>
    </w:p>
    <w:p>
      <w:pPr>
        <w:pStyle w:val="4"/>
        <w:numPr>
          <w:ilvl w:val="1"/>
          <w:numId w:val="0"/>
        </w:numPr>
        <w:bidi w:val="0"/>
        <w:ind w:leftChars="0"/>
        <w:jc w:val="center"/>
        <w:rPr>
          <w:rFonts w:hint="eastAsia"/>
          <w:lang w:eastAsia="zh-CN"/>
        </w:rPr>
      </w:pPr>
      <w:bookmarkStart w:id="180" w:name="_Toc2757"/>
      <w:r>
        <w:rPr>
          <w:rFonts w:hint="eastAsia"/>
          <w:lang w:eastAsia="zh-CN"/>
        </w:rPr>
        <w:t>第九节</w:t>
      </w:r>
      <w:r>
        <w:rPr>
          <w:rFonts w:hint="eastAsia"/>
          <w:lang w:val="en-US" w:eastAsia="zh-CN"/>
        </w:rPr>
        <w:t xml:space="preserve"> </w:t>
      </w:r>
      <w:r>
        <w:rPr>
          <w:rFonts w:hint="eastAsia"/>
          <w:lang w:eastAsia="zh-CN"/>
        </w:rPr>
        <w:t>实施生态保护修复，构筑生态安全屏障</w:t>
      </w:r>
      <w:bookmarkEnd w:id="180"/>
    </w:p>
    <w:p>
      <w:pPr>
        <w:pStyle w:val="5"/>
        <w:bidi w:val="0"/>
        <w:ind w:firstLine="602" w:firstLineChars="200"/>
        <w:rPr>
          <w:rFonts w:hint="eastAsia" w:ascii="仿宋" w:hAnsi="仿宋" w:eastAsia="仿宋" w:cs="仿宋"/>
          <w:color w:val="auto"/>
          <w:sz w:val="30"/>
          <w:szCs w:val="30"/>
          <w:lang w:val="zh-CN"/>
        </w:rPr>
      </w:pPr>
      <w:bookmarkStart w:id="181" w:name="_Toc18431"/>
      <w:bookmarkStart w:id="182" w:name="_Toc26083"/>
      <w:bookmarkStart w:id="183" w:name="_Toc16681"/>
      <w:bookmarkStart w:id="184" w:name="_Toc6624"/>
      <w:bookmarkStart w:id="185" w:name="_Toc25217"/>
      <w:bookmarkStart w:id="186" w:name="_Toc31917"/>
      <w:bookmarkStart w:id="187" w:name="_Toc18810"/>
      <w:bookmarkStart w:id="188" w:name="_Toc20909"/>
      <w:bookmarkStart w:id="189" w:name="_Toc15073"/>
      <w:bookmarkStart w:id="190" w:name="_Toc25847"/>
      <w:bookmarkStart w:id="191" w:name="_Toc23501"/>
      <w:bookmarkStart w:id="192" w:name="_Toc29235"/>
      <w:bookmarkStart w:id="193" w:name="_Toc2045"/>
      <w:r>
        <w:rPr>
          <w:rFonts w:hint="eastAsia" w:ascii="仿宋" w:hAnsi="仿宋" w:eastAsia="仿宋" w:cs="仿宋"/>
          <w:color w:val="auto"/>
          <w:sz w:val="30"/>
          <w:szCs w:val="30"/>
          <w:lang w:val="zh-CN" w:eastAsia="zh-CN"/>
        </w:rPr>
        <w:t>一、</w:t>
      </w:r>
      <w:r>
        <w:rPr>
          <w:rFonts w:hint="eastAsia" w:ascii="仿宋" w:hAnsi="仿宋" w:eastAsia="仿宋" w:cs="仿宋"/>
          <w:color w:val="auto"/>
          <w:sz w:val="30"/>
          <w:szCs w:val="30"/>
          <w:lang w:val="zh-CN"/>
        </w:rPr>
        <w:t>筑牢生态安全</w:t>
      </w:r>
      <w:bookmarkEnd w:id="181"/>
      <w:bookmarkEnd w:id="182"/>
      <w:bookmarkEnd w:id="183"/>
      <w:bookmarkEnd w:id="184"/>
      <w:bookmarkEnd w:id="185"/>
      <w:bookmarkEnd w:id="186"/>
      <w:bookmarkEnd w:id="187"/>
      <w:bookmarkEnd w:id="188"/>
      <w:bookmarkEnd w:id="189"/>
      <w:r>
        <w:rPr>
          <w:rFonts w:hint="eastAsia" w:ascii="仿宋" w:hAnsi="仿宋" w:eastAsia="仿宋" w:cs="仿宋"/>
          <w:color w:val="auto"/>
          <w:sz w:val="30"/>
          <w:szCs w:val="30"/>
          <w:lang w:val="en-US"/>
        </w:rPr>
        <w:t>格局</w:t>
      </w:r>
      <w:bookmarkEnd w:id="190"/>
      <w:bookmarkEnd w:id="191"/>
      <w:bookmarkEnd w:id="192"/>
      <w:bookmarkEnd w:id="193"/>
    </w:p>
    <w:p>
      <w:pPr>
        <w:bidi w:val="0"/>
        <w:spacing w:line="360" w:lineRule="auto"/>
        <w:ind w:firstLine="600" w:firstLineChars="200"/>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守住自然生态安全边界。筑牢以生态保护红线为骨架，以自然保护地为节点的生态安全格局，严守生态保护红线，守住自然生态安全边界，</w:t>
      </w:r>
      <w:r>
        <w:rPr>
          <w:rFonts w:hint="eastAsia" w:ascii="仿宋" w:hAnsi="仿宋" w:eastAsia="仿宋" w:cs="仿宋"/>
          <w:color w:val="auto"/>
          <w:sz w:val="30"/>
          <w:szCs w:val="30"/>
          <w:lang w:val="en-US" w:eastAsia="zh-CN"/>
        </w:rPr>
        <w:t>2025年，</w:t>
      </w:r>
      <w:r>
        <w:rPr>
          <w:rFonts w:hint="eastAsia" w:ascii="仿宋" w:hAnsi="仿宋" w:eastAsia="仿宋" w:cs="仿宋"/>
          <w:color w:val="auto"/>
          <w:sz w:val="30"/>
          <w:szCs w:val="30"/>
          <w:lang w:val="zh-CN" w:eastAsia="zh-CN"/>
        </w:rPr>
        <w:t>全县生态红线面积比例持续保持不低于鞍山市要求的1</w:t>
      </w:r>
      <w:r>
        <w:rPr>
          <w:rFonts w:hint="eastAsia" w:ascii="仿宋" w:hAnsi="仿宋" w:eastAsia="仿宋" w:cs="仿宋"/>
          <w:color w:val="auto"/>
          <w:sz w:val="30"/>
          <w:szCs w:val="30"/>
          <w:lang w:val="en-US" w:eastAsia="zh-CN"/>
        </w:rPr>
        <w:t>8.</w:t>
      </w:r>
      <w:r>
        <w:rPr>
          <w:rFonts w:hint="eastAsia" w:ascii="仿宋" w:hAnsi="仿宋" w:eastAsia="仿宋" w:cs="仿宋"/>
          <w:color w:val="auto"/>
          <w:sz w:val="30"/>
          <w:szCs w:val="30"/>
          <w:lang w:val="zh-CN" w:eastAsia="zh-CN"/>
        </w:rPr>
        <w:t>1%。</w:t>
      </w:r>
    </w:p>
    <w:p>
      <w:pPr>
        <w:pStyle w:val="5"/>
        <w:bidi w:val="0"/>
        <w:ind w:firstLine="602" w:firstLineChars="200"/>
        <w:rPr>
          <w:rFonts w:hint="eastAsia" w:ascii="仿宋" w:hAnsi="仿宋" w:eastAsia="仿宋" w:cs="仿宋"/>
          <w:color w:val="auto"/>
          <w:sz w:val="30"/>
          <w:szCs w:val="30"/>
          <w:lang w:val="zh-CN"/>
        </w:rPr>
      </w:pPr>
      <w:bookmarkStart w:id="194" w:name="_Toc22334"/>
      <w:bookmarkStart w:id="195" w:name="_Toc7475"/>
      <w:bookmarkStart w:id="196" w:name="_Toc6063"/>
      <w:bookmarkStart w:id="197" w:name="_Toc20266"/>
      <w:bookmarkStart w:id="198" w:name="_Toc30540"/>
      <w:bookmarkStart w:id="199" w:name="_Toc27196"/>
      <w:bookmarkStart w:id="200" w:name="_Toc12975"/>
      <w:bookmarkStart w:id="201" w:name="_Toc11390"/>
      <w:bookmarkStart w:id="202" w:name="_Toc25876"/>
      <w:bookmarkStart w:id="203" w:name="_Toc8902"/>
      <w:bookmarkStart w:id="204" w:name="_Toc30399"/>
      <w:bookmarkStart w:id="205" w:name="_Toc7679"/>
      <w:bookmarkStart w:id="206" w:name="_Toc17164"/>
      <w:r>
        <w:rPr>
          <w:rFonts w:hint="eastAsia" w:ascii="仿宋" w:hAnsi="仿宋" w:eastAsia="仿宋" w:cs="仿宋"/>
          <w:color w:val="auto"/>
          <w:sz w:val="30"/>
          <w:szCs w:val="30"/>
          <w:lang w:val="en-US" w:eastAsia="zh-CN"/>
        </w:rPr>
        <w:t>二、</w:t>
      </w:r>
      <w:r>
        <w:rPr>
          <w:rFonts w:hint="eastAsia" w:ascii="仿宋" w:hAnsi="仿宋" w:eastAsia="仿宋" w:cs="仿宋"/>
          <w:color w:val="auto"/>
          <w:sz w:val="30"/>
          <w:szCs w:val="30"/>
          <w:lang w:val="zh-CN"/>
        </w:rPr>
        <w:t>加大生态保护修复</w:t>
      </w:r>
      <w:bookmarkEnd w:id="194"/>
      <w:bookmarkEnd w:id="195"/>
      <w:bookmarkEnd w:id="196"/>
      <w:bookmarkEnd w:id="197"/>
      <w:bookmarkEnd w:id="198"/>
      <w:bookmarkEnd w:id="199"/>
      <w:bookmarkEnd w:id="200"/>
      <w:bookmarkEnd w:id="201"/>
      <w:bookmarkEnd w:id="202"/>
      <w:bookmarkEnd w:id="203"/>
      <w:bookmarkEnd w:id="204"/>
      <w:bookmarkEnd w:id="205"/>
      <w:bookmarkEnd w:id="206"/>
    </w:p>
    <w:p>
      <w:pPr>
        <w:bidi w:val="0"/>
        <w:spacing w:line="360" w:lineRule="auto"/>
        <w:ind w:firstLine="600" w:firstLineChars="200"/>
        <w:rPr>
          <w:rFonts w:hint="eastAsia" w:ascii="仿宋" w:hAnsi="仿宋" w:eastAsia="仿宋" w:cs="仿宋"/>
          <w:color w:val="auto"/>
          <w:sz w:val="30"/>
          <w:szCs w:val="30"/>
          <w:lang w:val="zh-CN" w:eastAsia="zh-CN"/>
        </w:rPr>
      </w:pPr>
      <w:r>
        <w:rPr>
          <w:rFonts w:hint="eastAsia" w:ascii="仿宋" w:hAnsi="仿宋" w:eastAsia="仿宋" w:cs="仿宋"/>
          <w:color w:val="auto"/>
          <w:sz w:val="30"/>
          <w:szCs w:val="30"/>
          <w:lang w:val="zh-CN" w:eastAsia="zh-CN"/>
        </w:rPr>
        <w:t>严格落实生态保护红线制度。聚焦自然保护地、重点生态功能区、生态脆弱区、生态敏感区、城市生态系统保护修复。</w:t>
      </w:r>
    </w:p>
    <w:p>
      <w:pPr>
        <w:bidi w:val="0"/>
        <w:spacing w:line="360" w:lineRule="auto"/>
        <w:ind w:firstLine="602" w:firstLineChars="200"/>
        <w:rPr>
          <w:rFonts w:hint="eastAsia" w:ascii="仿宋" w:hAnsi="仿宋" w:eastAsia="仿宋" w:cs="仿宋"/>
          <w:color w:val="auto"/>
          <w:sz w:val="30"/>
          <w:szCs w:val="30"/>
          <w:lang w:val="zh-CN" w:eastAsia="zh-CN"/>
        </w:rPr>
      </w:pPr>
      <w:r>
        <w:rPr>
          <w:rFonts w:hint="eastAsia" w:ascii="仿宋" w:hAnsi="仿宋" w:eastAsia="仿宋" w:cs="仿宋"/>
          <w:b/>
          <w:bCs/>
          <w:color w:val="auto"/>
          <w:sz w:val="30"/>
          <w:szCs w:val="30"/>
          <w:lang w:val="zh-CN" w:eastAsia="zh-CN"/>
        </w:rPr>
        <w:t>加强生物多样性生境修复。</w:t>
      </w:r>
      <w:r>
        <w:rPr>
          <w:rFonts w:hint="eastAsia" w:ascii="仿宋" w:hAnsi="仿宋" w:eastAsia="仿宋" w:cs="仿宋"/>
          <w:color w:val="auto"/>
          <w:sz w:val="30"/>
          <w:szCs w:val="30"/>
          <w:lang w:val="zh-CN" w:eastAsia="zh-CN"/>
        </w:rPr>
        <w:t>实施河流、湿地生物多样性生态保护修复</w:t>
      </w:r>
      <w:r>
        <w:rPr>
          <w:rFonts w:hint="eastAsia" w:ascii="仿宋" w:hAnsi="仿宋" w:eastAsia="仿宋" w:cs="仿宋"/>
          <w:color w:val="auto"/>
          <w:sz w:val="30"/>
          <w:szCs w:val="30"/>
          <w:lang w:val="en-US" w:eastAsia="zh-CN"/>
        </w:rPr>
        <w:t>。积极参与省政府工作报告及《辽宁省“十四五”生态环境保护规划》所提出的“逐步构筑辽河、浑河、太子河干支流生态廊道,协同创建辽河国家公园”的工作。</w:t>
      </w:r>
      <w:r>
        <w:rPr>
          <w:rFonts w:hint="eastAsia" w:ascii="仿宋" w:hAnsi="仿宋" w:eastAsia="仿宋" w:cs="仿宋"/>
          <w:color w:val="auto"/>
          <w:sz w:val="30"/>
          <w:szCs w:val="30"/>
          <w:lang w:val="zh-CN" w:eastAsia="zh-CN"/>
        </w:rPr>
        <w:t>加强小流域综合治理，加大森林植被保护力度，加强水源涵养与水土保持受损与退化的森林、林木、灌木、草地修复。开展植树造林、护林防灾、封禁保护、退耕还林还草，增强水源涵养水土保持功能</w:t>
      </w:r>
      <w:r>
        <w:rPr>
          <w:rFonts w:hint="eastAsia" w:ascii="仿宋" w:hAnsi="仿宋" w:eastAsia="仿宋" w:cs="仿宋"/>
          <w:color w:val="auto"/>
          <w:sz w:val="30"/>
          <w:szCs w:val="30"/>
          <w:lang w:val="en-US" w:eastAsia="zh-CN"/>
        </w:rPr>
        <w:t>。</w:t>
      </w:r>
      <w:r>
        <w:rPr>
          <w:rFonts w:hint="eastAsia" w:ascii="仿宋" w:hAnsi="仿宋" w:eastAsia="仿宋" w:cs="仿宋"/>
          <w:color w:val="auto"/>
          <w:sz w:val="30"/>
          <w:szCs w:val="30"/>
          <w:lang w:val="zh-CN" w:eastAsia="zh-CN"/>
        </w:rPr>
        <w:t>加强自然保护地建设，严格占用林地审批。加强湿地建设，</w:t>
      </w:r>
      <w:r>
        <w:rPr>
          <w:rFonts w:hint="eastAsia" w:ascii="仿宋" w:hAnsi="仿宋" w:eastAsia="仿宋" w:cs="仿宋"/>
          <w:color w:val="auto"/>
          <w:sz w:val="30"/>
          <w:szCs w:val="30"/>
          <w:lang w:val="en-US" w:eastAsia="zh-CN"/>
        </w:rPr>
        <w:t>全面保护重要湿地、湿地公园等，</w:t>
      </w:r>
      <w:r>
        <w:rPr>
          <w:rFonts w:hint="eastAsia" w:ascii="仿宋" w:hAnsi="仿宋" w:eastAsia="仿宋" w:cs="仿宋"/>
          <w:color w:val="auto"/>
          <w:sz w:val="30"/>
          <w:szCs w:val="30"/>
          <w:lang w:val="zh-CN" w:eastAsia="zh-CN"/>
        </w:rPr>
        <w:t>重点修复大麦科湿地生态系统，恢复原生型湿地植被，营造生物栖息环境，保护候鸟迁徙，恢复保护生物多样性栖息生境。</w:t>
      </w:r>
      <w:r>
        <w:rPr>
          <w:rFonts w:hint="eastAsia" w:ascii="仿宋" w:hAnsi="仿宋" w:eastAsia="仿宋" w:cs="仿宋"/>
          <w:color w:val="auto"/>
          <w:sz w:val="30"/>
          <w:szCs w:val="30"/>
          <w:lang w:val="en-US" w:eastAsia="zh-CN"/>
        </w:rPr>
        <w:t>健全耕地休耕轮作制度，有序开展退耕还林还草、退田还湿，</w:t>
      </w:r>
      <w:r>
        <w:rPr>
          <w:rFonts w:hint="eastAsia" w:ascii="仿宋" w:hAnsi="仿宋" w:eastAsia="仿宋" w:cs="仿宋"/>
          <w:color w:val="auto"/>
          <w:sz w:val="30"/>
          <w:szCs w:val="30"/>
          <w:lang w:val="zh-CN" w:eastAsia="zh-CN"/>
        </w:rPr>
        <w:t>提升生态系统的稳定性和可持续性。</w:t>
      </w:r>
    </w:p>
    <w:p>
      <w:pPr>
        <w:bidi w:val="0"/>
        <w:spacing w:line="360" w:lineRule="auto"/>
        <w:ind w:firstLine="602" w:firstLineChars="200"/>
        <w:rPr>
          <w:rFonts w:hint="eastAsia" w:ascii="仿宋" w:hAnsi="仿宋" w:eastAsia="仿宋" w:cs="仿宋"/>
          <w:color w:val="auto"/>
          <w:sz w:val="30"/>
          <w:szCs w:val="30"/>
          <w:lang w:val="zh-CN" w:eastAsia="zh-CN"/>
        </w:rPr>
      </w:pPr>
      <w:r>
        <w:rPr>
          <w:rFonts w:hint="eastAsia" w:ascii="仿宋" w:hAnsi="仿宋" w:eastAsia="仿宋" w:cs="仿宋"/>
          <w:b/>
          <w:bCs/>
          <w:color w:val="auto"/>
          <w:sz w:val="30"/>
          <w:szCs w:val="30"/>
          <w:lang w:val="zh-CN" w:eastAsia="zh-CN"/>
        </w:rPr>
        <w:t>加强防风固沙及土地沙化控制。</w:t>
      </w:r>
      <w:r>
        <w:rPr>
          <w:rFonts w:hint="eastAsia" w:ascii="仿宋" w:hAnsi="仿宋" w:eastAsia="仿宋" w:cs="仿宋"/>
          <w:color w:val="auto"/>
          <w:sz w:val="30"/>
          <w:szCs w:val="30"/>
          <w:lang w:val="zh-CN" w:eastAsia="zh-CN"/>
        </w:rPr>
        <w:t>严禁开荒、砍树、毁林挖沙、在林地种植高科作物、私占林地等破坏生态环境行为，巩固植树造林成果，以沙化严重地区为重点，加大植被恢复力度，推进植树造林、封育保护。</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加强生物外来物种监管。</w:t>
      </w:r>
      <w:r>
        <w:rPr>
          <w:rFonts w:hint="eastAsia" w:ascii="仿宋" w:hAnsi="仿宋" w:eastAsia="仿宋" w:cs="仿宋"/>
          <w:sz w:val="30"/>
          <w:szCs w:val="30"/>
          <w:lang w:val="en-US" w:eastAsia="zh-CN"/>
        </w:rPr>
        <w:t>配合全省外来入侵物种调查与评估，及时更新外来入侵物种名录。加强对自然保护地、生物多样性保护优先区域等重点区域外来入侵物种防控工作监督，开展自然保护地外来入侵物种防控成效评估。防范外来物种入侵，积极保护生物多样性，保障生物物种安全。</w:t>
      </w:r>
    </w:p>
    <w:p>
      <w:pPr>
        <w:pStyle w:val="5"/>
        <w:bidi w:val="0"/>
        <w:ind w:firstLine="602" w:firstLineChars="200"/>
        <w:rPr>
          <w:rFonts w:hint="eastAsia" w:ascii="仿宋" w:hAnsi="仿宋" w:eastAsia="仿宋" w:cs="仿宋"/>
          <w:sz w:val="30"/>
          <w:szCs w:val="30"/>
          <w:lang w:val="zh-CN" w:eastAsia="zh-CN"/>
        </w:rPr>
      </w:pPr>
      <w:bookmarkStart w:id="207" w:name="_Toc8263"/>
      <w:bookmarkStart w:id="208" w:name="_Toc32102"/>
      <w:bookmarkStart w:id="209" w:name="_Toc6726"/>
      <w:bookmarkStart w:id="210" w:name="_Toc20553"/>
      <w:bookmarkStart w:id="211" w:name="_Toc18780"/>
      <w:bookmarkStart w:id="212" w:name="_Toc26791"/>
      <w:bookmarkStart w:id="213" w:name="_Toc14220"/>
      <w:bookmarkStart w:id="214" w:name="_Toc13330"/>
      <w:bookmarkStart w:id="215" w:name="_Toc25341"/>
      <w:bookmarkStart w:id="216" w:name="_Toc5781"/>
      <w:bookmarkStart w:id="217" w:name="_Toc4204"/>
      <w:bookmarkStart w:id="218" w:name="_Toc2148"/>
      <w:bookmarkStart w:id="219" w:name="_Toc22553"/>
      <w:r>
        <w:rPr>
          <w:rFonts w:hint="eastAsia" w:ascii="仿宋" w:hAnsi="仿宋" w:eastAsia="仿宋" w:cs="仿宋"/>
          <w:sz w:val="30"/>
          <w:szCs w:val="30"/>
          <w:lang w:val="zh-CN" w:eastAsia="zh-CN"/>
        </w:rPr>
        <w:t>三、健全生态保护红线监管</w:t>
      </w:r>
      <w:bookmarkEnd w:id="207"/>
      <w:bookmarkEnd w:id="208"/>
      <w:bookmarkEnd w:id="209"/>
      <w:bookmarkEnd w:id="210"/>
      <w:bookmarkEnd w:id="211"/>
      <w:bookmarkEnd w:id="212"/>
      <w:bookmarkEnd w:id="213"/>
      <w:bookmarkEnd w:id="214"/>
      <w:bookmarkEnd w:id="215"/>
      <w:r>
        <w:rPr>
          <w:rFonts w:hint="eastAsia" w:ascii="仿宋" w:hAnsi="仿宋" w:eastAsia="仿宋" w:cs="仿宋"/>
          <w:sz w:val="30"/>
          <w:szCs w:val="30"/>
          <w:lang w:val="zh-CN" w:eastAsia="zh-CN"/>
        </w:rPr>
        <w:t>制度</w:t>
      </w:r>
      <w:bookmarkEnd w:id="216"/>
      <w:bookmarkEnd w:id="217"/>
      <w:bookmarkEnd w:id="218"/>
      <w:bookmarkEnd w:id="219"/>
    </w:p>
    <w:p>
      <w:pPr>
        <w:bidi w:val="0"/>
        <w:spacing w:line="360" w:lineRule="auto"/>
        <w:ind w:firstLine="602" w:firstLineChars="200"/>
        <w:rPr>
          <w:rFonts w:hint="eastAsia" w:ascii="仿宋" w:hAnsi="仿宋" w:eastAsia="仿宋" w:cs="仿宋"/>
          <w:sz w:val="30"/>
          <w:szCs w:val="30"/>
          <w:lang w:val="zh-CN" w:eastAsia="zh-CN"/>
        </w:rPr>
      </w:pPr>
      <w:r>
        <w:rPr>
          <w:rFonts w:hint="eastAsia" w:ascii="仿宋" w:hAnsi="仿宋" w:eastAsia="仿宋" w:cs="仿宋"/>
          <w:b/>
          <w:bCs/>
          <w:sz w:val="30"/>
          <w:szCs w:val="30"/>
          <w:lang w:val="zh-CN" w:eastAsia="zh-CN"/>
        </w:rPr>
        <w:t>健全生态保护红线监管体制。</w:t>
      </w:r>
      <w:r>
        <w:rPr>
          <w:rFonts w:hint="eastAsia" w:ascii="仿宋" w:hAnsi="仿宋" w:eastAsia="仿宋" w:cs="仿宋"/>
          <w:sz w:val="30"/>
          <w:szCs w:val="30"/>
          <w:lang w:val="zh-CN" w:eastAsia="zh-CN"/>
        </w:rPr>
        <w:t>构建“严审、严防、严管、严惩、严考”的生态红线保护监管体制机制，建立健全生态保护红线调查、监测、评估和考核等监管制度，核定生态保护红线生态功能基线水平，完善自然保护地监管制度，实施面积与质量双重监管。</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强化生态保护执法监督。</w:t>
      </w:r>
      <w:r>
        <w:rPr>
          <w:rFonts w:hint="eastAsia" w:ascii="仿宋" w:hAnsi="仿宋" w:eastAsia="仿宋" w:cs="仿宋"/>
          <w:sz w:val="30"/>
          <w:szCs w:val="30"/>
          <w:lang w:val="en-US" w:eastAsia="zh-CN"/>
        </w:rPr>
        <w:t>开展生态环境保护统一执法，完善执法信息移交、反馈机制，强化生态环境保护综合执法与自然资源、水利、林业等相关部门协同执法，持续开展“绿盾”自然保护地强化监督。</w:t>
      </w:r>
    </w:p>
    <w:p>
      <w:pPr>
        <w:pStyle w:val="5"/>
        <w:bidi w:val="0"/>
        <w:ind w:firstLine="602" w:firstLineChars="200"/>
        <w:rPr>
          <w:rFonts w:hint="eastAsia" w:ascii="仿宋" w:hAnsi="仿宋" w:eastAsia="仿宋" w:cs="仿宋"/>
          <w:sz w:val="30"/>
          <w:szCs w:val="30"/>
          <w:lang w:val="en-US" w:eastAsia="zh-CN"/>
        </w:rPr>
      </w:pPr>
      <w:bookmarkStart w:id="220" w:name="_Toc29927"/>
      <w:bookmarkStart w:id="221" w:name="_Toc10386"/>
      <w:bookmarkStart w:id="222" w:name="_Toc28328"/>
      <w:bookmarkStart w:id="223" w:name="_Toc7196"/>
      <w:r>
        <w:rPr>
          <w:rFonts w:hint="eastAsia" w:ascii="仿宋" w:hAnsi="仿宋" w:eastAsia="仿宋" w:cs="仿宋"/>
          <w:sz w:val="30"/>
          <w:szCs w:val="30"/>
          <w:lang w:val="en-US" w:eastAsia="zh-CN"/>
        </w:rPr>
        <w:t>四、加强生态保护红线监管成效评估</w:t>
      </w:r>
      <w:bookmarkEnd w:id="220"/>
      <w:bookmarkEnd w:id="221"/>
      <w:bookmarkEnd w:id="222"/>
      <w:bookmarkEnd w:id="223"/>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en-US" w:eastAsia="zh-CN"/>
        </w:rPr>
        <w:t>开展生态质量状况监测评估</w:t>
      </w:r>
      <w:r>
        <w:rPr>
          <w:rFonts w:hint="eastAsia" w:ascii="仿宋" w:hAnsi="仿宋" w:eastAsia="仿宋" w:cs="仿宋"/>
          <w:b/>
          <w:bCs/>
          <w:color w:val="000000" w:themeColor="text1"/>
          <w:sz w:val="30"/>
          <w:szCs w:val="30"/>
          <w:lang w:val="en-US" w:eastAsia="zh-CN"/>
          <w14:textFill>
            <w14:solidFill>
              <w14:schemeClr w14:val="tx1"/>
            </w14:solidFill>
          </w14:textFill>
        </w:rPr>
        <w:t>。</w:t>
      </w:r>
      <w:r>
        <w:rPr>
          <w:rFonts w:hint="eastAsia" w:ascii="仿宋" w:hAnsi="仿宋" w:eastAsia="仿宋" w:cs="仿宋"/>
          <w:color w:val="000000" w:themeColor="text1"/>
          <w:sz w:val="30"/>
          <w:szCs w:val="30"/>
          <w:lang w:val="en-US" w:eastAsia="zh-CN"/>
          <w14:textFill>
            <w14:solidFill>
              <w14:schemeClr w14:val="tx1"/>
            </w14:solidFill>
          </w14:textFill>
        </w:rPr>
        <w:t>加强生态干扰高风险的重要生态空间、生态环境保护督察关注的热点敏感地区人类活动遥感监测评估。建立分级协同的生态监管评估机制，加强对自然保护地的监测与评估。定期组织开展生态保护修复工程实施成效自评估，开展生态保护修复工程实施全过程生态质量监测。2022年底前，完成全县生态状况调查评估。将生态质量状况监测评估结果作为制定自然保护地与生态保护红线生态保护补偿、财政重点生态功能区转移支付政策的重要依据。将重要生态保护修复工程区域生态功能提升效果，作为优化生态保护修复治理专项资金配置的重要依据。</w:t>
      </w:r>
    </w:p>
    <w:p>
      <w:pPr>
        <w:bidi w:val="0"/>
        <w:spacing w:line="360" w:lineRule="auto"/>
        <w:ind w:firstLine="602" w:firstLineChars="200"/>
        <w:rPr>
          <w:rFonts w:hint="eastAsia" w:ascii="仿宋" w:hAnsi="仿宋" w:eastAsia="仿宋" w:cs="仿宋"/>
          <w:sz w:val="30"/>
          <w:szCs w:val="30"/>
        </w:rPr>
      </w:pPr>
      <w:r>
        <w:rPr>
          <w:rFonts w:hint="eastAsia" w:ascii="仿宋" w:hAnsi="仿宋" w:eastAsia="仿宋" w:cs="仿宋"/>
          <w:b/>
          <w:bCs/>
          <w:color w:val="000000" w:themeColor="text1"/>
          <w:sz w:val="30"/>
          <w:szCs w:val="30"/>
          <w:lang w:val="en-US" w:eastAsia="zh-CN"/>
          <w14:textFill>
            <w14:solidFill>
              <w14:schemeClr w14:val="tx1"/>
            </w14:solidFill>
          </w14:textFill>
        </w:rPr>
        <w:t>创建生态文明示范市县。</w:t>
      </w:r>
      <w:r>
        <w:rPr>
          <w:rFonts w:hint="eastAsia" w:ascii="仿宋" w:hAnsi="仿宋" w:eastAsia="仿宋" w:cs="仿宋"/>
          <w:color w:val="000000" w:themeColor="text1"/>
          <w:sz w:val="30"/>
          <w:szCs w:val="30"/>
          <w:lang w:val="en-US" w:eastAsia="zh-CN"/>
          <w14:textFill>
            <w14:solidFill>
              <w14:schemeClr w14:val="tx1"/>
            </w14:solidFill>
          </w14:textFill>
        </w:rPr>
        <w:t>配合鞍山市推进生态文明示范市县的工作，推进生态文明示范县建设，积极创建生态文明</w:t>
      </w:r>
      <w:r>
        <w:rPr>
          <w:rFonts w:hint="eastAsia" w:ascii="仿宋" w:hAnsi="仿宋" w:eastAsia="仿宋" w:cs="仿宋"/>
          <w:sz w:val="30"/>
          <w:szCs w:val="30"/>
          <w:lang w:val="en-US" w:eastAsia="zh-CN"/>
        </w:rPr>
        <w:t>建设示范区和“绿水青山就是金山银山”创新实践基地。</w:t>
      </w:r>
    </w:p>
    <w:p>
      <w:pPr>
        <w:pStyle w:val="2"/>
        <w:rPr>
          <w:rFonts w:hint="eastAsia" w:ascii="仿宋" w:hAnsi="仿宋" w:eastAsia="仿宋" w:cs="仿宋"/>
          <w:sz w:val="30"/>
          <w:szCs w:val="30"/>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53"/>
        <w:gridCol w:w="6045"/>
        <w:gridCol w:w="1424"/>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b/>
                <w:bCs/>
                <w:sz w:val="21"/>
                <w:szCs w:val="21"/>
                <w:vertAlign w:val="baseline"/>
              </w:rPr>
            </w:pPr>
            <w:r>
              <w:rPr>
                <w:rFonts w:hint="eastAsia" w:ascii="仿宋" w:hAnsi="仿宋" w:eastAsia="仿宋" w:cs="仿宋"/>
                <w:b/>
                <w:bCs/>
                <w:sz w:val="24"/>
                <w:szCs w:val="24"/>
                <w:vertAlign w:val="baseline"/>
                <w:lang w:eastAsia="zh-CN"/>
              </w:rPr>
              <w:t>专栏七</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生态修复工程项目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序号</w:t>
            </w:r>
          </w:p>
        </w:tc>
        <w:tc>
          <w:tcPr>
            <w:tcW w:w="6045"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项目名称</w:t>
            </w:r>
          </w:p>
        </w:tc>
        <w:tc>
          <w:tcPr>
            <w:tcW w:w="1424"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台安县三北防护林六期工程</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西佛镇鲍家沟生态环境综合治理工程</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台安县农村土地综合整治项目</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53"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4</w:t>
            </w:r>
          </w:p>
        </w:tc>
        <w:tc>
          <w:tcPr>
            <w:tcW w:w="6045"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鞍山市台安县沙化治理工程</w:t>
            </w:r>
          </w:p>
        </w:tc>
        <w:tc>
          <w:tcPr>
            <w:tcW w:w="1424"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r>
    </w:tbl>
    <w:p>
      <w:pPr>
        <w:spacing w:line="360" w:lineRule="auto"/>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224" w:name="_Toc11137"/>
      <w:r>
        <w:rPr>
          <w:rFonts w:hint="eastAsia"/>
          <w:lang w:eastAsia="zh-CN"/>
        </w:rPr>
        <w:t>第十节</w:t>
      </w:r>
      <w:r>
        <w:rPr>
          <w:rFonts w:hint="eastAsia"/>
          <w:lang w:val="en-US" w:eastAsia="zh-CN"/>
        </w:rPr>
        <w:t xml:space="preserve"> </w:t>
      </w:r>
      <w:r>
        <w:rPr>
          <w:rFonts w:hint="eastAsia"/>
          <w:lang w:eastAsia="zh-CN"/>
        </w:rPr>
        <w:t>加强环境风险防控，保障环境安全</w:t>
      </w:r>
      <w:bookmarkEnd w:id="224"/>
    </w:p>
    <w:p>
      <w:pPr>
        <w:pStyle w:val="5"/>
        <w:bidi w:val="0"/>
        <w:ind w:firstLine="602" w:firstLineChars="200"/>
        <w:rPr>
          <w:rFonts w:hint="eastAsia" w:ascii="仿宋" w:hAnsi="仿宋" w:eastAsia="仿宋" w:cs="仿宋"/>
          <w:sz w:val="30"/>
          <w:szCs w:val="30"/>
          <w:lang w:val="en-US" w:eastAsia="zh-CN"/>
        </w:rPr>
      </w:pPr>
      <w:bookmarkStart w:id="225" w:name="_Toc2518"/>
      <w:bookmarkStart w:id="226" w:name="_Toc26803"/>
      <w:bookmarkStart w:id="227" w:name="_Toc7742"/>
      <w:bookmarkStart w:id="228" w:name="_Toc7172"/>
      <w:r>
        <w:rPr>
          <w:rFonts w:hint="eastAsia" w:ascii="仿宋" w:hAnsi="仿宋" w:eastAsia="仿宋" w:cs="仿宋"/>
          <w:sz w:val="30"/>
          <w:szCs w:val="30"/>
          <w:lang w:val="zh-CN" w:eastAsia="zh-CN"/>
        </w:rPr>
        <w:t>一、建立健全环境风险监管体系</w:t>
      </w:r>
      <w:bookmarkEnd w:id="225"/>
      <w:bookmarkEnd w:id="226"/>
      <w:bookmarkEnd w:id="227"/>
      <w:bookmarkEnd w:id="228"/>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color w:val="auto"/>
          <w:sz w:val="30"/>
          <w:szCs w:val="30"/>
          <w:lang w:val="en-US" w:eastAsia="zh-CN"/>
        </w:rPr>
        <w:t>建立健全环境风险应急监管体系。</w:t>
      </w:r>
      <w:r>
        <w:rPr>
          <w:rFonts w:hint="eastAsia" w:ascii="仿宋" w:hAnsi="仿宋" w:eastAsia="仿宋" w:cs="仿宋"/>
          <w:color w:val="auto"/>
          <w:sz w:val="30"/>
          <w:szCs w:val="30"/>
          <w:lang w:val="en-US" w:eastAsia="zh-CN"/>
        </w:rPr>
        <w:t>加强应急评估、预警、物资保障体系建设。加强涉危涉重企业、化工园区、集中式饮用水水源地环境风险调查评估，实施分类分级风险管控，加强环境风险预警防控，2022年上半年，完成化工园区及危险化学品企业排查问题整改任务，探索石化园区封闭式管理的可行路径。实施企业环境应急预案电子化备案，实现涉危涉重企业电子化备案全覆盖。到2025年，重点企业环境应急预案备案率和政府环境应急预案编修率全覆盖。完善平战结合、区域联动的环境应急监管体系，做好突发环境事件应急处置工作，组织开展“以案促建，提升环境应急能力活动”。2022</w:t>
      </w:r>
      <w:r>
        <w:rPr>
          <w:rFonts w:hint="eastAsia" w:ascii="仿宋" w:hAnsi="仿宋" w:eastAsia="仿宋" w:cs="仿宋"/>
          <w:sz w:val="30"/>
          <w:szCs w:val="30"/>
          <w:lang w:val="en-US" w:eastAsia="zh-CN"/>
        </w:rPr>
        <w:t>年底前，补充完善多学科、多领域的环境应急专家库，补充完善政企互补的环境应急处置队伍，完善应急监测中心快速反应协调联动机制，推动快速响应监测仪器在应急监测现场的使用。建立环境应急物资信息管理系统，补充完善政企互补的各级环境应急物资储备库，到2025年，完善区域应急物资库建设，建立“政企互补”的机制，绘制重点区域环境风险“一张图”，建设台安经济开发区有毒有害气体预警体系。</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辅助构建“预防预警应急一体化”风险防范平台。</w:t>
      </w:r>
      <w:r>
        <w:rPr>
          <w:rFonts w:hint="eastAsia" w:ascii="仿宋" w:hAnsi="仿宋" w:eastAsia="仿宋" w:cs="仿宋"/>
          <w:sz w:val="30"/>
          <w:szCs w:val="30"/>
          <w:lang w:val="en-US" w:eastAsia="zh-CN"/>
        </w:rPr>
        <w:t>巩固和完善固定污染源监测体系，强化工业园区特征污染物监测。2023年底前，与排污许可证衔接，建立污染源基础信息库。以化工园区、危险废物和化学品监管为重点，辅助省建设风险源动态监控、风险评估、预报预警、应急指挥、综合决策一体化平台，全面提升县应急响应能力。</w:t>
      </w:r>
    </w:p>
    <w:p>
      <w:pPr>
        <w:pStyle w:val="5"/>
        <w:bidi w:val="0"/>
        <w:ind w:firstLine="602" w:firstLineChars="200"/>
        <w:rPr>
          <w:rFonts w:hint="eastAsia" w:ascii="仿宋" w:hAnsi="仿宋" w:eastAsia="仿宋" w:cs="仿宋"/>
          <w:sz w:val="30"/>
          <w:szCs w:val="30"/>
          <w:lang w:val="en-US" w:eastAsia="zh-CN"/>
        </w:rPr>
      </w:pPr>
      <w:bookmarkStart w:id="229" w:name="_Toc8099"/>
      <w:bookmarkStart w:id="230" w:name="_Toc5966"/>
      <w:bookmarkStart w:id="231" w:name="_Toc8550"/>
      <w:bookmarkStart w:id="232" w:name="_Toc3131"/>
      <w:r>
        <w:rPr>
          <w:rFonts w:hint="eastAsia" w:ascii="仿宋" w:hAnsi="仿宋" w:eastAsia="仿宋" w:cs="仿宋"/>
          <w:sz w:val="30"/>
          <w:szCs w:val="30"/>
          <w:lang w:val="en-US" w:eastAsia="zh-CN"/>
        </w:rPr>
        <w:t>二、提升固体废弃物处置利用能力</w:t>
      </w:r>
      <w:bookmarkEnd w:id="229"/>
      <w:bookmarkEnd w:id="230"/>
      <w:bookmarkEnd w:id="231"/>
      <w:bookmarkEnd w:id="232"/>
    </w:p>
    <w:p>
      <w:pPr>
        <w:bidi w:val="0"/>
        <w:spacing w:line="360" w:lineRule="auto"/>
        <w:ind w:firstLine="602" w:firstLineChars="200"/>
        <w:rPr>
          <w:rFonts w:hint="eastAsia" w:ascii="仿宋" w:hAnsi="仿宋" w:eastAsia="仿宋" w:cs="仿宋"/>
          <w:color w:val="auto"/>
          <w:sz w:val="30"/>
          <w:szCs w:val="30"/>
          <w:lang w:val="en-US" w:eastAsia="zh-CN"/>
        </w:rPr>
      </w:pPr>
      <w:r>
        <w:rPr>
          <w:rFonts w:hint="eastAsia" w:ascii="仿宋" w:hAnsi="仿宋" w:eastAsia="仿宋" w:cs="仿宋"/>
          <w:b/>
          <w:bCs/>
          <w:color w:val="auto"/>
          <w:sz w:val="30"/>
          <w:szCs w:val="30"/>
          <w:lang w:val="zh-CN" w:eastAsia="zh-CN"/>
        </w:rPr>
        <w:t>加强</w:t>
      </w:r>
      <w:r>
        <w:rPr>
          <w:rFonts w:hint="eastAsia" w:ascii="仿宋" w:hAnsi="仿宋" w:eastAsia="仿宋" w:cs="仿宋"/>
          <w:b/>
          <w:bCs/>
          <w:color w:val="auto"/>
          <w:sz w:val="30"/>
          <w:szCs w:val="30"/>
          <w:lang w:val="en-US" w:eastAsia="zh-CN"/>
        </w:rPr>
        <w:t>医疗危险废物收集处理。</w:t>
      </w:r>
      <w:r>
        <w:rPr>
          <w:rFonts w:hint="eastAsia" w:ascii="仿宋" w:hAnsi="仿宋" w:eastAsia="仿宋" w:cs="仿宋"/>
          <w:color w:val="auto"/>
          <w:sz w:val="30"/>
          <w:szCs w:val="30"/>
          <w:lang w:val="zh-CN" w:eastAsia="zh-CN"/>
        </w:rPr>
        <w:t>加强医疗废物全过程监管，严守疫情医疗废物防线，实行全过程监管。制定</w:t>
      </w:r>
      <w:r>
        <w:rPr>
          <w:rFonts w:hint="eastAsia" w:ascii="仿宋" w:hAnsi="仿宋" w:eastAsia="仿宋" w:cs="仿宋"/>
          <w:color w:val="auto"/>
          <w:sz w:val="30"/>
          <w:szCs w:val="30"/>
          <w:lang w:val="en-US" w:eastAsia="zh-CN"/>
        </w:rPr>
        <w:t>医疗机构废弃物专项整治、家庭过期药品回收等方面的实施方案，强化医疗废物申报登记工作，与卫健部门密切配合，详细掌握全县各级医疗卫生机构医疗废物产生及处置情况。</w:t>
      </w:r>
      <w:r>
        <w:rPr>
          <w:rFonts w:hint="eastAsia" w:ascii="仿宋" w:hAnsi="仿宋" w:eastAsia="仿宋" w:cs="仿宋"/>
          <w:color w:val="auto"/>
          <w:sz w:val="30"/>
          <w:szCs w:val="30"/>
          <w:lang w:val="zh-CN" w:eastAsia="zh-CN"/>
        </w:rPr>
        <w:t>加强医疗危险废物产生、收集、贮存、运输、利用、处置等全过程监管，</w:t>
      </w:r>
      <w:r>
        <w:rPr>
          <w:rFonts w:hint="eastAsia" w:ascii="仿宋" w:hAnsi="仿宋" w:eastAsia="仿宋" w:cs="仿宋"/>
          <w:color w:val="auto"/>
          <w:sz w:val="30"/>
          <w:szCs w:val="30"/>
          <w:lang w:val="en-US" w:eastAsia="zh-CN"/>
        </w:rPr>
        <w:t>采取区域集中、定时收取等方式，</w:t>
      </w:r>
      <w:r>
        <w:rPr>
          <w:rFonts w:hint="eastAsia" w:ascii="仿宋" w:hAnsi="仿宋" w:eastAsia="仿宋" w:cs="仿宋"/>
          <w:color w:val="auto"/>
          <w:sz w:val="30"/>
          <w:szCs w:val="30"/>
          <w:lang w:val="zh-CN" w:eastAsia="zh-CN"/>
        </w:rPr>
        <w:t>并逐步覆盖到建制镇和偏远农村地区。</w:t>
      </w:r>
    </w:p>
    <w:p>
      <w:pPr>
        <w:bidi w:val="0"/>
        <w:spacing w:line="360" w:lineRule="auto"/>
        <w:ind w:firstLine="602" w:firstLineChars="200"/>
        <w:rPr>
          <w:rFonts w:hint="eastAsia" w:ascii="仿宋" w:hAnsi="仿宋" w:eastAsia="仿宋" w:cs="仿宋"/>
          <w:color w:val="000000" w:themeColor="text1"/>
          <w:sz w:val="30"/>
          <w:szCs w:val="30"/>
          <w:lang w:val="zh-CN" w:eastAsia="zh-CN"/>
          <w14:textFill>
            <w14:solidFill>
              <w14:schemeClr w14:val="tx1"/>
            </w14:solidFill>
          </w14:textFill>
        </w:rPr>
      </w:pPr>
      <w:r>
        <w:rPr>
          <w:rFonts w:hint="eastAsia" w:ascii="仿宋" w:hAnsi="仿宋" w:eastAsia="仿宋" w:cs="仿宋"/>
          <w:b/>
          <w:bCs/>
          <w:color w:val="auto"/>
          <w:sz w:val="30"/>
          <w:szCs w:val="30"/>
          <w:lang w:val="en-US" w:eastAsia="zh-CN"/>
        </w:rPr>
        <w:t>全面强化工业固体废物综合利用。</w:t>
      </w:r>
      <w:r>
        <w:rPr>
          <w:rFonts w:hint="eastAsia" w:ascii="仿宋" w:hAnsi="仿宋" w:eastAsia="仿宋" w:cs="仿宋"/>
          <w:color w:val="auto"/>
          <w:sz w:val="30"/>
          <w:szCs w:val="30"/>
          <w:lang w:val="en-US" w:eastAsia="zh-CN"/>
        </w:rPr>
        <w:t>完善和落实有关鼓励固体废物综合利用和处置的优惠政策，拓宽固体废</w:t>
      </w:r>
      <w:r>
        <w:rPr>
          <w:rFonts w:hint="eastAsia" w:ascii="仿宋" w:hAnsi="仿宋" w:eastAsia="仿宋" w:cs="仿宋"/>
          <w:sz w:val="30"/>
          <w:szCs w:val="30"/>
          <w:lang w:val="en-US" w:eastAsia="zh-CN"/>
        </w:rPr>
        <w:t>物综合利用市场，要求产废单位建立处置情况台账，引导一般工业固体废物按照国家环境标准进行无害化处置，鼓励由专业机构进行一般固体废物贮存、处置。</w:t>
      </w:r>
      <w:r>
        <w:rPr>
          <w:rFonts w:hint="eastAsia" w:ascii="仿宋" w:hAnsi="仿宋" w:eastAsia="仿宋" w:cs="仿宋"/>
          <w:sz w:val="30"/>
          <w:szCs w:val="30"/>
          <w:lang w:val="zh-CN" w:eastAsia="zh-CN"/>
        </w:rPr>
        <w:t>以废钢铁、废旧轮胎、废塑料等主要再生资源为重点，</w:t>
      </w:r>
      <w:r>
        <w:rPr>
          <w:rFonts w:hint="eastAsia" w:ascii="仿宋" w:hAnsi="仿宋" w:eastAsia="仿宋" w:cs="仿宋"/>
          <w:sz w:val="30"/>
          <w:szCs w:val="30"/>
          <w:lang w:val="en-US" w:eastAsia="zh-CN"/>
        </w:rPr>
        <w:t>重点推动再生资源产业园区标准化建设，提高入园准入标准，</w:t>
      </w:r>
      <w:r>
        <w:rPr>
          <w:rFonts w:hint="eastAsia" w:ascii="仿宋" w:hAnsi="仿宋" w:eastAsia="仿宋" w:cs="仿宋"/>
          <w:sz w:val="30"/>
          <w:szCs w:val="30"/>
          <w:lang w:val="zh-CN" w:eastAsia="zh-CN"/>
        </w:rPr>
        <w:t>培育一批“固体废物资源化”示范企业。</w:t>
      </w:r>
      <w:r>
        <w:rPr>
          <w:rFonts w:hint="eastAsia" w:ascii="仿宋" w:hAnsi="仿宋" w:eastAsia="仿宋" w:cs="仿宋"/>
          <w:sz w:val="30"/>
          <w:szCs w:val="30"/>
          <w:lang w:val="en-US" w:eastAsia="zh-CN"/>
        </w:rPr>
        <w:t>2022年上半年，完成全县固体废物申报登记，对重点产废单位、一般产废单位开展现场抽查。有序推进废旧电子电器资源化利用，加快电子废物拆解和再生金属循环利用行业建设。</w:t>
      </w:r>
      <w:r>
        <w:rPr>
          <w:rFonts w:hint="eastAsia" w:ascii="仿宋" w:hAnsi="仿宋" w:eastAsia="仿宋" w:cs="仿宋"/>
          <w:color w:val="000000" w:themeColor="text1"/>
          <w:sz w:val="30"/>
          <w:szCs w:val="30"/>
          <w:lang w:val="zh-CN" w:eastAsia="zh-CN"/>
          <w14:textFill>
            <w14:solidFill>
              <w14:schemeClr w14:val="tx1"/>
            </w14:solidFill>
          </w14:textFill>
        </w:rPr>
        <w:t>到2025年，一般工业固体废弃物综合利用率达到60%以上，城市污泥无害化处置率达到90%以上。</w:t>
      </w:r>
    </w:p>
    <w:p>
      <w:pPr>
        <w:pStyle w:val="5"/>
        <w:bidi w:val="0"/>
        <w:ind w:firstLine="602" w:firstLineChars="200"/>
        <w:rPr>
          <w:rFonts w:hint="eastAsia" w:ascii="仿宋" w:hAnsi="仿宋" w:eastAsia="仿宋" w:cs="仿宋"/>
          <w:sz w:val="30"/>
          <w:szCs w:val="30"/>
          <w:lang w:val="zh-CN" w:eastAsia="zh-CN"/>
        </w:rPr>
      </w:pPr>
      <w:bookmarkStart w:id="233" w:name="_Toc20615"/>
      <w:bookmarkStart w:id="234" w:name="_Toc6855"/>
      <w:bookmarkStart w:id="235" w:name="_Toc14589"/>
      <w:bookmarkStart w:id="236" w:name="_Toc11586"/>
      <w:r>
        <w:rPr>
          <w:rFonts w:hint="eastAsia" w:ascii="仿宋" w:hAnsi="仿宋" w:eastAsia="仿宋" w:cs="仿宋"/>
          <w:sz w:val="30"/>
          <w:szCs w:val="30"/>
          <w:lang w:val="zh-CN" w:eastAsia="zh-CN"/>
        </w:rPr>
        <w:t>三、重视新污染物治理</w:t>
      </w:r>
      <w:bookmarkEnd w:id="233"/>
      <w:bookmarkEnd w:id="234"/>
      <w:bookmarkEnd w:id="235"/>
      <w:bookmarkEnd w:id="236"/>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强化优先控制化学品、新化学物质以及持久性有机污染物等高风险化学物质的环境监管，落实优先控制化学物质管控措施，严格控制新化学物质环境风险。落实《新化学物质环境管理登记办法》及相关配套文件，以3年内登记企业为重点检查对象，督导企业落实首次活动报告和年度报告制度，实施新化学物质的风险控制措施要求，每年进行一次登记后风险跟踪评估。落实《优先控制化学品名录》相关措施，推进涉名录企业强制性清洁生产审核。落实《辽宁省履行〈关于持久性有机污染物的斯德哥尔摩公约国家实施计划（增补版）实施方案〉》，2022年，开展须限控的 POPs 使用、排放、库存和废弃处置的调查，采取措施减少或消除新增 POPs 带来的环境风险。</w:t>
      </w:r>
    </w:p>
    <w:p>
      <w:pPr>
        <w:pStyle w:val="2"/>
        <w:rPr>
          <w:rFonts w:hint="eastAsia" w:ascii="仿宋" w:hAnsi="仿宋" w:eastAsia="仿宋" w:cs="仿宋"/>
          <w:sz w:val="30"/>
          <w:szCs w:val="30"/>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1098"/>
        <w:gridCol w:w="6075"/>
        <w:gridCol w:w="134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b/>
                <w:bCs/>
                <w:sz w:val="21"/>
                <w:szCs w:val="21"/>
                <w:vertAlign w:val="baseline"/>
              </w:rPr>
            </w:pPr>
            <w:r>
              <w:rPr>
                <w:rFonts w:hint="eastAsia" w:ascii="仿宋" w:hAnsi="仿宋" w:eastAsia="仿宋" w:cs="仿宋"/>
                <w:b/>
                <w:bCs/>
                <w:sz w:val="24"/>
                <w:szCs w:val="24"/>
                <w:vertAlign w:val="baseline"/>
                <w:lang w:eastAsia="zh-CN"/>
              </w:rPr>
              <w:t>专栏八</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环境风险防控工程</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287" w:hRule="atLeast"/>
        </w:trPr>
        <w:tc>
          <w:tcPr>
            <w:tcW w:w="1098"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序号</w:t>
            </w:r>
          </w:p>
        </w:tc>
        <w:tc>
          <w:tcPr>
            <w:tcW w:w="6075"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项目名称</w:t>
            </w:r>
          </w:p>
        </w:tc>
        <w:tc>
          <w:tcPr>
            <w:tcW w:w="1349"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9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1</w:t>
            </w:r>
          </w:p>
        </w:tc>
        <w:tc>
          <w:tcPr>
            <w:tcW w:w="6075" w:type="dxa"/>
            <w:tcBorders>
              <w:tl2br w:val="nil"/>
              <w:tr2bl w:val="nil"/>
            </w:tcBorders>
            <w:vAlign w:val="center"/>
          </w:tcPr>
          <w:p>
            <w:pPr>
              <w:spacing w:line="240" w:lineRule="auto"/>
              <w:jc w:val="both"/>
              <w:rPr>
                <w:rFonts w:hint="default" w:ascii="Times New Roman" w:hAnsi="Times New Roman" w:eastAsia="仿宋" w:cs="Times New Roman"/>
                <w:sz w:val="21"/>
                <w:szCs w:val="21"/>
                <w:vertAlign w:val="baseline"/>
              </w:rPr>
            </w:pPr>
            <w:r>
              <w:rPr>
                <w:rFonts w:hint="default" w:ascii="Times New Roman" w:hAnsi="Times New Roman" w:eastAsia="仿宋" w:cs="Times New Roman"/>
                <w:color w:val="auto"/>
                <w:kern w:val="0"/>
                <w:sz w:val="21"/>
                <w:szCs w:val="21"/>
                <w:highlight w:val="none"/>
                <w:lang w:bidi="ar"/>
              </w:rPr>
              <w:t>台安农高区污泥综合利用</w:t>
            </w:r>
          </w:p>
        </w:tc>
        <w:tc>
          <w:tcPr>
            <w:tcW w:w="1349"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2021年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9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w:t>
            </w:r>
          </w:p>
        </w:tc>
        <w:tc>
          <w:tcPr>
            <w:tcW w:w="6075" w:type="dxa"/>
            <w:tcBorders>
              <w:tl2br w:val="nil"/>
              <w:tr2bl w:val="nil"/>
            </w:tcBorders>
            <w:vAlign w:val="center"/>
          </w:tcPr>
          <w:p>
            <w:pPr>
              <w:spacing w:line="240" w:lineRule="auto"/>
              <w:jc w:val="both"/>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val="en-US" w:eastAsia="zh-CN" w:bidi="ar"/>
              </w:rPr>
              <w:t>环境应急能力建设工程</w:t>
            </w:r>
          </w:p>
        </w:tc>
        <w:tc>
          <w:tcPr>
            <w:tcW w:w="1349"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109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3</w:t>
            </w:r>
          </w:p>
        </w:tc>
        <w:tc>
          <w:tcPr>
            <w:tcW w:w="6075" w:type="dxa"/>
            <w:tcBorders>
              <w:tl2br w:val="nil"/>
              <w:tr2bl w:val="nil"/>
            </w:tcBorders>
            <w:vAlign w:val="center"/>
          </w:tcPr>
          <w:p>
            <w:pPr>
              <w:spacing w:line="240" w:lineRule="auto"/>
              <w:jc w:val="both"/>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val="en-US" w:eastAsia="zh-CN" w:bidi="ar"/>
              </w:rPr>
              <w:t>核与辐射安全监管能力提升工程</w:t>
            </w:r>
          </w:p>
        </w:tc>
        <w:tc>
          <w:tcPr>
            <w:tcW w:w="1349"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2025年</w:t>
            </w:r>
          </w:p>
        </w:tc>
      </w:tr>
    </w:tbl>
    <w:p>
      <w:pPr>
        <w:spacing w:line="360" w:lineRule="auto"/>
        <w:rPr>
          <w:rFonts w:hint="eastAsia" w:ascii="仿宋" w:hAnsi="仿宋" w:eastAsia="仿宋" w:cs="仿宋"/>
          <w:sz w:val="30"/>
          <w:szCs w:val="30"/>
        </w:rPr>
      </w:pPr>
    </w:p>
    <w:p>
      <w:pPr>
        <w:pStyle w:val="4"/>
        <w:numPr>
          <w:ilvl w:val="1"/>
          <w:numId w:val="0"/>
        </w:numPr>
        <w:bidi w:val="0"/>
        <w:ind w:leftChars="0"/>
        <w:jc w:val="center"/>
        <w:rPr>
          <w:rFonts w:hint="eastAsia"/>
          <w:lang w:eastAsia="zh-CN"/>
        </w:rPr>
      </w:pPr>
      <w:bookmarkStart w:id="237" w:name="_Toc4183"/>
      <w:r>
        <w:rPr>
          <w:rFonts w:hint="eastAsia"/>
          <w:lang w:eastAsia="zh-CN"/>
        </w:rPr>
        <w:t>第十一节</w:t>
      </w:r>
      <w:r>
        <w:rPr>
          <w:rFonts w:hint="eastAsia"/>
          <w:lang w:val="en-US" w:eastAsia="zh-CN"/>
        </w:rPr>
        <w:t xml:space="preserve"> </w:t>
      </w:r>
      <w:r>
        <w:rPr>
          <w:rFonts w:hint="eastAsia"/>
          <w:lang w:eastAsia="zh-CN"/>
        </w:rPr>
        <w:t>推进农村环境整治，助力美丽乡村建设</w:t>
      </w:r>
      <w:bookmarkEnd w:id="237"/>
    </w:p>
    <w:p>
      <w:pPr>
        <w:pStyle w:val="5"/>
        <w:bidi w:val="0"/>
        <w:ind w:firstLine="602" w:firstLineChars="200"/>
        <w:rPr>
          <w:rFonts w:hint="eastAsia" w:ascii="仿宋" w:hAnsi="仿宋" w:eastAsia="仿宋" w:cs="仿宋"/>
          <w:sz w:val="30"/>
          <w:szCs w:val="30"/>
          <w:lang w:val="en-US" w:eastAsia="zh-CN"/>
        </w:rPr>
      </w:pPr>
      <w:bookmarkStart w:id="238" w:name="_Toc28627"/>
      <w:bookmarkStart w:id="239" w:name="_Toc26299"/>
      <w:bookmarkStart w:id="240" w:name="_Toc29897"/>
      <w:bookmarkStart w:id="241" w:name="_Toc780"/>
      <w:r>
        <w:rPr>
          <w:rFonts w:hint="eastAsia" w:ascii="仿宋" w:hAnsi="仿宋" w:eastAsia="仿宋" w:cs="仿宋"/>
          <w:sz w:val="30"/>
          <w:szCs w:val="30"/>
          <w:lang w:val="en-US" w:eastAsia="zh-CN"/>
        </w:rPr>
        <w:t>一、强化农村人居环境监管</w:t>
      </w:r>
      <w:bookmarkEnd w:id="238"/>
      <w:bookmarkEnd w:id="239"/>
      <w:bookmarkEnd w:id="240"/>
      <w:bookmarkEnd w:id="241"/>
    </w:p>
    <w:p>
      <w:pPr>
        <w:bidi w:val="0"/>
        <w:spacing w:line="360" w:lineRule="auto"/>
        <w:ind w:firstLine="600" w:firstLineChars="200"/>
        <w:rPr>
          <w:rFonts w:hint="eastAsia" w:ascii="仿宋" w:hAnsi="仿宋" w:eastAsia="仿宋" w:cs="仿宋"/>
          <w:sz w:val="30"/>
          <w:szCs w:val="30"/>
          <w:lang w:val="en-US" w:eastAsia="zh-CN"/>
        </w:rPr>
      </w:pPr>
      <w:r>
        <w:rPr>
          <w:rFonts w:hint="eastAsia" w:ascii="仿宋" w:hAnsi="仿宋" w:eastAsia="仿宋" w:cs="仿宋"/>
          <w:sz w:val="30"/>
          <w:szCs w:val="30"/>
          <w:lang w:val="zh-CN" w:eastAsia="zh-CN"/>
        </w:rPr>
        <w:t>建立建全基于制度、标准、队伍、经费的农村生态环境保护长效机制，明确农村生态环境保护责任，建立台账管理机制，推动政府推进、村民自治的农村生态环境治理模式，完善奖补与帮扶机制，让村民形成自我管理、自我约束和自我服务的良性循环，形成长效常态自行管理。</w:t>
      </w:r>
      <w:r>
        <w:rPr>
          <w:rFonts w:hint="eastAsia" w:ascii="仿宋" w:hAnsi="仿宋" w:eastAsia="仿宋" w:cs="仿宋"/>
          <w:sz w:val="30"/>
          <w:szCs w:val="30"/>
          <w:lang w:val="en-US" w:eastAsia="zh-CN"/>
        </w:rPr>
        <w:t>落实调度、会商机制，坚持定期通报，强化督导考核和宣传推广，实现村庄清洁制度化、常态化管理。建立以行政村为基本单元，对县域农村饮水安全、生活污水、生活垃圾、厕所、畜禽粪污等基础信息汇总，初步建立农村环境管理信息系统和农村环境问题举报系统。建立县域农村生态环境质量考核指标体系，建立农村突出生态环境问题清单，建立农村监测执法问题清单，跟踪管理，确保生态环境问题解决销号。到2025年，建立农村生活污水处理设施运维绩效考核管理机制，污水设施运行财政保障清单，全面推广农村污水治理设施社会化运维，经费由县级财政保障，县（区）为主，适当申请省、市予以补助。</w:t>
      </w:r>
    </w:p>
    <w:p>
      <w:pPr>
        <w:pStyle w:val="5"/>
        <w:bidi w:val="0"/>
        <w:ind w:firstLine="602" w:firstLineChars="200"/>
        <w:rPr>
          <w:rFonts w:hint="eastAsia" w:ascii="仿宋" w:hAnsi="仿宋" w:eastAsia="仿宋" w:cs="仿宋"/>
          <w:sz w:val="30"/>
          <w:szCs w:val="30"/>
          <w:lang w:val="zh-CN" w:eastAsia="zh-CN"/>
        </w:rPr>
      </w:pPr>
      <w:bookmarkStart w:id="242" w:name="_Toc29515"/>
      <w:bookmarkStart w:id="243" w:name="_Toc14230"/>
      <w:bookmarkStart w:id="244" w:name="_Toc4102"/>
      <w:bookmarkStart w:id="245" w:name="_Toc19391"/>
      <w:r>
        <w:rPr>
          <w:rFonts w:hint="eastAsia" w:ascii="仿宋" w:hAnsi="仿宋" w:eastAsia="仿宋" w:cs="仿宋"/>
          <w:sz w:val="30"/>
          <w:szCs w:val="30"/>
          <w:lang w:val="zh-CN" w:eastAsia="zh-CN"/>
        </w:rPr>
        <w:t>二、深入推进农村人居环境整治</w:t>
      </w:r>
      <w:bookmarkEnd w:id="242"/>
      <w:bookmarkEnd w:id="243"/>
      <w:bookmarkEnd w:id="244"/>
      <w:bookmarkEnd w:id="245"/>
    </w:p>
    <w:p>
      <w:pPr>
        <w:bidi w:val="0"/>
        <w:spacing w:line="360" w:lineRule="auto"/>
        <w:ind w:firstLine="600"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sz w:val="30"/>
          <w:szCs w:val="30"/>
          <w:lang w:val="en-US" w:eastAsia="zh-CN"/>
        </w:rPr>
        <w:t>重点在水源保护区、城乡结合部、乡镇所在地、中心村、人口集聚区、旅游风景区等地区实</w:t>
      </w:r>
      <w:r>
        <w:rPr>
          <w:rFonts w:hint="eastAsia" w:ascii="仿宋" w:hAnsi="仿宋" w:eastAsia="仿宋" w:cs="仿宋"/>
          <w:color w:val="000000" w:themeColor="text1"/>
          <w:sz w:val="30"/>
          <w:szCs w:val="30"/>
          <w:lang w:val="en-US" w:eastAsia="zh-CN"/>
          <w14:textFill>
            <w14:solidFill>
              <w14:schemeClr w14:val="tx1"/>
            </w14:solidFill>
          </w14:textFill>
        </w:rPr>
        <w:t>施农村环境整治，完成1个村环境综合整治。</w:t>
      </w:r>
    </w:p>
    <w:p>
      <w:pPr>
        <w:bidi w:val="0"/>
        <w:spacing w:line="360" w:lineRule="auto"/>
        <w:ind w:firstLine="602" w:firstLineChars="200"/>
        <w:rPr>
          <w:rFonts w:hint="eastAsia" w:ascii="仿宋" w:hAnsi="仿宋" w:eastAsia="仿宋" w:cs="仿宋"/>
          <w:sz w:val="30"/>
          <w:szCs w:val="30"/>
          <w:lang w:val="zh-CN" w:eastAsia="zh-CN"/>
        </w:rPr>
      </w:pPr>
      <w:bookmarkStart w:id="246" w:name="_Toc27383"/>
      <w:bookmarkStart w:id="247" w:name="_Toc3340"/>
      <w:bookmarkStart w:id="248" w:name="_Toc22725"/>
      <w:bookmarkStart w:id="249" w:name="_Toc17131"/>
      <w:bookmarkStart w:id="250" w:name="_Toc477"/>
      <w:bookmarkStart w:id="251" w:name="_Toc11319"/>
      <w:bookmarkStart w:id="252" w:name="_Toc21147"/>
      <w:bookmarkStart w:id="253" w:name="_Toc7680"/>
      <w:bookmarkStart w:id="254" w:name="_Toc16317"/>
      <w:r>
        <w:rPr>
          <w:rFonts w:hint="eastAsia" w:ascii="仿宋" w:hAnsi="仿宋" w:eastAsia="仿宋" w:cs="仿宋"/>
          <w:b/>
          <w:bCs/>
          <w:sz w:val="30"/>
          <w:szCs w:val="30"/>
          <w:lang w:val="zh-CN"/>
        </w:rPr>
        <w:t>健全农村垃圾收运处置体系</w:t>
      </w:r>
      <w:bookmarkEnd w:id="246"/>
      <w:bookmarkEnd w:id="247"/>
      <w:bookmarkEnd w:id="248"/>
      <w:bookmarkEnd w:id="249"/>
      <w:bookmarkEnd w:id="250"/>
      <w:bookmarkEnd w:id="251"/>
      <w:bookmarkEnd w:id="252"/>
      <w:bookmarkEnd w:id="253"/>
      <w:bookmarkEnd w:id="254"/>
      <w:r>
        <w:rPr>
          <w:rFonts w:hint="eastAsia" w:ascii="仿宋" w:hAnsi="仿宋" w:eastAsia="仿宋" w:cs="仿宋"/>
          <w:b/>
          <w:bCs/>
          <w:sz w:val="30"/>
          <w:szCs w:val="30"/>
          <w:lang w:val="zh-CN"/>
        </w:rPr>
        <w:t>。</w:t>
      </w:r>
      <w:r>
        <w:rPr>
          <w:rFonts w:hint="eastAsia" w:ascii="仿宋" w:hAnsi="仿宋" w:eastAsia="仿宋" w:cs="仿宋"/>
          <w:sz w:val="30"/>
          <w:szCs w:val="30"/>
          <w:lang w:val="zh-CN" w:eastAsia="zh-CN"/>
        </w:rPr>
        <w:t>建立健全“户分类、村收集、镇转运、市（县）处理”的垃圾收运处置体系，加快补齐垃圾收、运、治理设施短板。推行城乡一体化、政府购买服务等多元化垃圾收集与处理模式。</w:t>
      </w:r>
      <w:r>
        <w:rPr>
          <w:rFonts w:hint="eastAsia" w:ascii="仿宋" w:hAnsi="仿宋" w:eastAsia="仿宋" w:cs="仿宋"/>
          <w:sz w:val="30"/>
          <w:szCs w:val="30"/>
          <w:lang w:val="en-US" w:eastAsia="zh-CN"/>
        </w:rPr>
        <w:t>2023 年，稳步解决“垃圾围村”、“垃圾入河”等相关问题，</w:t>
      </w:r>
      <w:r>
        <w:rPr>
          <w:rFonts w:hint="eastAsia" w:ascii="仿宋" w:hAnsi="仿宋" w:eastAsia="仿宋" w:cs="仿宋"/>
          <w:sz w:val="30"/>
          <w:szCs w:val="30"/>
          <w:lang w:val="zh-CN" w:eastAsia="zh-CN"/>
        </w:rPr>
        <w:t>2025年，</w:t>
      </w:r>
      <w:r>
        <w:rPr>
          <w:rFonts w:hint="eastAsia" w:ascii="仿宋" w:hAnsi="仿宋" w:eastAsia="仿宋" w:cs="仿宋"/>
          <w:sz w:val="30"/>
          <w:szCs w:val="30"/>
          <w:lang w:val="en-US" w:eastAsia="zh-CN"/>
        </w:rPr>
        <w:t>农村生活垃圾收运处置体系实现全覆盖，</w:t>
      </w:r>
      <w:r>
        <w:rPr>
          <w:rFonts w:hint="eastAsia" w:ascii="仿宋" w:hAnsi="仿宋" w:eastAsia="仿宋" w:cs="仿宋"/>
          <w:sz w:val="30"/>
          <w:szCs w:val="30"/>
          <w:lang w:val="zh-CN" w:eastAsia="zh-CN"/>
        </w:rPr>
        <w:t>农村生活垃圾处置覆盖率达到90%。</w:t>
      </w:r>
    </w:p>
    <w:p>
      <w:pPr>
        <w:bidi w:val="0"/>
        <w:spacing w:line="360" w:lineRule="auto"/>
        <w:ind w:firstLine="602" w:firstLineChars="200"/>
        <w:rPr>
          <w:rFonts w:hint="eastAsia" w:ascii="仿宋" w:hAnsi="仿宋" w:eastAsia="仿宋" w:cs="仿宋"/>
          <w:sz w:val="30"/>
          <w:szCs w:val="30"/>
          <w:lang w:val="zh-CN"/>
        </w:rPr>
      </w:pPr>
      <w:r>
        <w:rPr>
          <w:rFonts w:hint="eastAsia" w:ascii="仿宋" w:hAnsi="仿宋" w:eastAsia="仿宋" w:cs="仿宋"/>
          <w:b/>
          <w:bCs/>
          <w:sz w:val="30"/>
          <w:szCs w:val="30"/>
          <w:lang w:val="zh-CN"/>
        </w:rPr>
        <w:t>扎实推进厕所改革。</w:t>
      </w:r>
      <w:r>
        <w:rPr>
          <w:rFonts w:hint="eastAsia" w:ascii="仿宋" w:hAnsi="仿宋" w:eastAsia="仿宋" w:cs="仿宋"/>
          <w:sz w:val="30"/>
          <w:szCs w:val="30"/>
          <w:lang w:val="zh-CN" w:eastAsia="zh-CN"/>
        </w:rPr>
        <w:t>坚持问题导向，</w:t>
      </w:r>
      <w:r>
        <w:rPr>
          <w:rFonts w:hint="eastAsia" w:ascii="仿宋" w:hAnsi="仿宋" w:eastAsia="仿宋" w:cs="仿宋"/>
          <w:sz w:val="30"/>
          <w:szCs w:val="30"/>
          <w:lang w:val="en-US" w:eastAsia="zh-CN"/>
        </w:rPr>
        <w:t>分类指导、稳步推进农村“厕所革命”。</w:t>
      </w:r>
      <w:r>
        <w:rPr>
          <w:rFonts w:hint="eastAsia" w:ascii="仿宋" w:hAnsi="仿宋" w:eastAsia="仿宋" w:cs="仿宋"/>
          <w:sz w:val="30"/>
          <w:szCs w:val="30"/>
          <w:lang w:val="zh-CN" w:eastAsia="zh-CN"/>
        </w:rPr>
        <w:t>对财政支持已建成的农村户用厕所进行拉网式排查，评估改厕效果及发现问题，有力有序推进厕所整改工作，扎实推进农村厕所革命。</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zh-CN" w:eastAsia="zh-CN"/>
        </w:rPr>
        <w:t>加强农村生活污水处理设施建设与运维。</w:t>
      </w:r>
      <w:r>
        <w:rPr>
          <w:rFonts w:hint="eastAsia" w:ascii="仿宋" w:hAnsi="仿宋" w:eastAsia="仿宋" w:cs="仿宋"/>
          <w:sz w:val="30"/>
          <w:szCs w:val="30"/>
          <w:lang w:val="zh-CN" w:eastAsia="zh-CN"/>
        </w:rPr>
        <w:t>因地制宜、因村施策</w:t>
      </w:r>
      <w:r>
        <w:rPr>
          <w:rFonts w:hint="eastAsia" w:ascii="仿宋" w:hAnsi="仿宋" w:eastAsia="仿宋" w:cs="仿宋"/>
          <w:color w:val="000000" w:themeColor="text1"/>
          <w:sz w:val="30"/>
          <w:szCs w:val="30"/>
          <w:lang w:val="zh-CN" w:eastAsia="zh-CN"/>
          <w14:textFill>
            <w14:solidFill>
              <w14:schemeClr w14:val="tx1"/>
            </w14:solidFill>
          </w14:textFill>
        </w:rPr>
        <w:t>治理农村生活污水，有条件的村庄实行生活污水处理设施全覆盖，</w:t>
      </w:r>
      <w:r>
        <w:rPr>
          <w:rFonts w:hint="eastAsia" w:ascii="仿宋" w:hAnsi="仿宋" w:eastAsia="仿宋" w:cs="仿宋"/>
          <w:color w:val="000000" w:themeColor="text1"/>
          <w:sz w:val="30"/>
          <w:szCs w:val="30"/>
          <w:lang w:val="en-US" w:eastAsia="zh-CN"/>
          <w14:textFill>
            <w14:solidFill>
              <w14:schemeClr w14:val="tx1"/>
            </w14:solidFill>
          </w14:textFill>
        </w:rPr>
        <w:t>2021年底前，已建成农村生活污水治理设施运行率达到90%，2025年，全县农村生活污水治理率达到55%以上。</w:t>
      </w:r>
    </w:p>
    <w:p>
      <w:pPr>
        <w:pStyle w:val="5"/>
        <w:bidi w:val="0"/>
        <w:ind w:firstLine="602" w:firstLineChars="200"/>
        <w:rPr>
          <w:rFonts w:hint="eastAsia" w:ascii="仿宋" w:hAnsi="仿宋" w:eastAsia="仿宋" w:cs="仿宋"/>
          <w:sz w:val="30"/>
          <w:szCs w:val="30"/>
          <w:lang w:val="en-US" w:eastAsia="zh-CN"/>
        </w:rPr>
      </w:pPr>
      <w:bookmarkStart w:id="255" w:name="_Toc20590"/>
      <w:bookmarkStart w:id="256" w:name="_Toc23658"/>
      <w:bookmarkStart w:id="257" w:name="_Toc1095"/>
      <w:bookmarkStart w:id="258" w:name="_Toc28965"/>
      <w:r>
        <w:rPr>
          <w:rFonts w:hint="eastAsia" w:ascii="仿宋" w:hAnsi="仿宋" w:eastAsia="仿宋" w:cs="仿宋"/>
          <w:sz w:val="30"/>
          <w:szCs w:val="30"/>
          <w:lang w:val="en-US" w:eastAsia="zh-CN"/>
        </w:rPr>
        <w:t>三、加强农业面源污染防治</w:t>
      </w:r>
      <w:bookmarkEnd w:id="255"/>
      <w:bookmarkEnd w:id="256"/>
      <w:bookmarkEnd w:id="257"/>
      <w:bookmarkEnd w:id="258"/>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en-US" w:eastAsia="zh-CN"/>
        </w:rPr>
        <w:t>加强秸秆与农用地膜综合利用。</w:t>
      </w:r>
      <w:r>
        <w:rPr>
          <w:rFonts w:hint="eastAsia" w:ascii="仿宋" w:hAnsi="仿宋" w:eastAsia="仿宋" w:cs="仿宋"/>
          <w:sz w:val="30"/>
          <w:szCs w:val="30"/>
          <w:lang w:val="en-US" w:eastAsia="zh-CN"/>
        </w:rPr>
        <w:t>构建秸秆综合利用推广平台，建立辐射周边区域秸秆综合利技术与途径，</w:t>
      </w:r>
      <w:r>
        <w:rPr>
          <w:rFonts w:hint="eastAsia" w:ascii="仿宋" w:hAnsi="仿宋" w:eastAsia="仿宋" w:cs="仿宋"/>
          <w:sz w:val="30"/>
          <w:szCs w:val="30"/>
          <w:lang w:val="zh-CN" w:eastAsia="zh-CN"/>
        </w:rPr>
        <w:t>提高秸秆综合利用率。</w:t>
      </w:r>
      <w:r>
        <w:rPr>
          <w:rFonts w:hint="eastAsia" w:ascii="仿宋" w:hAnsi="仿宋" w:eastAsia="仿宋" w:cs="仿宋"/>
          <w:sz w:val="30"/>
          <w:szCs w:val="30"/>
          <w:lang w:val="en-US" w:eastAsia="zh-CN"/>
        </w:rPr>
        <w:t>建立健全</w:t>
      </w:r>
      <w:r>
        <w:rPr>
          <w:rFonts w:hint="eastAsia" w:ascii="仿宋" w:hAnsi="仿宋" w:eastAsia="仿宋" w:cs="仿宋"/>
          <w:color w:val="000000" w:themeColor="text1"/>
          <w:sz w:val="30"/>
          <w:szCs w:val="30"/>
          <w:lang w:val="en-US" w:eastAsia="zh-CN"/>
          <w14:textFill>
            <w14:solidFill>
              <w14:schemeClr w14:val="tx1"/>
            </w14:solidFill>
          </w14:textFill>
        </w:rPr>
        <w:t>废旧农膜回收利用体系，在重点覆膜区域，科学推广全生物可降解地膜，推进台安县农田残留地膜、农药化肥塑料包装物等清理整治工作，推进废旧农膜回收利用，实现地膜残留量零增长，到2025年，</w:t>
      </w:r>
      <w:r>
        <w:rPr>
          <w:rFonts w:hint="eastAsia" w:ascii="仿宋" w:hAnsi="仿宋" w:eastAsia="仿宋" w:cs="仿宋"/>
          <w:color w:val="000000" w:themeColor="text1"/>
          <w:sz w:val="30"/>
          <w:szCs w:val="30"/>
          <w:lang w:val="zh-CN" w:eastAsia="zh-CN"/>
          <w14:textFill>
            <w14:solidFill>
              <w14:schemeClr w14:val="tx1"/>
            </w14:solidFill>
          </w14:textFill>
        </w:rPr>
        <w:t>主要农作物秸秆综合利用率达到</w:t>
      </w:r>
      <w:r>
        <w:rPr>
          <w:rFonts w:hint="eastAsia" w:ascii="仿宋" w:hAnsi="仿宋" w:eastAsia="仿宋" w:cs="仿宋"/>
          <w:color w:val="000000" w:themeColor="text1"/>
          <w:sz w:val="30"/>
          <w:szCs w:val="30"/>
          <w:lang w:val="en-US" w:eastAsia="zh-CN"/>
          <w14:textFill>
            <w14:solidFill>
              <w14:schemeClr w14:val="tx1"/>
            </w14:solidFill>
          </w14:textFill>
        </w:rPr>
        <w:t>90</w:t>
      </w:r>
      <w:r>
        <w:rPr>
          <w:rFonts w:hint="eastAsia" w:ascii="仿宋" w:hAnsi="仿宋" w:eastAsia="仿宋" w:cs="仿宋"/>
          <w:color w:val="000000" w:themeColor="text1"/>
          <w:sz w:val="30"/>
          <w:szCs w:val="30"/>
          <w:lang w:val="zh-CN" w:eastAsia="zh-CN"/>
          <w14:textFill>
            <w14:solidFill>
              <w14:schemeClr w14:val="tx1"/>
            </w14:solidFill>
          </w14:textFill>
        </w:rPr>
        <w:t>%以上，</w:t>
      </w:r>
      <w:r>
        <w:rPr>
          <w:rFonts w:hint="eastAsia" w:ascii="仿宋" w:hAnsi="仿宋" w:eastAsia="仿宋" w:cs="仿宋"/>
          <w:color w:val="000000" w:themeColor="text1"/>
          <w:sz w:val="30"/>
          <w:szCs w:val="30"/>
          <w:lang w:val="en-US" w:eastAsia="zh-CN"/>
          <w14:textFill>
            <w14:solidFill>
              <w14:schemeClr w14:val="tx1"/>
            </w14:solidFill>
          </w14:textFill>
        </w:rPr>
        <w:t>废弃农膜回收率达到85%。</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加强畜禽养殖粪污治理与资源化。</w:t>
      </w:r>
      <w:r>
        <w:rPr>
          <w:rFonts w:hint="eastAsia" w:ascii="仿宋" w:hAnsi="仿宋" w:eastAsia="仿宋" w:cs="仿宋"/>
          <w:b w:val="0"/>
          <w:bCs w:val="0"/>
          <w:color w:val="000000" w:themeColor="text1"/>
          <w:sz w:val="30"/>
          <w:szCs w:val="30"/>
          <w:lang w:val="en-US" w:eastAsia="zh-CN"/>
          <w14:textFill>
            <w14:solidFill>
              <w14:schemeClr w14:val="tx1"/>
            </w14:solidFill>
          </w14:textFill>
        </w:rPr>
        <w:t>依照台安县颁布实施的《台安县畜禽养殖禁（限）养区划定方案》，规范畜禽养殖行业的</w:t>
      </w:r>
      <w:r>
        <w:rPr>
          <w:rFonts w:hint="eastAsia" w:ascii="仿宋" w:hAnsi="仿宋" w:eastAsia="仿宋" w:cs="仿宋"/>
          <w:color w:val="000000" w:themeColor="text1"/>
          <w:sz w:val="30"/>
          <w:szCs w:val="30"/>
          <w:lang w:val="en-US" w:eastAsia="zh-CN"/>
          <w14:textFill>
            <w14:solidFill>
              <w14:schemeClr w14:val="tx1"/>
            </w14:solidFill>
          </w14:textFill>
        </w:rPr>
        <w:t>管理，推进规模畜禽养殖场配套建设粪污处理设施，自行监测出水水质。支持规模养殖场采取现代化设施装备，改进畜禽养殖和粪污贮存发酵工艺，减少粪污产生总量。加强散养畜禽密集区所有乡（镇）人民政府、街道办事处，积极建设畜禽养殖废弃物综合利用和无害化处理设施，有计划搬迁或者关闭畜禽养殖场等措施，对畜禽粪便污水进行分户收集，集中处理，建立适合本地实际的畜禽散养治理模式。以台安县规模养殖场为重点，健全粪肥还田监管体系和制度，推广经济高效、灵活多样的种养结合模式，整县推进畜禽养殖废弃物资源化利用，到2025年，全县规模养殖场粪污处理利用设施装备配套率达到100%以上，畜禽粪污资源化利用率达到80%以上，基本实现清洁生产、健康养殖。</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推进化肥减量增效。</w:t>
      </w:r>
      <w:r>
        <w:rPr>
          <w:rFonts w:hint="eastAsia" w:ascii="仿宋" w:hAnsi="仿宋" w:eastAsia="仿宋" w:cs="仿宋"/>
          <w:color w:val="000000" w:themeColor="text1"/>
          <w:sz w:val="30"/>
          <w:szCs w:val="30"/>
          <w:lang w:val="en-US" w:eastAsia="zh-CN"/>
          <w14:textFill>
            <w14:solidFill>
              <w14:schemeClr w14:val="tx1"/>
            </w14:solidFill>
          </w14:textFill>
        </w:rPr>
        <w:t>以化肥减量增效为重点，集成推广科学施肥技术。推广机械施肥、种肥同播等措施，示范推广缓释肥、水溶肥等新型肥料，改进施肥方式。</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color w:val="000000" w:themeColor="text1"/>
          <w:sz w:val="30"/>
          <w:szCs w:val="30"/>
          <w:lang w:val="en-US" w:eastAsia="zh-CN"/>
          <w14:textFill>
            <w14:solidFill>
              <w14:schemeClr w14:val="tx1"/>
            </w14:solidFill>
          </w14:textFill>
        </w:rPr>
        <w:t>推进农药减量增效。</w:t>
      </w:r>
      <w:r>
        <w:rPr>
          <w:rFonts w:hint="eastAsia" w:ascii="仿宋" w:hAnsi="仿宋" w:eastAsia="仿宋" w:cs="仿宋"/>
          <w:color w:val="000000" w:themeColor="text1"/>
          <w:sz w:val="30"/>
          <w:szCs w:val="30"/>
          <w:lang w:val="en-US" w:eastAsia="zh-CN"/>
          <w14:textFill>
            <w14:solidFill>
              <w14:schemeClr w14:val="tx1"/>
            </w14:solidFill>
          </w14:textFill>
        </w:rPr>
        <w:t>推行绿色防控，集成推广生物防治、物理防治等绿色防控技术，引导创建绿色生产基地，培育绿色品牌。开展农药使用安全评估，推广应用高效低毒低残留新型农药，淘汰高度、高风险农药。</w:t>
      </w:r>
    </w:p>
    <w:p>
      <w:pPr>
        <w:bidi w:val="0"/>
        <w:spacing w:line="360" w:lineRule="auto"/>
        <w:ind w:firstLine="602" w:firstLineChars="200"/>
        <w:rPr>
          <w:rFonts w:hint="eastAsia" w:ascii="仿宋" w:hAnsi="仿宋" w:eastAsia="仿宋" w:cs="仿宋"/>
          <w:sz w:val="30"/>
          <w:szCs w:val="30"/>
          <w:lang w:val="en-US" w:eastAsia="zh-CN"/>
        </w:rPr>
      </w:pPr>
      <w:r>
        <w:rPr>
          <w:rFonts w:hint="eastAsia" w:ascii="仿宋" w:hAnsi="仿宋" w:eastAsia="仿宋" w:cs="仿宋"/>
          <w:b/>
          <w:bCs/>
          <w:sz w:val="30"/>
          <w:szCs w:val="30"/>
          <w:lang w:val="en-US" w:eastAsia="zh-CN"/>
        </w:rPr>
        <w:t>加强农业面源污染监测网络建设。</w:t>
      </w:r>
      <w:r>
        <w:rPr>
          <w:rFonts w:hint="eastAsia" w:ascii="仿宋" w:hAnsi="仿宋" w:eastAsia="仿宋" w:cs="仿宋"/>
          <w:sz w:val="30"/>
          <w:szCs w:val="30"/>
          <w:lang w:val="en-US" w:eastAsia="zh-CN"/>
        </w:rPr>
        <w:t>构建全域覆盖要素齐全、布局合理的监测体系，到2025年，探索建立农业面源污染监测制度和统计信息共享机制，整合提升农业面源污染监测能力。</w:t>
      </w:r>
    </w:p>
    <w:p>
      <w:pPr>
        <w:pStyle w:val="5"/>
        <w:bidi w:val="0"/>
        <w:ind w:firstLine="602" w:firstLineChars="200"/>
        <w:rPr>
          <w:rFonts w:hint="eastAsia" w:ascii="仿宋" w:hAnsi="仿宋" w:eastAsia="仿宋" w:cs="仿宋"/>
          <w:sz w:val="30"/>
          <w:szCs w:val="30"/>
          <w:lang w:val="zh-CN" w:eastAsia="zh-CN"/>
        </w:rPr>
      </w:pPr>
      <w:bookmarkStart w:id="259" w:name="_Toc29679"/>
      <w:bookmarkStart w:id="260" w:name="_Toc7328"/>
      <w:bookmarkStart w:id="261" w:name="_Toc6205"/>
      <w:bookmarkStart w:id="262" w:name="_Toc999"/>
      <w:r>
        <w:rPr>
          <w:rFonts w:hint="eastAsia" w:ascii="仿宋" w:hAnsi="仿宋" w:eastAsia="仿宋" w:cs="仿宋"/>
          <w:sz w:val="30"/>
          <w:szCs w:val="30"/>
          <w:lang w:val="zh-CN"/>
        </w:rPr>
        <w:t>四、推动</w:t>
      </w:r>
      <w:bookmarkEnd w:id="259"/>
      <w:r>
        <w:rPr>
          <w:rFonts w:hint="eastAsia" w:ascii="仿宋" w:hAnsi="仿宋" w:eastAsia="仿宋" w:cs="仿宋"/>
          <w:sz w:val="30"/>
          <w:szCs w:val="30"/>
          <w:lang w:eastAsia="zh-CN"/>
        </w:rPr>
        <w:t>乡村振兴发展</w:t>
      </w:r>
      <w:bookmarkEnd w:id="260"/>
      <w:bookmarkEnd w:id="261"/>
      <w:bookmarkEnd w:id="262"/>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en-US" w:eastAsia="zh-CN"/>
        </w:rPr>
        <w:t>推进乡村振兴示范镇建设。</w:t>
      </w:r>
      <w:r>
        <w:rPr>
          <w:rFonts w:hint="eastAsia" w:ascii="仿宋" w:hAnsi="仿宋" w:eastAsia="仿宋" w:cs="仿宋"/>
          <w:sz w:val="30"/>
          <w:szCs w:val="30"/>
          <w:lang w:val="en-US" w:eastAsia="zh-CN"/>
        </w:rPr>
        <w:t>大力推动“一村一品、一村一企”建设。立足当地的资源禀赋和产业基础，促进一个或几个村拥有一个或几个农业主导产品或特色品牌，打造“一村一品”“一镇一业”，</w:t>
      </w:r>
      <w:r>
        <w:rPr>
          <w:rFonts w:hint="eastAsia" w:ascii="仿宋" w:hAnsi="仿宋" w:eastAsia="仿宋" w:cs="仿宋"/>
          <w:color w:val="000000" w:themeColor="text1"/>
          <w:sz w:val="30"/>
          <w:szCs w:val="30"/>
          <w:lang w:val="en-US" w:eastAsia="zh-CN"/>
          <w14:textFill>
            <w14:solidFill>
              <w14:schemeClr w14:val="tx1"/>
            </w14:solidFill>
          </w14:textFill>
        </w:rPr>
        <w:t>推进农业专业化、特色化、品牌化建设。加快推进桑林乡村振兴示范镇建设，推动农业产业发展壮大。</w:t>
      </w:r>
    </w:p>
    <w:p>
      <w:pPr>
        <w:bidi w:val="0"/>
        <w:spacing w:line="360" w:lineRule="auto"/>
        <w:ind w:firstLine="602" w:firstLineChars="200"/>
        <w:rPr>
          <w:rFonts w:hint="eastAsia" w:ascii="仿宋" w:hAnsi="仿宋" w:eastAsia="仿宋" w:cs="仿宋"/>
          <w:color w:val="000000" w:themeColor="text1"/>
          <w:sz w:val="30"/>
          <w:szCs w:val="30"/>
          <w:lang w:val="en-US" w:eastAsia="zh-CN"/>
          <w14:textFill>
            <w14:solidFill>
              <w14:schemeClr w14:val="tx1"/>
            </w14:solidFill>
          </w14:textFill>
        </w:rPr>
      </w:pPr>
      <w:r>
        <w:rPr>
          <w:rFonts w:hint="eastAsia" w:ascii="仿宋" w:hAnsi="仿宋" w:eastAsia="仿宋" w:cs="仿宋"/>
          <w:b/>
          <w:bCs/>
          <w:sz w:val="30"/>
          <w:szCs w:val="30"/>
          <w:lang w:val="en-US" w:eastAsia="zh-CN"/>
        </w:rPr>
        <w:t>壮大乡村特色休闲产业发展。</w:t>
      </w:r>
      <w:r>
        <w:rPr>
          <w:rFonts w:hint="eastAsia" w:ascii="仿宋" w:hAnsi="仿宋" w:eastAsia="仿宋" w:cs="仿宋"/>
          <w:sz w:val="30"/>
          <w:szCs w:val="30"/>
          <w:lang w:val="en-US" w:eastAsia="zh-CN"/>
        </w:rPr>
        <w:t>加快乡村特色产业发展，打造台安县生猪、肉鸡等深加工产业辐射全国的农副产品生产基地。大力发展乡村特色旅游产业，打造台安县影视文化产业基地等特色产业基地。挖掘农村独具特色的历史文化、民俗风情等，保护传统工艺，促进乡村特色文</w:t>
      </w:r>
      <w:r>
        <w:rPr>
          <w:rFonts w:hint="eastAsia" w:ascii="仿宋" w:hAnsi="仿宋" w:eastAsia="仿宋" w:cs="仿宋"/>
          <w:color w:val="000000" w:themeColor="text1"/>
          <w:sz w:val="30"/>
          <w:szCs w:val="30"/>
          <w:lang w:val="en-US" w:eastAsia="zh-CN"/>
          <w14:textFill>
            <w14:solidFill>
              <w14:schemeClr w14:val="tx1"/>
            </w14:solidFill>
          </w14:textFill>
        </w:rPr>
        <w:t>化产业发展，引导各地区完善乡村旅游基础设施，发展乡村休闲旅游业。到2025年，创建休闲农业和乡村旅游特色乡镇1个。</w:t>
      </w:r>
    </w:p>
    <w:p>
      <w:pPr>
        <w:pStyle w:val="2"/>
        <w:rPr>
          <w:rFonts w:hint="eastAsia"/>
          <w:sz w:val="30"/>
          <w:szCs w:val="30"/>
        </w:rPr>
      </w:pPr>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autofit"/>
        <w:tblCellMar>
          <w:top w:w="0" w:type="dxa"/>
          <w:left w:w="108" w:type="dxa"/>
          <w:bottom w:w="0" w:type="dxa"/>
          <w:right w:w="108" w:type="dxa"/>
        </w:tblCellMar>
      </w:tblPr>
      <w:tblGrid>
        <w:gridCol w:w="723"/>
        <w:gridCol w:w="6630"/>
        <w:gridCol w:w="1169"/>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8522" w:type="dxa"/>
            <w:gridSpan w:val="3"/>
            <w:tcBorders>
              <w:tl2br w:val="nil"/>
              <w:tr2bl w:val="nil"/>
            </w:tcBorders>
            <w:vAlign w:val="center"/>
          </w:tcPr>
          <w:p>
            <w:pPr>
              <w:spacing w:line="240" w:lineRule="auto"/>
              <w:jc w:val="center"/>
              <w:rPr>
                <w:rFonts w:hint="eastAsia" w:ascii="仿宋" w:hAnsi="仿宋" w:eastAsia="仿宋" w:cs="仿宋"/>
                <w:b/>
                <w:bCs/>
                <w:sz w:val="21"/>
                <w:szCs w:val="21"/>
                <w:vertAlign w:val="baseline"/>
              </w:rPr>
            </w:pPr>
            <w:r>
              <w:rPr>
                <w:rFonts w:hint="eastAsia" w:ascii="仿宋" w:hAnsi="仿宋" w:eastAsia="仿宋" w:cs="仿宋"/>
                <w:b/>
                <w:bCs/>
                <w:sz w:val="24"/>
                <w:szCs w:val="24"/>
                <w:vertAlign w:val="baseline"/>
                <w:lang w:eastAsia="zh-CN"/>
              </w:rPr>
              <w:t>专栏九</w:t>
            </w:r>
            <w:r>
              <w:rPr>
                <w:rFonts w:hint="eastAsia" w:ascii="仿宋" w:hAnsi="仿宋" w:eastAsia="仿宋" w:cs="仿宋"/>
                <w:b/>
                <w:bCs/>
                <w:sz w:val="24"/>
                <w:szCs w:val="24"/>
                <w:vertAlign w:val="baseline"/>
                <w:lang w:val="en-US" w:eastAsia="zh-CN"/>
              </w:rPr>
              <w:t xml:space="preserve"> </w:t>
            </w:r>
            <w:r>
              <w:rPr>
                <w:rFonts w:hint="eastAsia" w:ascii="仿宋" w:hAnsi="仿宋" w:eastAsia="仿宋" w:cs="仿宋"/>
                <w:b/>
                <w:bCs/>
                <w:sz w:val="24"/>
                <w:szCs w:val="24"/>
                <w:vertAlign w:val="baseline"/>
                <w:lang w:eastAsia="zh-CN"/>
              </w:rPr>
              <w:t>农村环境综合整治项目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序号</w:t>
            </w:r>
          </w:p>
        </w:tc>
        <w:tc>
          <w:tcPr>
            <w:tcW w:w="6630"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项目名称</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b/>
                <w:bCs/>
                <w:sz w:val="21"/>
                <w:szCs w:val="21"/>
                <w:vertAlign w:val="baseline"/>
                <w:lang w:eastAsia="zh-CN"/>
              </w:rPr>
            </w:pPr>
            <w:r>
              <w:rPr>
                <w:rFonts w:hint="default" w:ascii="Times New Roman" w:hAnsi="Times New Roman" w:eastAsia="仿宋" w:cs="Times New Roman"/>
                <w:b/>
                <w:bCs/>
                <w:sz w:val="21"/>
                <w:szCs w:val="21"/>
                <w:vertAlign w:val="baseline"/>
                <w:lang w:eastAsia="zh-CN"/>
              </w:rPr>
              <w:t>实施计划</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i w:val="0"/>
                <w:iCs w:val="0"/>
                <w:caps w:val="0"/>
                <w:color w:val="auto"/>
                <w:spacing w:val="0"/>
                <w:kern w:val="2"/>
                <w:sz w:val="21"/>
                <w:szCs w:val="21"/>
                <w:shd w:val="clear" w:color="auto" w:fill="auto"/>
                <w:lang w:val="en-US" w:eastAsia="zh-CN" w:bidi="ar"/>
              </w:rPr>
              <w:t>台安县农村人居环境整治项目</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eastAsia="zh-CN"/>
              </w:rPr>
              <w:t>农业乡村示范镇</w:t>
            </w:r>
            <w:r>
              <w:rPr>
                <w:rFonts w:hint="default" w:ascii="Times New Roman" w:hAnsi="Times New Roman" w:eastAsia="仿宋" w:cs="Times New Roman"/>
                <w:sz w:val="21"/>
                <w:szCs w:val="21"/>
                <w:vertAlign w:val="baseline"/>
                <w:lang w:val="en-US" w:eastAsia="zh-CN"/>
              </w:rPr>
              <w:t>1个（</w:t>
            </w:r>
            <w:r>
              <w:rPr>
                <w:rFonts w:hint="default" w:ascii="Times New Roman" w:hAnsi="Times New Roman" w:eastAsia="仿宋" w:cs="Times New Roman"/>
                <w:sz w:val="21"/>
                <w:szCs w:val="21"/>
                <w:vertAlign w:val="baseline"/>
                <w:lang w:eastAsia="zh-CN"/>
              </w:rPr>
              <w:t>桑林村</w:t>
            </w:r>
            <w:r>
              <w:rPr>
                <w:rFonts w:hint="default" w:ascii="Times New Roman" w:hAnsi="Times New Roman" w:eastAsia="仿宋" w:cs="Times New Roman"/>
                <w:sz w:val="21"/>
                <w:szCs w:val="21"/>
                <w:vertAlign w:val="baseline"/>
                <w:lang w:val="en-US" w:eastAsia="zh-CN"/>
              </w:rPr>
              <w:t>）</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eastAsia="zh-CN"/>
              </w:rPr>
              <w:t>休闲农业与乡村旅游特色乡镇</w:t>
            </w:r>
            <w:r>
              <w:rPr>
                <w:rFonts w:hint="default" w:ascii="Times New Roman" w:hAnsi="Times New Roman" w:eastAsia="仿宋" w:cs="Times New Roman"/>
                <w:sz w:val="21"/>
                <w:szCs w:val="21"/>
                <w:vertAlign w:val="baseline"/>
                <w:lang w:val="en-US" w:eastAsia="zh-CN"/>
              </w:rPr>
              <w:t>1个（桑林村）</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highlight w:val="none"/>
                <w:vertAlign w:val="baseline"/>
                <w:lang w:val="en-US" w:eastAsia="zh-CN" w:bidi="ar-SA"/>
              </w:rPr>
            </w:pPr>
            <w:r>
              <w:rPr>
                <w:rFonts w:hint="default" w:ascii="Times New Roman" w:hAnsi="Times New Roman" w:eastAsia="仿宋" w:cs="Times New Roman"/>
                <w:color w:val="auto"/>
                <w:sz w:val="21"/>
                <w:szCs w:val="21"/>
                <w:highlight w:val="none"/>
                <w:lang w:eastAsia="zh-CN"/>
              </w:rPr>
              <w:t>台安县农村饮水安全巩固提升工程（维修改造农村饮水工程</w:t>
            </w:r>
            <w:r>
              <w:rPr>
                <w:rFonts w:hint="default" w:ascii="Times New Roman" w:hAnsi="Times New Roman" w:eastAsia="仿宋" w:cs="Times New Roman"/>
                <w:color w:val="auto"/>
                <w:sz w:val="21"/>
                <w:szCs w:val="21"/>
                <w:highlight w:val="none"/>
                <w:lang w:val="en-US" w:eastAsia="zh-CN"/>
              </w:rPr>
              <w:t>92处</w:t>
            </w:r>
            <w:r>
              <w:rPr>
                <w:rFonts w:hint="default" w:ascii="Times New Roman" w:hAnsi="Times New Roman" w:eastAsia="仿宋" w:cs="Times New Roman"/>
                <w:color w:val="auto"/>
                <w:sz w:val="21"/>
                <w:szCs w:val="21"/>
                <w:highlight w:val="none"/>
                <w:lang w:eastAsia="zh-CN"/>
              </w:rPr>
              <w:t>）。</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highlight w:val="none"/>
                <w:vertAlign w:val="baseline"/>
                <w:lang w:val="en-US" w:eastAsia="zh-CN" w:bidi="ar-SA"/>
              </w:rPr>
            </w:pPr>
            <w:r>
              <w:rPr>
                <w:rFonts w:hint="default" w:ascii="Times New Roman" w:hAnsi="Times New Roman" w:eastAsia="仿宋" w:cs="Times New Roman"/>
                <w:sz w:val="21"/>
                <w:szCs w:val="21"/>
                <w:highlight w:val="none"/>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color w:val="auto"/>
                <w:sz w:val="21"/>
                <w:szCs w:val="21"/>
                <w:lang w:val="en-US" w:eastAsia="zh-CN"/>
              </w:rPr>
              <w:t>台安县农村生活污水治理工程。</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2022年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八角台文化旅游带建设项目</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辽河文化旅游区建设项目</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军民融合国防教育特色小镇项目</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辽宁众达文化产业有限公司生态文旅产业园及文化影视基地一期工程</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农村饮水维修改造及移民工程</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高标准农田建设项目</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723"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w:t>
            </w:r>
          </w:p>
        </w:tc>
        <w:tc>
          <w:tcPr>
            <w:tcW w:w="6630" w:type="dxa"/>
            <w:tcBorders>
              <w:tl2br w:val="nil"/>
              <w:tr2bl w:val="nil"/>
            </w:tcBorders>
            <w:vAlign w:val="center"/>
          </w:tcPr>
          <w:p>
            <w:pPr>
              <w:spacing w:line="240" w:lineRule="auto"/>
              <w:jc w:val="both"/>
              <w:rPr>
                <w:rFonts w:hint="default" w:ascii="Times New Roman" w:hAnsi="Times New Roman" w:eastAsia="仿宋" w:cs="Times New Roman"/>
                <w:color w:val="auto"/>
                <w:kern w:val="2"/>
                <w:sz w:val="21"/>
                <w:szCs w:val="21"/>
                <w:lang w:val="en-US" w:eastAsia="zh-CN" w:bidi="ar-SA"/>
              </w:rPr>
            </w:pPr>
            <w:r>
              <w:rPr>
                <w:rFonts w:hint="default" w:ascii="Times New Roman" w:hAnsi="Times New Roman" w:eastAsia="仿宋" w:cs="Times New Roman"/>
                <w:color w:val="auto"/>
                <w:sz w:val="21"/>
                <w:szCs w:val="21"/>
                <w:lang w:val="en-US" w:eastAsia="zh-CN"/>
              </w:rPr>
              <w:t>鞍山兴源燃气有限公司台安县乡镇管道燃气建设项目</w:t>
            </w:r>
          </w:p>
        </w:tc>
        <w:tc>
          <w:tcPr>
            <w:tcW w:w="1169"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2023年</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c>
          <w:tcPr>
            <w:tcW w:w="0" w:type="auto"/>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t>13</w:t>
            </w:r>
          </w:p>
        </w:tc>
        <w:tc>
          <w:tcPr>
            <w:tcW w:w="0" w:type="auto"/>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台安县畜禽粪污资源化利用整县推进（有机肥处理中心）项目</w:t>
            </w:r>
          </w:p>
        </w:tc>
        <w:tc>
          <w:tcPr>
            <w:tcW w:w="0" w:type="auto"/>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r>
    </w:tbl>
    <w:p>
      <w:pPr>
        <w:spacing w:line="360" w:lineRule="auto"/>
        <w:rPr>
          <w:rFonts w:hint="eastAsia" w:ascii="仿宋" w:hAnsi="仿宋" w:eastAsia="仿宋" w:cs="仿宋"/>
          <w:sz w:val="30"/>
          <w:szCs w:val="30"/>
        </w:rPr>
      </w:pPr>
    </w:p>
    <w:p>
      <w:pPr>
        <w:pStyle w:val="3"/>
        <w:bidi w:val="0"/>
        <w:jc w:val="center"/>
        <w:rPr>
          <w:rFonts w:hint="eastAsia"/>
          <w:sz w:val="36"/>
          <w:szCs w:val="36"/>
          <w:lang w:eastAsia="zh-CN"/>
        </w:rPr>
      </w:pPr>
      <w:bookmarkStart w:id="263" w:name="_Toc14488"/>
      <w:r>
        <w:rPr>
          <w:rFonts w:hint="eastAsia"/>
          <w:sz w:val="36"/>
          <w:szCs w:val="36"/>
          <w:lang w:eastAsia="zh-CN"/>
        </w:rPr>
        <w:t>第六章</w:t>
      </w:r>
      <w:r>
        <w:rPr>
          <w:rFonts w:hint="eastAsia"/>
          <w:sz w:val="36"/>
          <w:szCs w:val="36"/>
          <w:lang w:val="en-US" w:eastAsia="zh-CN"/>
        </w:rPr>
        <w:t xml:space="preserve"> </w:t>
      </w:r>
      <w:r>
        <w:rPr>
          <w:rFonts w:hint="eastAsia"/>
          <w:sz w:val="36"/>
          <w:szCs w:val="36"/>
          <w:lang w:eastAsia="zh-CN"/>
        </w:rPr>
        <w:t>规划保障措施</w:t>
      </w:r>
      <w:bookmarkEnd w:id="263"/>
    </w:p>
    <w:p>
      <w:pPr>
        <w:pStyle w:val="4"/>
        <w:numPr>
          <w:ilvl w:val="1"/>
          <w:numId w:val="0"/>
        </w:numPr>
        <w:bidi w:val="0"/>
        <w:ind w:leftChars="0"/>
        <w:jc w:val="center"/>
        <w:rPr>
          <w:rFonts w:hint="eastAsia"/>
          <w:lang w:eastAsia="zh-CN"/>
        </w:rPr>
      </w:pPr>
      <w:bookmarkStart w:id="264" w:name="_Toc29993"/>
      <w:r>
        <w:rPr>
          <w:rFonts w:hint="eastAsia"/>
          <w:lang w:eastAsia="zh-CN"/>
        </w:rPr>
        <w:t>第一节</w:t>
      </w:r>
      <w:r>
        <w:rPr>
          <w:rFonts w:hint="eastAsia"/>
          <w:lang w:val="en-US" w:eastAsia="zh-CN"/>
        </w:rPr>
        <w:t xml:space="preserve"> </w:t>
      </w:r>
      <w:r>
        <w:rPr>
          <w:rFonts w:hint="eastAsia"/>
          <w:lang w:eastAsia="zh-CN"/>
        </w:rPr>
        <w:t>坚持党的全面领导</w:t>
      </w:r>
      <w:bookmarkEnd w:id="264"/>
    </w:p>
    <w:p>
      <w:pPr>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充分发挥党的领导核心作用，把党领导经济社会发展的制度优势转化为治理效能。在党的领导下，严格履行政府职责，统筹一盘棋，合力抓落实，不断完善规划实施机制，建立完善规划实施的保障体系，建立健全推动高质量发展的指标体系、政策体系、标准体系、统计体系、绩效考核体系，加强考核监督，动员和引导全社会力量共同实现生态文明、绿色发展的新蓝图。</w:t>
      </w:r>
    </w:p>
    <w:p>
      <w:pPr>
        <w:pStyle w:val="4"/>
        <w:numPr>
          <w:ilvl w:val="1"/>
          <w:numId w:val="0"/>
        </w:numPr>
        <w:bidi w:val="0"/>
        <w:ind w:leftChars="0"/>
        <w:jc w:val="center"/>
        <w:rPr>
          <w:rFonts w:hint="eastAsia"/>
          <w:lang w:eastAsia="zh-CN"/>
        </w:rPr>
      </w:pPr>
      <w:bookmarkStart w:id="265" w:name="_Toc2807"/>
      <w:r>
        <w:rPr>
          <w:rFonts w:hint="eastAsia"/>
          <w:lang w:eastAsia="zh-CN"/>
        </w:rPr>
        <w:t>第二节</w:t>
      </w:r>
      <w:r>
        <w:rPr>
          <w:rFonts w:hint="eastAsia"/>
          <w:lang w:val="en-US" w:eastAsia="zh-CN"/>
        </w:rPr>
        <w:t xml:space="preserve"> </w:t>
      </w:r>
      <w:r>
        <w:rPr>
          <w:rFonts w:hint="eastAsia"/>
          <w:lang w:eastAsia="zh-CN"/>
        </w:rPr>
        <w:t>完善规划实施要素保障</w:t>
      </w:r>
      <w:bookmarkEnd w:id="265"/>
    </w:p>
    <w:p>
      <w:pPr>
        <w:spacing w:line="360" w:lineRule="auto"/>
        <w:ind w:firstLine="600" w:firstLineChars="200"/>
        <w:rPr>
          <w:rFonts w:hint="eastAsia" w:ascii="仿宋" w:hAnsi="仿宋" w:eastAsia="仿宋" w:cs="仿宋"/>
          <w:sz w:val="30"/>
          <w:szCs w:val="30"/>
          <w:lang w:eastAsia="zh-CN"/>
        </w:rPr>
      </w:pPr>
      <w:r>
        <w:rPr>
          <w:rFonts w:hint="eastAsia" w:ascii="仿宋" w:hAnsi="仿宋" w:eastAsia="仿宋" w:cs="仿宋"/>
          <w:color w:val="000000" w:themeColor="text1"/>
          <w:sz w:val="30"/>
          <w:szCs w:val="30"/>
          <w14:textFill>
            <w14:solidFill>
              <w14:schemeClr w14:val="tx1"/>
            </w14:solidFill>
          </w14:textFill>
        </w:rPr>
        <w:t>强化政策、项目、资金等要素保障，健全规划实施机制；强化规划引领，实施规划监测评估，确保规划目标任务如期完成</w:t>
      </w:r>
      <w:r>
        <w:rPr>
          <w:rFonts w:hint="eastAsia" w:ascii="仿宋" w:hAnsi="仿宋" w:eastAsia="仿宋" w:cs="仿宋"/>
          <w:color w:val="000000" w:themeColor="text1"/>
          <w:sz w:val="30"/>
          <w:szCs w:val="30"/>
          <w:lang w:eastAsia="zh-CN"/>
          <w14:textFill>
            <w14:solidFill>
              <w14:schemeClr w14:val="tx1"/>
            </w14:solidFill>
          </w14:textFill>
        </w:rPr>
        <w:t>。</w:t>
      </w:r>
    </w:p>
    <w:p>
      <w:pPr>
        <w:spacing w:line="360" w:lineRule="auto"/>
        <w:ind w:firstLine="602" w:firstLineChars="200"/>
        <w:rPr>
          <w:rFonts w:hint="eastAsia" w:ascii="仿宋" w:hAnsi="仿宋" w:eastAsia="仿宋" w:cs="仿宋"/>
          <w:sz w:val="30"/>
          <w:szCs w:val="30"/>
          <w:lang w:eastAsia="zh-CN"/>
        </w:rPr>
      </w:pPr>
      <w:r>
        <w:rPr>
          <w:rFonts w:hint="eastAsia" w:ascii="仿宋" w:hAnsi="仿宋" w:eastAsia="仿宋" w:cs="仿宋"/>
          <w:b/>
          <w:bCs/>
          <w:sz w:val="30"/>
          <w:szCs w:val="30"/>
          <w:lang w:eastAsia="zh-CN"/>
        </w:rPr>
        <w:t>强化政策领导。</w:t>
      </w:r>
      <w:r>
        <w:rPr>
          <w:rFonts w:hint="eastAsia" w:ascii="仿宋" w:hAnsi="仿宋" w:eastAsia="仿宋" w:cs="仿宋"/>
          <w:b w:val="0"/>
          <w:bCs/>
          <w:sz w:val="30"/>
          <w:szCs w:val="30"/>
          <w:lang w:val="en-US" w:eastAsia="zh-CN"/>
        </w:rPr>
        <w:t>根据规划提出的目标任务，加强生态环境建设政策的统筹协调，注重短期政策与长期政策的衔接配合。围绕生态环境、色绿低碳发展重点领域，研究制定配套政策。密切联系宏观环境变化和发展实际，加强政策储备。</w:t>
      </w:r>
    </w:p>
    <w:p>
      <w:pPr>
        <w:spacing w:line="360" w:lineRule="auto"/>
        <w:ind w:firstLine="602" w:firstLineChars="200"/>
        <w:rPr>
          <w:rFonts w:hint="eastAsia" w:ascii="仿宋" w:hAnsi="仿宋" w:eastAsia="仿宋" w:cs="仿宋"/>
          <w:sz w:val="30"/>
          <w:szCs w:val="30"/>
          <w:lang w:eastAsia="zh-CN"/>
        </w:rPr>
      </w:pPr>
      <w:r>
        <w:rPr>
          <w:rFonts w:hint="eastAsia" w:ascii="仿宋" w:hAnsi="仿宋" w:eastAsia="仿宋" w:cs="仿宋"/>
          <w:b/>
          <w:bCs/>
          <w:sz w:val="30"/>
          <w:szCs w:val="30"/>
          <w:lang w:eastAsia="zh-CN"/>
        </w:rPr>
        <w:t>加强组织领导。</w:t>
      </w:r>
      <w:r>
        <w:rPr>
          <w:rFonts w:hint="eastAsia" w:ascii="仿宋" w:hAnsi="仿宋" w:eastAsia="仿宋" w:cs="仿宋"/>
          <w:i w:val="0"/>
          <w:iCs w:val="0"/>
          <w:caps w:val="0"/>
          <w:color w:val="auto"/>
          <w:spacing w:val="0"/>
          <w:sz w:val="30"/>
          <w:szCs w:val="30"/>
          <w:shd w:val="clear" w:color="auto" w:fill="auto"/>
          <w:lang w:val="zh-CN" w:eastAsia="zh-CN" w:bidi="ar"/>
        </w:rPr>
        <w:t>成立台安县生态环境规划实施工作领导小组，明确领导小组部门与成员，落实部门成员责任，制定规划实施作战图，切实推进各项工作任务落地、落实，实现工作目标任务。</w:t>
      </w:r>
    </w:p>
    <w:p>
      <w:pPr>
        <w:shd w:val="clear" w:color="auto" w:fill="auto"/>
        <w:spacing w:line="360" w:lineRule="auto"/>
        <w:ind w:firstLine="602" w:firstLineChars="200"/>
        <w:rPr>
          <w:rFonts w:hint="eastAsia" w:ascii="仿宋" w:hAnsi="仿宋" w:eastAsia="仿宋" w:cs="仿宋"/>
          <w:i w:val="0"/>
          <w:iCs w:val="0"/>
          <w:caps w:val="0"/>
          <w:color w:val="auto"/>
          <w:spacing w:val="0"/>
          <w:sz w:val="30"/>
          <w:szCs w:val="30"/>
          <w:shd w:val="clear" w:color="auto" w:fill="auto"/>
          <w:lang w:val="en-US" w:eastAsia="zh-CN" w:bidi="ar"/>
        </w:rPr>
      </w:pPr>
      <w:r>
        <w:rPr>
          <w:rFonts w:hint="eastAsia" w:ascii="仿宋" w:hAnsi="仿宋" w:eastAsia="仿宋" w:cs="仿宋"/>
          <w:b/>
          <w:bCs/>
          <w:sz w:val="30"/>
          <w:szCs w:val="30"/>
          <w:lang w:eastAsia="zh-CN"/>
        </w:rPr>
        <w:t>细化分工落实责任。</w:t>
      </w:r>
      <w:r>
        <w:rPr>
          <w:rFonts w:hint="eastAsia" w:ascii="仿宋" w:hAnsi="仿宋" w:eastAsia="仿宋" w:cs="仿宋"/>
          <w:i w:val="0"/>
          <w:iCs w:val="0"/>
          <w:caps w:val="0"/>
          <w:color w:val="auto"/>
          <w:spacing w:val="0"/>
          <w:sz w:val="30"/>
          <w:szCs w:val="30"/>
          <w:shd w:val="clear" w:color="auto" w:fill="auto"/>
          <w:lang w:val="en-US" w:eastAsia="zh-CN" w:bidi="ar"/>
        </w:rPr>
        <w:t>制定年度实施计划，公布生态环境保护年度目标和重点任务，制定目标任务责任清单，明确各项政策、举措、工程和项目的牵头单位和协助单位，做好</w:t>
      </w:r>
      <w:r>
        <w:rPr>
          <w:rFonts w:hint="eastAsia" w:ascii="仿宋" w:hAnsi="仿宋" w:eastAsia="仿宋" w:cs="仿宋"/>
          <w:i w:val="0"/>
          <w:iCs w:val="0"/>
          <w:caps w:val="0"/>
          <w:color w:val="auto"/>
          <w:spacing w:val="0"/>
          <w:sz w:val="30"/>
          <w:szCs w:val="30"/>
          <w:shd w:val="clear" w:color="auto" w:fill="auto"/>
          <w:lang w:val="zh-CN" w:eastAsia="zh-CN" w:bidi="ar"/>
        </w:rPr>
        <w:t>相关部门专项规划</w:t>
      </w:r>
      <w:r>
        <w:rPr>
          <w:rFonts w:hint="eastAsia" w:ascii="仿宋" w:hAnsi="仿宋" w:eastAsia="仿宋" w:cs="仿宋"/>
          <w:i w:val="0"/>
          <w:iCs w:val="0"/>
          <w:caps w:val="0"/>
          <w:color w:val="auto"/>
          <w:spacing w:val="0"/>
          <w:sz w:val="30"/>
          <w:szCs w:val="30"/>
          <w:shd w:val="clear" w:color="auto" w:fill="auto"/>
          <w:lang w:val="en-US" w:eastAsia="zh-CN" w:bidi="ar"/>
        </w:rPr>
        <w:t>编制与本规划有效衔接。</w:t>
      </w:r>
    </w:p>
    <w:p>
      <w:pPr>
        <w:spacing w:line="360" w:lineRule="auto"/>
        <w:ind w:firstLine="602" w:firstLineChars="200"/>
        <w:rPr>
          <w:rFonts w:hint="eastAsia" w:ascii="仿宋" w:hAnsi="仿宋" w:eastAsia="仿宋" w:cs="仿宋"/>
          <w:sz w:val="30"/>
          <w:szCs w:val="30"/>
          <w:lang w:eastAsia="zh-CN"/>
        </w:rPr>
      </w:pPr>
      <w:r>
        <w:rPr>
          <w:rFonts w:hint="eastAsia" w:ascii="仿宋" w:hAnsi="仿宋" w:eastAsia="仿宋" w:cs="仿宋"/>
          <w:b/>
          <w:bCs/>
          <w:sz w:val="30"/>
          <w:szCs w:val="30"/>
          <w:lang w:eastAsia="zh-CN"/>
        </w:rPr>
        <w:t>加大财政保障力度。</w:t>
      </w:r>
      <w:r>
        <w:rPr>
          <w:rFonts w:hint="eastAsia" w:ascii="仿宋" w:hAnsi="仿宋" w:eastAsia="仿宋" w:cs="仿宋"/>
          <w:i w:val="0"/>
          <w:iCs w:val="0"/>
          <w:caps w:val="0"/>
          <w:color w:val="auto"/>
          <w:spacing w:val="0"/>
          <w:sz w:val="30"/>
          <w:szCs w:val="30"/>
          <w:shd w:val="clear" w:color="auto" w:fill="auto"/>
          <w:lang w:val="en-US" w:eastAsia="zh-CN" w:bidi="ar"/>
        </w:rPr>
        <w:t>隶属于国家、省、市重点区域流域、跨市（县）域等环境治理重大事务的规划项目，积极争取国家、省财政资金。</w:t>
      </w:r>
      <w:r>
        <w:rPr>
          <w:rFonts w:hint="eastAsia" w:ascii="仿宋" w:hAnsi="仿宋" w:eastAsia="仿宋" w:cs="仿宋"/>
          <w:i w:val="0"/>
          <w:iCs w:val="0"/>
          <w:caps w:val="0"/>
          <w:color w:val="auto"/>
          <w:spacing w:val="0"/>
          <w:sz w:val="30"/>
          <w:szCs w:val="30"/>
          <w:shd w:val="clear" w:color="auto" w:fill="auto"/>
          <w:lang w:val="zh-CN" w:eastAsia="zh-CN" w:bidi="ar"/>
        </w:rPr>
        <w:t>县政府</w:t>
      </w:r>
      <w:r>
        <w:rPr>
          <w:rFonts w:hint="eastAsia" w:ascii="仿宋" w:hAnsi="仿宋" w:eastAsia="仿宋" w:cs="仿宋"/>
          <w:i w:val="0"/>
          <w:iCs w:val="0"/>
          <w:caps w:val="0"/>
          <w:color w:val="auto"/>
          <w:spacing w:val="0"/>
          <w:sz w:val="30"/>
          <w:szCs w:val="30"/>
          <w:shd w:val="clear" w:color="auto" w:fill="auto"/>
          <w:lang w:val="en-US" w:eastAsia="zh-CN" w:bidi="ar"/>
        </w:rPr>
        <w:t>按照财力与事权相匹配原则，加强财政预算与规划实施的有效衔接协调，财政性资金和地方政府债务融资优先投向规划重大任务和重大工程项目，鼓励金融机构加大对规划重大事项的信贷支持。推行政府和社会资本合作，引导社会资本参与准公益性和公益性环境保护项目。鼓励社会资本以市场化方式设立环境保护基金。鼓励创业投资企业、股权投资企业和社会捐赠资金增加生态环保投入。</w:t>
      </w:r>
    </w:p>
    <w:p>
      <w:pPr>
        <w:spacing w:line="360" w:lineRule="auto"/>
        <w:ind w:firstLine="602" w:firstLineChars="200"/>
        <w:rPr>
          <w:rFonts w:hint="eastAsia" w:ascii="仿宋" w:hAnsi="仿宋" w:eastAsia="仿宋" w:cs="仿宋"/>
          <w:sz w:val="30"/>
          <w:szCs w:val="30"/>
          <w:lang w:eastAsia="zh-CN"/>
        </w:rPr>
      </w:pPr>
      <w:r>
        <w:rPr>
          <w:rFonts w:hint="eastAsia" w:ascii="仿宋" w:hAnsi="仿宋" w:eastAsia="仿宋" w:cs="仿宋"/>
          <w:b/>
          <w:bCs/>
          <w:sz w:val="30"/>
          <w:szCs w:val="30"/>
          <w:lang w:eastAsia="zh-CN"/>
        </w:rPr>
        <w:t>加强铁军队伍建设。</w:t>
      </w:r>
      <w:r>
        <w:rPr>
          <w:rFonts w:hint="eastAsia" w:ascii="仿宋" w:hAnsi="仿宋" w:eastAsia="仿宋" w:cs="仿宋"/>
          <w:i w:val="0"/>
          <w:iCs w:val="0"/>
          <w:caps w:val="0"/>
          <w:color w:val="auto"/>
          <w:spacing w:val="0"/>
          <w:sz w:val="30"/>
          <w:szCs w:val="30"/>
          <w:shd w:val="clear" w:color="auto" w:fill="auto"/>
          <w:lang w:val="en-US" w:eastAsia="zh-CN" w:bidi="ar"/>
        </w:rPr>
        <w:t>加强生态环境、</w:t>
      </w:r>
      <w:r>
        <w:rPr>
          <w:rFonts w:hint="eastAsia" w:ascii="仿宋" w:hAnsi="仿宋" w:eastAsia="仿宋" w:cs="仿宋"/>
          <w:b w:val="0"/>
          <w:bCs w:val="0"/>
          <w:color w:val="auto"/>
          <w:sz w:val="30"/>
          <w:szCs w:val="30"/>
          <w:shd w:val="clear" w:color="auto" w:fill="auto"/>
          <w:vertAlign w:val="baseline"/>
          <w:lang w:val="en-US" w:eastAsia="zh-CN" w:bidi="ar"/>
        </w:rPr>
        <w:t>自然资源、水利、农业农村、林草、气象等</w:t>
      </w:r>
      <w:r>
        <w:rPr>
          <w:rFonts w:hint="eastAsia" w:ascii="仿宋" w:hAnsi="仿宋" w:eastAsia="仿宋" w:cs="仿宋"/>
          <w:i w:val="0"/>
          <w:iCs w:val="0"/>
          <w:caps w:val="0"/>
          <w:color w:val="auto"/>
          <w:spacing w:val="0"/>
          <w:sz w:val="30"/>
          <w:szCs w:val="30"/>
          <w:shd w:val="clear" w:color="auto" w:fill="auto"/>
          <w:lang w:val="en-US" w:eastAsia="zh-CN" w:bidi="ar"/>
        </w:rPr>
        <w:t>规划组织部门人员队伍建设，能够及时督促、跟踪规划实施状况，及时发现问题、解决问题。加强高水平科研队伍建设，能够及时解决规划结构调整、大气污染防治、水体污染防治等各部分任务实施过程中出现的技术、难点问题。加强县辖各乡镇（街道）、村等基层生态环境队伍能力，补充人员数量及提高人员业务水平。</w:t>
      </w:r>
      <w:r>
        <w:rPr>
          <w:rFonts w:hint="eastAsia" w:ascii="仿宋" w:hAnsi="仿宋" w:eastAsia="仿宋" w:cs="仿宋"/>
          <w:b w:val="0"/>
          <w:bCs w:val="0"/>
          <w:color w:val="auto"/>
          <w:sz w:val="30"/>
          <w:szCs w:val="30"/>
          <w:shd w:val="clear" w:color="auto" w:fill="auto"/>
          <w:vertAlign w:val="baseline"/>
          <w:lang w:val="en-US" w:eastAsia="zh-CN" w:bidi="ar"/>
        </w:rPr>
        <w:t>加强应对气候变化、固体废物、化学品、土壤环境等监管队伍建设，通过业务培训、比赛竞赛、挂职锻炼、经验交流等多种方式，提高监管能力。</w:t>
      </w:r>
    </w:p>
    <w:p>
      <w:pPr>
        <w:pStyle w:val="4"/>
        <w:numPr>
          <w:ilvl w:val="1"/>
          <w:numId w:val="0"/>
        </w:numPr>
        <w:bidi w:val="0"/>
        <w:ind w:leftChars="0"/>
        <w:jc w:val="center"/>
        <w:rPr>
          <w:rFonts w:hint="default"/>
          <w:lang w:val="en-US" w:eastAsia="zh-CN"/>
        </w:rPr>
      </w:pPr>
      <w:bookmarkStart w:id="266" w:name="_Toc12348"/>
      <w:r>
        <w:rPr>
          <w:rFonts w:hint="eastAsia"/>
          <w:lang w:eastAsia="zh-CN"/>
        </w:rPr>
        <w:t>第三节</w:t>
      </w:r>
      <w:r>
        <w:rPr>
          <w:rFonts w:hint="eastAsia"/>
          <w:lang w:val="en-US" w:eastAsia="zh-CN"/>
        </w:rPr>
        <w:t xml:space="preserve"> </w:t>
      </w:r>
      <w:r>
        <w:rPr>
          <w:rFonts w:hint="eastAsia"/>
          <w:lang w:eastAsia="zh-CN"/>
        </w:rPr>
        <w:t>建设规划实施机制</w:t>
      </w:r>
      <w:bookmarkEnd w:id="266"/>
    </w:p>
    <w:p>
      <w:pPr>
        <w:pStyle w:val="8"/>
        <w:spacing w:line="360" w:lineRule="auto"/>
        <w:ind w:left="0" w:leftChars="0" w:firstLine="602"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b/>
          <w:bCs/>
          <w:sz w:val="30"/>
          <w:szCs w:val="30"/>
          <w:lang w:eastAsia="zh-CN"/>
        </w:rPr>
        <w:t>强化规划引领。</w:t>
      </w:r>
      <w:r>
        <w:rPr>
          <w:rFonts w:hint="eastAsia" w:ascii="仿宋" w:hAnsi="仿宋" w:eastAsia="仿宋" w:cs="仿宋"/>
          <w:color w:val="000000" w:themeColor="text1"/>
          <w:sz w:val="30"/>
          <w:szCs w:val="30"/>
          <w14:textFill>
            <w14:solidFill>
              <w14:schemeClr w14:val="tx1"/>
            </w14:solidFill>
          </w14:textFill>
        </w:rPr>
        <w:t>加强与</w:t>
      </w:r>
      <w:r>
        <w:rPr>
          <w:rFonts w:hint="eastAsia" w:ascii="仿宋" w:hAnsi="仿宋" w:eastAsia="仿宋" w:cs="仿宋"/>
          <w:color w:val="000000" w:themeColor="text1"/>
          <w:sz w:val="30"/>
          <w:szCs w:val="30"/>
          <w:lang w:eastAsia="zh-CN"/>
          <w14:textFill>
            <w14:solidFill>
              <w14:schemeClr w14:val="tx1"/>
            </w14:solidFill>
          </w14:textFill>
        </w:rPr>
        <w:t>鞍山市</w:t>
      </w:r>
      <w:r>
        <w:rPr>
          <w:rFonts w:hint="eastAsia" w:ascii="仿宋" w:hAnsi="仿宋" w:eastAsia="仿宋" w:cs="仿宋"/>
          <w:color w:val="000000" w:themeColor="text1"/>
          <w:sz w:val="30"/>
          <w:szCs w:val="30"/>
          <w14:textFill>
            <w14:solidFill>
              <w14:schemeClr w14:val="tx1"/>
            </w14:solidFill>
          </w14:textFill>
        </w:rPr>
        <w:t>相关“生态文明”专项规划衔接，统筹各区市县相关规划的行动方案，加强统筹管理和衔接协调，形成完整的规划体系。加强规划分工落实，分解规划的主要目标和重点任务，明确实施责任主体、时间表和路线图，进行系统推进。围绕规划纲要提出的各项目标任务，强化领导责任和实施职责，确保全面完成本规划提出的各项任务。</w:t>
      </w:r>
    </w:p>
    <w:p>
      <w:pPr>
        <w:spacing w:line="360" w:lineRule="auto"/>
        <w:ind w:firstLine="602" w:firstLineChars="200"/>
        <w:outlineLvl w:val="2"/>
        <w:rPr>
          <w:rFonts w:hint="eastAsia" w:ascii="仿宋" w:hAnsi="仿宋" w:eastAsia="仿宋" w:cs="仿宋"/>
          <w:b/>
          <w:bCs/>
          <w:sz w:val="30"/>
          <w:szCs w:val="30"/>
          <w:lang w:eastAsia="zh-CN"/>
        </w:rPr>
      </w:pPr>
      <w:bookmarkStart w:id="267" w:name="_Toc16995"/>
      <w:bookmarkStart w:id="268" w:name="_Toc9024"/>
      <w:bookmarkStart w:id="269" w:name="_Toc28882"/>
      <w:r>
        <w:rPr>
          <w:rFonts w:hint="eastAsia" w:ascii="仿宋" w:hAnsi="仿宋" w:eastAsia="仿宋" w:cs="仿宋"/>
          <w:b/>
          <w:bCs/>
          <w:sz w:val="30"/>
          <w:szCs w:val="30"/>
          <w:lang w:eastAsia="zh-CN"/>
        </w:rPr>
        <w:t>强化规划监测评估。</w:t>
      </w:r>
      <w:bookmarkEnd w:id="267"/>
      <w:bookmarkEnd w:id="268"/>
      <w:bookmarkEnd w:id="269"/>
    </w:p>
    <w:p>
      <w:pPr>
        <w:pStyle w:val="8"/>
        <w:spacing w:line="360" w:lineRule="auto"/>
        <w:ind w:left="0" w:leftChars="0" w:firstLine="600" w:firstLineChars="200"/>
        <w:rPr>
          <w:rFonts w:hint="eastAsia" w:ascii="仿宋" w:hAnsi="仿宋" w:eastAsia="仿宋" w:cs="仿宋"/>
          <w:i w:val="0"/>
          <w:iCs w:val="0"/>
          <w:caps w:val="0"/>
          <w:color w:val="auto"/>
          <w:spacing w:val="0"/>
          <w:sz w:val="30"/>
          <w:szCs w:val="30"/>
          <w:shd w:val="clear" w:color="auto" w:fill="auto"/>
          <w:lang w:val="en-US" w:eastAsia="zh-CN" w:bidi="ar"/>
        </w:rPr>
      </w:pPr>
      <w:r>
        <w:rPr>
          <w:rFonts w:hint="eastAsia" w:ascii="仿宋" w:hAnsi="仿宋" w:eastAsia="仿宋" w:cs="仿宋"/>
          <w:color w:val="000000" w:themeColor="text1"/>
          <w:sz w:val="30"/>
          <w:szCs w:val="30"/>
          <w14:textFill>
            <w14:solidFill>
              <w14:schemeClr w14:val="tx1"/>
            </w14:solidFill>
          </w14:textFill>
        </w:rPr>
        <w:t>建立规划“编制—实施—评估—调整”的滚动循环机制，加强规划实施动态管理。</w:t>
      </w:r>
      <w:r>
        <w:rPr>
          <w:rFonts w:hint="eastAsia" w:ascii="仿宋" w:hAnsi="仿宋" w:eastAsia="仿宋" w:cs="仿宋"/>
          <w:i w:val="0"/>
          <w:iCs w:val="0"/>
          <w:caps w:val="0"/>
          <w:color w:val="auto"/>
          <w:spacing w:val="0"/>
          <w:sz w:val="30"/>
          <w:szCs w:val="30"/>
          <w:shd w:val="clear" w:color="auto" w:fill="auto"/>
          <w:lang w:val="en-US" w:eastAsia="zh-CN" w:bidi="ar"/>
        </w:rPr>
        <w:t>县生态环境局会同相关部门围绕本规划目标指标、重点任务、重大工程进展情况进行调度。</w:t>
      </w:r>
    </w:p>
    <w:p>
      <w:pPr>
        <w:pStyle w:val="8"/>
        <w:spacing w:line="360" w:lineRule="auto"/>
        <w:ind w:left="0" w:leftChars="0" w:firstLine="600" w:firstLineChars="200"/>
        <w:rPr>
          <w:rFonts w:hint="eastAsia" w:ascii="仿宋" w:hAnsi="仿宋" w:eastAsia="仿宋" w:cs="仿宋"/>
          <w:i w:val="0"/>
          <w:iCs w:val="0"/>
          <w:caps w:val="0"/>
          <w:color w:val="auto"/>
          <w:spacing w:val="0"/>
          <w:sz w:val="30"/>
          <w:szCs w:val="30"/>
          <w:shd w:val="clear" w:color="auto" w:fill="auto"/>
          <w:lang w:val="zh-CN" w:eastAsia="zh-CN" w:bidi="ar"/>
        </w:rPr>
      </w:pPr>
      <w:r>
        <w:rPr>
          <w:rFonts w:hint="eastAsia" w:ascii="仿宋" w:hAnsi="仿宋" w:eastAsia="仿宋" w:cs="仿宋"/>
          <w:color w:val="000000" w:themeColor="text1"/>
          <w:sz w:val="30"/>
          <w:szCs w:val="30"/>
          <w14:textFill>
            <w14:solidFill>
              <w14:schemeClr w14:val="tx1"/>
            </w14:solidFill>
          </w14:textFill>
        </w:rPr>
        <w:t>加强动态监测分析，完善规划指标统计制度，提高规划实施监测分析的及时性、全面性和准确性。开展规划实施情况年度评估、中期评估和总结评估，创新评估方式，引入第三方评估机制，增强规划评估的客观性和科学性</w:t>
      </w:r>
      <w:r>
        <w:rPr>
          <w:rFonts w:hint="eastAsia" w:ascii="仿宋" w:hAnsi="仿宋" w:eastAsia="仿宋" w:cs="仿宋"/>
          <w:color w:val="000000" w:themeColor="text1"/>
          <w:sz w:val="30"/>
          <w:szCs w:val="30"/>
          <w:lang w:eastAsia="zh-CN"/>
          <w14:textFill>
            <w14:solidFill>
              <w14:schemeClr w14:val="tx1"/>
            </w14:solidFill>
          </w14:textFill>
        </w:rPr>
        <w:t>，</w:t>
      </w:r>
      <w:r>
        <w:rPr>
          <w:rFonts w:hint="eastAsia" w:ascii="仿宋" w:hAnsi="仿宋" w:eastAsia="仿宋" w:cs="仿宋"/>
          <w:i w:val="0"/>
          <w:iCs w:val="0"/>
          <w:caps w:val="0"/>
          <w:color w:val="auto"/>
          <w:spacing w:val="0"/>
          <w:sz w:val="30"/>
          <w:szCs w:val="30"/>
          <w:shd w:val="clear" w:color="auto" w:fill="auto"/>
          <w:lang w:val="zh-CN" w:eastAsia="zh-CN" w:bidi="ar"/>
        </w:rPr>
        <w:t>及时发现问题，解决问题，推广好的经验和措施。</w:t>
      </w:r>
    </w:p>
    <w:p>
      <w:pPr>
        <w:pStyle w:val="8"/>
        <w:spacing w:line="360" w:lineRule="auto"/>
        <w:ind w:left="0" w:leftChars="0" w:firstLine="600" w:firstLineChars="200"/>
        <w:rPr>
          <w:rFonts w:hint="eastAsia"/>
        </w:rPr>
      </w:pPr>
      <w:r>
        <w:rPr>
          <w:rFonts w:hint="eastAsia" w:ascii="仿宋" w:hAnsi="仿宋" w:eastAsia="仿宋" w:cs="仿宋"/>
          <w:color w:val="000000" w:themeColor="text1"/>
          <w:sz w:val="30"/>
          <w:szCs w:val="30"/>
          <w14:textFill>
            <w14:solidFill>
              <w14:schemeClr w14:val="tx1"/>
            </w14:solidFill>
          </w14:textFill>
        </w:rPr>
        <w:t>强化考核问效，确保工作落实到位。</w:t>
      </w:r>
      <w:r>
        <w:rPr>
          <w:rFonts w:hint="eastAsia" w:ascii="仿宋" w:hAnsi="仿宋" w:eastAsia="仿宋" w:cs="仿宋"/>
          <w:i w:val="0"/>
          <w:iCs w:val="0"/>
          <w:caps w:val="0"/>
          <w:color w:val="auto"/>
          <w:spacing w:val="0"/>
          <w:sz w:val="30"/>
          <w:szCs w:val="30"/>
          <w:shd w:val="clear" w:color="auto" w:fill="auto"/>
          <w:lang w:val="en-US" w:eastAsia="zh-CN" w:bidi="ar"/>
        </w:rPr>
        <w:t>将规划实施情况作为政务信息公开的重要内容，及时公布实施进展，自觉接受人大监督、审计监督和社会监督。将规划实施情况纳入各有关部门和各级领导班子、领导干部考核评价体系，推动规划实施考核结果与责任主体绩效相挂钩。</w:t>
      </w:r>
    </w:p>
    <w:p>
      <w:pPr>
        <w:spacing w:line="360" w:lineRule="auto"/>
        <w:ind w:firstLine="602" w:firstLineChars="200"/>
        <w:outlineLvl w:val="2"/>
        <w:rPr>
          <w:rFonts w:hint="eastAsia" w:ascii="仿宋" w:hAnsi="仿宋" w:eastAsia="仿宋" w:cs="仿宋"/>
          <w:b/>
          <w:bCs/>
          <w:sz w:val="30"/>
          <w:szCs w:val="30"/>
          <w:lang w:eastAsia="zh-CN"/>
        </w:rPr>
      </w:pPr>
      <w:bookmarkStart w:id="270" w:name="_Toc12434"/>
      <w:bookmarkStart w:id="271" w:name="_Toc30758"/>
      <w:bookmarkStart w:id="272" w:name="_Toc18098"/>
      <w:r>
        <w:rPr>
          <w:rFonts w:hint="eastAsia" w:ascii="仿宋" w:hAnsi="仿宋" w:eastAsia="仿宋" w:cs="仿宋"/>
          <w:b/>
          <w:bCs/>
          <w:sz w:val="30"/>
          <w:szCs w:val="30"/>
          <w:lang w:eastAsia="zh-CN"/>
        </w:rPr>
        <w:t>充分调动全社会积极性。</w:t>
      </w:r>
      <w:bookmarkEnd w:id="270"/>
      <w:bookmarkEnd w:id="271"/>
      <w:bookmarkEnd w:id="272"/>
    </w:p>
    <w:p>
      <w:pPr>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加大对规划的宣传力度，</w:t>
      </w:r>
      <w:r>
        <w:rPr>
          <w:rFonts w:hint="eastAsia" w:ascii="仿宋" w:hAnsi="仿宋" w:eastAsia="仿宋" w:cs="仿宋"/>
          <w:b w:val="0"/>
          <w:bCs w:val="0"/>
          <w:sz w:val="30"/>
          <w:szCs w:val="30"/>
          <w:vertAlign w:val="baseline"/>
          <w:lang w:val="en-US" w:eastAsia="zh-CN"/>
        </w:rPr>
        <w:t>积极开展生态环境建设与生态环境保护规划政策、法规制度、进展成效、实践经验宣传与交流，</w:t>
      </w:r>
      <w:r>
        <w:rPr>
          <w:rFonts w:hint="eastAsia" w:ascii="仿宋" w:hAnsi="仿宋" w:eastAsia="仿宋" w:cs="仿宋"/>
          <w:color w:val="000000" w:themeColor="text1"/>
          <w:sz w:val="30"/>
          <w:szCs w:val="30"/>
          <w14:textFill>
            <w14:solidFill>
              <w14:schemeClr w14:val="tx1"/>
            </w14:solidFill>
          </w14:textFill>
        </w:rPr>
        <w:t>营造良好舆论环境，提高社会知晓度，增强工作透明度和公众参与度。</w:t>
      </w:r>
      <w:r>
        <w:rPr>
          <w:rFonts w:hint="eastAsia" w:ascii="仿宋" w:hAnsi="仿宋" w:eastAsia="仿宋" w:cs="仿宋"/>
          <w:b w:val="0"/>
          <w:bCs w:val="0"/>
          <w:sz w:val="30"/>
          <w:szCs w:val="30"/>
          <w:vertAlign w:val="baseline"/>
          <w:lang w:val="en-US" w:eastAsia="zh-CN"/>
        </w:rPr>
        <w:t>进一步凝聚民心、汇聚民智、体现民意、形成共识，让全县人民</w:t>
      </w:r>
      <w:r>
        <w:rPr>
          <w:rFonts w:hint="eastAsia" w:ascii="仿宋" w:hAnsi="仿宋" w:eastAsia="仿宋" w:cs="仿宋"/>
          <w:i w:val="0"/>
          <w:iCs w:val="0"/>
          <w:caps w:val="0"/>
          <w:color w:val="auto"/>
          <w:spacing w:val="0"/>
          <w:sz w:val="30"/>
          <w:szCs w:val="30"/>
          <w:shd w:val="clear" w:color="auto" w:fill="auto"/>
          <w:lang w:val="zh-CN" w:eastAsia="zh-CN" w:bidi="ar"/>
        </w:rPr>
        <w:t>成为台安县优美生态环境建设的践行者，</w:t>
      </w:r>
      <w:r>
        <w:rPr>
          <w:rFonts w:hint="eastAsia" w:ascii="仿宋" w:hAnsi="仿宋" w:eastAsia="仿宋" w:cs="仿宋"/>
          <w:b w:val="0"/>
          <w:bCs w:val="0"/>
          <w:sz w:val="30"/>
          <w:szCs w:val="30"/>
          <w:vertAlign w:val="baseline"/>
          <w:lang w:val="en-US" w:eastAsia="zh-CN"/>
        </w:rPr>
        <w:t>规划实施的参与者。</w:t>
      </w:r>
    </w:p>
    <w:p>
      <w:pPr>
        <w:spacing w:line="360" w:lineRule="auto"/>
        <w:ind w:firstLine="600" w:firstLineChars="200"/>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t>建立健全社会参与机制，积极引导社会力量通过多种途径和方式共同推进规划实施。凝聚全社会共识和力量，自觉接受社会监督，形成以规划为指引，全市上下群策群力、共建共享、效果共评的生动局面。</w:t>
      </w:r>
    </w:p>
    <w:p>
      <w:pPr>
        <w:pStyle w:val="2"/>
        <w:rPr>
          <w:rFonts w:hint="eastAsia" w:ascii="仿宋" w:hAnsi="仿宋" w:eastAsia="仿宋" w:cs="仿宋"/>
          <w:color w:val="000000" w:themeColor="text1"/>
          <w:sz w:val="30"/>
          <w:szCs w:val="30"/>
          <w14:textFill>
            <w14:solidFill>
              <w14:schemeClr w14:val="tx1"/>
            </w14:solidFill>
          </w14:textFill>
        </w:rPr>
      </w:pPr>
    </w:p>
    <w:p>
      <w:pPr>
        <w:rPr>
          <w:rFonts w:hint="eastAsia" w:ascii="仿宋" w:hAnsi="仿宋" w:eastAsia="仿宋" w:cs="仿宋"/>
          <w:color w:val="000000" w:themeColor="text1"/>
          <w:sz w:val="30"/>
          <w:szCs w:val="30"/>
          <w14:textFill>
            <w14:solidFill>
              <w14:schemeClr w14:val="tx1"/>
            </w14:solidFill>
          </w14:textFill>
        </w:rPr>
      </w:pPr>
      <w:r>
        <w:rPr>
          <w:rFonts w:hint="eastAsia" w:ascii="仿宋" w:hAnsi="仿宋" w:eastAsia="仿宋" w:cs="仿宋"/>
          <w:color w:val="000000" w:themeColor="text1"/>
          <w:sz w:val="30"/>
          <w:szCs w:val="30"/>
          <w14:textFill>
            <w14:solidFill>
              <w14:schemeClr w14:val="tx1"/>
            </w14:solidFill>
          </w14:textFill>
        </w:rPr>
        <w:br w:type="page"/>
      </w:r>
    </w:p>
    <w:p>
      <w:pPr>
        <w:pStyle w:val="5"/>
        <w:bidi w:val="0"/>
        <w:rPr>
          <w:rFonts w:hint="eastAsia" w:ascii="仿宋" w:hAnsi="仿宋" w:eastAsia="仿宋" w:cs="仿宋"/>
          <w:sz w:val="30"/>
          <w:szCs w:val="30"/>
          <w:lang w:val="en-US" w:eastAsia="zh-CN"/>
        </w:rPr>
      </w:pPr>
      <w:bookmarkStart w:id="273" w:name="_Toc29885"/>
      <w:r>
        <w:rPr>
          <w:rFonts w:hint="eastAsia" w:ascii="仿宋" w:hAnsi="仿宋" w:eastAsia="仿宋" w:cs="仿宋"/>
          <w:sz w:val="30"/>
          <w:szCs w:val="30"/>
          <w:lang w:val="en-US" w:eastAsia="zh-CN"/>
        </w:rPr>
        <w:t>附件：台安县“十四五”生态环境保护规划项目目录</w:t>
      </w:r>
      <w:bookmarkEnd w:id="273"/>
    </w:p>
    <w:tbl>
      <w:tblPr>
        <w:tblStyle w:val="1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267"/>
        <w:gridCol w:w="756"/>
        <w:gridCol w:w="3720"/>
        <w:gridCol w:w="1428"/>
        <w:gridCol w:w="135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tcBorders>
              <w:tl2br w:val="nil"/>
              <w:tr2bl w:val="nil"/>
            </w:tcBorders>
            <w:vAlign w:val="center"/>
          </w:tcPr>
          <w:p>
            <w:pPr>
              <w:pStyle w:val="2"/>
              <w:jc w:val="cente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t>项目类别</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t>序号</w:t>
            </w:r>
          </w:p>
        </w:tc>
        <w:tc>
          <w:tcPr>
            <w:tcW w:w="3720" w:type="dxa"/>
            <w:tcBorders>
              <w:tl2br w:val="nil"/>
              <w:tr2bl w:val="nil"/>
            </w:tcBorders>
            <w:vAlign w:val="center"/>
          </w:tcPr>
          <w:p>
            <w:pPr>
              <w:pStyle w:val="2"/>
              <w:jc w:val="cente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t>项目名称</w:t>
            </w:r>
          </w:p>
        </w:tc>
        <w:tc>
          <w:tcPr>
            <w:tcW w:w="1428" w:type="dxa"/>
            <w:tcBorders>
              <w:tl2br w:val="nil"/>
              <w:tr2bl w:val="nil"/>
            </w:tcBorders>
            <w:vAlign w:val="center"/>
          </w:tcPr>
          <w:p>
            <w:pPr>
              <w:pStyle w:val="2"/>
              <w:jc w:val="cente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t>拟完成时间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4"/>
                <w:szCs w:val="24"/>
                <w:vertAlign w:val="baseline"/>
                <w:lang w:eastAsia="zh-CN"/>
                <w14:textFill>
                  <w14:solidFill>
                    <w14:schemeClr w14:val="tx1"/>
                  </w14:solidFill>
                </w14:textFill>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产业绿色</w:t>
            </w:r>
          </w:p>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转型工程</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建设高标准化工园区（1项）</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钢铁行业超低排放改造</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sz w:val="21"/>
                <w:szCs w:val="21"/>
              </w:rPr>
              <w:t>鞍山兴源燃气有限公司的乡村管线工程</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sz w:val="21"/>
                <w:szCs w:val="21"/>
              </w:rPr>
              <w:t>台安县天福天然气有限公司加气站二期工程</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sz w:val="21"/>
                <w:szCs w:val="21"/>
              </w:rPr>
              <w:t>鞍山中联石化有限公司环路加气站工程（LNG加气站）</w:t>
            </w:r>
            <w:bookmarkStart w:id="274" w:name="_GoBack"/>
            <w:bookmarkEnd w:id="274"/>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kern w:val="2"/>
                <w:sz w:val="21"/>
                <w:szCs w:val="21"/>
                <w:lang w:val="en-US" w:eastAsia="zh-CN" w:bidi="ar-SA"/>
              </w:rPr>
            </w:pPr>
            <w:r>
              <w:rPr>
                <w:rFonts w:hint="default" w:ascii="Times New Roman" w:hAnsi="Times New Roman" w:eastAsia="仿宋" w:cs="Times New Roman"/>
                <w:color w:val="C00000"/>
                <w:sz w:val="21"/>
                <w:szCs w:val="21"/>
                <w:lang w:eastAsia="zh-CN"/>
              </w:rPr>
              <w:t>鞍山科顺建筑材料有限公司新型防水材料智能化生产基地技术改造项目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t>2024年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2150万元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kern w:val="2"/>
                <w:sz w:val="21"/>
                <w:szCs w:val="21"/>
                <w:lang w:val="en-US" w:eastAsia="zh-CN" w:bidi="ar-SA"/>
              </w:rPr>
            </w:pPr>
            <w:r>
              <w:rPr>
                <w:rFonts w:hint="default" w:ascii="Times New Roman" w:hAnsi="Times New Roman" w:eastAsia="仿宋" w:cs="Times New Roman"/>
                <w:color w:val="C00000"/>
                <w:sz w:val="21"/>
                <w:szCs w:val="21"/>
                <w:lang w:eastAsia="zh-CN"/>
              </w:rPr>
              <w:t>鞍山科顺建筑材料有限公司防水卷材数字化车间升级</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kern w:val="2"/>
                <w:sz w:val="21"/>
                <w:szCs w:val="21"/>
                <w:lang w:val="en-US" w:eastAsia="zh-CN" w:bidi="ar-SA"/>
              </w:rPr>
            </w:pPr>
            <w:r>
              <w:rPr>
                <w:rFonts w:hint="default" w:ascii="Times New Roman" w:hAnsi="Times New Roman" w:eastAsia="仿宋" w:cs="Times New Roman"/>
                <w:color w:val="C00000"/>
                <w:sz w:val="21"/>
                <w:szCs w:val="21"/>
                <w:lang w:eastAsia="zh-CN"/>
              </w:rPr>
              <w:t>辽宁禾丰蛋业有限公司年深加工</w:t>
            </w:r>
            <w:r>
              <w:rPr>
                <w:rFonts w:hint="default" w:ascii="Times New Roman" w:hAnsi="Times New Roman" w:eastAsia="仿宋" w:cs="Times New Roman"/>
                <w:color w:val="C00000"/>
                <w:sz w:val="21"/>
                <w:szCs w:val="21"/>
                <w:lang w:val="en-US" w:eastAsia="zh-CN"/>
              </w:rPr>
              <w:t>2.5万吨鸡蛋、1.5万吨鹌鹑蛋5G信息化智能工厂建设项目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5700万元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kern w:val="2"/>
                <w:sz w:val="21"/>
                <w:szCs w:val="21"/>
                <w:lang w:val="en-US" w:eastAsia="zh-CN" w:bidi="ar-SA"/>
              </w:rPr>
            </w:pPr>
            <w:r>
              <w:rPr>
                <w:rFonts w:hint="default" w:ascii="Times New Roman" w:hAnsi="Times New Roman" w:eastAsia="仿宋" w:cs="Times New Roman"/>
                <w:color w:val="C00000"/>
                <w:sz w:val="21"/>
                <w:szCs w:val="21"/>
                <w:lang w:eastAsia="zh-CN"/>
              </w:rPr>
              <w:t>台安县嘉恒铁合金有限公司车间节能式回转窑技术改造项目（节能改造）</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1700万元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kern w:val="2"/>
                <w:sz w:val="21"/>
                <w:szCs w:val="21"/>
                <w:lang w:val="en-US" w:eastAsia="zh-CN" w:bidi="ar-SA"/>
              </w:rPr>
            </w:pPr>
            <w:r>
              <w:rPr>
                <w:rFonts w:hint="default" w:ascii="Times New Roman" w:hAnsi="Times New Roman" w:eastAsia="仿宋" w:cs="Times New Roman"/>
                <w:color w:val="C00000"/>
                <w:sz w:val="21"/>
                <w:szCs w:val="21"/>
                <w:lang w:eastAsia="zh-CN"/>
              </w:rPr>
              <w:t>台安县供热有限责任公司台安县城区集中供热工程改扩建项目（节能改造）</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auto"/>
                <w:spacing w:val="0"/>
                <w:kern w:val="2"/>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kern w:val="2"/>
                <w:sz w:val="21"/>
                <w:szCs w:val="21"/>
                <w:lang w:val="en-US" w:eastAsia="zh-CN" w:bidi="ar-SA"/>
              </w:rPr>
            </w:pPr>
            <w:r>
              <w:rPr>
                <w:rFonts w:hint="default" w:ascii="Times New Roman" w:hAnsi="Times New Roman" w:eastAsia="仿宋" w:cs="Times New Roman"/>
                <w:sz w:val="21"/>
                <w:szCs w:val="21"/>
                <w:lang w:eastAsia="zh-CN"/>
              </w:rPr>
              <w:t>辽宁源宇化工有限公司年产</w:t>
            </w:r>
            <w:r>
              <w:rPr>
                <w:rFonts w:hint="default" w:ascii="Times New Roman" w:hAnsi="Times New Roman" w:eastAsia="仿宋" w:cs="Times New Roman"/>
                <w:sz w:val="21"/>
                <w:szCs w:val="21"/>
                <w:lang w:val="en-US" w:eastAsia="zh-CN"/>
              </w:rPr>
              <w:t>4000吨蒽油深加工技术改造项目</w:t>
            </w:r>
            <w:r>
              <w:rPr>
                <w:rFonts w:hint="default" w:ascii="Times New Roman" w:hAnsi="Times New Roman" w:eastAsia="仿宋" w:cs="Times New Roman"/>
                <w:sz w:val="21"/>
                <w:szCs w:val="21"/>
                <w:lang w:eastAsia="zh-CN"/>
              </w:rPr>
              <w:t>（节能改造）</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策划中</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台安经济开发区科技研发中心创谷基地项目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13</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val="en-US" w:eastAsia="zh-CN"/>
              </w:rPr>
            </w:pPr>
            <w:r>
              <w:rPr>
                <w:rFonts w:hint="default" w:ascii="Times New Roman" w:hAnsi="Times New Roman" w:eastAsia="仿宋" w:cs="Times New Roman"/>
                <w:sz w:val="21"/>
                <w:szCs w:val="21"/>
                <w:lang w:eastAsia="zh-CN"/>
              </w:rPr>
              <w:t>桓洞二期</w:t>
            </w:r>
            <w:r>
              <w:rPr>
                <w:rFonts w:hint="default" w:ascii="Times New Roman" w:hAnsi="Times New Roman" w:eastAsia="仿宋" w:cs="Times New Roman"/>
                <w:sz w:val="21"/>
                <w:szCs w:val="21"/>
                <w:lang w:val="en-US" w:eastAsia="zh-CN"/>
              </w:rPr>
              <w:t>150兆瓦风电机组项目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14</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智慧交通项目（运营车辆更新为新能源或清洁能源车型）</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15</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化工材料产业基地</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150000万元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16</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val="en-US" w:eastAsia="zh-CN"/>
              </w:rPr>
            </w:pPr>
            <w:r>
              <w:rPr>
                <w:rFonts w:hint="default" w:ascii="Times New Roman" w:hAnsi="Times New Roman" w:eastAsia="仿宋" w:cs="Times New Roman"/>
                <w:color w:val="C00000"/>
                <w:sz w:val="21"/>
                <w:szCs w:val="21"/>
                <w:lang w:eastAsia="zh-CN"/>
              </w:rPr>
              <w:t>年屠宰</w:t>
            </w:r>
            <w:r>
              <w:rPr>
                <w:rFonts w:hint="default" w:ascii="Times New Roman" w:hAnsi="Times New Roman" w:eastAsia="仿宋" w:cs="Times New Roman"/>
                <w:color w:val="C00000"/>
                <w:sz w:val="21"/>
                <w:szCs w:val="21"/>
                <w:lang w:val="en-US" w:eastAsia="zh-CN"/>
              </w:rPr>
              <w:t>10万头肉牛深加工项目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150000万元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17</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val="en-US" w:eastAsia="zh-CN"/>
              </w:rPr>
            </w:pPr>
            <w:r>
              <w:rPr>
                <w:rFonts w:hint="default" w:ascii="Times New Roman" w:hAnsi="Times New Roman" w:eastAsia="仿宋" w:cs="Times New Roman"/>
                <w:color w:val="C00000"/>
                <w:sz w:val="21"/>
                <w:szCs w:val="21"/>
                <w:lang w:eastAsia="zh-CN"/>
              </w:rPr>
              <w:t>年屠宰</w:t>
            </w:r>
            <w:r>
              <w:rPr>
                <w:rFonts w:hint="default" w:ascii="Times New Roman" w:hAnsi="Times New Roman" w:eastAsia="仿宋" w:cs="Times New Roman"/>
                <w:color w:val="C00000"/>
                <w:sz w:val="21"/>
                <w:szCs w:val="21"/>
                <w:lang w:val="en-US" w:eastAsia="zh-CN"/>
              </w:rPr>
              <w:t>4500万只白羽肉鸡深加工项目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2024年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18</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eastAsia="zh-CN"/>
              </w:rPr>
            </w:pPr>
            <w:r>
              <w:rPr>
                <w:rFonts w:hint="default" w:ascii="Times New Roman" w:hAnsi="Times New Roman" w:eastAsia="仿宋" w:cs="Times New Roman"/>
                <w:color w:val="C00000"/>
                <w:sz w:val="21"/>
                <w:szCs w:val="21"/>
                <w:lang w:eastAsia="zh-CN"/>
              </w:rPr>
              <w:t>无皮鲜糯玉米生产项目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2024年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19</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val="en-US" w:eastAsia="zh-CN"/>
              </w:rPr>
            </w:pPr>
            <w:r>
              <w:rPr>
                <w:rFonts w:hint="default" w:ascii="Times New Roman" w:hAnsi="Times New Roman" w:eastAsia="仿宋" w:cs="Times New Roman"/>
                <w:color w:val="C00000"/>
                <w:sz w:val="21"/>
                <w:szCs w:val="21"/>
                <w:lang w:eastAsia="zh-CN"/>
              </w:rPr>
              <w:t>年加工</w:t>
            </w:r>
            <w:r>
              <w:rPr>
                <w:rFonts w:hint="default" w:ascii="Times New Roman" w:hAnsi="Times New Roman" w:eastAsia="仿宋" w:cs="Times New Roman"/>
                <w:color w:val="C00000"/>
                <w:sz w:val="21"/>
                <w:szCs w:val="21"/>
                <w:lang w:val="en-US" w:eastAsia="zh-CN"/>
              </w:rPr>
              <w:t>2万吨肉松项目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2024年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现代农业产业园建设项目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21</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val="en-US" w:eastAsia="zh-CN"/>
              </w:rPr>
            </w:pPr>
            <w:r>
              <w:rPr>
                <w:rFonts w:hint="default" w:ascii="Times New Roman" w:hAnsi="Times New Roman" w:eastAsia="仿宋" w:cs="Times New Roman"/>
                <w:color w:val="C00000"/>
                <w:sz w:val="21"/>
                <w:szCs w:val="21"/>
                <w:lang w:eastAsia="zh-CN"/>
              </w:rPr>
              <w:t>年加工杂粮</w:t>
            </w:r>
            <w:r>
              <w:rPr>
                <w:rFonts w:hint="default" w:ascii="Times New Roman" w:hAnsi="Times New Roman" w:eastAsia="仿宋" w:cs="Times New Roman"/>
                <w:color w:val="C00000"/>
                <w:sz w:val="21"/>
                <w:szCs w:val="21"/>
                <w:lang w:val="en-US" w:eastAsia="zh-CN"/>
              </w:rPr>
              <w:t>5万吨健康食品项目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2024年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25000万元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22</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sz w:val="21"/>
                <w:szCs w:val="21"/>
                <w:lang w:eastAsia="zh-CN"/>
              </w:rPr>
            </w:pPr>
            <w:r>
              <w:rPr>
                <w:rFonts w:hint="default" w:ascii="Times New Roman" w:hAnsi="Times New Roman" w:eastAsia="仿宋" w:cs="Times New Roman"/>
                <w:sz w:val="21"/>
                <w:szCs w:val="21"/>
                <w:lang w:eastAsia="zh-CN"/>
              </w:rPr>
              <w:t>水产品健康养殖项目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b w:val="0"/>
                <w:bCs w:val="0"/>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17200万元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23</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eastAsia="zh-CN"/>
              </w:rPr>
            </w:pPr>
            <w:r>
              <w:rPr>
                <w:rFonts w:hint="eastAsia" w:ascii="Times New Roman" w:hAnsi="Times New Roman" w:eastAsia="仿宋" w:cs="Times New Roman"/>
                <w:color w:val="C00000"/>
                <w:sz w:val="21"/>
                <w:szCs w:val="21"/>
                <w:lang w:eastAsia="zh-CN"/>
              </w:rPr>
              <w:t>辽宁富鹏再生资源产业园三期工程（</w:t>
            </w:r>
            <w:r>
              <w:rPr>
                <w:rFonts w:hint="eastAsia" w:ascii="Times New Roman" w:hAnsi="Times New Roman" w:eastAsia="仿宋" w:cs="Times New Roman"/>
                <w:color w:val="C00000"/>
                <w:sz w:val="21"/>
                <w:szCs w:val="21"/>
                <w:lang w:val="en-US" w:eastAsia="zh-CN"/>
              </w:rPr>
              <w:t>100万吨/年废渣资源化综合利用项目</w:t>
            </w:r>
            <w:r>
              <w:rPr>
                <w:rFonts w:hint="eastAsia" w:ascii="Times New Roman" w:hAnsi="Times New Roman" w:eastAsia="仿宋" w:cs="Times New Roman"/>
                <w:color w:val="C00000"/>
                <w:sz w:val="21"/>
                <w:szCs w:val="21"/>
                <w:lang w:eastAsia="zh-CN"/>
              </w:rPr>
              <w:t>）</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eastAsia"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55000万元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24</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center"/>
              <w:rPr>
                <w:rFonts w:hint="default" w:ascii="Times New Roman" w:hAnsi="Times New Roman" w:eastAsia="仿宋" w:cs="Times New Roman"/>
                <w:color w:val="C00000"/>
                <w:sz w:val="21"/>
                <w:szCs w:val="21"/>
                <w:lang w:eastAsia="zh-CN"/>
              </w:rPr>
            </w:pPr>
            <w:r>
              <w:rPr>
                <w:rFonts w:hint="eastAsia" w:ascii="Times New Roman" w:hAnsi="Times New Roman" w:eastAsia="仿宋" w:cs="Times New Roman"/>
                <w:color w:val="C00000"/>
                <w:sz w:val="21"/>
                <w:szCs w:val="21"/>
                <w:lang w:eastAsia="zh-CN"/>
              </w:rPr>
              <w:t>辽宁富鹏再生资源产业园四期工程（报废车绿色拆解资源化利用项目，年拆解车辆</w:t>
            </w:r>
            <w:r>
              <w:rPr>
                <w:rFonts w:hint="eastAsia" w:ascii="Times New Roman" w:hAnsi="Times New Roman" w:eastAsia="仿宋" w:cs="Times New Roman"/>
                <w:color w:val="C00000"/>
                <w:sz w:val="21"/>
                <w:szCs w:val="21"/>
                <w:lang w:val="en-US" w:eastAsia="zh-CN"/>
              </w:rPr>
              <w:t>2万辆</w:t>
            </w:r>
            <w:r>
              <w:rPr>
                <w:rFonts w:hint="eastAsia" w:ascii="Times New Roman" w:hAnsi="Times New Roman" w:eastAsia="仿宋" w:cs="Times New Roman"/>
                <w:color w:val="C00000"/>
                <w:sz w:val="21"/>
                <w:szCs w:val="21"/>
                <w:lang w:eastAsia="zh-CN"/>
              </w:rPr>
              <w:t>）</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center"/>
              <w:rPr>
                <w:rFonts w:hint="default"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pPr>
            <w:r>
              <w:rPr>
                <w:rFonts w:hint="eastAsia" w:ascii="Times New Roman" w:hAnsi="Times New Roman" w:eastAsia="仿宋" w:cs="Times New Roman"/>
                <w:b w:val="0"/>
                <w:bCs w:val="0"/>
                <w:i w:val="0"/>
                <w:iCs w:val="0"/>
                <w:caps w:val="0"/>
                <w:color w:val="C00000"/>
                <w:spacing w:val="0"/>
                <w:kern w:val="2"/>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生态环境治理体系和能力建设</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台安经济开发区化工产业园有毒有害气体环境风险预警体系建设</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2022</w:t>
            </w: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971万元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购置便捷式VOC检测设备</w:t>
            </w: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2</w:t>
            </w: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套</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bidi="ar"/>
                <w14:textFill>
                  <w14:solidFill>
                    <w14:schemeClr w14:val="tx1"/>
                  </w14:solidFill>
                </w14:textFill>
              </w:rPr>
              <w:t>秸秆焚烧视频监控系统</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2"/>
                <w:sz w:val="21"/>
                <w:szCs w:val="21"/>
                <w:highlight w:val="no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highlight w:val="none"/>
                <w:lang w:val="en-US" w:eastAsia="zh-CN"/>
                <w14:textFill>
                  <w14:solidFill>
                    <w14:schemeClr w14:val="tx1"/>
                  </w14:solidFill>
                </w14:textFill>
              </w:rPr>
              <w:t>租用卫星</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移动式机动车尾气遥感装置1套</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pPr>
            <w:r>
              <w:rPr>
                <w:rFonts w:hint="default" w:ascii="Times New Roman" w:hAnsi="Times New Roman" w:eastAsia="仿宋" w:cs="Times New Roman"/>
                <w:color w:val="000000" w:themeColor="text1"/>
                <w:kern w:val="0"/>
                <w:sz w:val="21"/>
                <w:szCs w:val="21"/>
                <w:highlight w:val="none"/>
                <w:lang w:val="en-US" w:eastAsia="zh-CN" w:bidi="ar"/>
                <w14:textFill>
                  <w14:solidFill>
                    <w14:schemeClr w14:val="tx1"/>
                  </w14:solidFill>
                </w14:textFill>
              </w:rPr>
              <w:t>已完成</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生态修复</w:t>
            </w:r>
          </w:p>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工程</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台安县三北防护林六期工程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1085万元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西佛镇鲍家沟生态环境综合治理工程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台安县农村土地综合整治项目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鞍山市台安县沙化治理工程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107000万元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环境风险</w:t>
            </w:r>
          </w:p>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防控工程</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color w:val="auto"/>
                <w:kern w:val="0"/>
                <w:sz w:val="21"/>
                <w:szCs w:val="21"/>
                <w:highlight w:val="none"/>
                <w:lang w:bidi="ar"/>
              </w:rPr>
              <w:t>台安农高区污泥综合利用</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已完成</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1800万元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val="en-US" w:eastAsia="zh-CN" w:bidi="ar"/>
              </w:rPr>
              <w:t>环境应急能力建设工程</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val="en-US" w:eastAsia="zh-CN" w:bidi="ar"/>
              </w:rPr>
              <w:t>核与辐射安全监管能力提升工程</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蓝天工程</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鞍山神龙腾达工贸有限公司VOC治理项目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鞍山五环化工有限公司VOCs治理项目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left"/>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汎宇化学（辽宁）有限公司废气治理项目</w:t>
            </w:r>
          </w:p>
        </w:tc>
        <w:tc>
          <w:tcPr>
            <w:tcW w:w="142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center"/>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辽宁缘泰石油化工有限公司VOCs减排项目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台安县供电局高力镁砂厂扬尘污染防治改造</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160万元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台安县海林冶炼有限公司扬尘污染防治改造</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台安县高力房海天耐火材料厂扬尘污染防治改造</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辽宁俊龙耐火材料有限公司扬尘污染防治改造</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1494万元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sz w:val="21"/>
                <w:szCs w:val="21"/>
                <w:shd w:val="clear" w:color="auto" w:fill="auto"/>
                <w:lang w:val="en-US" w:eastAsia="zh-CN" w:bidi="ar"/>
                <w14:textFill>
                  <w14:solidFill>
                    <w14:schemeClr w14:val="tx1"/>
                  </w14:solidFill>
                </w14:textFill>
              </w:rPr>
              <w:t>辽宁源宇化工有限公司年产15000t蒽油精制工程技术改造项目（涉及工艺尾气处理、废水处理）</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鞍山科顺建筑材料有限公司防水卷材生产效能升级改造项目（涉及烟气回收改造）</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C00000"/>
                <w:kern w:val="2"/>
                <w:sz w:val="21"/>
                <w:szCs w:val="21"/>
                <w:vertAlign w:val="baseline"/>
                <w:lang w:val="en-US" w:eastAsia="zh-CN" w:bidi="ar-SA"/>
              </w:rPr>
            </w:pPr>
            <w:r>
              <w:rPr>
                <w:rFonts w:hint="default" w:ascii="Times New Roman" w:hAnsi="Times New Roman" w:eastAsia="仿宋" w:cs="Times New Roman"/>
                <w:color w:val="C00000"/>
                <w:sz w:val="21"/>
                <w:szCs w:val="21"/>
                <w:vertAlign w:val="baseline"/>
                <w:lang w:val="en-US" w:eastAsia="zh-CN"/>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592万元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3720"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uto"/>
              <w:jc w:val="both"/>
              <w:textAlignment w:val="auto"/>
              <w:rPr>
                <w:rFonts w:hint="default" w:ascii="Times New Roman" w:hAnsi="Times New Roman" w:eastAsia="仿宋" w:cs="Times New Roman"/>
                <w:i w:val="0"/>
                <w:iCs w:val="0"/>
                <w:caps w:val="0"/>
                <w:color w:val="C00000"/>
                <w:spacing w:val="0"/>
                <w:sz w:val="21"/>
                <w:szCs w:val="21"/>
                <w:shd w:val="clear" w:color="auto" w:fill="auto"/>
                <w:lang w:val="en-US" w:eastAsia="zh-CN" w:bidi="ar"/>
              </w:rPr>
            </w:pPr>
            <w:r>
              <w:rPr>
                <w:rFonts w:hint="default" w:ascii="Times New Roman" w:hAnsi="Times New Roman" w:eastAsia="仿宋" w:cs="Times New Roman"/>
                <w:i w:val="0"/>
                <w:iCs w:val="0"/>
                <w:caps w:val="0"/>
                <w:color w:val="C00000"/>
                <w:spacing w:val="0"/>
                <w:sz w:val="21"/>
                <w:szCs w:val="21"/>
                <w:shd w:val="clear" w:color="auto" w:fill="auto"/>
                <w:lang w:val="en-US" w:eastAsia="zh-CN" w:bidi="ar"/>
              </w:rPr>
              <w:t>台安县供暖公司提标升级改造项目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color w:val="C00000"/>
                <w:sz w:val="21"/>
                <w:szCs w:val="21"/>
                <w:vertAlign w:val="baseline"/>
                <w:lang w:val="en-US" w:eastAsia="zh-CN"/>
              </w:rPr>
            </w:pPr>
            <w:r>
              <w:rPr>
                <w:rFonts w:hint="default" w:ascii="Times New Roman" w:hAnsi="Times New Roman" w:eastAsia="仿宋" w:cs="Times New Roman"/>
                <w:color w:val="C00000"/>
                <w:sz w:val="21"/>
                <w:szCs w:val="21"/>
                <w:vertAlign w:val="baseline"/>
                <w:lang w:val="en-US" w:eastAsia="zh-CN"/>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3600万元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碧水工程</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t>台安县桑林镇黑臭水体整治建设项目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14709万元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台安县乡镇污水处理设施及配套管网工程（包括达牛镇、新开河镇、黄沙坨镇、高力房镇</w:t>
            </w:r>
            <w:r>
              <w:rPr>
                <w:rFonts w:hint="eastAsia"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、新台镇</w:t>
            </w: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等）</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23500万元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t>台安县城区生态水系工程（黑臭水体整治工程）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辽宁台安经济开发区污水处理厂扩建工程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9100万元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color w:val="auto"/>
                <w:kern w:val="0"/>
                <w:sz w:val="21"/>
                <w:szCs w:val="21"/>
                <w:highlight w:val="none"/>
                <w:lang w:bidi="ar"/>
              </w:rPr>
              <w:t>台安农业高新技术产业园污水处理厂提标改造工程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5988万元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lang w:val="en-US" w:eastAsia="zh-CN" w:bidi="ar"/>
              </w:rPr>
            </w:pPr>
            <w:r>
              <w:rPr>
                <w:rFonts w:hint="default" w:ascii="Times New Roman" w:hAnsi="Times New Roman" w:eastAsia="仿宋" w:cs="Times New Roman"/>
                <w:color w:val="auto"/>
                <w:sz w:val="21"/>
                <w:szCs w:val="21"/>
                <w:lang w:eastAsia="zh-CN"/>
              </w:rPr>
              <w:t>台安县城区雨污合流管线分流改造工程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color w:val="auto"/>
                <w:sz w:val="21"/>
                <w:szCs w:val="21"/>
                <w:lang w:val="en-US" w:eastAsia="zh-CN"/>
              </w:rPr>
              <w:t>台安县农村生活污水治理工程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C00000"/>
                <w:kern w:val="0"/>
                <w:sz w:val="21"/>
                <w:szCs w:val="21"/>
                <w:highlight w:val="none"/>
                <w:lang w:val="en-US" w:eastAsia="zh-CN" w:bidi="ar"/>
              </w:rPr>
            </w:pPr>
            <w:r>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t>辽宁台安经济开发区基础设施建设工程（一期）</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20000万元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C00000"/>
                <w:kern w:val="0"/>
                <w:sz w:val="21"/>
                <w:szCs w:val="21"/>
                <w:highlight w:val="none"/>
                <w:lang w:val="en-US" w:eastAsia="zh-CN" w:bidi="ar"/>
              </w:rPr>
            </w:pPr>
            <w:r>
              <w:rPr>
                <w:rFonts w:hint="default" w:ascii="Times New Roman" w:hAnsi="Times New Roman" w:eastAsia="仿宋" w:cs="Times New Roman"/>
                <w:i w:val="0"/>
                <w:iCs w:val="0"/>
                <w:caps w:val="0"/>
                <w:color w:val="C00000"/>
                <w:spacing w:val="0"/>
                <w:kern w:val="2"/>
                <w:sz w:val="21"/>
                <w:szCs w:val="21"/>
                <w:shd w:val="clear" w:color="auto" w:fill="auto"/>
                <w:lang w:val="en-US" w:eastAsia="zh-CN" w:bidi="ar"/>
              </w:rPr>
              <w:t>辽宁台安经济开发区基础设施建设工程（二期）</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58000万元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台安县新建供水工程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14456万元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C00000"/>
                <w:kern w:val="0"/>
                <w:sz w:val="21"/>
                <w:szCs w:val="21"/>
                <w:highlight w:val="none"/>
                <w:lang w:eastAsia="zh-CN" w:bidi="ar"/>
              </w:rPr>
              <w:t>辽河流域生态修复工程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33500万元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辽河干流提升工程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55700万元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13</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auto"/>
                <w:kern w:val="0"/>
                <w:sz w:val="21"/>
                <w:szCs w:val="21"/>
                <w:highlight w:val="none"/>
                <w:lang w:eastAsia="zh-CN" w:bidi="ar"/>
              </w:rPr>
              <w:t>台安县域水系连通工程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54000万元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p>
        </w:tc>
        <w:tc>
          <w:tcPr>
            <w:tcW w:w="756" w:type="dxa"/>
            <w:tcBorders>
              <w:tl2br w:val="nil"/>
              <w:tr2bl w:val="nil"/>
            </w:tcBorders>
            <w:vAlign w:val="center"/>
          </w:tcPr>
          <w:p>
            <w:pPr>
              <w:spacing w:line="240" w:lineRule="auto"/>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14</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 w:cs="Times New Roman"/>
                <w:color w:val="auto"/>
                <w:kern w:val="0"/>
                <w:sz w:val="21"/>
                <w:szCs w:val="21"/>
                <w:highlight w:val="none"/>
                <w:lang w:val="en-US" w:eastAsia="zh-CN" w:bidi="ar"/>
              </w:rPr>
            </w:pPr>
            <w:r>
              <w:rPr>
                <w:rFonts w:hint="default" w:ascii="Times New Roman" w:hAnsi="Times New Roman" w:eastAsia="仿宋" w:cs="Times New Roman"/>
                <w:color w:val="C00000"/>
                <w:kern w:val="0"/>
                <w:sz w:val="21"/>
                <w:szCs w:val="21"/>
                <w:highlight w:val="none"/>
                <w:lang w:eastAsia="zh-CN" w:bidi="ar"/>
              </w:rPr>
              <w:t>中小河流治理工程（包括小柳河、九股河、浑河河道水生态修复等）</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pPr>
            <w:r>
              <w:rPr>
                <w:rFonts w:hint="default" w:ascii="Times New Roman" w:hAnsi="Times New Roman" w:eastAsia="仿宋" w:cs="Times New Roman"/>
                <w:i w:val="0"/>
                <w:iCs w:val="0"/>
                <w:caps w:val="0"/>
                <w:color w:val="000000" w:themeColor="text1"/>
                <w:spacing w:val="0"/>
                <w:kern w:val="2"/>
                <w:sz w:val="21"/>
                <w:szCs w:val="21"/>
                <w:shd w:val="clear" w:color="auto" w:fill="auto"/>
                <w:lang w:val="en-US" w:eastAsia="zh-CN" w:bidi="ar"/>
                <w14:textFill>
                  <w14:solidFill>
                    <w14:schemeClr w14:val="tx1"/>
                  </w14:solidFill>
                </w14:textFill>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kern w:val="2"/>
                <w:sz w:val="21"/>
                <w:szCs w:val="21"/>
                <w:vertAlign w:val="baseline"/>
                <w:lang w:val="en-US" w:eastAsia="zh-CN" w:bidi="ar-SA"/>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150000万元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固体废物处置与资源化</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危险废物处理处置工程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医疗废物处理处置工程</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一般工业固体废物填埋场项目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城镇生活垃圾污染控制工程（含垃圾的回收与资源化利用）</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台安县垃圾焚烧发电项目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250000万元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台安县处理废油泥（渣）及修复污染土壤、地下水工程项目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17100万元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台安县畜禽粪污资源化利用整县推进（有机肥处理中心）项目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辽宁富鹏</w:t>
            </w:r>
            <w:r>
              <w:rPr>
                <w:rFonts w:hint="eastAsia" w:ascii="Times New Roman" w:hAnsi="Times New Roman" w:eastAsia="仿宋_GB2312" w:cs="Times New Roman"/>
                <w:i w:val="0"/>
                <w:iCs w:val="0"/>
                <w:caps w:val="0"/>
                <w:color w:val="C00000"/>
                <w:spacing w:val="0"/>
                <w:kern w:val="0"/>
                <w:sz w:val="21"/>
                <w:szCs w:val="21"/>
                <w:shd w:val="clear" w:color="auto" w:fill="auto"/>
                <w:lang w:val="en-US" w:eastAsia="zh-CN" w:bidi="ar"/>
              </w:rPr>
              <w:t>再生资源产业园一期工程（</w:t>
            </w:r>
            <w: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t>20万吨/年油泥处理热解项目</w:t>
            </w:r>
            <w:r>
              <w:rPr>
                <w:rFonts w:hint="eastAsia" w:ascii="Times New Roman" w:hAnsi="Times New Roman" w:eastAsia="仿宋_GB2312" w:cs="Times New Roman"/>
                <w:i w:val="0"/>
                <w:iCs w:val="0"/>
                <w:caps w:val="0"/>
                <w:color w:val="C00000"/>
                <w:spacing w:val="0"/>
                <w:kern w:val="0"/>
                <w:sz w:val="21"/>
                <w:szCs w:val="21"/>
                <w:shd w:val="clear" w:color="auto" w:fill="auto"/>
                <w:lang w:val="en-US" w:eastAsia="zh-CN" w:bidi="ar"/>
              </w:rPr>
              <w:t>）</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15000万元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3720" w:type="dxa"/>
            <w:tcBorders>
              <w:tl2br w:val="nil"/>
              <w:tr2bl w:val="nil"/>
            </w:tcBorders>
            <w:vAlign w:val="center"/>
          </w:tcPr>
          <w:p>
            <w:pPr>
              <w:widowControl/>
              <w:adjustRightInd w:val="0"/>
              <w:snapToGrid w:val="0"/>
              <w:spacing w:line="240" w:lineRule="auto"/>
              <w:jc w:val="left"/>
              <w:textAlignment w:val="center"/>
              <w:rPr>
                <w:rFonts w:hint="default" w:ascii="Times New Roman" w:hAnsi="Times New Roman" w:eastAsia="仿宋_GB2312" w:cs="Times New Roman"/>
                <w:i w:val="0"/>
                <w:iCs w:val="0"/>
                <w:caps w:val="0"/>
                <w:color w:val="C00000"/>
                <w:spacing w:val="0"/>
                <w:kern w:val="0"/>
                <w:sz w:val="21"/>
                <w:szCs w:val="21"/>
                <w:shd w:val="clear" w:color="auto" w:fill="auto"/>
                <w:lang w:val="en-US" w:eastAsia="zh-CN" w:bidi="ar"/>
              </w:rPr>
            </w:pPr>
            <w:r>
              <w:rPr>
                <w:rFonts w:hint="eastAsia" w:ascii="Times New Roman" w:hAnsi="Times New Roman" w:eastAsia="仿宋_GB2312" w:cs="Times New Roman"/>
                <w:i w:val="0"/>
                <w:iCs w:val="0"/>
                <w:caps w:val="0"/>
                <w:color w:val="C00000"/>
                <w:spacing w:val="0"/>
                <w:kern w:val="0"/>
                <w:sz w:val="21"/>
                <w:szCs w:val="21"/>
                <w:shd w:val="clear" w:color="auto" w:fill="auto"/>
                <w:lang w:val="en-US" w:eastAsia="zh-CN" w:bidi="ar"/>
              </w:rPr>
              <w:t>辽宁富鹏再生资源产业园二期工程（年处理废酸碱液、农药废物及化工残渣10万吨项目）</w:t>
            </w:r>
          </w:p>
        </w:tc>
        <w:tc>
          <w:tcPr>
            <w:tcW w:w="1428" w:type="dxa"/>
            <w:tcBorders>
              <w:tl2br w:val="nil"/>
              <w:tr2bl w:val="nil"/>
            </w:tcBorders>
            <w:vAlign w:val="center"/>
          </w:tcPr>
          <w:p>
            <w:pPr>
              <w:widowControl/>
              <w:adjustRightInd w:val="0"/>
              <w:snapToGrid w:val="0"/>
              <w:spacing w:line="240" w:lineRule="auto"/>
              <w:jc w:val="center"/>
              <w:textAlignment w:val="center"/>
              <w:rPr>
                <w:rFonts w:hint="default" w:ascii="Times New Roman" w:hAnsi="Times New Roman" w:eastAsia="仿宋_GB2312" w:cs="Times New Roman"/>
                <w:i w:val="0"/>
                <w:iCs w:val="0"/>
                <w:caps w:val="0"/>
                <w:color w:val="auto"/>
                <w:spacing w:val="0"/>
                <w:kern w:val="0"/>
                <w:sz w:val="21"/>
                <w:szCs w:val="21"/>
                <w:shd w:val="clear" w:color="auto" w:fill="auto"/>
                <w:lang w:val="en-US" w:eastAsia="zh-CN" w:bidi="ar"/>
              </w:rPr>
            </w:pPr>
            <w:r>
              <w:rPr>
                <w:rFonts w:hint="eastAsia" w:ascii="Times New Roman" w:hAnsi="Times New Roman" w:eastAsia="仿宋_GB2312" w:cs="Times New Roman"/>
                <w:i w:val="0"/>
                <w:iCs w:val="0"/>
                <w:caps w:val="0"/>
                <w:color w:val="auto"/>
                <w:spacing w:val="0"/>
                <w:kern w:val="0"/>
                <w:sz w:val="21"/>
                <w:szCs w:val="21"/>
                <w:shd w:val="clear" w:color="auto" w:fill="auto"/>
                <w:lang w:val="en-US" w:eastAsia="zh-CN" w:bidi="ar"/>
              </w:rPr>
              <w:t>2024年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eastAsia" w:ascii="Times New Roman" w:hAnsi="Times New Roman" w:eastAsia="仿宋" w:cs="Times New Roman"/>
                <w:color w:val="000000" w:themeColor="text1"/>
                <w:sz w:val="21"/>
                <w:szCs w:val="21"/>
                <w:vertAlign w:val="baseline"/>
                <w:lang w:val="en-US" w:eastAsia="zh-CN"/>
                <w14:textFill>
                  <w14:solidFill>
                    <w14:schemeClr w14:val="tx1"/>
                  </w14:solidFill>
                </w14:textFill>
              </w:rPr>
              <w:t>10000万元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农村环境</w:t>
            </w:r>
          </w:p>
          <w:p>
            <w:pPr>
              <w:pStyle w:val="2"/>
              <w:jc w:val="cente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eastAsia="zh-CN"/>
                <w14:textFill>
                  <w14:solidFill>
                    <w14:schemeClr w14:val="tx1"/>
                  </w14:solidFill>
                </w14:textFill>
              </w:rPr>
              <w:t>综合整治</w:t>
            </w: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i w:val="0"/>
                <w:iCs w:val="0"/>
                <w:caps w:val="0"/>
                <w:color w:val="auto"/>
                <w:spacing w:val="0"/>
                <w:kern w:val="2"/>
                <w:sz w:val="21"/>
                <w:szCs w:val="21"/>
                <w:shd w:val="clear" w:color="auto" w:fill="auto"/>
                <w:lang w:val="en-US" w:eastAsia="zh-CN" w:bidi="ar"/>
              </w:rPr>
              <w:t>台安县农村人居环境整治项目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46500万元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eastAsia="zh-CN"/>
              </w:rPr>
              <w:t>农业乡村示范镇</w:t>
            </w:r>
            <w:r>
              <w:rPr>
                <w:rFonts w:hint="default" w:ascii="Times New Roman" w:hAnsi="Times New Roman" w:eastAsia="仿宋" w:cs="Times New Roman"/>
                <w:sz w:val="21"/>
                <w:szCs w:val="21"/>
                <w:vertAlign w:val="baseline"/>
                <w:lang w:val="en-US" w:eastAsia="zh-CN"/>
              </w:rPr>
              <w:t>1个（</w:t>
            </w:r>
            <w:r>
              <w:rPr>
                <w:rFonts w:hint="default" w:ascii="Times New Roman" w:hAnsi="Times New Roman" w:eastAsia="仿宋" w:cs="Times New Roman"/>
                <w:sz w:val="21"/>
                <w:szCs w:val="21"/>
                <w:vertAlign w:val="baseline"/>
                <w:lang w:eastAsia="zh-CN"/>
              </w:rPr>
              <w:t>桑林村</w:t>
            </w:r>
            <w:r>
              <w:rPr>
                <w:rFonts w:hint="default" w:ascii="Times New Roman" w:hAnsi="Times New Roman" w:eastAsia="仿宋" w:cs="Times New Roman"/>
                <w:sz w:val="21"/>
                <w:szCs w:val="21"/>
                <w:vertAlign w:val="baseline"/>
                <w:lang w:val="en-US" w:eastAsia="zh-CN"/>
              </w:rPr>
              <w:t>）</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c>
          <w:tcPr>
            <w:tcW w:w="1351" w:type="dxa"/>
            <w:vMerge w:val="restart"/>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520000万元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eastAsia="zh-CN"/>
              </w:rPr>
              <w:t>休闲农业与乡村旅游特色乡镇</w:t>
            </w:r>
            <w:r>
              <w:rPr>
                <w:rFonts w:hint="default" w:ascii="Times New Roman" w:hAnsi="Times New Roman" w:eastAsia="仿宋" w:cs="Times New Roman"/>
                <w:sz w:val="21"/>
                <w:szCs w:val="21"/>
                <w:vertAlign w:val="baseline"/>
                <w:lang w:val="en-US" w:eastAsia="zh-CN"/>
              </w:rPr>
              <w:t>1个（桑林村）</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2025年</w:t>
            </w:r>
          </w:p>
        </w:tc>
        <w:tc>
          <w:tcPr>
            <w:tcW w:w="1351"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4</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highlight w:val="none"/>
                <w:vertAlign w:val="baseline"/>
                <w:lang w:val="en-US" w:eastAsia="zh-CN" w:bidi="ar-SA"/>
              </w:rPr>
            </w:pPr>
            <w:r>
              <w:rPr>
                <w:rFonts w:hint="default" w:ascii="Times New Roman" w:hAnsi="Times New Roman" w:eastAsia="仿宋" w:cs="Times New Roman"/>
                <w:color w:val="auto"/>
                <w:sz w:val="21"/>
                <w:szCs w:val="21"/>
                <w:highlight w:val="none"/>
                <w:lang w:eastAsia="zh-CN"/>
              </w:rPr>
              <w:t>台安县农村饮水安全巩固提升工程（维修改造农村饮水工程</w:t>
            </w:r>
            <w:r>
              <w:rPr>
                <w:rFonts w:hint="default" w:ascii="Times New Roman" w:hAnsi="Times New Roman" w:eastAsia="仿宋" w:cs="Times New Roman"/>
                <w:color w:val="auto"/>
                <w:sz w:val="21"/>
                <w:szCs w:val="21"/>
                <w:highlight w:val="none"/>
                <w:lang w:val="en-US" w:eastAsia="zh-CN"/>
              </w:rPr>
              <w:t>92处</w:t>
            </w:r>
            <w:r>
              <w:rPr>
                <w:rFonts w:hint="default" w:ascii="Times New Roman" w:hAnsi="Times New Roman" w:eastAsia="仿宋" w:cs="Times New Roman"/>
                <w:color w:val="auto"/>
                <w:sz w:val="21"/>
                <w:szCs w:val="21"/>
                <w:highlight w:val="none"/>
                <w:lang w:eastAsia="zh-CN"/>
              </w:rPr>
              <w:t>）。</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highlight w:val="none"/>
                <w:vertAlign w:val="baseline"/>
                <w:lang w:val="en-US" w:eastAsia="zh-CN" w:bidi="ar-SA"/>
              </w:rPr>
            </w:pPr>
            <w:r>
              <w:rPr>
                <w:rFonts w:hint="default" w:ascii="Times New Roman" w:hAnsi="Times New Roman" w:eastAsia="仿宋" w:cs="Times New Roman"/>
                <w:sz w:val="21"/>
                <w:szCs w:val="21"/>
                <w:highlight w:val="none"/>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5</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color w:val="auto"/>
                <w:sz w:val="21"/>
                <w:szCs w:val="21"/>
                <w:lang w:val="en-US" w:eastAsia="zh-CN"/>
              </w:rPr>
              <w:t>台安县农村生活污水治理工程。</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kern w:val="2"/>
                <w:sz w:val="21"/>
                <w:szCs w:val="21"/>
                <w:vertAlign w:val="baseline"/>
                <w:lang w:val="en-US" w:eastAsia="zh-CN" w:bidi="ar-SA"/>
              </w:rPr>
            </w:pPr>
            <w:r>
              <w:rPr>
                <w:rFonts w:hint="default" w:ascii="Times New Roman" w:hAnsi="Times New Roman" w:eastAsia="仿宋" w:cs="Times New Roman"/>
                <w:sz w:val="21"/>
                <w:szCs w:val="21"/>
                <w:vertAlign w:val="baseline"/>
                <w:lang w:val="en-US" w:eastAsia="zh-CN"/>
              </w:rPr>
              <w:t>2022年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6</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八角台文化旅游带建设项目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370000万元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7</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辽河文化旅游区建设项目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200000万元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8</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军民融合国防教育特色小镇项目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16000万元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9</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辽宁众达文化产业有限公司生态文旅产业园及文化影视基地一期工程</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10</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农村饮水维修改造及移民工程</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22000万元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高标准农田建设项目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2025年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13500万元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1267" w:type="dxa"/>
            <w:vMerge w:val="continue"/>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14:textFill>
                  <w14:solidFill>
                    <w14:schemeClr w14:val="tx1"/>
                  </w14:solidFill>
                </w14:textFill>
              </w:rPr>
            </w:pPr>
          </w:p>
        </w:tc>
        <w:tc>
          <w:tcPr>
            <w:tcW w:w="756"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12</w:t>
            </w:r>
          </w:p>
        </w:tc>
        <w:tc>
          <w:tcPr>
            <w:tcW w:w="3720" w:type="dxa"/>
            <w:tcBorders>
              <w:tl2br w:val="nil"/>
              <w:tr2bl w:val="nil"/>
            </w:tcBorders>
            <w:vAlign w:val="center"/>
          </w:tcPr>
          <w:p>
            <w:pPr>
              <w:spacing w:line="240" w:lineRule="auto"/>
              <w:jc w:val="both"/>
              <w:rPr>
                <w:rFonts w:hint="default" w:ascii="Times New Roman" w:hAnsi="Times New Roman" w:eastAsia="仿宋" w:cs="Times New Roman"/>
                <w:color w:val="auto"/>
                <w:sz w:val="21"/>
                <w:szCs w:val="21"/>
                <w:lang w:val="en-US" w:eastAsia="zh-CN"/>
              </w:rPr>
            </w:pPr>
            <w:r>
              <w:rPr>
                <w:rFonts w:hint="default" w:ascii="Times New Roman" w:hAnsi="Times New Roman" w:eastAsia="仿宋" w:cs="Times New Roman"/>
                <w:color w:val="auto"/>
                <w:sz w:val="21"/>
                <w:szCs w:val="21"/>
                <w:lang w:val="en-US" w:eastAsia="zh-CN"/>
              </w:rPr>
              <w:t>鞍山兴源燃气有限公司台安县乡镇管道燃气建设项目</w:t>
            </w:r>
          </w:p>
        </w:tc>
        <w:tc>
          <w:tcPr>
            <w:tcW w:w="1428" w:type="dxa"/>
            <w:tcBorders>
              <w:tl2br w:val="nil"/>
              <w:tr2bl w:val="nil"/>
            </w:tcBorders>
            <w:vAlign w:val="center"/>
          </w:tcPr>
          <w:p>
            <w:pPr>
              <w:spacing w:line="240" w:lineRule="auto"/>
              <w:jc w:val="center"/>
              <w:rPr>
                <w:rFonts w:hint="default" w:ascii="Times New Roman" w:hAnsi="Times New Roman" w:eastAsia="仿宋" w:cs="Times New Roman"/>
                <w:sz w:val="21"/>
                <w:szCs w:val="21"/>
                <w:vertAlign w:val="baseline"/>
                <w:lang w:val="en-US" w:eastAsia="zh-CN"/>
              </w:rPr>
            </w:pPr>
            <w:r>
              <w:rPr>
                <w:rFonts w:hint="default" w:ascii="Times New Roman" w:hAnsi="Times New Roman" w:eastAsia="仿宋" w:cs="Times New Roman"/>
                <w:sz w:val="21"/>
                <w:szCs w:val="21"/>
                <w:vertAlign w:val="baseline"/>
                <w:lang w:val="en-US" w:eastAsia="zh-CN"/>
              </w:rPr>
              <w:t>2023年</w:t>
            </w:r>
          </w:p>
        </w:tc>
        <w:tc>
          <w:tcPr>
            <w:tcW w:w="1351" w:type="dxa"/>
            <w:tcBorders>
              <w:tl2br w:val="nil"/>
              <w:tr2bl w:val="nil"/>
            </w:tcBorders>
            <w:vAlign w:val="center"/>
          </w:tcPr>
          <w:p>
            <w:pPr>
              <w:pStyle w:val="2"/>
              <w:jc w:val="cente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pPr>
            <w:r>
              <w:rPr>
                <w:rFonts w:hint="default" w:ascii="Times New Roman" w:hAnsi="Times New Roman" w:eastAsia="仿宋" w:cs="Times New Roman"/>
                <w:color w:val="000000" w:themeColor="text1"/>
                <w:sz w:val="21"/>
                <w:szCs w:val="21"/>
                <w:vertAlign w:val="baseline"/>
                <w:lang w:val="en-US" w:eastAsia="zh-CN"/>
                <w14:textFill>
                  <w14:solidFill>
                    <w14:schemeClr w14:val="tx1"/>
                  </w14:solidFill>
                </w14:textFill>
              </w:rPr>
              <w:t>11829万元</w:t>
            </w:r>
          </w:p>
        </w:tc>
      </w:tr>
    </w:tbl>
    <w:p>
      <w:pPr>
        <w:pStyle w:val="2"/>
        <w:rPr>
          <w:rFonts w:hint="default" w:ascii="Times New Roman" w:hAnsi="Times New Roman" w:eastAsia="仿宋" w:cs="Times New Roman"/>
          <w:color w:val="000000" w:themeColor="text1"/>
          <w:sz w:val="30"/>
          <w:szCs w:val="30"/>
          <w14:textFill>
            <w14:solidFill>
              <w14:schemeClr w14:val="tx1"/>
            </w14:solidFill>
          </w14:textFill>
        </w:rPr>
      </w:pPr>
    </w:p>
    <w:p>
      <w:pPr>
        <w:pStyle w:val="2"/>
        <w:rPr>
          <w:rFonts w:hint="eastAsia" w:ascii="仿宋" w:hAnsi="仿宋" w:eastAsia="仿宋" w:cs="仿宋"/>
          <w:color w:val="000000" w:themeColor="text1"/>
          <w:sz w:val="30"/>
          <w:szCs w:val="30"/>
          <w14:textFill>
            <w14:solidFill>
              <w14:schemeClr w14:val="tx1"/>
            </w14:solidFill>
          </w14:textFill>
        </w:rPr>
      </w:pPr>
    </w:p>
    <w:p>
      <w:pPr>
        <w:pStyle w:val="2"/>
        <w:rPr>
          <w:rFonts w:hint="eastAsia" w:ascii="仿宋" w:hAnsi="仿宋" w:eastAsia="仿宋" w:cs="仿宋"/>
          <w:color w:val="000000" w:themeColor="text1"/>
          <w:sz w:val="30"/>
          <w:szCs w:val="30"/>
          <w14:textFill>
            <w14:solidFill>
              <w14:schemeClr w14:val="tx1"/>
            </w14:solidFill>
          </w14:textFill>
        </w:rPr>
      </w:pPr>
    </w:p>
    <w:p>
      <w:pPr>
        <w:pStyle w:val="2"/>
        <w:rPr>
          <w:rFonts w:hint="eastAsia" w:ascii="仿宋" w:hAnsi="仿宋" w:eastAsia="仿宋" w:cs="仿宋"/>
          <w:color w:val="000000" w:themeColor="text1"/>
          <w:sz w:val="30"/>
          <w:szCs w:val="30"/>
          <w14:textFill>
            <w14:solidFill>
              <w14:schemeClr w14:val="tx1"/>
            </w14:solidFill>
          </w14:textFill>
        </w:rPr>
      </w:pPr>
    </w:p>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posOffset>2557780</wp:posOffset>
              </wp:positionH>
              <wp:positionV relativeFrom="paragraph">
                <wp:posOffset>0</wp:posOffset>
              </wp:positionV>
              <wp:extent cx="1016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016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b/>
                              <w:bCs/>
                              <w:sz w:val="21"/>
                              <w:szCs w:val="21"/>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PAGE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1</w:t>
                          </w:r>
                          <w:r>
                            <w:rPr>
                              <w:rFonts w:hint="default" w:ascii="Times New Roman" w:hAnsi="Times New Roman" w:cs="Times New Roman"/>
                              <w:b/>
                              <w:bCs/>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201.4pt;margin-top:0pt;height:144pt;width:8pt;mso-position-horizontal-relative:margin;z-index:251660288;mso-width-relative:page;mso-height-relative:page;" filled="f" stroked="f" coordsize="21600,21600" o:gfxdata="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r5e101QAAAAgBAAAPAAAAAAAAAAEAIAAAACIAAABkcnMvZG93bnJldi54&#10;bWxQSwECFAAUAAAACACHTuJAK3M6izYCAABiBAAADgAAAAAAAAABACAAAAAkAQAAZHJzL2Uyb0Rv&#10;Yy54bWxQSwUGAAAAAAYABgBZAQAAzAUAAAAA&#10;">
              <v:fill on="f" focussize="0,0"/>
              <v:stroke on="f" weight="0.5pt"/>
              <v:imagedata o:title=""/>
              <o:lock v:ext="edit" aspectratio="f"/>
              <v:textbox inset="0mm,0mm,0mm,0mm" style="mso-fit-shape-to-text:t;">
                <w:txbxContent>
                  <w:p>
                    <w:pPr>
                      <w:pStyle w:val="9"/>
                      <w:rPr>
                        <w:rFonts w:hint="default" w:ascii="Times New Roman" w:hAnsi="Times New Roman" w:cs="Times New Roman"/>
                        <w:b/>
                        <w:bCs/>
                        <w:sz w:val="21"/>
                        <w:szCs w:val="21"/>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PAGE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1</w:t>
                    </w:r>
                    <w:r>
                      <w:rPr>
                        <w:rFonts w:hint="default" w:ascii="Times New Roman" w:hAnsi="Times New Roman" w:cs="Times New Roman"/>
                        <w:b/>
                        <w:bCs/>
                        <w:sz w:val="21"/>
                        <w:szCs w:val="21"/>
                      </w:rPr>
                      <w:fldChar w:fldCharType="end"/>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7325" cy="19685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7325" cy="1968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default" w:ascii="Times New Roman" w:hAnsi="Times New Roman" w:cs="Times New Roman"/>
                              <w:b/>
                              <w:bCs/>
                              <w:sz w:val="21"/>
                              <w:szCs w:val="21"/>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PAGE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1</w:t>
                          </w:r>
                          <w:r>
                            <w:rPr>
                              <w:rFonts w:hint="default" w:ascii="Times New Roman" w:hAnsi="Times New Roman" w:cs="Times New Roman"/>
                              <w:b/>
                              <w:bCs/>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5.5pt;width:14.75pt;mso-position-horizontal:center;mso-position-horizontal-relative:margin;z-index:251659264;mso-width-relative:page;mso-height-relative:page;" filled="f" stroked="f" coordsize="21600,21600" o:gfxdata="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F4WKC0wAAAAMBAAAPAAAAAAAAAAEAIAAAACIAAABkcnMvZG93bnJldi54bWxQ&#10;SwECFAAUAAAACACHTuJA3pt7HzUCAABhBAAADgAAAAAAAAABACAAAAAiAQAAZHJzL2Uyb0RvYy54&#10;bWxQSwUGAAAAAAYABgBZAQAAyQUAAAAA&#10;">
              <v:fill on="f" focussize="0,0"/>
              <v:stroke on="f" weight="0.5pt"/>
              <v:imagedata o:title=""/>
              <o:lock v:ext="edit" aspectratio="f"/>
              <v:textbox inset="0mm,0mm,0mm,0mm">
                <w:txbxContent>
                  <w:p>
                    <w:pPr>
                      <w:pStyle w:val="9"/>
                      <w:rPr>
                        <w:rFonts w:hint="default" w:ascii="Times New Roman" w:hAnsi="Times New Roman" w:cs="Times New Roman"/>
                        <w:b/>
                        <w:bCs/>
                        <w:sz w:val="21"/>
                        <w:szCs w:val="21"/>
                      </w:rPr>
                    </w:pPr>
                    <w:r>
                      <w:rPr>
                        <w:rFonts w:hint="default" w:ascii="Times New Roman" w:hAnsi="Times New Roman" w:cs="Times New Roman"/>
                        <w:b/>
                        <w:bCs/>
                        <w:sz w:val="21"/>
                        <w:szCs w:val="21"/>
                      </w:rPr>
                      <w:fldChar w:fldCharType="begin"/>
                    </w:r>
                    <w:r>
                      <w:rPr>
                        <w:rFonts w:hint="default" w:ascii="Times New Roman" w:hAnsi="Times New Roman" w:cs="Times New Roman"/>
                        <w:b/>
                        <w:bCs/>
                        <w:sz w:val="21"/>
                        <w:szCs w:val="21"/>
                      </w:rPr>
                      <w:instrText xml:space="preserve"> PAGE  \* MERGEFORMAT </w:instrText>
                    </w:r>
                    <w:r>
                      <w:rPr>
                        <w:rFonts w:hint="default" w:ascii="Times New Roman" w:hAnsi="Times New Roman" w:cs="Times New Roman"/>
                        <w:b/>
                        <w:bCs/>
                        <w:sz w:val="21"/>
                        <w:szCs w:val="21"/>
                      </w:rPr>
                      <w:fldChar w:fldCharType="separate"/>
                    </w:r>
                    <w:r>
                      <w:rPr>
                        <w:rFonts w:hint="default" w:ascii="Times New Roman" w:hAnsi="Times New Roman" w:cs="Times New Roman"/>
                        <w:b/>
                        <w:bCs/>
                        <w:sz w:val="21"/>
                        <w:szCs w:val="21"/>
                      </w:rPr>
                      <w:t>1</w:t>
                    </w:r>
                    <w:r>
                      <w:rPr>
                        <w:rFonts w:hint="default" w:ascii="Times New Roman" w:hAnsi="Times New Roman" w:cs="Times New Roman"/>
                        <w:b/>
                        <w:bCs/>
                        <w:sz w:val="21"/>
                        <w:szCs w:val="21"/>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62E0B49"/>
    <w:multiLevelType w:val="multilevel"/>
    <w:tmpl w:val="162E0B49"/>
    <w:lvl w:ilvl="0" w:tentative="0">
      <w:start w:val="1"/>
      <w:numFmt w:val="decimal"/>
      <w:lvlText w:val="%1."/>
      <w:lvlJc w:val="left"/>
      <w:pPr>
        <w:ind w:left="432" w:hanging="432"/>
      </w:pPr>
      <w:rPr>
        <w:rFonts w:hint="default"/>
      </w:rPr>
    </w:lvl>
    <w:lvl w:ilvl="1" w:tentative="0">
      <w:start w:val="1"/>
      <w:numFmt w:val="decimal"/>
      <w:pStyle w:val="4"/>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Q0MTAxNjcyMmVkNWUxNzk0YThkYjhiYjJlMjYxODkifQ=="/>
  </w:docVars>
  <w:rsids>
    <w:rsidRoot w:val="00000000"/>
    <w:rsid w:val="00D47A30"/>
    <w:rsid w:val="023A109F"/>
    <w:rsid w:val="02A56FD8"/>
    <w:rsid w:val="02C35A8C"/>
    <w:rsid w:val="0305345B"/>
    <w:rsid w:val="030C6AB0"/>
    <w:rsid w:val="03167049"/>
    <w:rsid w:val="034725CB"/>
    <w:rsid w:val="03623C7E"/>
    <w:rsid w:val="0368705F"/>
    <w:rsid w:val="03DC3D6C"/>
    <w:rsid w:val="03E219EE"/>
    <w:rsid w:val="04706FFA"/>
    <w:rsid w:val="04AC39CC"/>
    <w:rsid w:val="05C636DC"/>
    <w:rsid w:val="06070192"/>
    <w:rsid w:val="074B78AB"/>
    <w:rsid w:val="075E313A"/>
    <w:rsid w:val="077250FE"/>
    <w:rsid w:val="07C02605"/>
    <w:rsid w:val="08F0551D"/>
    <w:rsid w:val="098F7F23"/>
    <w:rsid w:val="0A801619"/>
    <w:rsid w:val="0A920EAD"/>
    <w:rsid w:val="0B3F4818"/>
    <w:rsid w:val="0B444D3D"/>
    <w:rsid w:val="0C2162E2"/>
    <w:rsid w:val="0C4F74F5"/>
    <w:rsid w:val="0C98024D"/>
    <w:rsid w:val="0CC27FD1"/>
    <w:rsid w:val="0CC954FA"/>
    <w:rsid w:val="0CFC52E1"/>
    <w:rsid w:val="0D1E70EC"/>
    <w:rsid w:val="0D951880"/>
    <w:rsid w:val="0DA732C1"/>
    <w:rsid w:val="0E9F0A91"/>
    <w:rsid w:val="0EFD38A7"/>
    <w:rsid w:val="0F44355D"/>
    <w:rsid w:val="0F942F23"/>
    <w:rsid w:val="0F960E75"/>
    <w:rsid w:val="10015CFA"/>
    <w:rsid w:val="10332A8A"/>
    <w:rsid w:val="105F10BE"/>
    <w:rsid w:val="10AA0997"/>
    <w:rsid w:val="10AF2C58"/>
    <w:rsid w:val="118A08CE"/>
    <w:rsid w:val="12213C5B"/>
    <w:rsid w:val="1291299A"/>
    <w:rsid w:val="1341342D"/>
    <w:rsid w:val="136E0BA9"/>
    <w:rsid w:val="13EB46C9"/>
    <w:rsid w:val="145B4059"/>
    <w:rsid w:val="14DE573A"/>
    <w:rsid w:val="14EF0730"/>
    <w:rsid w:val="1574621E"/>
    <w:rsid w:val="16D9129A"/>
    <w:rsid w:val="17D16124"/>
    <w:rsid w:val="188019AA"/>
    <w:rsid w:val="18D609B4"/>
    <w:rsid w:val="193A1A73"/>
    <w:rsid w:val="19461C80"/>
    <w:rsid w:val="19A312AE"/>
    <w:rsid w:val="19B940A0"/>
    <w:rsid w:val="1A2844B7"/>
    <w:rsid w:val="1AC946B0"/>
    <w:rsid w:val="1C0048BD"/>
    <w:rsid w:val="1C70054A"/>
    <w:rsid w:val="1CE72025"/>
    <w:rsid w:val="1D1A5953"/>
    <w:rsid w:val="1D3A1AFC"/>
    <w:rsid w:val="1D861D8D"/>
    <w:rsid w:val="1DA74885"/>
    <w:rsid w:val="1DA96423"/>
    <w:rsid w:val="1DCE4BFC"/>
    <w:rsid w:val="201E7A65"/>
    <w:rsid w:val="21126526"/>
    <w:rsid w:val="212C533D"/>
    <w:rsid w:val="215F5E4E"/>
    <w:rsid w:val="21657E22"/>
    <w:rsid w:val="22F550CA"/>
    <w:rsid w:val="231B217A"/>
    <w:rsid w:val="23E136BB"/>
    <w:rsid w:val="246F653B"/>
    <w:rsid w:val="25072C0B"/>
    <w:rsid w:val="25EC10BF"/>
    <w:rsid w:val="267B565F"/>
    <w:rsid w:val="267C312E"/>
    <w:rsid w:val="272D3C01"/>
    <w:rsid w:val="27943DF5"/>
    <w:rsid w:val="27AE633A"/>
    <w:rsid w:val="28A349F9"/>
    <w:rsid w:val="299A6286"/>
    <w:rsid w:val="29D16D8B"/>
    <w:rsid w:val="2A104240"/>
    <w:rsid w:val="2AB632DF"/>
    <w:rsid w:val="2B14398C"/>
    <w:rsid w:val="2C134739"/>
    <w:rsid w:val="2D7B23E1"/>
    <w:rsid w:val="2DBE7BAB"/>
    <w:rsid w:val="2FF41FDE"/>
    <w:rsid w:val="30273055"/>
    <w:rsid w:val="304F03E5"/>
    <w:rsid w:val="305A0A47"/>
    <w:rsid w:val="30CA70AC"/>
    <w:rsid w:val="31762C5B"/>
    <w:rsid w:val="31F15F4D"/>
    <w:rsid w:val="32364B30"/>
    <w:rsid w:val="32894C60"/>
    <w:rsid w:val="329125DC"/>
    <w:rsid w:val="329B3AAB"/>
    <w:rsid w:val="33151A55"/>
    <w:rsid w:val="35036228"/>
    <w:rsid w:val="35147E8C"/>
    <w:rsid w:val="35B52A90"/>
    <w:rsid w:val="35B8415B"/>
    <w:rsid w:val="35CB3605"/>
    <w:rsid w:val="36935C38"/>
    <w:rsid w:val="36BF0223"/>
    <w:rsid w:val="36E449D2"/>
    <w:rsid w:val="36E75EA1"/>
    <w:rsid w:val="37946609"/>
    <w:rsid w:val="37E64902"/>
    <w:rsid w:val="38874A2B"/>
    <w:rsid w:val="388F6D48"/>
    <w:rsid w:val="394F7BE7"/>
    <w:rsid w:val="3A0F7F89"/>
    <w:rsid w:val="3A6F28BF"/>
    <w:rsid w:val="3A887522"/>
    <w:rsid w:val="3AF57607"/>
    <w:rsid w:val="3B22652A"/>
    <w:rsid w:val="3C3D5002"/>
    <w:rsid w:val="3C6E2A7F"/>
    <w:rsid w:val="3D9372DA"/>
    <w:rsid w:val="3E5A553E"/>
    <w:rsid w:val="3EA370A9"/>
    <w:rsid w:val="3EBB072B"/>
    <w:rsid w:val="3F7A3AC2"/>
    <w:rsid w:val="40C96B6F"/>
    <w:rsid w:val="410B53D9"/>
    <w:rsid w:val="416A4BD1"/>
    <w:rsid w:val="417411D1"/>
    <w:rsid w:val="41AF3FB7"/>
    <w:rsid w:val="42EF7E3F"/>
    <w:rsid w:val="430F11B1"/>
    <w:rsid w:val="43364990"/>
    <w:rsid w:val="43E16819"/>
    <w:rsid w:val="449324F1"/>
    <w:rsid w:val="44B23323"/>
    <w:rsid w:val="44ED72D0"/>
    <w:rsid w:val="45967968"/>
    <w:rsid w:val="459C7AB3"/>
    <w:rsid w:val="46334B4D"/>
    <w:rsid w:val="464B4454"/>
    <w:rsid w:val="46B01B13"/>
    <w:rsid w:val="46FA3F26"/>
    <w:rsid w:val="485F7027"/>
    <w:rsid w:val="48D9796B"/>
    <w:rsid w:val="496E5A82"/>
    <w:rsid w:val="49B9792C"/>
    <w:rsid w:val="49F8790B"/>
    <w:rsid w:val="4A5748AA"/>
    <w:rsid w:val="4A8250E3"/>
    <w:rsid w:val="4AA816AF"/>
    <w:rsid w:val="4C1B4513"/>
    <w:rsid w:val="4C216B84"/>
    <w:rsid w:val="4C4D4AF8"/>
    <w:rsid w:val="4C774C5D"/>
    <w:rsid w:val="4C83553D"/>
    <w:rsid w:val="4CA32458"/>
    <w:rsid w:val="4E057746"/>
    <w:rsid w:val="4E6D0109"/>
    <w:rsid w:val="4EA12ED9"/>
    <w:rsid w:val="4EC42815"/>
    <w:rsid w:val="4ED41007"/>
    <w:rsid w:val="4F6C798B"/>
    <w:rsid w:val="4F9007CB"/>
    <w:rsid w:val="4FD3762F"/>
    <w:rsid w:val="4FE51C21"/>
    <w:rsid w:val="50EE4AFC"/>
    <w:rsid w:val="51A82193"/>
    <w:rsid w:val="51DD3CA0"/>
    <w:rsid w:val="52547226"/>
    <w:rsid w:val="52890E42"/>
    <w:rsid w:val="52EC1CE1"/>
    <w:rsid w:val="54BF0DCA"/>
    <w:rsid w:val="54F20CA7"/>
    <w:rsid w:val="55546B20"/>
    <w:rsid w:val="566E3FE9"/>
    <w:rsid w:val="569864D4"/>
    <w:rsid w:val="56AA52D2"/>
    <w:rsid w:val="57FB593E"/>
    <w:rsid w:val="58F55650"/>
    <w:rsid w:val="5905280A"/>
    <w:rsid w:val="5A062BB6"/>
    <w:rsid w:val="5B7F145D"/>
    <w:rsid w:val="5BAD48BA"/>
    <w:rsid w:val="5BD60C28"/>
    <w:rsid w:val="5CB85FBE"/>
    <w:rsid w:val="5CDF179C"/>
    <w:rsid w:val="5E316BE9"/>
    <w:rsid w:val="5EB66937"/>
    <w:rsid w:val="5ECB155F"/>
    <w:rsid w:val="5EED72E2"/>
    <w:rsid w:val="5F761901"/>
    <w:rsid w:val="5F927657"/>
    <w:rsid w:val="60656612"/>
    <w:rsid w:val="60862A98"/>
    <w:rsid w:val="60DB4794"/>
    <w:rsid w:val="61DF3F99"/>
    <w:rsid w:val="62B45E57"/>
    <w:rsid w:val="63163A3E"/>
    <w:rsid w:val="63583F4C"/>
    <w:rsid w:val="639B000C"/>
    <w:rsid w:val="63E1229E"/>
    <w:rsid w:val="640B10C9"/>
    <w:rsid w:val="64270903"/>
    <w:rsid w:val="64B4167E"/>
    <w:rsid w:val="660F7747"/>
    <w:rsid w:val="668C1178"/>
    <w:rsid w:val="66AE3478"/>
    <w:rsid w:val="689C0C67"/>
    <w:rsid w:val="6AAB53B4"/>
    <w:rsid w:val="6BAE0CB8"/>
    <w:rsid w:val="6C501D6F"/>
    <w:rsid w:val="6C545723"/>
    <w:rsid w:val="6C79487F"/>
    <w:rsid w:val="6D6B219A"/>
    <w:rsid w:val="6DDC768D"/>
    <w:rsid w:val="6DDE2056"/>
    <w:rsid w:val="6DFC3BBF"/>
    <w:rsid w:val="6E767248"/>
    <w:rsid w:val="6EBC7C9C"/>
    <w:rsid w:val="6F0A39F7"/>
    <w:rsid w:val="6F5558EE"/>
    <w:rsid w:val="6F5F17F4"/>
    <w:rsid w:val="6FC42147"/>
    <w:rsid w:val="70453721"/>
    <w:rsid w:val="705A0FAC"/>
    <w:rsid w:val="70E83FC1"/>
    <w:rsid w:val="71871854"/>
    <w:rsid w:val="71DB20DB"/>
    <w:rsid w:val="729E5117"/>
    <w:rsid w:val="740B163E"/>
    <w:rsid w:val="745925DD"/>
    <w:rsid w:val="74862FA0"/>
    <w:rsid w:val="74BB2697"/>
    <w:rsid w:val="75A05E00"/>
    <w:rsid w:val="774921DC"/>
    <w:rsid w:val="775278A8"/>
    <w:rsid w:val="77A520D0"/>
    <w:rsid w:val="78AA4DD4"/>
    <w:rsid w:val="79003ABA"/>
    <w:rsid w:val="792A231D"/>
    <w:rsid w:val="79646F10"/>
    <w:rsid w:val="7A28349F"/>
    <w:rsid w:val="7AD86FC8"/>
    <w:rsid w:val="7B4056A4"/>
    <w:rsid w:val="7C8B1A35"/>
    <w:rsid w:val="7CA51C63"/>
    <w:rsid w:val="7D376633"/>
    <w:rsid w:val="7D567401"/>
    <w:rsid w:val="7DC17D11"/>
    <w:rsid w:val="7E2225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qFormat/>
    <w:uiPriority w:val="99"/>
    <w:pPr>
      <w:keepNext/>
      <w:keepLines/>
      <w:numPr>
        <w:ilvl w:val="1"/>
        <w:numId w:val="1"/>
      </w:numPr>
      <w:spacing w:before="50" w:beforeLines="50" w:after="50" w:afterLines="50" w:line="600" w:lineRule="exact"/>
      <w:ind w:left="575" w:hanging="575"/>
      <w:outlineLvl w:val="1"/>
    </w:pPr>
    <w:rPr>
      <w:rFonts w:ascii="Arial" w:hAnsi="Arial" w:eastAsia="黑体"/>
      <w:b/>
      <w:bCs/>
      <w:kern w:val="0"/>
      <w:sz w:val="32"/>
      <w:szCs w:val="20"/>
    </w:rPr>
  </w:style>
  <w:style w:type="paragraph" w:styleId="5">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sz w:val="18"/>
    </w:rPr>
  </w:style>
  <w:style w:type="paragraph" w:styleId="6">
    <w:name w:val="annotation text"/>
    <w:basedOn w:val="1"/>
    <w:qFormat/>
    <w:uiPriority w:val="0"/>
    <w:pPr>
      <w:jc w:val="left"/>
    </w:pPr>
  </w:style>
  <w:style w:type="paragraph" w:styleId="7">
    <w:name w:val="toc 3"/>
    <w:basedOn w:val="1"/>
    <w:next w:val="1"/>
    <w:qFormat/>
    <w:uiPriority w:val="0"/>
    <w:pPr>
      <w:ind w:left="840" w:leftChars="400"/>
    </w:pPr>
  </w:style>
  <w:style w:type="paragraph" w:styleId="8">
    <w:name w:val="Body Text Indent 2"/>
    <w:basedOn w:val="1"/>
    <w:next w:val="1"/>
    <w:qFormat/>
    <w:uiPriority w:val="0"/>
    <w:pPr>
      <w:adjustRightInd w:val="0"/>
      <w:spacing w:line="360" w:lineRule="auto"/>
      <w:ind w:firstLine="420"/>
      <w:jc w:val="left"/>
    </w:pPr>
    <w:rPr>
      <w:rFonts w:ascii="宋体" w:hAnsi="宋体" w:eastAsia="宋体" w:cs="Times New Roman"/>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FollowedHyperlink"/>
    <w:basedOn w:val="16"/>
    <w:qFormat/>
    <w:uiPriority w:val="0"/>
    <w:rPr>
      <w:color w:val="000000"/>
      <w:u w:val="none"/>
    </w:rPr>
  </w:style>
  <w:style w:type="character" w:styleId="18">
    <w:name w:val="Emphasis"/>
    <w:basedOn w:val="16"/>
    <w:qFormat/>
    <w:uiPriority w:val="0"/>
  </w:style>
  <w:style w:type="character" w:styleId="19">
    <w:name w:val="Hyperlink"/>
    <w:basedOn w:val="16"/>
    <w:qFormat/>
    <w:uiPriority w:val="0"/>
    <w:rPr>
      <w:color w:val="333333"/>
      <w:u w:val="none"/>
    </w:rPr>
  </w:style>
  <w:style w:type="paragraph" w:customStyle="1" w:styleId="20">
    <w:name w:val="WPSOffice手动目录 1"/>
    <w:qFormat/>
    <w:uiPriority w:val="0"/>
    <w:pPr>
      <w:ind w:leftChars="0"/>
    </w:pPr>
    <w:rPr>
      <w:rFonts w:asciiTheme="minorHAnsi" w:hAnsiTheme="minorHAnsi" w:eastAsiaTheme="minorEastAsia" w:cstheme="minorBidi"/>
      <w:sz w:val="20"/>
      <w:szCs w:val="20"/>
    </w:rPr>
  </w:style>
  <w:style w:type="paragraph" w:customStyle="1" w:styleId="21">
    <w:name w:val="WPSOffice手动目录 2"/>
    <w:qFormat/>
    <w:uiPriority w:val="0"/>
    <w:pPr>
      <w:ind w:leftChars="200"/>
    </w:pPr>
    <w:rPr>
      <w:rFonts w:asciiTheme="minorHAnsi" w:hAnsiTheme="minorHAnsi" w:eastAsiaTheme="minorEastAsia" w:cstheme="minorBidi"/>
      <w:sz w:val="20"/>
      <w:szCs w:val="20"/>
    </w:rPr>
  </w:style>
  <w:style w:type="paragraph" w:customStyle="1" w:styleId="22">
    <w:name w:val="WPSOffice手动目录 3"/>
    <w:qFormat/>
    <w:uiPriority w:val="0"/>
    <w:pPr>
      <w:ind w:leftChars="400"/>
    </w:pPr>
    <w:rPr>
      <w:rFonts w:asciiTheme="minorHAnsi" w:hAnsiTheme="minorHAnsi" w:eastAsiaTheme="minorEastAsia" w:cstheme="minorBidi"/>
      <w:sz w:val="20"/>
      <w:szCs w:val="20"/>
    </w:rPr>
  </w:style>
  <w:style w:type="character" w:customStyle="1" w:styleId="23">
    <w:name w:val="lishishuju"/>
    <w:basedOn w:val="16"/>
    <w:qFormat/>
    <w:uiPriority w:val="0"/>
    <w:rPr>
      <w:b/>
      <w:bCs/>
      <w:color w:val="000052"/>
      <w:sz w:val="24"/>
      <w:szCs w:val="24"/>
      <w:bdr w:val="single" w:color="E3E3E3" w:sz="6" w:space="0"/>
    </w:rPr>
  </w:style>
  <w:style w:type="character" w:customStyle="1" w:styleId="24">
    <w:name w:val="lable"/>
    <w:basedOn w:val="16"/>
    <w:uiPriority w:val="0"/>
    <w:rPr>
      <w:sz w:val="24"/>
      <w:szCs w:val="24"/>
    </w:rPr>
  </w:style>
  <w:style w:type="character" w:customStyle="1" w:styleId="25">
    <w:name w:val="radio-btn"/>
    <w:basedOn w:val="16"/>
    <w:uiPriority w:val="0"/>
    <w:rPr>
      <w:sz w:val="21"/>
      <w:szCs w:val="21"/>
    </w:rPr>
  </w:style>
  <w:style w:type="character" w:customStyle="1" w:styleId="26">
    <w:name w:val="radio-btn1"/>
    <w:basedOn w:val="16"/>
    <w:uiPriority w:val="0"/>
    <w:rPr>
      <w:sz w:val="24"/>
      <w:szCs w:val="24"/>
    </w:rPr>
  </w:style>
  <w:style w:type="character" w:customStyle="1" w:styleId="27">
    <w:name w:val="radio-btn2"/>
    <w:basedOn w:val="16"/>
    <w:uiPriority w:val="0"/>
    <w:rPr>
      <w:sz w:val="24"/>
      <w:szCs w:val="24"/>
    </w:rPr>
  </w:style>
  <w:style w:type="character" w:customStyle="1" w:styleId="28">
    <w:name w:val="cur1"/>
    <w:basedOn w:val="16"/>
    <w:qFormat/>
    <w:uiPriority w:val="0"/>
    <w:rPr>
      <w:color w:val="FFFFFF"/>
      <w:shd w:val="clear" w:fill="2F6B98"/>
    </w:rPr>
  </w:style>
  <w:style w:type="character" w:customStyle="1" w:styleId="29">
    <w:name w:val="znspantitle"/>
    <w:basedOn w:val="16"/>
    <w:qFormat/>
    <w:uiPriority w:val="0"/>
    <w:rPr>
      <w:b/>
      <w:bCs/>
      <w:color w:val="333333"/>
    </w:rPr>
  </w:style>
</w:styles>
</file>

<file path=word/_rels/document.xml.rels><?xml version="1.0" encoding="UTF-8" standalone="yes"?>
<Relationships xmlns="http://schemas.openxmlformats.org/package/2006/relationships"><Relationship Id="rId9" Type="http://schemas.openxmlformats.org/officeDocument/2006/relationships/image" Target="media/image4.emf"/><Relationship Id="rId8" Type="http://schemas.openxmlformats.org/officeDocument/2006/relationships/image" Target="media/image3.emf"/><Relationship Id="rId7" Type="http://schemas.openxmlformats.org/officeDocument/2006/relationships/image" Target="media/image2.emf"/><Relationship Id="rId6" Type="http://schemas.openxmlformats.org/officeDocument/2006/relationships/image" Target="media/image1.emf"/><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77</Pages>
  <Words>38006</Words>
  <Characters>39741</Characters>
  <Lines>0</Lines>
  <Paragraphs>0</Paragraphs>
  <TotalTime>11</TotalTime>
  <ScaleCrop>false</ScaleCrop>
  <LinksUpToDate>false</LinksUpToDate>
  <CharactersWithSpaces>40081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2021-11-19T01:34:00Z</dcterms:created>
  <dc:creator>Administrator.PC-20210204CHPA</dc:creator>
  <cp:lastModifiedBy>坏小孩</cp:lastModifiedBy>
  <dcterms:modified xsi:type="dcterms:W3CDTF">2022-07-10T23:36:05Z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4F62E31CAB87440CB24FE22478FB4140</vt:lpwstr>
  </property>
  <property fmtid="{D5CDD505-2E9C-101B-9397-08002B2CF9AE}" pid="4" name="commondata">
    <vt:lpwstr>eyJoZGlkIjoiMWQ0MTAxNjcyMmVkNWUxNzk0YThkYjhiYjJlMjYxODkifQ==</vt:lpwstr>
  </property>
</Properties>
</file>