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房屋征收攻坚工作考核办法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本次房屋征收攻坚行动结束后，领导小组将对各工作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专班的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攻坚行动目标任务完成情况进行考核。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考核办法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抽调参加本次工作的有关单位工作人员，要树立全局意识，必须服从征收攻坚领导小组的纪律规定和工作安排，各工作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要将任务、工作时间进行进一步分解细化，工作到户，责任到人，确保各项工作按要求时限完成。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二、考核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要在政策规定范围内创造性地开展工作，将问题和困难消化在内部，非重大问题和困难不得上交、外推或隐瞒，不得以各种理由拖延、搪塞。严格执行拆迁政策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认真贯彻落实有关法律、政策及上级文件精神，把握政策，严格标准，程序到位，对征地拆迁安置补偿标准、程序和结果实行公开，切实维护被征地群众的合法权益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严禁随意向群众做不负责任的表态和承诺。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房屋征收净地攻坚行动领导小组办公室会同有关部门组成考核组，对各专项工作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的征地拆迁工作进行检查，并视进展情况进行催办、督办。10月底，考核组在进行全面自查的基础上，通过听取汇报、查看台账、重点抽查、实地踏勘等方式，结合平时工作情况进行评分。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17" w:bottom="2098" w:left="1417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房屋征收净地攻坚行动领导小组办公室会同有关部门组成考核组，对各工作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工作进行检查，并视进展情况进行催办、督办。10月底，考核组在进行全面自查的基础上，通过听取汇报、查看台账、重点抽查、实地踏勘等方式，结合平时工作情况进行评分。考核主要分为基础工作、征地工作、拆迁工作、信访工作4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（一）基础工作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1．逐级签订征地拆迁工作责任书，明确考核责任。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2．建立并落实公示制度、信访制度、责任承诺制度、工作例会制度等。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3．每周五上报征地拆迁信息、报表、数据等。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（二）征地工作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1．征地资料上报齐全、及时。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2．及时完成交地任务。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（三）拆迁工作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根据县委、县政府对工程建设进度的要求，搬迁期限按拆迁量确定，以5个月为限。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1．搬迁期限内，签约率达到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2．房屋及时腾空拆除。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3．及时组织行政强迁。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4．行政裁决、强制拆迁程序合法，工作到位。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5．按照有关要求，落实安置房源；拆迁户在法定安置期限内的安置率达到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（四）信访工作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1．按照信访有关规定，妥善处理信访案件，对去京到省集体访、异常访及时赶赴现场进行接待、劝返。事后进行妥善处理并做好稳定工作，以防再次发生集体访、重复访。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2．配合做好辖区内由市级（含）以上部门受理的信访工作。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3．妥善、有效处置突发性群体事件。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四、评分制度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考核评分采用百分制，依据《净地攻坚工作考核评分标准表》（附件）进行打分，按照标准对未完成的目标任务扣掉相应分数，最终按照剩余得分进行总体排名，给予奖惩。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2098" w:right="1417" w:bottom="2098" w:left="1417" w:header="851" w:footer="992" w:gutter="0"/>
          <w:pgNumType w:fmt="numberInDash" w:start="2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净地攻坚工作考核评分标准表</w:t>
      </w:r>
    </w:p>
    <w:tbl>
      <w:tblPr>
        <w:tblStyle w:val="4"/>
        <w:tblpPr w:leftFromText="180" w:rightFromText="180" w:vertAnchor="text" w:horzAnchor="page" w:tblpX="895" w:tblpY="106"/>
        <w:tblOverlap w:val="never"/>
        <w:tblW w:w="15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080"/>
        <w:gridCol w:w="5380"/>
        <w:gridCol w:w="1050"/>
        <w:gridCol w:w="1119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758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序号</w:t>
            </w:r>
          </w:p>
        </w:tc>
        <w:tc>
          <w:tcPr>
            <w:tcW w:w="6080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考核内容</w:t>
            </w:r>
          </w:p>
        </w:tc>
        <w:tc>
          <w:tcPr>
            <w:tcW w:w="5380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评分标准</w:t>
            </w:r>
          </w:p>
        </w:tc>
        <w:tc>
          <w:tcPr>
            <w:tcW w:w="1050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考核方式</w:t>
            </w:r>
          </w:p>
        </w:tc>
        <w:tc>
          <w:tcPr>
            <w:tcW w:w="1119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扣分原因</w:t>
            </w:r>
          </w:p>
        </w:tc>
        <w:tc>
          <w:tcPr>
            <w:tcW w:w="1166" w:type="dxa"/>
            <w:vAlign w:val="center"/>
          </w:tcPr>
          <w:p>
            <w:pPr>
              <w:ind w:left="4" w:leftChars="-2" w:hanging="8" w:hangingChars="4"/>
              <w:jc w:val="center"/>
              <w:rPr>
                <w:rFonts w:ascii="黑体" w:eastAsia="黑体"/>
                <w:spacing w:val="-20"/>
                <w:sz w:val="24"/>
                <w:szCs w:val="32"/>
              </w:rPr>
            </w:pPr>
            <w:r>
              <w:rPr>
                <w:rFonts w:hint="eastAsia" w:ascii="黑体" w:eastAsia="黑体"/>
                <w:spacing w:val="-20"/>
                <w:sz w:val="24"/>
                <w:szCs w:val="32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1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签订征收搬迁工作责任状，明确考核责任。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未签订征收搬迁工作责任状的，扣1分。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签订情况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color w:val="auto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2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每周五前上报地块征收进展情况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未上报信息</w:t>
            </w:r>
            <w:r>
              <w:rPr>
                <w:rFonts w:hint="eastAsia" w:ascii="仿宋_GB2312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数据不及时、不准确，扣1分。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查看台账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color w:val="auto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3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建立台账，各地块征收工作的资料齐全，整理规范，上报</w:t>
            </w:r>
            <w:r>
              <w:rPr>
                <w:rFonts w:hint="eastAsia" w:ascii="仿宋_GB2312"/>
                <w:color w:val="auto"/>
                <w:sz w:val="18"/>
                <w:szCs w:val="18"/>
                <w:lang w:eastAsia="zh-CN"/>
              </w:rPr>
              <w:t>房屋</w:t>
            </w:r>
            <w:r>
              <w:rPr>
                <w:rFonts w:hint="eastAsia" w:ascii="仿宋_GB2312"/>
                <w:color w:val="auto"/>
                <w:sz w:val="18"/>
                <w:szCs w:val="18"/>
              </w:rPr>
              <w:t>征收局。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台账资料不齐全规范的扣1分（每个地块）。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查看台账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</w:rPr>
              <w:t>平时工作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color w:val="auto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4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违反工作纪律：包括迟到早退、工作时未佩戴工作证、接受被征收人财物或者吃请等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根据情结严重程度扣1-12分不等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平时工作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现场勘查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信访线索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5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根据征收计划10月底前完成净地工作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未完成征收任务的扣5分（每个地块）。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查看台账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ascii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6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搬迁期限内签约率达到80%以上，未签约的应进入行政裁决和行政强迁程序的准备工作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签约率不到80%或未签约的未进入行政裁决和行政强迁程序准备工作的，每个项目扣 2分。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查看台账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平时工作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现场勘查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hint="eastAsia" w:ascii="仿宋_GB2312" w:hAnsiTheme="minorHAnsi" w:eastAsiaTheme="minorEastAsia" w:cstheme="minorBidi"/>
                <w:spacing w:val="-2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7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及时组织行政强迁。行政裁决后签约的户数和强迁的户数之和应大于实际裁决户数的80%。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未达到80%标准的，每降低10个百分点扣2分。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查看台账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平时工作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hint="eastAsia" w:ascii="仿宋_GB2312" w:hAnsiTheme="minorHAnsi" w:eastAsiaTheme="minorEastAsia" w:cstheme="minorBidi"/>
                <w:spacing w:val="-2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8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行政强制搬迁程序合法，工作到位。有行政强制搬迁工作预案，措施完备；强制拆迁时，证据保全及被拆迁人的安置补偿资金或安置房屋已落实到位。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行政强迁程序不合法、措施不到位的，每起扣2分。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查看台账</w:t>
            </w:r>
          </w:p>
          <w:p>
            <w:pPr>
              <w:spacing w:line="288" w:lineRule="auto"/>
              <w:ind w:left="3" w:leftChars="-2" w:hanging="7" w:hangingChars="4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平时工作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58" w:type="dxa"/>
            <w:vAlign w:val="center"/>
          </w:tcPr>
          <w:p>
            <w:pPr>
              <w:spacing w:line="336" w:lineRule="auto"/>
              <w:ind w:left="1" w:leftChars="-2" w:hanging="5" w:hangingChars="4"/>
              <w:jc w:val="center"/>
              <w:rPr>
                <w:rFonts w:hint="eastAsia" w:ascii="仿宋_GB2312" w:eastAsia="仿宋_GB2312" w:hAnsiTheme="minorHAnsi" w:cstheme="minorBidi"/>
                <w:spacing w:val="-2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pacing w:val="-20"/>
                <w:sz w:val="18"/>
                <w:szCs w:val="18"/>
              </w:rPr>
              <w:t>9</w:t>
            </w:r>
          </w:p>
        </w:tc>
        <w:tc>
          <w:tcPr>
            <w:tcW w:w="60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配合做好地块内部门受理的信访工作。对突发性群体事件处置及时，措施有力，未造成重大社会影响。</w:t>
            </w:r>
          </w:p>
        </w:tc>
        <w:tc>
          <w:tcPr>
            <w:tcW w:w="5380" w:type="dxa"/>
            <w:vAlign w:val="center"/>
          </w:tcPr>
          <w:p>
            <w:pPr>
              <w:spacing w:line="288" w:lineRule="auto"/>
              <w:ind w:left="3" w:leftChars="-2" w:hanging="7" w:hangingChars="4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配合不到位的，突发性群体事件处置不当，造成重大社会影响的，每起扣2分。</w:t>
            </w:r>
          </w:p>
        </w:tc>
        <w:tc>
          <w:tcPr>
            <w:tcW w:w="1050" w:type="dxa"/>
            <w:vAlign w:val="center"/>
          </w:tcPr>
          <w:p>
            <w:pPr>
              <w:spacing w:line="288" w:lineRule="auto"/>
              <w:ind w:left="3" w:leftChars="-2" w:hanging="7" w:hangingChars="4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平时工作</w:t>
            </w:r>
          </w:p>
        </w:tc>
        <w:tc>
          <w:tcPr>
            <w:tcW w:w="1119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36" w:lineRule="auto"/>
              <w:ind w:left="0" w:leftChars="-2" w:hanging="4" w:hangingChars="4"/>
              <w:rPr>
                <w:rFonts w:ascii="仿宋_GB2312"/>
                <w:spacing w:val="-20"/>
                <w:sz w:val="15"/>
                <w:szCs w:val="15"/>
              </w:rPr>
            </w:pPr>
          </w:p>
        </w:tc>
      </w:tr>
    </w:tbl>
    <w:p>
      <w:pPr>
        <w:spacing w:line="336" w:lineRule="auto"/>
        <w:jc w:val="both"/>
        <w:rPr>
          <w:rFonts w:ascii="仿宋_GB2312"/>
          <w:spacing w:val="-20"/>
          <w:sz w:val="15"/>
          <w:szCs w:val="15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40" w:h="11907" w:orient="landscape"/>
          <w:pgMar w:top="2098" w:right="1417" w:bottom="2098" w:left="1417" w:header="0" w:footer="1588" w:gutter="0"/>
          <w:pgNumType w:fmt="numberInDash" w:start="1"/>
          <w:cols w:space="720" w:num="1"/>
          <w:docGrid w:linePitch="435" w:charSpace="0"/>
        </w:sect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footerReference r:id="rId11" w:type="default"/>
      <w:type w:val="continuous"/>
      <w:pgSz w:w="16840" w:h="11907" w:orient="landscape"/>
      <w:pgMar w:top="1588" w:right="2098" w:bottom="1588" w:left="1985" w:header="0" w:footer="1588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33" o:spid="_x0000_s1033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32" o:spid="_x0000_s103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RiN2EzOTIwNTFkMWRjYjlhM2M2MjEwMTAzOTAyMTAifQ=="/>
  </w:docVars>
  <w:rsids>
    <w:rsidRoot w:val="7EF07120"/>
    <w:rsid w:val="00117AEF"/>
    <w:rsid w:val="003D2F36"/>
    <w:rsid w:val="00474F61"/>
    <w:rsid w:val="05E403A0"/>
    <w:rsid w:val="0D0762F9"/>
    <w:rsid w:val="116752E1"/>
    <w:rsid w:val="1609105D"/>
    <w:rsid w:val="1C427076"/>
    <w:rsid w:val="1FBE7FA5"/>
    <w:rsid w:val="285E3ACB"/>
    <w:rsid w:val="37BB03DB"/>
    <w:rsid w:val="38D3510B"/>
    <w:rsid w:val="3CE23E86"/>
    <w:rsid w:val="424010B3"/>
    <w:rsid w:val="445E4B7D"/>
    <w:rsid w:val="49D24CE6"/>
    <w:rsid w:val="4C2D1A8B"/>
    <w:rsid w:val="55E32E5B"/>
    <w:rsid w:val="5BBFED68"/>
    <w:rsid w:val="5F7B2E17"/>
    <w:rsid w:val="625441B3"/>
    <w:rsid w:val="6AC3B68A"/>
    <w:rsid w:val="6C3F5730"/>
    <w:rsid w:val="70497201"/>
    <w:rsid w:val="761EC0DF"/>
    <w:rsid w:val="7A4B0D11"/>
    <w:rsid w:val="7EF07120"/>
    <w:rsid w:val="7EFB7CAC"/>
    <w:rsid w:val="7F7F7028"/>
    <w:rsid w:val="B5BAE95E"/>
    <w:rsid w:val="BBBCBA4C"/>
    <w:rsid w:val="BFFBF2C0"/>
    <w:rsid w:val="F7FD8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3" textRotate="1"/>
    <customShpInfo spid="_x0000_s1032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280</Words>
  <Characters>1600</Characters>
  <Lines>13</Lines>
  <Paragraphs>3</Paragraphs>
  <TotalTime>3</TotalTime>
  <ScaleCrop>false</ScaleCrop>
  <LinksUpToDate>false</LinksUpToDate>
  <CharactersWithSpaces>1877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2022-05-27T19:14:00Z</dcterms:created>
  <dc:creator>帅帅</dc:creator>
  <cp:lastModifiedBy>as01</cp:lastModifiedBy>
  <cp:lastPrinted>2022-06-16T10:14:06Z</cp:lastPrinted>
  <dcterms:modified xsi:type="dcterms:W3CDTF">2022-06-16T10:14:08Z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A52EB9B97D9A4A62A5E51910A4E1BC3E</vt:lpwstr>
  </property>
</Properties>
</file>