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二O二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年台安县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国民经济和社会发展统计公报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75" w:lineRule="atLeast"/>
        <w:jc w:val="center"/>
        <w:rPr>
          <w:rFonts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75" w:lineRule="atLeast"/>
        <w:jc w:val="center"/>
        <w:rPr>
          <w:rFonts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台安县统计局   </w:t>
      </w:r>
    </w:p>
    <w:p>
      <w:pPr>
        <w:widowControl/>
        <w:spacing w:line="375" w:lineRule="atLeast"/>
        <w:jc w:val="center"/>
        <w:rPr>
          <w:rFonts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华文楷体" w:hAnsi="华文楷体" w:eastAsia="华文楷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日）</w:t>
      </w:r>
    </w:p>
    <w:p>
      <w:pPr>
        <w:ind w:firstLine="480" w:firstLineChars="200"/>
        <w:jc w:val="center"/>
        <w:rPr>
          <w:color w:val="000000" w:themeColor="text1"/>
          <w:sz w:val="24"/>
          <w:highlight w:val="lightGray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lightGray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20" w:firstLineChars="1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2021年是“十四五”开局之年。面对宏观经济下行叠加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新冠肺炎疫情冲击的严峻考验，在县委、县政府的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坚强领导下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人民以习近平新时代中国特色社会主义思想为指导，深入学习贯彻党的十九大和十九届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历次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会精神，统筹推进疫情防控和经济社会发展，全力做好“六稳”工作，全面落实“六保”任务，全县经济持续恢复，发展质量稳步提升，民生福祉持续改善，各项社会事业繁荣发展，实现了“十四五”良好开局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一、综合</w:t>
      </w:r>
    </w:p>
    <w:p>
      <w:pPr>
        <w:spacing w:line="640" w:lineRule="exact"/>
        <w:ind w:firstLine="640" w:firstLineChars="200"/>
        <w:rPr>
          <w:rFonts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（一）地区生产总值</w:t>
      </w:r>
    </w:p>
    <w:p>
      <w:pPr>
        <w:spacing w:line="64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初步核算，全年地区生产总值（GDP）153.73亿元，按可比价格计算，比上年增长0.2%。其中，第一产业实现增加值39.21亿元，同比增长5.9%；第二产业实现增加值40.76亿元，同比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9.3%；第三产业实现增加值73.76亿元，同比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3.6%。三次产业比为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67070" cy="3270250"/>
            <wp:effectExtent l="0" t="0" r="5080" b="6350"/>
            <wp:docPr id="9" name="图表 1" descr="7b0a202020202263686172745265734964223a20223139393439393630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640" w:lineRule="exact"/>
        <w:ind w:firstLine="640" w:firstLineChars="200"/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（二）人口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全县总人口355907人，比上年末减少3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人。其中城镇人口75481人，占总人口比重为21.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%，比上年下降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71820" cy="2493010"/>
            <wp:effectExtent l="0" t="0" r="12700" b="36830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全年出生人口1653人，出生率为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‰；死亡人口3365人，死亡率为9.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‰；自然增长率为-4.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‰。</w:t>
      </w:r>
    </w:p>
    <w:tbl>
      <w:tblPr>
        <w:tblStyle w:val="7"/>
        <w:tblpPr w:leftFromText="180" w:rightFromText="180" w:vertAnchor="text" w:horzAnchor="page" w:tblpX="1856" w:tblpY="4748"/>
        <w:tblW w:w="88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5"/>
        <w:gridCol w:w="2388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年年末人口数及其构成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　 标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年末数（人）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比重（%）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全县总人口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355907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其中：城镇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75481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　　 乡村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280426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其中：男性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179236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　　 女性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176671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其中：0-17岁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45661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　　 18-59岁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223711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　　60周岁及以上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86535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24.3</w:t>
            </w:r>
          </w:p>
        </w:tc>
      </w:tr>
    </w:tbl>
    <w:p>
      <w:pPr>
        <w:ind w:firstLine="420" w:firstLineChars="200"/>
        <w:jc w:val="center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61000" cy="2921000"/>
            <wp:effectExtent l="7620" t="7620" r="17780" b="1270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line="640" w:lineRule="exact"/>
        <w:ind w:firstLine="640" w:firstLineChars="200"/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（三）财税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全年一般公共预算收入8.75亿元，比上年同口径增加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亿元，增长30.4%，其中税收收入7.47亿元，比上年同口径增加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亿元，增长38.6%。</w:t>
      </w:r>
    </w:p>
    <w:p>
      <w:pPr>
        <w:ind w:firstLine="42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60365" cy="3037205"/>
            <wp:effectExtent l="5080" t="4445" r="20955" b="6350"/>
            <wp:docPr id="11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二、农业</w:t>
      </w:r>
    </w:p>
    <w:p>
      <w:pPr>
        <w:spacing w:line="600" w:lineRule="exact"/>
        <w:ind w:firstLine="640" w:firstLineChars="200"/>
        <w:rPr>
          <w:rFonts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全年农林牧渔业总产值实现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71.53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可比价增速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种植业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28.62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可比价增速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%；林业0.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1亿元，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可比价增速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92.9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%；畜牧业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38.64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可比价增速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%；渔业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可比价减速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%；农业牧渔服务业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可比价增速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全年农林牧渔业增加值实现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39.9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、林、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牧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及辅助性活动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增加值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0.66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（一）种植业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（1）播种面积：全年粮食作物播种面积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66678.7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。其中，谷物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66322.3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公顷，豆类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206.2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公顷，薯类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150.2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公顷。谷物播种面积中：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95.9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公顷，较去年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公顷；稻谷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17297.4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公顷，较去年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3109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公顷；玉米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48906.4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公顷，较去年减少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2162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；其他谷物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22.6公顷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经济作物播种面积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16732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公顷，比上年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7673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公顷。其中，油料作物播种面积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10015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公顷，比上年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7718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公顷；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中草药材播种面积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262公顷，比上年减少135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及食用菌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播种面积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5943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公顷，比上年增加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378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公顷；瓜果播种面积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512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公顷，比上年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；其他农作物（花卉种植）面积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0公顷，比上年减少168公顷。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（2）产量：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年粮食产量45.6万吨，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与上年持平。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全年谷物产量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45.4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%。其中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稻谷产量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%；小麦产量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28.1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%；玉米产量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33.6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万吨，比上年减少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0.9万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吨，减少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%。全年蔬菜产量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60.2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万吨，比上年增长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0.7万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%；水果产量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9.39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1.04万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9.97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（3）农业生产消耗：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全年农用化肥施用量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万吨，农用薄膜使用量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0.21万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吨，农用柴油使用量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0.72万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吨，农药使用量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0.07万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农用化肥折纯量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3.05万吨。</w:t>
      </w:r>
    </w:p>
    <w:p>
      <w:pPr>
        <w:spacing w:line="600" w:lineRule="exact"/>
        <w:ind w:firstLine="640" w:firstLineChars="200"/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（二）畜牧业</w:t>
      </w:r>
    </w:p>
    <w:p>
      <w:pPr>
        <w:spacing w:line="600" w:lineRule="exact"/>
        <w:ind w:firstLine="707" w:firstLineChars="221"/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生猪饲养量124.45万头，比上年增长10.2%。其中，生猪出栏84.7万头，比上年增长19.45%。牛饲养量10.1万头，比上年增长19.2%。其中，牛出栏量2.95万头，比上年增长15.1%。羊饲养量7.22万只，比上年增加19.7%。其中，羊出栏量1.75万只，比上年增长19.97%。家禽饲养量1.44亿只，比上年增长0.18亿只。其中，家禽出栏量1.22亿只，比上年增长18.42%。</w:t>
      </w:r>
    </w:p>
    <w:p>
      <w:pPr>
        <w:spacing w:line="600" w:lineRule="exact"/>
        <w:ind w:firstLine="707" w:firstLineChars="221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全年肉类总产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猪肉产量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7.13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万吨，比上年增长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牛肉产量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万吨，比上年增长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%；羊肉产量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0.03万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31.42%；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禽肉产量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24.57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18.13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牛奶产量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0.41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68.75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禽蛋产量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4.10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0.76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（三）渔业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全年水产品产量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养殖水产品产量1.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8万吨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养殖面积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2.87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万亩。</w:t>
      </w:r>
    </w:p>
    <w:p>
      <w:pPr>
        <w:spacing w:line="600" w:lineRule="exact"/>
        <w:ind w:firstLine="640" w:firstLineChars="200"/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（四）林业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全年植树造林完成2.67万亩。其中，三北防护林工程2.17万亩；村庄绿化0.5万亩。 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三、工业和建筑业</w:t>
      </w:r>
    </w:p>
    <w:p>
      <w:pPr>
        <w:spacing w:line="600" w:lineRule="exact"/>
        <w:ind w:firstLine="640" w:firstLineChars="200"/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（一）规模以上工业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全年规模以上工业企业实现总产值291.6亿元，同比增长5.3%；实现营业收入329.7亿元，同比增长1.2%；实现营业利润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0.8亿元，同比增长1.4%；规模以上工业增加值同比下降14.7%。 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全年规模以上工业企业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流动资产周转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率为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185.2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%，比上年增加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个百分点；资产负债率为6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7%，比上年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个百分点；工业产品产销率为101.4%，比上年同期上升5.3个百分点。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县规模以上工业总产值重点行业分布情况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压延加工实现51亿元，占比17.5%；禽类屠宰业实现58.4亿元，占比20%；原油加工及石油制品制造业实现7.4亿元，占比2.6%；其他饲料加工业实现27.6亿元，占比9.5%；肉制品及副产品加工业实现10.4亿元，占比3.6%；速冻食品制造业实现12.5亿元，占比4.3%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金属表面处理及热处理加工实现79.8亿元，占比27.3%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耐火陶瓷制品及其他耐火材料制造业实现7.8亿元，占比2.7%；防水建筑材料制造业实现3.5亿元，占比1.2%；石墨及碳素制品制造业实现4.9亿元，占比1.7%；其他行业实现2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亿元，占比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jc w:val="center"/>
        <w:rPr>
          <w:rFonts w:ascii="华文中宋" w:hAnsi="华文中宋" w:eastAsia="华文中宋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73420" cy="3620770"/>
            <wp:effectExtent l="4445" t="4445" r="13335" b="47625"/>
            <wp:docPr id="7" name="图表 6" descr="7b0a202020202263686172745265734964223a202232303437323230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hint="eastAsia" w:ascii="华文中宋" w:hAnsi="华文中宋" w:eastAsia="华文中宋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华文中宋" w:hAnsi="华文中宋" w:eastAsia="华文中宋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年主要工业产品产量及其增长速度</w:t>
      </w:r>
    </w:p>
    <w:tbl>
      <w:tblPr>
        <w:tblStyle w:val="7"/>
        <w:tblW w:w="88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1"/>
        <w:gridCol w:w="1168"/>
        <w:gridCol w:w="1915"/>
        <w:gridCol w:w="1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三、主要工业产品产量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本年累计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同比增长%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纯苯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6401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大米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305.18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饲料◇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817261.99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◇混合饲料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786603.99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鲜、冷藏肉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612226.01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速冻食品◇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110295.95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机制纸及纸板（外购原纸加工除外）◇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6859.26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-11.7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◇包装用纸及纸板△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6859.26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-11.7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63205.8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其中：◇瓦楞纸箱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19846.8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-21.9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◇卫生用纸制品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39505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耐火材料制品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148361.87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石墨及碳素制品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23693.62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钢材◆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1504048.69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-13.0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◆冷轧薄板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1504048.69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-13.0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沥青和改性沥青防水卷材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24362331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铁合金◇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15208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十种有色金属◆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42193.64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061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◆镁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41752.64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◆海绵钛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-84.3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风机◇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-21.2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塑料制品◇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4183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商品混凝土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立方米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169511.94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24.8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楷体" w:hAnsi="华文楷体" w:eastAsia="华文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（二）资质以内建筑业</w:t>
      </w:r>
    </w:p>
    <w:bookmarkEnd w:id="0"/>
    <w:p>
      <w:pPr>
        <w:spacing w:before="0" w:after="0" w:line="240" w:lineRule="auto"/>
        <w:ind w:left="0" w:right="0" w:firstLine="64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0"/>
          <w:position w:val="0"/>
          <w:sz w:val="32"/>
          <w:shd w:val="clear" w:fill="auto"/>
          <w14:textFill>
            <w14:solidFill>
              <w14:schemeClr w14:val="tx1"/>
            </w14:solidFill>
          </w14:textFill>
        </w:rPr>
        <w:t>全年建筑业总产值完成7.4亿元，比上年增加0.87亿元；建筑业营业收入实现6.6亿元，比上年减少6.3亿元；营业利润实现0.14亿元，比上年减少0.48亿元。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四、固定资产投资</w:t>
      </w: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全年固定资产投资（不含农户）比上年增加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按投资渠道划分，全年建设项目投资比上年增加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%，房地产开发投资比上年减少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按产业划分，全年第一产业投资同比增加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17.6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%；第二产业投资同比增加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%；第三产业投资同比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保持不变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全年建设项目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个，比上年增加2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个。其中，计划总投资亿元以上项目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个，比上年增加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个。全年商品房销售面积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万平方米，比上年增加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万平方米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商品房销售额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亿元，比上年增加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4.33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亿元。年末商品房待售面积4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万平方米，比上年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增加0.22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万平方米。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1237"/>
        <w:gridCol w:w="1490"/>
        <w:gridCol w:w="1638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年房地产开发和销售主要指标及增长速度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本年累计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同期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同比增长%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房屋施工面积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万平方米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84.4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其中：住宅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万平方米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71.4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房屋其中：新开工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万平方米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其中：住宅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万平方米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房屋竣工面积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万平方米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其中：住宅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万平方米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商品房销售额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7.0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其中：住宅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商品房销售面积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万平方米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18.6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其中：住宅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万平方米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18.0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待售商品房面积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万平方米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48.1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其中：住宅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万平方米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36.8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38.8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eastAsia="宋体" w:asciiTheme="minorHAnsi" w:hAnsiTheme="minorHAnsi" w:cstheme="minorBidi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-5.2</w:t>
            </w:r>
          </w:p>
        </w:tc>
      </w:tr>
    </w:tbl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五、国内贸易</w:t>
      </w: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社会消费品零售总额实现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32.82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按销售单位规模分，限额以上社会消费品零售额2.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7亿元，同比增长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限额以下社会消费品零售额2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按销售单位所在地分，城镇社会消费品零售额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21.13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乡村社会消费品零售额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11.69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11.7%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按消费形态分，餐饮收入实现零售额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商品零售实现零售额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%。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对外经济</w:t>
      </w:r>
    </w:p>
    <w:p>
      <w:pPr>
        <w:numPr>
          <w:ilvl w:val="0"/>
          <w:numId w:val="0"/>
        </w:numPr>
        <w:ind w:left="630" w:leftChars="0"/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实际利用外资金额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316万美元，同比下降69.7%。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七、交通、通讯和旅游</w:t>
      </w: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全年货物运输总量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1695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%。货物运输周转量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43505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万吨公里，同比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%。全年旅客运输总量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2270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万人次，同比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%。旅客运输周转量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27825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万人公里，同比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年末全县机动车保有量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60465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辆，驾驶人员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74730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年末全县（移动、固定）电话用户总数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万户，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0.6万户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。固定互联网宽带接入用户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万户，比上年增加1.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万户。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全县拥有旅行社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6个。全年旅游收入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 ，接待游客数量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312.3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万人次。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八、金融</w:t>
      </w:r>
    </w:p>
    <w:p>
      <w:pPr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全部金融机构本外币各项存款余额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240.96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1.31%，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其中住户各项存款余额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225.61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12.41%；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全部金融机构本外币各项贷款余额76.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0.11%，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其中住户贷款余额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同比下降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24.93%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九、人民生活和社会保障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全年农村居民人均可支配收入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21008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元，同比增长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%；农村居民人均生活消费支出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14600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元，同比增长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%。城镇居民人均可支配收入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25570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元，同比增长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全县城镇就业人员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89469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人。全年城镇新增就业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5422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人。年末城镇登记失业率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ind w:firstLine="640" w:firstLineChars="200"/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全县参加城镇职工基本养老保险人数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52275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36.57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%，比上年末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30142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人。参加城乡居民基本养老保险人数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186991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人，同比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全年参加基本医疗保险人数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309829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人。其中，参加职工基本医疗保险人数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39229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人，增加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人；参加城乡居民基本医疗保险人数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270600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全年参加工伤保险人数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17536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参加生育保险人数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26870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人，完成全年指标的100%。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全年医疗救助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22035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人次，其中住院救助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4480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人次，门诊救助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17555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。（因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系统更新原因只能查找到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1月-10月的数据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，所以上述数据为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2021年1月-10月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数据）</w:t>
      </w:r>
    </w:p>
    <w:p>
      <w:pPr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全年社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区工作者人数10人，公益性岗位人数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十、教育、科学技术和文化体育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全年中等职业教育招生520人，在校生1338人，毕业生418人。普通高中招生1196人，在校生3663人，毕业生1166人。初中招生2404人，在校生7424人，毕业生2570人。普通小学招生1626人，在校生11921人，毕业生2228人。特殊教育招生5人，在校生72人，毕业生7人。学前教育在园幼儿6099人。九年义务教育巩固率为100%，高中阶段毛入学率为99.2%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全年规模以上工业企业共有研发项目7个，项目研发人员634人，项目研发人员实际工作时间2740人月，项目经费支出0.73亿元。期末有效发明专利数37个。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年末，全县文化系统共有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博物馆1个，文化馆1个，体育场馆1个、游泳馆1个。全县共有公共图书馆1个，总流通1.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万人次。有线电视实际用户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5万户左右，其中有线数字电视实际用户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5万户左右。年末广播节目综合人口覆盖率为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99.69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%，电视节目综合人口覆盖率为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99.081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十一、卫生和社会服务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年末，全县共有医疗卫生机构350个，其中医院13个，在医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中有公立医院3个，民营医院10个；基层医疗卫生机构318个，其中卫生院15个，门诊部4个，村卫生室151个，乡镇卫生所97个，个体诊所51个；专业公共卫生机构19个，其中疾病预防控制中心1个，卫生监督中心1个，妇幼保健计划生育服务中心1个，结核防治所1个，镇街公共卫生服务站15个。年末卫生技术人员3237人，其中执业医师和执业助理医师850人，注册护士1519人。医疗卫生机构床位1504张，其中医院1140张，妇幼保健计划生育服务中心19张，卫生院345张。全年门诊量实现1389254人次，出院患者34481人次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全县共有养老服务机构19个，其中公办养老机构10家，民营养老机构9家，有养老服务床位2393张。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全县共有391人享受城市居民最低生活保障，5743人享受农村居民最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低生活保障，41人享受城市特困供养待遇，1648人享受农村特困供养待遇。</w:t>
      </w:r>
    </w:p>
    <w:p>
      <w:pPr>
        <w:spacing w:line="64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十二、资源与环境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全年国有建设用地供应总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积237.5223公顷，其中房地产用地5.5655公顷；交通运输用地147.9077公顷；商服用地0.8439公顷；工业用地42.4656公顷；公共管理与公共服务用地40.7396公顷。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全年水资源总量3.12亿立方米。全年总用水量2.5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亿立方米。其中，农业用水22273.3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万立方米，林牧渔业用水8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万立方米，居民生活用水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1757.9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万立方米。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全年平均气温为9.8℃，比历年平均值9.0℃高0.8℃。全年降水量总量847.5毫米，较2020年降水量570.2毫米多277.3毫米。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城市集中供热面积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万平方米，较去年同期增长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万平方米。城市建成区绿化面积（不包括两个园区）65公顷。年末用水普及率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%，燃气用户3.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万户。年末城市人均拥有道路面积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平方米。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（住建系统所管辖道路面积55.59万平方米）</w:t>
      </w:r>
    </w:p>
    <w:p>
      <w:pPr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年末，城市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污水处理厂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（不含两个开发区污水处理厂）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日处理能力2万吨，城市污水处理率为100%。城市生活垃圾（填埋处理）处理率为100%。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台安县环境空气质量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天数共365天，其中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优良天数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达标率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83.8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二氧化硫平均浓度为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微克/立方米，二氧化氮平均浓度为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微克/立方米，PM10平均浓度为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微克/立方米，PM2.5平均浓度为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微克/立方米。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  <w:t>资料来源：</w:t>
      </w:r>
    </w:p>
    <w:p>
      <w:pPr>
        <w:ind w:firstLine="560" w:firstLineChars="200"/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  <w:t>本公报中</w:t>
      </w: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对外经济部分来源于县经济发展事务服务中心；</w:t>
      </w: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  <w:t>交通数据来源于县交通运输局；财政、税收数据来源于县财政局；金融数据来源于中国人民银行台安县支行；通信数据来源于县移动公司、县联通公司和县电信公司；建设用地、绿化等数据来源于县住建局；教育数据来源于县教育局及县职教中心；</w:t>
      </w: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专利数据来源于县市场监督管理局；</w:t>
      </w: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  <w:t>文化、体育数据来源于县文化旅游和广播电视局；卫生数据来源于县卫生健康局；有效发明专利</w:t>
      </w: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数据来源于县市场监督管理局；</w:t>
      </w: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  <w:t>新农合参保人数等数据来源于县医疗保障局；人口数据来源于县公安局；机动车保有量、驾驶人员就业人数等数据来源于县公安局交警大队：粮食、畜牧业、农村居民人均可支配收入、城镇居民人均可支配收入数据来源于国家统计局台安调查队；渔业数据来源于农业农村局；城镇养老保险、失业保险等数据来源于县劳动和社会保障</w:t>
      </w: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事务服务</w:t>
      </w: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  <w:t>中心；城乡最低生活保障、社会福利等数据来源于县人社局（民政局）；水资源量、用水量等数据来源于县水利局；环境监测等数据来源于鞍山市自然资源局台安分局；气象数据来源于县气象局；</w:t>
      </w: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城市供热和污水处理数据来源于台安县城建集团；</w:t>
      </w:r>
      <w:r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  <w:t>其他数据均来源于县统计局，部分统计数据为初步统计数据，在年报时可能还有调整。</w:t>
      </w:r>
    </w:p>
    <w:p>
      <w:pPr>
        <w:ind w:firstLine="560" w:firstLineChars="200"/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Theme="majorEastAsia" w:hAnsiTheme="majorEastAsia" w:eastAsiaTheme="majorEastAsia"/>
          <w:snapToGrid w:val="0"/>
          <w:color w:val="000000" w:themeColor="text1"/>
          <w:spacing w:val="20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5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YjJhYTU2NjQ5NWM4NzNlOTZlOTQ0ZmQwMTA2MjcifQ=="/>
  </w:docVars>
  <w:rsids>
    <w:rsidRoot w:val="00172A27"/>
    <w:rsid w:val="0003198F"/>
    <w:rsid w:val="00082FF6"/>
    <w:rsid w:val="00166265"/>
    <w:rsid w:val="00172A27"/>
    <w:rsid w:val="001E15DC"/>
    <w:rsid w:val="00267CD4"/>
    <w:rsid w:val="0027028E"/>
    <w:rsid w:val="00290DC2"/>
    <w:rsid w:val="0032175D"/>
    <w:rsid w:val="00357650"/>
    <w:rsid w:val="003940E2"/>
    <w:rsid w:val="003E1882"/>
    <w:rsid w:val="0050781E"/>
    <w:rsid w:val="005B357E"/>
    <w:rsid w:val="00600BBD"/>
    <w:rsid w:val="00624B39"/>
    <w:rsid w:val="006B6AFE"/>
    <w:rsid w:val="006D2A98"/>
    <w:rsid w:val="006F1347"/>
    <w:rsid w:val="00710084"/>
    <w:rsid w:val="00737D83"/>
    <w:rsid w:val="007576BA"/>
    <w:rsid w:val="007F267A"/>
    <w:rsid w:val="0088528F"/>
    <w:rsid w:val="00890AFC"/>
    <w:rsid w:val="00896F33"/>
    <w:rsid w:val="008A1116"/>
    <w:rsid w:val="00993707"/>
    <w:rsid w:val="009E70C1"/>
    <w:rsid w:val="009F28CF"/>
    <w:rsid w:val="00AA4975"/>
    <w:rsid w:val="00AB2F87"/>
    <w:rsid w:val="00B26E99"/>
    <w:rsid w:val="00C25237"/>
    <w:rsid w:val="00C9595C"/>
    <w:rsid w:val="00CC07B9"/>
    <w:rsid w:val="00D33395"/>
    <w:rsid w:val="00DA06CC"/>
    <w:rsid w:val="00DF30D2"/>
    <w:rsid w:val="00E30654"/>
    <w:rsid w:val="02DE7C7D"/>
    <w:rsid w:val="02F22F1D"/>
    <w:rsid w:val="036D0A80"/>
    <w:rsid w:val="0392242F"/>
    <w:rsid w:val="03B11D42"/>
    <w:rsid w:val="03EA3AEC"/>
    <w:rsid w:val="03FD4132"/>
    <w:rsid w:val="040000C7"/>
    <w:rsid w:val="044A79A4"/>
    <w:rsid w:val="04586762"/>
    <w:rsid w:val="04820127"/>
    <w:rsid w:val="04A4516A"/>
    <w:rsid w:val="056A17B3"/>
    <w:rsid w:val="058E3AE9"/>
    <w:rsid w:val="05B16EB1"/>
    <w:rsid w:val="06095C3C"/>
    <w:rsid w:val="067C1A5B"/>
    <w:rsid w:val="07043A2A"/>
    <w:rsid w:val="078F59E9"/>
    <w:rsid w:val="079D0630"/>
    <w:rsid w:val="07A219A9"/>
    <w:rsid w:val="085041EF"/>
    <w:rsid w:val="0861638E"/>
    <w:rsid w:val="08805332"/>
    <w:rsid w:val="08C755BE"/>
    <w:rsid w:val="09D9119E"/>
    <w:rsid w:val="0A6A44EC"/>
    <w:rsid w:val="0A6A6F14"/>
    <w:rsid w:val="0A7D703E"/>
    <w:rsid w:val="0A9F247D"/>
    <w:rsid w:val="0C656A97"/>
    <w:rsid w:val="0D364E6B"/>
    <w:rsid w:val="0DC4578C"/>
    <w:rsid w:val="0DFB5198"/>
    <w:rsid w:val="0E0975EC"/>
    <w:rsid w:val="0E9E00F9"/>
    <w:rsid w:val="0F152C78"/>
    <w:rsid w:val="0F823191"/>
    <w:rsid w:val="0FBA381F"/>
    <w:rsid w:val="1091583C"/>
    <w:rsid w:val="10AF0EAA"/>
    <w:rsid w:val="112F6ED6"/>
    <w:rsid w:val="117D2D56"/>
    <w:rsid w:val="11803FE1"/>
    <w:rsid w:val="11E5087E"/>
    <w:rsid w:val="12152F8F"/>
    <w:rsid w:val="122C1777"/>
    <w:rsid w:val="124666C3"/>
    <w:rsid w:val="1247062C"/>
    <w:rsid w:val="125728DB"/>
    <w:rsid w:val="126962A2"/>
    <w:rsid w:val="128B14A3"/>
    <w:rsid w:val="12A1697E"/>
    <w:rsid w:val="12EB3CF0"/>
    <w:rsid w:val="13081524"/>
    <w:rsid w:val="132F62D2"/>
    <w:rsid w:val="136917E4"/>
    <w:rsid w:val="13EB3E08"/>
    <w:rsid w:val="13EB3FA7"/>
    <w:rsid w:val="143E4A1F"/>
    <w:rsid w:val="148730BB"/>
    <w:rsid w:val="14BC76F2"/>
    <w:rsid w:val="14E804E7"/>
    <w:rsid w:val="14E8498B"/>
    <w:rsid w:val="15222500"/>
    <w:rsid w:val="155E69FB"/>
    <w:rsid w:val="16376ECD"/>
    <w:rsid w:val="16380C10"/>
    <w:rsid w:val="170F61FF"/>
    <w:rsid w:val="17123F8C"/>
    <w:rsid w:val="17986712"/>
    <w:rsid w:val="17C4348D"/>
    <w:rsid w:val="183E3B2A"/>
    <w:rsid w:val="187F440A"/>
    <w:rsid w:val="190A3122"/>
    <w:rsid w:val="19632832"/>
    <w:rsid w:val="196842EC"/>
    <w:rsid w:val="19C77265"/>
    <w:rsid w:val="1AA2382E"/>
    <w:rsid w:val="1AC37330"/>
    <w:rsid w:val="1AF06CB8"/>
    <w:rsid w:val="1B51263C"/>
    <w:rsid w:val="1C141BA1"/>
    <w:rsid w:val="1C2D426D"/>
    <w:rsid w:val="1CA91B20"/>
    <w:rsid w:val="1CA96389"/>
    <w:rsid w:val="1CC17F9B"/>
    <w:rsid w:val="1CC47FEA"/>
    <w:rsid w:val="1CCC27D8"/>
    <w:rsid w:val="1D374ACE"/>
    <w:rsid w:val="1D397D80"/>
    <w:rsid w:val="1D6637D1"/>
    <w:rsid w:val="1D702D0E"/>
    <w:rsid w:val="1E253D32"/>
    <w:rsid w:val="1E292C50"/>
    <w:rsid w:val="1E5550D5"/>
    <w:rsid w:val="1F3F3973"/>
    <w:rsid w:val="1FA12306"/>
    <w:rsid w:val="1FB56D1C"/>
    <w:rsid w:val="20005BC5"/>
    <w:rsid w:val="205A3276"/>
    <w:rsid w:val="207812B9"/>
    <w:rsid w:val="20D67D8D"/>
    <w:rsid w:val="2237485C"/>
    <w:rsid w:val="22394A78"/>
    <w:rsid w:val="22504E1F"/>
    <w:rsid w:val="22835892"/>
    <w:rsid w:val="22E0356C"/>
    <w:rsid w:val="22F93108"/>
    <w:rsid w:val="23BD1BED"/>
    <w:rsid w:val="23EB57C0"/>
    <w:rsid w:val="24C543A1"/>
    <w:rsid w:val="250F1AC0"/>
    <w:rsid w:val="253634F0"/>
    <w:rsid w:val="255C294B"/>
    <w:rsid w:val="25B13A37"/>
    <w:rsid w:val="25E25349"/>
    <w:rsid w:val="260E1734"/>
    <w:rsid w:val="26215F4F"/>
    <w:rsid w:val="276A19F8"/>
    <w:rsid w:val="27707600"/>
    <w:rsid w:val="27912C60"/>
    <w:rsid w:val="279369D8"/>
    <w:rsid w:val="27E709C6"/>
    <w:rsid w:val="27F07987"/>
    <w:rsid w:val="27F26285"/>
    <w:rsid w:val="28217EB3"/>
    <w:rsid w:val="28631B9C"/>
    <w:rsid w:val="28B8293C"/>
    <w:rsid w:val="2903193C"/>
    <w:rsid w:val="29A56D47"/>
    <w:rsid w:val="29F80D74"/>
    <w:rsid w:val="2A2D4EC2"/>
    <w:rsid w:val="2ACD0453"/>
    <w:rsid w:val="2AE66475"/>
    <w:rsid w:val="2C1436B4"/>
    <w:rsid w:val="2CAB3A68"/>
    <w:rsid w:val="2CE675AA"/>
    <w:rsid w:val="2D210B25"/>
    <w:rsid w:val="2D7A39DE"/>
    <w:rsid w:val="2D8E211C"/>
    <w:rsid w:val="2E7B4390"/>
    <w:rsid w:val="2F3169D6"/>
    <w:rsid w:val="2FB4463D"/>
    <w:rsid w:val="304F03A7"/>
    <w:rsid w:val="30A85800"/>
    <w:rsid w:val="313D3E8F"/>
    <w:rsid w:val="31C938E8"/>
    <w:rsid w:val="31EC6FB1"/>
    <w:rsid w:val="31EF0CAF"/>
    <w:rsid w:val="32280C48"/>
    <w:rsid w:val="326F1DF0"/>
    <w:rsid w:val="32794A1C"/>
    <w:rsid w:val="329B0748"/>
    <w:rsid w:val="33D01C61"/>
    <w:rsid w:val="33EB36F8"/>
    <w:rsid w:val="346239BA"/>
    <w:rsid w:val="350D6748"/>
    <w:rsid w:val="3560013C"/>
    <w:rsid w:val="35A16764"/>
    <w:rsid w:val="35F44AE6"/>
    <w:rsid w:val="36370D9D"/>
    <w:rsid w:val="36443D1C"/>
    <w:rsid w:val="3721026D"/>
    <w:rsid w:val="37270EEB"/>
    <w:rsid w:val="377B6C00"/>
    <w:rsid w:val="3788366C"/>
    <w:rsid w:val="379A5AEA"/>
    <w:rsid w:val="37D746BF"/>
    <w:rsid w:val="381E4C5E"/>
    <w:rsid w:val="387B14EE"/>
    <w:rsid w:val="38A75DAB"/>
    <w:rsid w:val="38F63BE7"/>
    <w:rsid w:val="3919342C"/>
    <w:rsid w:val="39241B86"/>
    <w:rsid w:val="39273424"/>
    <w:rsid w:val="3963071F"/>
    <w:rsid w:val="3970230F"/>
    <w:rsid w:val="3A576492"/>
    <w:rsid w:val="3A59708D"/>
    <w:rsid w:val="3B404329"/>
    <w:rsid w:val="3C02483E"/>
    <w:rsid w:val="3C722C08"/>
    <w:rsid w:val="3C9C66B4"/>
    <w:rsid w:val="3CE81082"/>
    <w:rsid w:val="3D1D0DC6"/>
    <w:rsid w:val="3D471156"/>
    <w:rsid w:val="3D720025"/>
    <w:rsid w:val="3DBD4357"/>
    <w:rsid w:val="3E5F540E"/>
    <w:rsid w:val="3E7D1478"/>
    <w:rsid w:val="3E8B7FFF"/>
    <w:rsid w:val="3EA00BB6"/>
    <w:rsid w:val="3ECD05CA"/>
    <w:rsid w:val="3F281CA4"/>
    <w:rsid w:val="3F40443D"/>
    <w:rsid w:val="3F9C53CC"/>
    <w:rsid w:val="3FAE00D7"/>
    <w:rsid w:val="40C6540A"/>
    <w:rsid w:val="40D94CDE"/>
    <w:rsid w:val="4128697B"/>
    <w:rsid w:val="41432DC5"/>
    <w:rsid w:val="415648A7"/>
    <w:rsid w:val="416B1FB1"/>
    <w:rsid w:val="42A56301"/>
    <w:rsid w:val="42DE0FF8"/>
    <w:rsid w:val="43085BC4"/>
    <w:rsid w:val="43144A19"/>
    <w:rsid w:val="438C3437"/>
    <w:rsid w:val="444E5FC1"/>
    <w:rsid w:val="446A2417"/>
    <w:rsid w:val="44F763A1"/>
    <w:rsid w:val="46E14C12"/>
    <w:rsid w:val="472B2331"/>
    <w:rsid w:val="4760647F"/>
    <w:rsid w:val="47843E6F"/>
    <w:rsid w:val="479338A3"/>
    <w:rsid w:val="489F77F3"/>
    <w:rsid w:val="48D72771"/>
    <w:rsid w:val="48E54AA3"/>
    <w:rsid w:val="493F3E72"/>
    <w:rsid w:val="494B6222"/>
    <w:rsid w:val="49AA4527"/>
    <w:rsid w:val="4A281EEA"/>
    <w:rsid w:val="4A774D7A"/>
    <w:rsid w:val="4A802994"/>
    <w:rsid w:val="4AB5715E"/>
    <w:rsid w:val="4AD11442"/>
    <w:rsid w:val="4B3C128B"/>
    <w:rsid w:val="4B6660D7"/>
    <w:rsid w:val="4C4D68A6"/>
    <w:rsid w:val="4C87000A"/>
    <w:rsid w:val="4C99225C"/>
    <w:rsid w:val="4CB07F57"/>
    <w:rsid w:val="4D08454F"/>
    <w:rsid w:val="4D473D11"/>
    <w:rsid w:val="4D705A50"/>
    <w:rsid w:val="4DA945CE"/>
    <w:rsid w:val="4DE9791B"/>
    <w:rsid w:val="4E2E016F"/>
    <w:rsid w:val="4E8504F0"/>
    <w:rsid w:val="4E8828D6"/>
    <w:rsid w:val="4E9960B7"/>
    <w:rsid w:val="4E9B4B64"/>
    <w:rsid w:val="4EC514F6"/>
    <w:rsid w:val="4ECA68D4"/>
    <w:rsid w:val="4ED137BE"/>
    <w:rsid w:val="512027DB"/>
    <w:rsid w:val="51730B5D"/>
    <w:rsid w:val="51C40DDE"/>
    <w:rsid w:val="522B58DB"/>
    <w:rsid w:val="5268449C"/>
    <w:rsid w:val="52B77F0E"/>
    <w:rsid w:val="548906DD"/>
    <w:rsid w:val="54C0102B"/>
    <w:rsid w:val="54EB1352"/>
    <w:rsid w:val="550D3490"/>
    <w:rsid w:val="55686D54"/>
    <w:rsid w:val="55953693"/>
    <w:rsid w:val="55CE3C8F"/>
    <w:rsid w:val="562B7C58"/>
    <w:rsid w:val="56610527"/>
    <w:rsid w:val="56BD74EE"/>
    <w:rsid w:val="574865E8"/>
    <w:rsid w:val="574F7D7A"/>
    <w:rsid w:val="57FC2E64"/>
    <w:rsid w:val="588E45F5"/>
    <w:rsid w:val="58A24D78"/>
    <w:rsid w:val="592E055C"/>
    <w:rsid w:val="59381D09"/>
    <w:rsid w:val="59AA358A"/>
    <w:rsid w:val="5A1C765B"/>
    <w:rsid w:val="5AF061C5"/>
    <w:rsid w:val="5BB74248"/>
    <w:rsid w:val="5C4A5EB5"/>
    <w:rsid w:val="5C8247D0"/>
    <w:rsid w:val="5C891B7C"/>
    <w:rsid w:val="5D22088F"/>
    <w:rsid w:val="5D84303D"/>
    <w:rsid w:val="5DD706C5"/>
    <w:rsid w:val="5E1831B8"/>
    <w:rsid w:val="5F0D6333"/>
    <w:rsid w:val="5F1E49F1"/>
    <w:rsid w:val="5F4F409A"/>
    <w:rsid w:val="5F553A6D"/>
    <w:rsid w:val="5F7F2DC3"/>
    <w:rsid w:val="5F8605F5"/>
    <w:rsid w:val="5FA04643"/>
    <w:rsid w:val="5FC353A5"/>
    <w:rsid w:val="60386D0B"/>
    <w:rsid w:val="60A52CFD"/>
    <w:rsid w:val="60C05441"/>
    <w:rsid w:val="60FF065F"/>
    <w:rsid w:val="6144313D"/>
    <w:rsid w:val="6180229A"/>
    <w:rsid w:val="61C55970"/>
    <w:rsid w:val="62072528"/>
    <w:rsid w:val="623C143F"/>
    <w:rsid w:val="62F85529"/>
    <w:rsid w:val="630261E5"/>
    <w:rsid w:val="631D01D0"/>
    <w:rsid w:val="634C3BF4"/>
    <w:rsid w:val="63EB52CF"/>
    <w:rsid w:val="65043669"/>
    <w:rsid w:val="659B4F6B"/>
    <w:rsid w:val="65A64F82"/>
    <w:rsid w:val="65D11E9E"/>
    <w:rsid w:val="66072AAE"/>
    <w:rsid w:val="671A1755"/>
    <w:rsid w:val="676855CB"/>
    <w:rsid w:val="6831415E"/>
    <w:rsid w:val="684B5F38"/>
    <w:rsid w:val="687B67B9"/>
    <w:rsid w:val="68842997"/>
    <w:rsid w:val="68FB5BB0"/>
    <w:rsid w:val="69196036"/>
    <w:rsid w:val="69254AC2"/>
    <w:rsid w:val="695E1B95"/>
    <w:rsid w:val="6AED4006"/>
    <w:rsid w:val="6B794B44"/>
    <w:rsid w:val="6BB169FA"/>
    <w:rsid w:val="6BCE6124"/>
    <w:rsid w:val="6C871509"/>
    <w:rsid w:val="6CBF5146"/>
    <w:rsid w:val="6CFF662D"/>
    <w:rsid w:val="6E0D02E9"/>
    <w:rsid w:val="6E792145"/>
    <w:rsid w:val="6EAF4F2A"/>
    <w:rsid w:val="6EC151A6"/>
    <w:rsid w:val="6F145796"/>
    <w:rsid w:val="6F5A0CFE"/>
    <w:rsid w:val="6F7F52BE"/>
    <w:rsid w:val="6F99649C"/>
    <w:rsid w:val="6FB33AB9"/>
    <w:rsid w:val="6FB46AB9"/>
    <w:rsid w:val="6FE94BD6"/>
    <w:rsid w:val="705F6A24"/>
    <w:rsid w:val="70C670B1"/>
    <w:rsid w:val="71C54FAD"/>
    <w:rsid w:val="71F81B0E"/>
    <w:rsid w:val="722C13C8"/>
    <w:rsid w:val="72482CA7"/>
    <w:rsid w:val="72D567D6"/>
    <w:rsid w:val="72DA73F2"/>
    <w:rsid w:val="72ED0E0B"/>
    <w:rsid w:val="733D5AD4"/>
    <w:rsid w:val="73591E51"/>
    <w:rsid w:val="73CD4FE9"/>
    <w:rsid w:val="73DF4645"/>
    <w:rsid w:val="73E24030"/>
    <w:rsid w:val="743F57F0"/>
    <w:rsid w:val="74E947C0"/>
    <w:rsid w:val="769278C0"/>
    <w:rsid w:val="775E5C88"/>
    <w:rsid w:val="789B0816"/>
    <w:rsid w:val="792A1A6B"/>
    <w:rsid w:val="79440EAD"/>
    <w:rsid w:val="79AD49EE"/>
    <w:rsid w:val="79DD00DF"/>
    <w:rsid w:val="7A14481E"/>
    <w:rsid w:val="7A2E4BCF"/>
    <w:rsid w:val="7B0F54EB"/>
    <w:rsid w:val="7B446F42"/>
    <w:rsid w:val="7B672C31"/>
    <w:rsid w:val="7CD94FF8"/>
    <w:rsid w:val="7D9A5540"/>
    <w:rsid w:val="7DA22646"/>
    <w:rsid w:val="7DCE4489"/>
    <w:rsid w:val="7DCF4ABD"/>
    <w:rsid w:val="7E123513"/>
    <w:rsid w:val="7EC30AC6"/>
    <w:rsid w:val="7ED562C1"/>
    <w:rsid w:val="7F530909"/>
    <w:rsid w:val="7F54171E"/>
    <w:rsid w:val="7FFA0518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Emphasis"/>
    <w:basedOn w:val="8"/>
    <w:qFormat/>
    <w:uiPriority w:val="0"/>
    <w:rPr>
      <w:i/>
      <w:i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副标题 Char"/>
    <w:basedOn w:val="8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&#24037;&#20316;&#31807;1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/>
              <a:t>2017</a:t>
            </a:r>
            <a:r>
              <a:rPr altLang="en-US" sz="1400"/>
              <a:t>年</a:t>
            </a:r>
            <a:r>
              <a:rPr lang="en-US" altLang="zh-CN" sz="1400"/>
              <a:t>-2021</a:t>
            </a:r>
            <a:r>
              <a:rPr altLang="en-US" sz="1400"/>
              <a:t>年台安县三次产业增加值占</a:t>
            </a:r>
            <a:r>
              <a:rPr lang="en-US" altLang="zh-CN" sz="1400"/>
              <a:t>GDP</a:t>
            </a:r>
            <a:r>
              <a:rPr altLang="en-US" sz="1400"/>
              <a:t>比重</a:t>
            </a:r>
            <a:endParaRPr altLang="en-US" sz="1400"/>
          </a:p>
        </c:rich>
      </c:tx>
      <c:layout>
        <c:manualLayout>
          <c:xMode val="edge"/>
          <c:yMode val="edge"/>
          <c:x val="0.143843868082351"/>
          <c:y val="0.045300317686529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3421052631579"/>
          <c:y val="0.23335990434436"/>
          <c:w val="0.822850877192982"/>
          <c:h val="0.69266640095655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[工作簿1]Sheet1!$B$2</c:f>
              <c:strCache>
                <c:ptCount val="1"/>
                <c:pt idx="0">
                  <c:v>一产</c:v>
                </c:pt>
              </c:strCache>
            </c:strRef>
          </c:tx>
          <c:spPr>
            <a:gradFill>
              <a:gsLst>
                <a:gs pos="50000">
                  <a:srgbClr val="86C9D2"/>
                </a:gs>
                <a:gs pos="0">
                  <a:srgbClr val="B6E6EA"/>
                </a:gs>
                <a:gs pos="100000">
                  <a:srgbClr val="58A4B4"/>
                </a:gs>
              </a:gsLst>
              <a:path path="circle">
                <a:fillToRect l="50000" t="50000" r="50000" b="50000"/>
              </a:path>
              <a:tileRect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[工作簿1]Sheet1!$A$3:$A$7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[工作簿1]Sheet1!$B$3:$B$7</c:f>
              <c:numCache>
                <c:formatCode>General</c:formatCode>
                <c:ptCount val="5"/>
                <c:pt idx="0">
                  <c:v>44.8</c:v>
                </c:pt>
                <c:pt idx="1">
                  <c:v>39.7</c:v>
                </c:pt>
                <c:pt idx="2">
                  <c:v>22.1</c:v>
                </c:pt>
                <c:pt idx="3">
                  <c:v>23</c:v>
                </c:pt>
                <c:pt idx="4">
                  <c:v>25.5</c:v>
                </c:pt>
              </c:numCache>
            </c:numRef>
          </c:val>
        </c:ser>
        <c:ser>
          <c:idx val="1"/>
          <c:order val="1"/>
          <c:tx>
            <c:strRef>
              <c:f>[工作簿1]Sheet1!$C$2</c:f>
              <c:strCache>
                <c:ptCount val="1"/>
                <c:pt idx="0">
                  <c:v>二产</c:v>
                </c:pt>
              </c:strCache>
            </c:strRef>
          </c:tx>
          <c:spPr>
            <a:gradFill>
              <a:gsLst>
                <a:gs pos="0">
                  <a:srgbClr val="F4EFBC"/>
                </a:gs>
                <a:gs pos="100000">
                  <a:srgbClr val="EFE79B"/>
                </a:gs>
              </a:gsLst>
              <a:path path="circle">
                <a:fillToRect l="50000" t="50000" r="50000" b="50000"/>
              </a:path>
              <a:tileRect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[工作簿1]Sheet1!$A$3:$A$7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[工作簿1]Sheet1!$C$3:$C$7</c:f>
              <c:numCache>
                <c:formatCode>General</c:formatCode>
                <c:ptCount val="5"/>
                <c:pt idx="0">
                  <c:v>27.4</c:v>
                </c:pt>
                <c:pt idx="1">
                  <c:v>37.6</c:v>
                </c:pt>
                <c:pt idx="2">
                  <c:v>32.1</c:v>
                </c:pt>
                <c:pt idx="3">
                  <c:v>29.8</c:v>
                </c:pt>
                <c:pt idx="4">
                  <c:v>26.5</c:v>
                </c:pt>
              </c:numCache>
            </c:numRef>
          </c:val>
        </c:ser>
        <c:ser>
          <c:idx val="2"/>
          <c:order val="2"/>
          <c:tx>
            <c:strRef>
              <c:f>[工作簿1]Sheet1!$D$2</c:f>
              <c:strCache>
                <c:ptCount val="1"/>
                <c:pt idx="0">
                  <c:v>三产</c:v>
                </c:pt>
              </c:strCache>
            </c:strRef>
          </c:tx>
          <c:spPr>
            <a:gradFill>
              <a:gsLst>
                <a:gs pos="51000">
                  <a:srgbClr val="E79078"/>
                </a:gs>
                <a:gs pos="0">
                  <a:srgbClr val="EFB5A5"/>
                </a:gs>
                <a:gs pos="100000">
                  <a:srgbClr val="DF6B4A"/>
                </a:gs>
              </a:gsLst>
              <a:path path="circle">
                <a:fillToRect l="50000" t="50000" r="50000" b="50000"/>
              </a:path>
              <a:tileRect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[工作簿1]Sheet1!$A$3:$A$7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[工作簿1]Sheet1!$D$3:$D$7</c:f>
              <c:numCache>
                <c:formatCode>General</c:formatCode>
                <c:ptCount val="5"/>
                <c:pt idx="0">
                  <c:v>27.8</c:v>
                </c:pt>
                <c:pt idx="1">
                  <c:v>22.7</c:v>
                </c:pt>
                <c:pt idx="2">
                  <c:v>45.8</c:v>
                </c:pt>
                <c:pt idx="3">
                  <c:v>47.2</c:v>
                </c:pt>
                <c:pt idx="4">
                  <c:v>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100"/>
        <c:axId val="356417584"/>
        <c:axId val="319495840"/>
      </c:barChart>
      <c:catAx>
        <c:axId val="356417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9495840"/>
        <c:crosses val="autoZero"/>
        <c:auto val="1"/>
        <c:lblAlgn val="ctr"/>
        <c:lblOffset val="100"/>
        <c:noMultiLvlLbl val="0"/>
      </c:catAx>
      <c:valAx>
        <c:axId val="319495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6417584"/>
        <c:crosses val="autoZero"/>
        <c:crossBetween val="between"/>
      </c:valAx>
      <c:spPr>
        <a:pattFill prst="pct5">
          <a:fgClr>
            <a:schemeClr val="tx1">
              <a:lumMod val="50000"/>
              <a:lumOff val="50000"/>
            </a:schemeClr>
          </a:fgClr>
          <a:bgClr>
            <a:schemeClr val="bg1"/>
          </a:bgClr>
        </a:pattFill>
        <a:ln w="12700" cmpd="sng">
          <a:solidFill>
            <a:schemeClr val="bg2">
              <a:lumMod val="90000"/>
            </a:schemeClr>
          </a:solidFill>
          <a:prstDash val="solid"/>
        </a:ln>
        <a:effectLst/>
      </c:spPr>
    </c:plotArea>
    <c:legend>
      <c:legendPos val="t"/>
      <c:layout>
        <c:manualLayout>
          <c:xMode val="edge"/>
          <c:yMode val="edge"/>
          <c:x val="0.405833057668982"/>
          <c:y val="0.16229858279945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 anchor="b" anchorCtr="1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 b="1"/>
              <a:t>2017</a:t>
            </a:r>
            <a:r>
              <a:rPr altLang="en-US" b="1"/>
              <a:t>年</a:t>
            </a:r>
            <a:r>
              <a:rPr lang="en-US" altLang="zh-CN" b="1"/>
              <a:t>-2021</a:t>
            </a:r>
            <a:r>
              <a:rPr altLang="en-US" b="1"/>
              <a:t>年全县年末人口变动情况</a:t>
            </a:r>
            <a:endParaRPr altLang="en-US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04502936697846"/>
          <c:y val="0.173718096114049"/>
          <c:w val="0.868871002827931"/>
          <c:h val="0.707266038169694"/>
        </c:manualLayout>
      </c:layout>
      <c:lineChart>
        <c:grouping val="standard"/>
        <c:varyColors val="0"/>
        <c:ser>
          <c:idx val="0"/>
          <c:order val="0"/>
          <c:spPr>
            <a:ln w="22225" cap="rnd">
              <a:solidFill>
                <a:srgbClr val="4472C4">
                  <a:lumMod val="75000"/>
                </a:srgbClr>
              </a:solidFill>
              <a:miter lim="800000"/>
            </a:ln>
            <a:effectLst/>
            <a:sp3d contourW="22225"/>
          </c:spPr>
          <c:marker>
            <c:symbol val="circle"/>
            <c:size val="6"/>
            <c:spPr>
              <a:solidFill>
                <a:srgbClr val="4472C4">
                  <a:lumMod val="50000"/>
                </a:srgbClr>
              </a:solidFill>
              <a:ln w="9525"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[工作簿1]Sheet1!$C$41:$C$45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[工作簿1]Sheet1!$D$41:$D$45</c:f>
              <c:numCache>
                <c:formatCode>General</c:formatCode>
                <c:ptCount val="5"/>
                <c:pt idx="0">
                  <c:v>367636</c:v>
                </c:pt>
                <c:pt idx="1">
                  <c:v>365110</c:v>
                </c:pt>
                <c:pt idx="2">
                  <c:v>362667</c:v>
                </c:pt>
                <c:pt idx="3">
                  <c:v>359073</c:v>
                </c:pt>
                <c:pt idx="4">
                  <c:v>355907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1912709"/>
        <c:axId val="236836383"/>
      </c:lineChart>
      <c:dateAx>
        <c:axId val="451912709"/>
        <c:scaling>
          <c:orientation val="minMax"/>
        </c:scaling>
        <c:delete val="0"/>
        <c:axPos val="b"/>
        <c:numFmt formatCode="General" sourceLinked="0"/>
        <c:majorTickMark val="out"/>
        <c:minorTickMark val="out"/>
        <c:tickLblPos val="nextTo"/>
        <c:spPr>
          <a:noFill/>
          <a:ln w="9525" cap="flat" cmpd="sng" algn="ctr">
            <a:solidFill>
              <a:schemeClr val="bg1">
                <a:lumMod val="85000"/>
              </a:schemeClr>
            </a:solidFill>
            <a:round/>
            <a:tailEnd type="triangle"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236836383"/>
        <c:crosses val="autoZero"/>
        <c:auto val="0"/>
        <c:lblAlgn val="ctr"/>
        <c:lblOffset val="100"/>
        <c:baseTimeUnit val="days"/>
      </c:dateAx>
      <c:valAx>
        <c:axId val="236836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ysClr val="window" lastClr="FFFFFF"/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  <a:tailEnd type="triangle"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45191270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ED7D31">
        <a:lumMod val="40000"/>
        <a:lumOff val="60000"/>
      </a:srgbClr>
    </a:solidFill>
    <a:ln w="9525" cap="flat" cmpd="sng" algn="ctr">
      <a:noFill/>
      <a:round/>
    </a:ln>
    <a:effectLst>
      <a:outerShdw blurRad="63500" dist="37357" dir="2700000" sx="0" sy="0" rotWithShape="0">
        <a:scrgbClr r="0" g="0" b="0"/>
      </a:outerShdw>
    </a:effectLst>
  </c:spPr>
  <c:txPr>
    <a:bodyPr anchor="ctr"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/>
              <a:t>2017</a:t>
            </a:r>
            <a:r>
              <a:rPr altLang="en-US" b="1"/>
              <a:t>年</a:t>
            </a:r>
            <a:r>
              <a:rPr lang="en-US" altLang="zh-CN" b="1"/>
              <a:t>-2021</a:t>
            </a:r>
            <a:r>
              <a:rPr altLang="en-US" b="1"/>
              <a:t>年全县出生和死亡人口变化情况</a:t>
            </a:r>
            <a:endParaRPr altLang="en-US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15091066782307"/>
          <c:y val="0.148888888888889"/>
          <c:w val="0.907892454466609"/>
          <c:h val="0.665866666666667"/>
        </c:manualLayout>
      </c:layout>
      <c:lineChart>
        <c:grouping val="standard"/>
        <c:varyColors val="0"/>
        <c:ser>
          <c:idx val="0"/>
          <c:order val="0"/>
          <c:tx>
            <c:strRef>
              <c:f>[工作簿1]Sheet1!$F$57</c:f>
              <c:strCache>
                <c:ptCount val="1"/>
                <c:pt idx="0">
                  <c:v>出生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[工作簿1]Sheet1!$E$58:$E$62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[工作簿1]Sheet1!$F$58:$F$62</c:f>
              <c:numCache>
                <c:formatCode>General</c:formatCode>
                <c:ptCount val="5"/>
                <c:pt idx="0">
                  <c:v>2231</c:v>
                </c:pt>
                <c:pt idx="1">
                  <c:v>2106</c:v>
                </c:pt>
                <c:pt idx="2">
                  <c:v>2134</c:v>
                </c:pt>
                <c:pt idx="3">
                  <c:v>1901</c:v>
                </c:pt>
                <c:pt idx="4">
                  <c:v>1653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[工作簿1]Sheet1!$G$57</c:f>
              <c:strCache>
                <c:ptCount val="1"/>
                <c:pt idx="0">
                  <c:v>死亡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[工作簿1]Sheet1!$E$58:$E$62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[工作簿1]Sheet1!$G$58:$G$62</c:f>
              <c:numCache>
                <c:formatCode>General</c:formatCode>
                <c:ptCount val="5"/>
                <c:pt idx="0">
                  <c:v>3473</c:v>
                </c:pt>
                <c:pt idx="1">
                  <c:v>3062</c:v>
                </c:pt>
                <c:pt idx="2">
                  <c:v>2884</c:v>
                </c:pt>
                <c:pt idx="3">
                  <c:v>3554</c:v>
                </c:pt>
                <c:pt idx="4">
                  <c:v>3365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96374961"/>
        <c:axId val="944602177"/>
      </c:lineChart>
      <c:catAx>
        <c:axId val="69637496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4602177"/>
        <c:crosses val="autoZero"/>
        <c:auto val="1"/>
        <c:lblAlgn val="ctr"/>
        <c:lblOffset val="100"/>
        <c:noMultiLvlLbl val="0"/>
      </c:catAx>
      <c:valAx>
        <c:axId val="944602177"/>
        <c:scaling>
          <c:orientation val="minMax"/>
        </c:scaling>
        <c:delete val="0"/>
        <c:axPos val="l"/>
        <c:majorGridlines>
          <c:spPr>
            <a:ln w="0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637496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 w="15875" cap="flat" cmpd="sng" algn="ctr">
      <a:solidFill>
        <a:schemeClr val="bg1"/>
      </a:solidFill>
      <a:round/>
    </a:ln>
    <a:effectLst/>
  </c:spPr>
  <c:txPr>
    <a:bodyPr/>
    <a:lstStyle/>
    <a:p>
      <a:pPr>
        <a:defRPr lang="zh-CN" b="1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600" b="1"/>
              <a:t>2017</a:t>
            </a:r>
            <a:r>
              <a:rPr altLang="en-US" sz="1600" b="1"/>
              <a:t>年</a:t>
            </a:r>
            <a:r>
              <a:rPr lang="en-US" altLang="zh-CN" sz="1600" b="1"/>
              <a:t>-2021</a:t>
            </a:r>
            <a:r>
              <a:rPr altLang="en-US" sz="1600" b="1"/>
              <a:t>年财政税收入完成情况</a:t>
            </a:r>
            <a:endParaRPr altLang="en-US" sz="16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[工作簿1]Sheet1!$F$86</c:f>
              <c:strCache>
                <c:ptCount val="1"/>
                <c:pt idx="0">
                  <c:v>一般公共预算收入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[工作簿1]Sheet1!$E$87:$E$91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[工作簿1]Sheet1!$F$87:$F$91</c:f>
              <c:numCache>
                <c:formatCode>General</c:formatCode>
                <c:ptCount val="5"/>
                <c:pt idx="0">
                  <c:v>4.57</c:v>
                </c:pt>
                <c:pt idx="1">
                  <c:v>5.76</c:v>
                </c:pt>
                <c:pt idx="2">
                  <c:v>6.14</c:v>
                </c:pt>
                <c:pt idx="3">
                  <c:v>6.71</c:v>
                </c:pt>
                <c:pt idx="4">
                  <c:v>8.75</c:v>
                </c:pt>
              </c:numCache>
            </c:numRef>
          </c:val>
        </c:ser>
        <c:ser>
          <c:idx val="1"/>
          <c:order val="1"/>
          <c:tx>
            <c:strRef>
              <c:f>[工作簿1]Sheet1!$G$86</c:f>
              <c:strCache>
                <c:ptCount val="1"/>
                <c:pt idx="0">
                  <c:v>税收收入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[工作簿1]Sheet1!$E$87:$E$91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[工作簿1]Sheet1!$G$87:$G$91</c:f>
              <c:numCache>
                <c:formatCode>General</c:formatCode>
                <c:ptCount val="5"/>
                <c:pt idx="0">
                  <c:v>3.79</c:v>
                </c:pt>
                <c:pt idx="1">
                  <c:v>4.97</c:v>
                </c:pt>
                <c:pt idx="2">
                  <c:v>5.2</c:v>
                </c:pt>
                <c:pt idx="3">
                  <c:v>5.39</c:v>
                </c:pt>
                <c:pt idx="4">
                  <c:v>7.47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4"/>
        <c:overlap val="-10"/>
        <c:axId val="54113367"/>
        <c:axId val="931389274"/>
      </c:barChart>
      <c:catAx>
        <c:axId val="5411336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1389274"/>
        <c:crosses val="autoZero"/>
        <c:auto val="1"/>
        <c:lblAlgn val="ctr"/>
        <c:lblOffset val="100"/>
        <c:noMultiLvlLbl val="0"/>
      </c:catAx>
      <c:valAx>
        <c:axId val="93138927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2">
                  <a:lumMod val="9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113367"/>
        <c:crosses val="autoZero"/>
        <c:crossBetween val="between"/>
      </c:valAx>
      <c:spPr>
        <a:solidFill>
          <a:srgbClr val="DEEBF7">
            <a:alpha val="48000"/>
          </a:srgbClr>
        </a:solidFill>
        <a:ln w="12700" cmpd="sng">
          <a:noFill/>
          <a:prstDash val="solid"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b="1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t" anchorCtr="1" forceAA="0"/>
          <a:lstStyle/>
          <a:p>
            <a:pPr>
              <a:defRPr lang="zh-CN"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sz="1600"/>
              <a:t>规模以上工业总产值行业占比%</a:t>
            </a:r>
            <a:endParaRPr sz="2000"/>
          </a:p>
          <a:p>
            <a:pPr>
              <a:defRPr lang="zh-CN"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endParaRPr sz="2000"/>
          </a:p>
        </c:rich>
      </c:tx>
      <c:layout>
        <c:manualLayout>
          <c:xMode val="edge"/>
          <c:yMode val="edge"/>
          <c:x val="0.234542919896913"/>
          <c:y val="0.0350714145959695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40"/>
      <c:rotY val="5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375939849624061"/>
          <c:y val="0.204675470560837"/>
          <c:w val="0.905241043785935"/>
          <c:h val="0.5203173374613"/>
        </c:manualLayout>
      </c:layout>
      <c:pie3DChart>
        <c:varyColors val="1"/>
        <c:ser>
          <c:idx val="0"/>
          <c:order val="0"/>
          <c:spPr>
            <a:ln w="22225">
              <a:noFill/>
            </a:ln>
            <a:scene3d>
              <a:camera prst="orthographicFront"/>
              <a:lightRig rig="threePt" dir="t"/>
            </a:scene3d>
            <a:sp3d contourW="22225"/>
          </c:spPr>
          <c:explosion val="13"/>
          <c:dPt>
            <c:idx val="0"/>
            <c:bubble3D val="0"/>
            <c:spPr>
              <a:solidFill>
                <a:srgbClr val="EA7B4C"/>
              </a:solidFill>
              <a:ln w="22225">
                <a:noFill/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6A063"/>
              </a:solidFill>
              <a:ln w="22225">
                <a:noFill/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B7B69A"/>
              </a:solidFill>
              <a:ln w="22225">
                <a:noFill/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CE1B6"/>
              </a:solidFill>
              <a:ln w="22225">
                <a:noFill/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ln w="22225">
                <a:noFill/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5"/>
            <c:bubble3D val="0"/>
            <c:spPr>
              <a:ln w="22225">
                <a:noFill/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6"/>
            <c:bubble3D val="0"/>
            <c:spPr>
              <a:ln w="22225">
                <a:noFill/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7"/>
            <c:bubble3D val="0"/>
            <c:spPr>
              <a:ln w="22225">
                <a:noFill/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8"/>
            <c:bubble3D val="0"/>
            <c:spPr>
              <a:ln w="22225">
                <a:noFill/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9"/>
            <c:bubble3D val="0"/>
            <c:spPr>
              <a:ln w="22225">
                <a:noFill/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10"/>
            <c:bubble3D val="0"/>
            <c:spPr>
              <a:ln w="22225">
                <a:noFill/>
              </a:ln>
              <a:scene3d>
                <a:camera prst="orthographicFront"/>
                <a:lightRig rig="threePt" dir="t"/>
              </a:scene3d>
              <a:sp3d contourW="22225"/>
            </c:spPr>
          </c:dPt>
          <c:dLbls>
            <c:dLbl>
              <c:idx val="0"/>
              <c:layout>
                <c:manualLayout>
                  <c:x val="0.040181667223382"/>
                  <c:y val="-0.04787447996327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27.3%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90644916292104"/>
                  <c:y val="-0.040581028985850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14465354233883"/>
                  <c:y val="-0.069907264660945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17.5%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60559207880979"/>
                  <c:y val="0.046804722842047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9.6%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8858349267662"/>
                  <c:y val="0.037035581431484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9.5%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30702430142167"/>
                  <c:y val="-0.018332428028245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4.3%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884652628840818"/>
                  <c:y val="-0.034180598640650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3.6%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300258396848856"/>
                  <c:y val="-0.016410775833529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2.7%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804385138526054"/>
                  <c:y val="-0.0089128801572727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2.6%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509759633467358"/>
                  <c:y val="0.013992169238627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1.7%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556221331146382"/>
                  <c:y val="0.050016249245345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t>1.2%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12700" cap="flat" cmpd="sng" algn="ctr">
                      <a:solidFill>
                        <a:srgbClr val="E7E6E6">
                          <a:lumMod val="50000"/>
                        </a:srgb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工作表.xls]Sheet1'!$C$7:$C$17</c:f>
              <c:strCache>
                <c:ptCount val="11"/>
                <c:pt idx="0">
                  <c:v>金属表面处理及热处理</c:v>
                </c:pt>
                <c:pt idx="1">
                  <c:v>禽类屠宰业</c:v>
                </c:pt>
                <c:pt idx="2">
                  <c:v>钢压延加工</c:v>
                </c:pt>
                <c:pt idx="3">
                  <c:v>其他行业</c:v>
                </c:pt>
                <c:pt idx="4">
                  <c:v>其他饲料加工业</c:v>
                </c:pt>
                <c:pt idx="5">
                  <c:v>速冻食品制造业</c:v>
                </c:pt>
                <c:pt idx="6">
                  <c:v>肉制品及副产品加工业</c:v>
                </c:pt>
                <c:pt idx="7">
                  <c:v>耐火陶瓷制品及其他耐火材料制造业</c:v>
                </c:pt>
                <c:pt idx="8">
                  <c:v>原油加工及石油制品制造业</c:v>
                </c:pt>
                <c:pt idx="9">
                  <c:v>石墨及碳素制品制造业</c:v>
                </c:pt>
                <c:pt idx="10">
                  <c:v>防水建筑材料制造业</c:v>
                </c:pt>
              </c:strCache>
            </c:strRef>
          </c:cat>
          <c:val>
            <c:numRef>
              <c:f>'[新建 XLS 工作表.xls]Sheet1'!$D$7:$D$17</c:f>
              <c:numCache>
                <c:formatCode>0.00%</c:formatCode>
                <c:ptCount val="11"/>
                <c:pt idx="0">
                  <c:v>0.273</c:v>
                </c:pt>
                <c:pt idx="1" c:formatCode="0%">
                  <c:v>0.2</c:v>
                </c:pt>
                <c:pt idx="2">
                  <c:v>0.175</c:v>
                </c:pt>
                <c:pt idx="3">
                  <c:v>0.096</c:v>
                </c:pt>
                <c:pt idx="4">
                  <c:v>0.095</c:v>
                </c:pt>
                <c:pt idx="5">
                  <c:v>0.043</c:v>
                </c:pt>
                <c:pt idx="6">
                  <c:v>0.036</c:v>
                </c:pt>
                <c:pt idx="7">
                  <c:v>0.027</c:v>
                </c:pt>
                <c:pt idx="8">
                  <c:v>0.026</c:v>
                </c:pt>
                <c:pt idx="9">
                  <c:v>0.017</c:v>
                </c:pt>
                <c:pt idx="10">
                  <c:v>0.012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927686864219372"/>
          <c:y val="0.749142564480302"/>
          <c:w val="0.829389650597081"/>
          <c:h val="0.24378790843279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/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1041</Words>
  <Characters>5936</Characters>
  <Lines>49</Lines>
  <Paragraphs>13</Paragraphs>
  <TotalTime>100</TotalTime>
  <ScaleCrop>false</ScaleCrop>
  <LinksUpToDate>false</LinksUpToDate>
  <CharactersWithSpaces>6964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2020-02-28T07:24:00Z</dcterms:created>
  <dc:creator>Administrator</dc:creator>
  <cp:lastModifiedBy>Li</cp:lastModifiedBy>
  <cp:lastPrinted>2022-05-07T07:17:00Z</cp:lastPrinted>
  <dcterms:modified xsi:type="dcterms:W3CDTF">2022-05-12T00:41:14Z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F446BB012ECC4FCE86980D5F1194A117</vt:lpwstr>
  </property>
</Properties>
</file>