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880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44"/>
          <w:szCs w:val="44"/>
          <w:lang w:val="en-US" w:eastAsia="zh-CN"/>
        </w:rPr>
        <w:t>2021年第11次局长办公会会议纪要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iCs w:val="0"/>
          <w:sz w:val="32"/>
          <w:szCs w:val="32"/>
          <w:u w:val="none"/>
          <w:lang w:val="en-US" w:eastAsia="zh-CN"/>
        </w:rPr>
        <w:t>2021年11月26日，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局长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  <w:t>高飞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在局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  <w:t>四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楼会议室主持召开了20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年第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次局长办公会议</w:t>
      </w:r>
      <w:r>
        <w:rPr>
          <w:rFonts w:hint="eastAsia" w:ascii="仿宋_GB2312" w:hAnsi="仿宋_GB2312" w:eastAsia="仿宋_GB2312" w:cs="仿宋_GB2312"/>
          <w:b w:val="0"/>
          <w:bCs/>
          <w:i w:val="0"/>
          <w:iCs w:val="0"/>
          <w:sz w:val="32"/>
          <w:szCs w:val="32"/>
          <w:u w:val="none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shd w:val="clear" w:color="auto" w:fill="auto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会议研究近期重点业务工作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大禹杯（河湖长制）考评工作。考评方案已通过市政府常务会，近期正式印发。各个牵头部门要认真梳理存在问题，扣分风险项，必须不能丢分，有问题及时研究解决。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河长制常态化考核。一是建议联系新闻单位，建立常态化宣传机制，形成专栏，以河流或者以县区分类，宣传河长制的变化和成绩。可以做一个工作宣传片，体现水利局的工作成果。二是恢复建立河长制联席会议制度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“一屏指挥”工作。我局掌握的山洪、防汛、河长制等方面的基础数据，全部向“一屏指挥”大数据开放，同时我们也要利用“一屏指挥”在防汛中充分利用各部门大数据做好防汛工作。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南沙河相关工作。市政府十分关注南沙河，南沙河在市内总长58公里，所有河上的水利工程、运行管理、基本情况、断面数据要上图。运粮河、杨柳河也要稳步推进。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5.地下水管理方面。结合《地下水管理条例》的出台，及时与省水利厅沟通，形成贯彻落实方案。海城地下水压采工作是一项重点工作。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 w:firstLine="640" w:firstLineChars="200"/>
        <w:textAlignment w:val="auto"/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6.西四灌区节水改造省水利厅已认定完成年度工作任务。清四乱工作除大棚之外已完成整改。通江子灌区省水利厅已到现场认定。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EBC631A"/>
    <w:multiLevelType w:val="singleLevel"/>
    <w:tmpl w:val="9EBC631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E06C01"/>
    <w:rsid w:val="10857C62"/>
    <w:rsid w:val="26E06C01"/>
    <w:rsid w:val="2B175A49"/>
    <w:rsid w:val="7C7C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2021-12-08T08:56:00Z</dcterms:created>
  <dc:creator>曲振东</dc:creator>
  <cp:lastModifiedBy>曲振东</cp:lastModifiedBy>
  <dcterms:modified xsi:type="dcterms:W3CDTF">2021-12-09T04:50:39Z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4835729970D0465FBD47D3CA9FC73439</vt:lpwstr>
  </property>
</Properties>
</file>