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shd w:val="clear" w:color="auto" w:fill="auto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shd w:val="clear" w:color="auto" w:fill="auto"/>
          <w:lang w:eastAsia="zh-CN"/>
        </w:rPr>
        <w:t>第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u w:val="none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shd w:val="clear" w:color="auto" w:fill="auto"/>
          <w:lang w:eastAsia="zh-CN"/>
        </w:rPr>
        <w:t>次局长办公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shd w:val="clear" w:color="auto" w:fill="auto"/>
        </w:rPr>
        <w:t>会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shd w:val="clear" w:color="auto" w:fill="auto"/>
          <w:lang w:eastAsia="zh-CN"/>
        </w:rPr>
        <w:t>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auto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2021年4月20 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局长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曲振东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在局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楼会议室主持召开了20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次局长办公会议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auto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要求，按照我局职责分工，近期要做好以下两方面工作：一是制定我局网络安全保障工作方案，做好对门户网站、电子邮件系统问题隐患排查，围绕防范网站和LED屏幕篡改、数据被盗、邮件攻击、勒索病毒攻击等现实威胁，有针对性地采取措施；二是迎接市国家安全局的专项检查，重点对互联网计算机,涉密计算机，政务外网邮箱，微信工作群的使用管理情况进行全面检查，发现问题隐患，及时处置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。</w:t>
      </w:r>
    </w:p>
    <w:p>
      <w:pPr>
        <w:pStyle w:val="5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会议议定,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原则同意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涉及部门的分配方案，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各部门要统筹做好资金和水利项目的有效衔接，加快资金拨付和预算执行，加强资金使用监管，确保专款专用。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会议传达贯彻了4月13日省委全面依法治省工作会议、4月15日全国防汛抗旱工作电视电话会议、4月16日全省精神文明建设工作会议暨省文明委全体（扩大）会议精神。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会议指出，班子成员要切实履行推进法治建设责任，要带头尊崇法治、敬畏法律，不断提高运用法治思维和方式解决问题的能力，夯实执法队伍建设，为维护社会和全局稳定做好应负的工作和责任。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要求，全局要立足防大汛抗大灾工作做好各项迎汛准备，加强监测预警，完善应急预案，统筹调度力量，严密巡查防护，加大堤坝水库等除险加固和隐患排查力度，严防各类灾害发生，确保人民群众生命财产安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会议强调，要坚持守正创新，不断提高精神文明建设水平。精神文明建设是一项系统工程，必须坚持和加强党的全面领导，层层压实责任，形成强大合力。</w:t>
      </w:r>
    </w:p>
    <w:p/>
    <w:sectPr>
      <w:footerReference r:id="rId3" w:type="default"/>
      <w:pgSz w:w="11906" w:h="16838"/>
      <w:pgMar w:top="2098" w:right="1531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45603"/>
    <w:rsid w:val="38C37836"/>
    <w:rsid w:val="610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文本缩进1"/>
    <w:basedOn w:val="1"/>
    <w:qFormat/>
    <w:uiPriority w:val="0"/>
    <w:pPr>
      <w:spacing w:line="360" w:lineRule="auto"/>
      <w:ind w:firstLine="640" w:firstLineChars="20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2021-07-05T01:09:00Z</dcterms:created>
  <dc:creator>Administrator</dc:creator>
  <cp:lastModifiedBy>曲振东</cp:lastModifiedBy>
  <dcterms:modified xsi:type="dcterms:W3CDTF">2021-11-29T06:25:05Z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436D5B1E90B24F40AAFA639378E82E9F</vt:lpwstr>
  </property>
</Properties>
</file>