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3A5CC" w14:textId="3D8B5A99" w:rsidR="00A47AA6" w:rsidRDefault="00000000" w:rsidP="0013065E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鞍山市</w:t>
      </w:r>
      <w:r w:rsidR="00045139" w:rsidRPr="00045139">
        <w:rPr>
          <w:rFonts w:ascii="方正小标宋简体" w:eastAsia="方正小标宋简体" w:hAnsi="方正小标宋简体" w:cs="方正小标宋简体" w:hint="eastAsia"/>
          <w:sz w:val="44"/>
          <w:szCs w:val="44"/>
        </w:rPr>
        <w:t>民用“三表”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（水、电、气）</w:t>
      </w:r>
    </w:p>
    <w:p w14:paraId="75AC4FC2" w14:textId="77777777" w:rsidR="00A47AA6" w:rsidRDefault="00000000" w:rsidP="0013065E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价格公示制度</w:t>
      </w:r>
    </w:p>
    <w:p w14:paraId="6E7CBEB5" w14:textId="77777777" w:rsidR="00A47AA6" w:rsidRDefault="00000000" w:rsidP="0013065E">
      <w:pPr>
        <w:jc w:val="center"/>
        <w:rPr>
          <w:rFonts w:ascii="仿宋_GB2312" w:hAnsi="仿宋_GB2312" w:cs="仿宋_GB2312" w:hint="eastAsia"/>
          <w:szCs w:val="32"/>
        </w:rPr>
      </w:pPr>
      <w:r>
        <w:rPr>
          <w:rFonts w:hint="eastAsia"/>
          <w:szCs w:val="32"/>
        </w:rPr>
        <w:t>（征求意见稿）</w:t>
      </w:r>
    </w:p>
    <w:p w14:paraId="42AD220F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为规范居民水、电、气价格管理，提高价格透明度，保障居民的知情权和监督权，依据相关法律法规及政策，特制定本制度。</w:t>
      </w:r>
    </w:p>
    <w:p w14:paraId="0700807B" w14:textId="77777777" w:rsidR="00A47AA6" w:rsidRDefault="00000000">
      <w:pPr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一、公示主体</w:t>
      </w:r>
    </w:p>
    <w:p w14:paraId="394D98CB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负责居民水、电、气供应的企业或单位（以下简称“供应单位”），包括自来水公司、供电公司、燃气公司等。</w:t>
      </w:r>
    </w:p>
    <w:p w14:paraId="70EB80BB" w14:textId="77777777" w:rsidR="00A47AA6" w:rsidRDefault="00000000">
      <w:pPr>
        <w:ind w:firstLineChars="200" w:firstLine="640"/>
        <w:rPr>
          <w:szCs w:val="32"/>
        </w:rPr>
      </w:pPr>
      <w:r>
        <w:rPr>
          <w:rFonts w:ascii="黑体" w:eastAsia="黑体" w:hAnsi="黑体" w:cs="黑体" w:hint="eastAsia"/>
          <w:szCs w:val="32"/>
        </w:rPr>
        <w:t>二、公示内容</w:t>
      </w:r>
    </w:p>
    <w:p w14:paraId="15B66FBC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1. 价格标准：明确区分居民生活用水、非居民用水和特种行业用水的分类水价，以及居民生活用电、农业生产用电和工商业用电等分类电价，居民用气和非居民用气的分类气价。详细列出各阶梯价格的区间量值及对应单价 ，如居民用水第一阶梯[X]立方米以下，单价[X]元/立方米；第二阶梯[X] - [X]立方米，单价[X]元/立方米等。</w:t>
      </w:r>
    </w:p>
    <w:p w14:paraId="12E9450F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2. 文件依据：公示价格执行所依据的政府文件名称、文号、发布单位和发布时间，如《关于调整居民用水价格的通知》（[发文单位] [文号]，[发布时间]）。</w:t>
      </w:r>
    </w:p>
    <w:p w14:paraId="1A0B080C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3. 收费项目：完整列举与水、电、气供应相关的所有收费项目，如水费、电费、燃气费、污水处理费（若随水费一并收取）等，不得遗漏。</w:t>
      </w:r>
    </w:p>
    <w:p w14:paraId="344085A8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4. 优惠政策：说明针对特殊群体（如低保户、五保户等）</w:t>
      </w:r>
      <w:r>
        <w:rPr>
          <w:rFonts w:ascii="仿宋_GB2312" w:hAnsi="仿宋_GB2312" w:cs="仿宋_GB2312" w:hint="eastAsia"/>
          <w:szCs w:val="32"/>
        </w:rPr>
        <w:lastRenderedPageBreak/>
        <w:t>或特殊情况（如节能奖励等）的价格优惠政策和收费减免措施，包括优惠对象条件、优惠幅度或减免金额等 ，如低保户每月用水减免[X]立方米费用。</w:t>
      </w:r>
    </w:p>
    <w:p w14:paraId="2A545AF2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5. 服务内容：简要介绍供应单位提供的服务范围和标准，如抄表周期、故障维修响应时间等，如抄表周期为每月[X]日，故障维修承诺在接到报修后[X]小时内响应。</w:t>
      </w:r>
    </w:p>
    <w:p w14:paraId="0131B263" w14:textId="77777777" w:rsidR="00A47AA6" w:rsidRDefault="00000000">
      <w:pPr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三、公示方式</w:t>
      </w:r>
    </w:p>
    <w:p w14:paraId="6A95237B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1. 营业场所：在供应单位的各营业网点设置明显、固定的公示栏（牌），公示栏（牌）应采用耐久性材料制作，位置醒目，便于居民观看。公示栏（牌）的尺寸和字体大小应适中，确保内容清晰可辨。</w:t>
      </w:r>
    </w:p>
    <w:p w14:paraId="767F0344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2. 官方网站：在供应单位官方网站首页的显著位置开设价格公示专栏，以表格或图文形式展示公示内容，并确保网页的加载速度和兼容性，方便居民随时查询。公示内容应定期更新，确保信息的及时性和准确性。</w:t>
      </w:r>
    </w:p>
    <w:p w14:paraId="01AD4E5A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3. 移动终端应用：若供应单位开发有手机应用程序（APP），应在APP的主要界面设置价格公示入口，方便居民通过手机便捷查询。同时，可利用APP的消息推送功能，及时向用户推送价格调整等重要信息。</w:t>
      </w:r>
    </w:p>
    <w:p w14:paraId="70A395E7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4. 居民小区：在各居民小区的公告栏、物业管理处等显著位置张贴价格公示海报或通知，海报或通知应采用彩色印刷，图文并茂，吸引居民关注。对于新交付的小区，应在交房时向业主发放价格公示手册。</w:t>
      </w:r>
    </w:p>
    <w:p w14:paraId="4EBABC80" w14:textId="77777777" w:rsidR="00A47AA6" w:rsidRDefault="00000000">
      <w:pPr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lastRenderedPageBreak/>
        <w:t>四、公示时间</w:t>
      </w:r>
    </w:p>
    <w:p w14:paraId="6CDE5589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1. 常规公示：价格公示应保持长期、持续进行，确保居民随时能够获取最新的价格信息。</w:t>
      </w:r>
    </w:p>
    <w:p w14:paraId="28845D36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2. 价格调整公示：当水、电、气价格发生调整时，供应单位应通过多种公示方式向社会公布价格调整方案、调整原因、调整后的价格标准及执行时间等信息，并充分征求居民意见。在价格调整实施日当天，再次明确公示调整后的价格信息 。</w:t>
      </w:r>
    </w:p>
    <w:p w14:paraId="78F89E94" w14:textId="77777777" w:rsidR="00A47AA6" w:rsidRDefault="00000000">
      <w:pPr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五、监督管理</w:t>
      </w:r>
    </w:p>
    <w:p w14:paraId="74E89C48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1. 建立投诉处理机制：供应单位应设立专门的投诉渠道，如投诉电话、电子邮箱、在线客服等，并在价格公示页面公布投诉渠道信息。对居民关于价格公示内容的疑问和投诉，应予以回复和处理，并将处理结果反馈给投诉人。</w:t>
      </w:r>
    </w:p>
    <w:p w14:paraId="1AC07490" w14:textId="77777777" w:rsidR="00A47AA6" w:rsidRDefault="00000000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2. 接受社会监督：鼓励居民、媒体和社会组织对价格公示情况进行监督，对发现的未按规定公示、公示内容虚假或不完整等问题，可向供应单位或相关监管部门举报。相关监管部门应及时受理举报，依法进行调查处理，并将处理结果向社会公布。</w:t>
      </w:r>
    </w:p>
    <w:p w14:paraId="64447C45" w14:textId="77777777" w:rsidR="00A47AA6" w:rsidRDefault="00000000">
      <w:pPr>
        <w:ind w:firstLineChars="200" w:firstLine="640"/>
      </w:pPr>
      <w:r>
        <w:rPr>
          <w:rFonts w:ascii="仿宋_GB2312" w:hAnsi="仿宋_GB2312" w:cs="仿宋_GB2312" w:hint="eastAsia"/>
          <w:szCs w:val="32"/>
        </w:rPr>
        <w:t>3. 监管部门检查：市场监管相关部门定期对供应单位的价格公示情况进行监督检查，检查内容包括公示方式是否合</w:t>
      </w:r>
      <w:proofErr w:type="gramStart"/>
      <w:r>
        <w:rPr>
          <w:rFonts w:ascii="仿宋_GB2312" w:hAnsi="仿宋_GB2312" w:cs="仿宋_GB2312" w:hint="eastAsia"/>
          <w:szCs w:val="32"/>
        </w:rPr>
        <w:t>规</w:t>
      </w:r>
      <w:proofErr w:type="gramEnd"/>
      <w:r>
        <w:rPr>
          <w:rFonts w:ascii="仿宋_GB2312" w:hAnsi="仿宋_GB2312" w:cs="仿宋_GB2312" w:hint="eastAsia"/>
          <w:szCs w:val="32"/>
        </w:rPr>
        <w:t>、公示内容是否准确完整、公示时间是否及时等。对未按本制度要求进行价格公示的供应单位，责令限期整改；情节严重的，依法依规予以处罚 。</w:t>
      </w:r>
    </w:p>
    <w:sectPr w:rsidR="00A47AA6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84DF1" w14:textId="77777777" w:rsidR="001E6BD8" w:rsidRDefault="001E6BD8">
      <w:pPr>
        <w:spacing w:line="240" w:lineRule="auto"/>
      </w:pPr>
      <w:r>
        <w:separator/>
      </w:r>
    </w:p>
  </w:endnote>
  <w:endnote w:type="continuationSeparator" w:id="0">
    <w:p w14:paraId="47021C01" w14:textId="77777777" w:rsidR="001E6BD8" w:rsidRDefault="001E6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439329"/>
    </w:sdtPr>
    <w:sdtContent>
      <w:p w14:paraId="05179BEA" w14:textId="77777777" w:rsidR="00A47AA6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C5113C" w14:textId="77777777" w:rsidR="00A47AA6" w:rsidRDefault="00A47A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8AAEB" w14:textId="77777777" w:rsidR="001E6BD8" w:rsidRDefault="001E6BD8">
      <w:pPr>
        <w:spacing w:line="240" w:lineRule="auto"/>
      </w:pPr>
      <w:r>
        <w:separator/>
      </w:r>
    </w:p>
  </w:footnote>
  <w:footnote w:type="continuationSeparator" w:id="0">
    <w:p w14:paraId="04EA607A" w14:textId="77777777" w:rsidR="001E6BD8" w:rsidRDefault="001E6B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F7"/>
    <w:rsid w:val="8DFB85A8"/>
    <w:rsid w:val="FC6F0D33"/>
    <w:rsid w:val="FFA96CC7"/>
    <w:rsid w:val="FFFFD682"/>
    <w:rsid w:val="00025C56"/>
    <w:rsid w:val="00045139"/>
    <w:rsid w:val="00107DCE"/>
    <w:rsid w:val="00117544"/>
    <w:rsid w:val="0013065E"/>
    <w:rsid w:val="001C2D31"/>
    <w:rsid w:val="001E6BD8"/>
    <w:rsid w:val="002E6175"/>
    <w:rsid w:val="0038715F"/>
    <w:rsid w:val="003B5795"/>
    <w:rsid w:val="003E7B96"/>
    <w:rsid w:val="00410EA1"/>
    <w:rsid w:val="004165C0"/>
    <w:rsid w:val="004A48CE"/>
    <w:rsid w:val="004F46AA"/>
    <w:rsid w:val="00546786"/>
    <w:rsid w:val="005D7C2A"/>
    <w:rsid w:val="005F5018"/>
    <w:rsid w:val="0066425A"/>
    <w:rsid w:val="006E3360"/>
    <w:rsid w:val="00737412"/>
    <w:rsid w:val="00780E47"/>
    <w:rsid w:val="008018F7"/>
    <w:rsid w:val="008C074E"/>
    <w:rsid w:val="008F4B93"/>
    <w:rsid w:val="009F2953"/>
    <w:rsid w:val="00A21274"/>
    <w:rsid w:val="00A35FB5"/>
    <w:rsid w:val="00A47AA6"/>
    <w:rsid w:val="00BB259E"/>
    <w:rsid w:val="00BF3656"/>
    <w:rsid w:val="00CB362C"/>
    <w:rsid w:val="00CF2BC6"/>
    <w:rsid w:val="00D9038A"/>
    <w:rsid w:val="00F03FD7"/>
    <w:rsid w:val="00FD7FF1"/>
    <w:rsid w:val="00FE5950"/>
    <w:rsid w:val="31FE8439"/>
    <w:rsid w:val="4E9F9DA6"/>
    <w:rsid w:val="7B7F2506"/>
    <w:rsid w:val="7BEB5E64"/>
    <w:rsid w:val="7FC7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6DDDD"/>
  <w15:docId w15:val="{3B78690F-4296-43FF-AC0D-CACF06EB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仿宋_GB2312" w:hAnsi="Times New Roman" w:cs="Times New Roman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19</cp:revision>
  <dcterms:created xsi:type="dcterms:W3CDTF">2025-07-23T09:07:00Z</dcterms:created>
  <dcterms:modified xsi:type="dcterms:W3CDTF">2025-07-30T00:26:00Z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