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40A61">
      <w:pPr>
        <w:spacing w:line="440" w:lineRule="exact"/>
        <w:jc w:val="center"/>
        <w:rPr>
          <w:rFonts w:eastAsia="方正小标宋简体"/>
          <w:color w:val="000000"/>
          <w:sz w:val="32"/>
          <w:szCs w:val="32"/>
        </w:rPr>
      </w:pPr>
      <w:r>
        <w:rPr>
          <w:rFonts w:hint="eastAsia" w:eastAsia="方正小标宋简体"/>
          <w:color w:val="000000"/>
          <w:sz w:val="32"/>
          <w:szCs w:val="32"/>
          <w:lang w:val="en-US" w:eastAsia="zh-CN"/>
        </w:rPr>
        <w:t>鞍山市</w:t>
      </w:r>
      <w:r>
        <w:rPr>
          <w:rFonts w:eastAsia="方正小标宋简体"/>
          <w:color w:val="000000"/>
          <w:sz w:val="32"/>
          <w:szCs w:val="32"/>
        </w:rPr>
        <w:t>农用</w:t>
      </w:r>
      <w:r>
        <w:rPr>
          <w:rFonts w:hint="eastAsia" w:eastAsia="方正小标宋简体"/>
          <w:color w:val="000000"/>
          <w:sz w:val="32"/>
          <w:szCs w:val="32"/>
        </w:rPr>
        <w:t>地</w:t>
      </w:r>
      <w:r>
        <w:rPr>
          <w:rFonts w:eastAsia="方正小标宋简体"/>
          <w:color w:val="000000"/>
          <w:sz w:val="32"/>
          <w:szCs w:val="32"/>
        </w:rPr>
        <w:t>膜产品质量监督抽查实施细则</w:t>
      </w:r>
    </w:p>
    <w:p w14:paraId="7C7DEDC7">
      <w:pPr>
        <w:spacing w:line="440" w:lineRule="exact"/>
        <w:jc w:val="center"/>
        <w:rPr>
          <w:rFonts w:eastAsia="方正小标宋简体" w:cs="方正仿宋简体"/>
          <w:color w:val="000000"/>
          <w:sz w:val="32"/>
          <w:szCs w:val="32"/>
        </w:rPr>
      </w:pPr>
    </w:p>
    <w:p w14:paraId="0A7F7EDF">
      <w:pPr>
        <w:spacing w:line="360" w:lineRule="auto"/>
        <w:jc w:val="left"/>
        <w:rPr>
          <w:rFonts w:eastAsia="黑体"/>
          <w:color w:val="000000"/>
          <w:szCs w:val="21"/>
        </w:rPr>
      </w:pPr>
      <w:r>
        <w:rPr>
          <w:rFonts w:eastAsia="黑体"/>
          <w:color w:val="000000"/>
          <w:szCs w:val="21"/>
        </w:rPr>
        <w:t>1 抽样方法</w:t>
      </w:r>
    </w:p>
    <w:p w14:paraId="50C32958">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2BB8D355">
      <w:pPr>
        <w:snapToGrid w:val="0"/>
        <w:spacing w:line="440" w:lineRule="exact"/>
        <w:ind w:firstLine="420" w:firstLineChars="200"/>
        <w:rPr>
          <w:color w:val="000000"/>
        </w:rPr>
      </w:pPr>
      <w:r>
        <w:rPr>
          <w:color w:val="000000"/>
        </w:rPr>
        <w:t>随机数一般可使用随机数表等方法产生。</w:t>
      </w:r>
    </w:p>
    <w:p w14:paraId="03CF9FFD">
      <w:pPr>
        <w:snapToGrid w:val="0"/>
        <w:spacing w:line="440" w:lineRule="exact"/>
        <w:ind w:firstLine="417" w:firstLineChars="199"/>
        <w:rPr>
          <w:color w:val="000000"/>
          <w:szCs w:val="21"/>
        </w:rPr>
      </w:pPr>
      <w:r>
        <w:rPr>
          <w:color w:val="000000"/>
          <w:szCs w:val="21"/>
        </w:rPr>
        <w:t>随机抽取三卷薄膜，</w:t>
      </w:r>
      <w:r>
        <w:rPr>
          <w:rFonts w:hint="eastAsia"/>
          <w:color w:val="000000"/>
        </w:rPr>
        <w:t>将抽取到的三卷薄膜去掉外层2米后，</w:t>
      </w:r>
      <w:r>
        <w:rPr>
          <w:color w:val="000000"/>
          <w:szCs w:val="21"/>
        </w:rPr>
        <w:t>每卷</w:t>
      </w:r>
      <w:r>
        <w:rPr>
          <w:rFonts w:hint="eastAsia"/>
          <w:color w:val="000000"/>
          <w:szCs w:val="21"/>
        </w:rPr>
        <w:t>沿幅宽方向</w:t>
      </w:r>
      <w:r>
        <w:rPr>
          <w:color w:val="000000"/>
          <w:szCs w:val="21"/>
        </w:rPr>
        <w:t>取一块，长度4米（或面积不少于4㎡），共3块，其中2块为检验样品，1块为备用样品。</w:t>
      </w:r>
    </w:p>
    <w:p w14:paraId="0C9CEC5E">
      <w:pPr>
        <w:snapToGrid w:val="0"/>
        <w:spacing w:line="440" w:lineRule="exact"/>
        <w:ind w:firstLine="417" w:firstLineChars="199"/>
        <w:rPr>
          <w:color w:val="000000"/>
          <w:szCs w:val="21"/>
        </w:rPr>
      </w:pPr>
    </w:p>
    <w:p w14:paraId="232E90B5">
      <w:pPr>
        <w:snapToGrid w:val="0"/>
        <w:spacing w:line="360" w:lineRule="auto"/>
        <w:rPr>
          <w:rFonts w:eastAsia="黑体"/>
          <w:color w:val="000000"/>
          <w:szCs w:val="21"/>
        </w:rPr>
      </w:pPr>
      <w:r>
        <w:rPr>
          <w:rFonts w:eastAsia="黑体"/>
          <w:color w:val="000000"/>
          <w:szCs w:val="21"/>
        </w:rPr>
        <w:t>2 检验依据</w:t>
      </w:r>
    </w:p>
    <w:p w14:paraId="053FAF31">
      <w:pPr>
        <w:snapToGrid w:val="0"/>
        <w:spacing w:line="360" w:lineRule="auto"/>
        <w:rPr>
          <w:rFonts w:eastAsia="黑体"/>
          <w:color w:val="000000"/>
          <w:szCs w:val="21"/>
        </w:rPr>
      </w:pPr>
    </w:p>
    <w:tbl>
      <w:tblPr>
        <w:tblStyle w:val="5"/>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260"/>
        <w:gridCol w:w="2552"/>
        <w:gridCol w:w="2268"/>
      </w:tblGrid>
      <w:tr w14:paraId="72E1A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3A18D498">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3260" w:type="dxa"/>
            <w:vAlign w:val="center"/>
          </w:tcPr>
          <w:p w14:paraId="6DA0CB83">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检验项目</w:t>
            </w:r>
          </w:p>
        </w:tc>
        <w:tc>
          <w:tcPr>
            <w:tcW w:w="2552" w:type="dxa"/>
            <w:vAlign w:val="center"/>
          </w:tcPr>
          <w:p w14:paraId="24D63AFA">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检验依据</w:t>
            </w:r>
          </w:p>
        </w:tc>
        <w:tc>
          <w:tcPr>
            <w:tcW w:w="2268" w:type="dxa"/>
            <w:vAlign w:val="center"/>
          </w:tcPr>
          <w:p w14:paraId="4233E9FE">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检验方法</w:t>
            </w:r>
          </w:p>
        </w:tc>
      </w:tr>
      <w:tr w14:paraId="4D0D0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2122FBFF">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3260" w:type="dxa"/>
            <w:vAlign w:val="center"/>
          </w:tcPr>
          <w:p w14:paraId="663C6A40">
            <w:pPr>
              <w:snapToGrid w:val="0"/>
              <w:jc w:val="center"/>
              <w:rPr>
                <w:rFonts w:hint="eastAsia" w:ascii="宋体" w:hAnsi="宋体" w:eastAsia="宋体" w:cs="宋体"/>
                <w:color w:val="000000"/>
                <w:szCs w:val="21"/>
              </w:rPr>
            </w:pPr>
            <w:r>
              <w:rPr>
                <w:rFonts w:hint="eastAsia" w:ascii="宋体" w:hAnsi="宋体" w:eastAsia="宋体" w:cs="宋体"/>
                <w:color w:val="000000"/>
                <w:szCs w:val="21"/>
              </w:rPr>
              <w:t>厚度</w:t>
            </w:r>
          </w:p>
        </w:tc>
        <w:tc>
          <w:tcPr>
            <w:tcW w:w="2552" w:type="dxa"/>
          </w:tcPr>
          <w:p w14:paraId="2E962FFD">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c>
          <w:tcPr>
            <w:tcW w:w="2268" w:type="dxa"/>
            <w:vAlign w:val="center"/>
          </w:tcPr>
          <w:p w14:paraId="4EA2B3CC">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r>
      <w:tr w14:paraId="4998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57601B71">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3260" w:type="dxa"/>
            <w:vAlign w:val="center"/>
          </w:tcPr>
          <w:p w14:paraId="4DDEAE36">
            <w:pPr>
              <w:snapToGrid w:val="0"/>
              <w:jc w:val="center"/>
              <w:rPr>
                <w:rFonts w:hint="eastAsia" w:ascii="宋体" w:hAnsi="宋体" w:eastAsia="宋体" w:cs="宋体"/>
                <w:color w:val="000000"/>
                <w:szCs w:val="21"/>
              </w:rPr>
            </w:pPr>
            <w:r>
              <w:rPr>
                <w:rFonts w:hint="eastAsia" w:ascii="宋体" w:hAnsi="宋体" w:eastAsia="宋体" w:cs="宋体"/>
                <w:color w:val="000000"/>
                <w:szCs w:val="21"/>
              </w:rPr>
              <w:t>厚度偏差</w:t>
            </w:r>
          </w:p>
        </w:tc>
        <w:tc>
          <w:tcPr>
            <w:tcW w:w="2552" w:type="dxa"/>
          </w:tcPr>
          <w:p w14:paraId="2D82394C">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c>
          <w:tcPr>
            <w:tcW w:w="2268" w:type="dxa"/>
            <w:vAlign w:val="center"/>
          </w:tcPr>
          <w:p w14:paraId="4FB41E18">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 13735—2017</w:t>
            </w:r>
          </w:p>
          <w:p w14:paraId="2978AB8D">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GB/T 6672—2001</w:t>
            </w:r>
          </w:p>
        </w:tc>
      </w:tr>
      <w:tr w14:paraId="5DF6C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4EA580A1">
            <w:pPr>
              <w:snapToGrid w:val="0"/>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3260" w:type="dxa"/>
            <w:vAlign w:val="center"/>
          </w:tcPr>
          <w:p w14:paraId="5B9CD9D2">
            <w:pPr>
              <w:snapToGrid w:val="0"/>
              <w:jc w:val="center"/>
              <w:rPr>
                <w:rFonts w:hint="eastAsia" w:ascii="宋体" w:hAnsi="宋体" w:eastAsia="宋体" w:cs="宋体"/>
                <w:color w:val="000000"/>
                <w:szCs w:val="21"/>
              </w:rPr>
            </w:pPr>
            <w:r>
              <w:rPr>
                <w:rFonts w:hint="eastAsia" w:ascii="宋体" w:hAnsi="宋体" w:eastAsia="宋体" w:cs="宋体"/>
                <w:color w:val="000000"/>
                <w:szCs w:val="21"/>
              </w:rPr>
              <w:t>拉伸负荷（纵、横向）</w:t>
            </w:r>
          </w:p>
        </w:tc>
        <w:tc>
          <w:tcPr>
            <w:tcW w:w="2552" w:type="dxa"/>
          </w:tcPr>
          <w:p w14:paraId="6D0FC8FF">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c>
          <w:tcPr>
            <w:tcW w:w="2268" w:type="dxa"/>
            <w:vAlign w:val="center"/>
          </w:tcPr>
          <w:p w14:paraId="26AE312A">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 13735—2017</w:t>
            </w:r>
          </w:p>
          <w:p w14:paraId="5E95F9CF">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GB/T 1040.3—2006</w:t>
            </w:r>
          </w:p>
        </w:tc>
      </w:tr>
      <w:tr w14:paraId="7F3E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553E3572">
            <w:pPr>
              <w:snapToGrid w:val="0"/>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3260" w:type="dxa"/>
            <w:vAlign w:val="center"/>
          </w:tcPr>
          <w:p w14:paraId="00BD8E8B">
            <w:pPr>
              <w:snapToGrid w:val="0"/>
              <w:jc w:val="center"/>
              <w:rPr>
                <w:rFonts w:hint="eastAsia" w:ascii="宋体" w:hAnsi="宋体" w:eastAsia="宋体" w:cs="宋体"/>
                <w:color w:val="000000"/>
                <w:szCs w:val="21"/>
              </w:rPr>
            </w:pPr>
            <w:r>
              <w:rPr>
                <w:rFonts w:hint="eastAsia" w:ascii="宋体" w:hAnsi="宋体" w:eastAsia="宋体" w:cs="宋体"/>
                <w:color w:val="000000"/>
                <w:szCs w:val="21"/>
              </w:rPr>
              <w:t>断裂标称应变（纵、横向）</w:t>
            </w:r>
          </w:p>
        </w:tc>
        <w:tc>
          <w:tcPr>
            <w:tcW w:w="2552" w:type="dxa"/>
          </w:tcPr>
          <w:p w14:paraId="5BBD5FF3">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c>
          <w:tcPr>
            <w:tcW w:w="2268" w:type="dxa"/>
            <w:vAlign w:val="center"/>
          </w:tcPr>
          <w:p w14:paraId="121E38E0">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 13735—2017</w:t>
            </w:r>
          </w:p>
          <w:p w14:paraId="23F740A0">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GB/T 1040.3—2006</w:t>
            </w:r>
          </w:p>
        </w:tc>
      </w:tr>
      <w:tr w14:paraId="5666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46" w:type="dxa"/>
            <w:vAlign w:val="center"/>
          </w:tcPr>
          <w:p w14:paraId="04E58C2C">
            <w:pPr>
              <w:snapToGrid w:val="0"/>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3260" w:type="dxa"/>
            <w:vAlign w:val="center"/>
          </w:tcPr>
          <w:p w14:paraId="22E95DE1">
            <w:pPr>
              <w:snapToGrid w:val="0"/>
              <w:jc w:val="center"/>
              <w:rPr>
                <w:rFonts w:hint="eastAsia" w:ascii="宋体" w:hAnsi="宋体" w:eastAsia="宋体" w:cs="宋体"/>
                <w:color w:val="000000"/>
                <w:szCs w:val="21"/>
              </w:rPr>
            </w:pPr>
            <w:r>
              <w:rPr>
                <w:rFonts w:hint="eastAsia" w:ascii="宋体" w:hAnsi="宋体" w:eastAsia="宋体" w:cs="宋体"/>
                <w:color w:val="000000"/>
                <w:szCs w:val="21"/>
              </w:rPr>
              <w:t>直角撕裂负荷（纵、横向）</w:t>
            </w:r>
          </w:p>
        </w:tc>
        <w:tc>
          <w:tcPr>
            <w:tcW w:w="2552" w:type="dxa"/>
          </w:tcPr>
          <w:p w14:paraId="6ECEBD29">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GB 13735—2017</w:t>
            </w:r>
          </w:p>
        </w:tc>
        <w:tc>
          <w:tcPr>
            <w:tcW w:w="2268" w:type="dxa"/>
            <w:vAlign w:val="center"/>
          </w:tcPr>
          <w:p w14:paraId="4C7E7DF0">
            <w:pPr>
              <w:snapToGrid w:val="0"/>
              <w:jc w:val="center"/>
              <w:rPr>
                <w:rFonts w:hint="eastAsia" w:ascii="宋体" w:hAnsi="宋体" w:eastAsia="宋体" w:cs="宋体"/>
                <w:color w:val="000000"/>
                <w:szCs w:val="21"/>
              </w:rPr>
            </w:pPr>
            <w:r>
              <w:rPr>
                <w:rFonts w:hint="eastAsia" w:ascii="宋体" w:hAnsi="宋体" w:eastAsia="宋体" w:cs="宋体"/>
                <w:color w:val="000000"/>
                <w:szCs w:val="21"/>
              </w:rPr>
              <w:t>GB 13735—2017</w:t>
            </w:r>
          </w:p>
          <w:p w14:paraId="1EEAD2C6">
            <w:pPr>
              <w:snapToGrid w:val="0"/>
              <w:jc w:val="center"/>
              <w:rPr>
                <w:rFonts w:hint="eastAsia" w:ascii="宋体" w:hAnsi="宋体" w:eastAsia="宋体" w:cs="宋体"/>
                <w:color w:val="000000"/>
                <w:szCs w:val="21"/>
              </w:rPr>
            </w:pPr>
            <w:r>
              <w:rPr>
                <w:rFonts w:hint="eastAsia" w:ascii="宋体" w:hAnsi="宋体" w:eastAsia="宋体" w:cs="宋体"/>
                <w:color w:val="000000"/>
                <w:szCs w:val="21"/>
              </w:rPr>
              <w:t>QB/T 1130—1991</w:t>
            </w:r>
          </w:p>
        </w:tc>
      </w:tr>
    </w:tbl>
    <w:p w14:paraId="07448776">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726343E5">
      <w:pPr>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4CD7AD6A">
      <w:pPr>
        <w:snapToGrid w:val="0"/>
        <w:spacing w:line="440" w:lineRule="exact"/>
        <w:rPr>
          <w:rFonts w:eastAsia="黑体"/>
          <w:color w:val="000000"/>
          <w:szCs w:val="21"/>
        </w:rPr>
      </w:pPr>
    </w:p>
    <w:p w14:paraId="63752FCA">
      <w:pPr>
        <w:snapToGrid w:val="0"/>
        <w:spacing w:line="440" w:lineRule="exact"/>
        <w:rPr>
          <w:rFonts w:eastAsia="黑体"/>
          <w:color w:val="000000"/>
          <w:szCs w:val="21"/>
        </w:rPr>
      </w:pPr>
      <w:r>
        <w:rPr>
          <w:rFonts w:hint="eastAsia" w:eastAsia="黑体"/>
          <w:color w:val="000000"/>
          <w:szCs w:val="21"/>
        </w:rPr>
        <w:t>3</w:t>
      </w:r>
      <w:r>
        <w:rPr>
          <w:rFonts w:eastAsia="黑体"/>
          <w:color w:val="000000"/>
          <w:szCs w:val="21"/>
        </w:rPr>
        <w:t xml:space="preserve"> 判定规则</w:t>
      </w:r>
    </w:p>
    <w:p w14:paraId="243A00E1">
      <w:pPr>
        <w:spacing w:line="440" w:lineRule="exact"/>
        <w:rPr>
          <w:rFonts w:hint="eastAsia" w:ascii="宋体" w:hAnsi="宋体" w:eastAsia="宋体" w:cs="宋体"/>
          <w:color w:val="000000"/>
          <w:szCs w:val="21"/>
        </w:rPr>
      </w:pPr>
      <w:bookmarkStart w:id="0" w:name="_GoBack"/>
      <w:r>
        <w:rPr>
          <w:rFonts w:hint="eastAsia" w:ascii="宋体" w:hAnsi="宋体" w:eastAsia="宋体" w:cs="宋体"/>
          <w:color w:val="000000"/>
          <w:szCs w:val="21"/>
        </w:rPr>
        <w:t>3.1 依据标准</w:t>
      </w:r>
    </w:p>
    <w:p w14:paraId="7CDDEFE7">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GB13735—2017 聚乙烯吹塑农用地面覆盖薄膜</w:t>
      </w:r>
    </w:p>
    <w:p w14:paraId="4EF74E58">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现行有效的企业标准、团体标准、地方标准及产品明示质量要求</w:t>
      </w:r>
    </w:p>
    <w:p w14:paraId="65660734">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3.2判定原则</w:t>
      </w:r>
    </w:p>
    <w:p w14:paraId="7B24C608">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经检验，检验项目全部合格，判定为被抽查产品所检项目未发现不合格；检验项目中任一项或一项以上不合格，判定为被抽查产品不合格。</w:t>
      </w:r>
    </w:p>
    <w:p w14:paraId="3F8FC9A1">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若被检产品明示的质量要求高于本细则中检验项目依据的标准要求时，应按被检产品明示的质量要求判定。</w:t>
      </w:r>
    </w:p>
    <w:p w14:paraId="34AD2F1C">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若被检产品明示的质量要求低于本细则中检验项目依据的强制性标准要求时，应按照强制性标准要求判定。</w:t>
      </w:r>
    </w:p>
    <w:p w14:paraId="0EEF6776">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若被检产品明示的质量要求低于或包含本细则中检验项目依据的推荐性标准要求时，应以被检产品明示的质量要求判定。</w:t>
      </w:r>
    </w:p>
    <w:p w14:paraId="5A41573C">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若被检产品明示的质量要求缺少本细则中检验项目依据的强制性标准要求时，应按照强制性标准要求判定。</w:t>
      </w:r>
    </w:p>
    <w:p w14:paraId="7052216B">
      <w:pPr>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若被检产品明示的质量要求缺少本细则中检验项目依据的推荐性标准要求时，该项目不参与判定。</w:t>
      </w:r>
    </w:p>
    <w:p w14:paraId="7AD8589F">
      <w:pPr>
        <w:spacing w:line="440" w:lineRule="exact"/>
        <w:ind w:firstLine="420" w:firstLineChars="200"/>
        <w:rPr>
          <w:rFonts w:hint="eastAsia" w:ascii="宋体" w:hAnsi="宋体" w:eastAsia="宋体" w:cs="宋体"/>
          <w:color w:val="000000"/>
          <w:szCs w:val="21"/>
        </w:rPr>
      </w:pPr>
    </w:p>
    <w:p w14:paraId="51F94D8B">
      <w:pPr>
        <w:snapToGrid w:val="0"/>
        <w:spacing w:line="440" w:lineRule="exact"/>
        <w:ind w:firstLine="417" w:firstLineChars="199"/>
        <w:rPr>
          <w:rFonts w:hint="eastAsia" w:ascii="宋体" w:hAnsi="宋体" w:eastAsia="宋体" w:cs="宋体"/>
          <w:color w:val="000000"/>
          <w:szCs w:val="21"/>
        </w:rPr>
      </w:pPr>
    </w:p>
    <w:bookmarkEnd w:id="0"/>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7BC42D09"/>
    <w:rsid w:val="000A37EA"/>
    <w:rsid w:val="00132CB7"/>
    <w:rsid w:val="00165DC2"/>
    <w:rsid w:val="00186ACD"/>
    <w:rsid w:val="0021780C"/>
    <w:rsid w:val="002C7FC5"/>
    <w:rsid w:val="00397971"/>
    <w:rsid w:val="004B1B57"/>
    <w:rsid w:val="00515A7C"/>
    <w:rsid w:val="00571AE9"/>
    <w:rsid w:val="0061176E"/>
    <w:rsid w:val="00614D0C"/>
    <w:rsid w:val="00655268"/>
    <w:rsid w:val="006F0AE7"/>
    <w:rsid w:val="007244BA"/>
    <w:rsid w:val="007303C4"/>
    <w:rsid w:val="00880EE2"/>
    <w:rsid w:val="008F7476"/>
    <w:rsid w:val="00983635"/>
    <w:rsid w:val="00A152F9"/>
    <w:rsid w:val="00A467A4"/>
    <w:rsid w:val="00B66183"/>
    <w:rsid w:val="00BB3977"/>
    <w:rsid w:val="00DA52B5"/>
    <w:rsid w:val="00DA7B04"/>
    <w:rsid w:val="00E20076"/>
    <w:rsid w:val="00E408FF"/>
    <w:rsid w:val="00E53B9B"/>
    <w:rsid w:val="00EF6432"/>
    <w:rsid w:val="00F45ECA"/>
    <w:rsid w:val="00F60380"/>
    <w:rsid w:val="02EB0FC6"/>
    <w:rsid w:val="033060E3"/>
    <w:rsid w:val="05B9677F"/>
    <w:rsid w:val="05C84C14"/>
    <w:rsid w:val="0D3A75AC"/>
    <w:rsid w:val="1080090C"/>
    <w:rsid w:val="19534FF6"/>
    <w:rsid w:val="21985F68"/>
    <w:rsid w:val="316D4504"/>
    <w:rsid w:val="38001094"/>
    <w:rsid w:val="43E75C8A"/>
    <w:rsid w:val="45702510"/>
    <w:rsid w:val="4A7F1F1E"/>
    <w:rsid w:val="4EC2090C"/>
    <w:rsid w:val="50AD5AE5"/>
    <w:rsid w:val="525C0CC9"/>
    <w:rsid w:val="538A6655"/>
    <w:rsid w:val="5B775237"/>
    <w:rsid w:val="61CB0BCA"/>
    <w:rsid w:val="64166A22"/>
    <w:rsid w:val="65F164DF"/>
    <w:rsid w:val="6A06777D"/>
    <w:rsid w:val="6A0D536A"/>
    <w:rsid w:val="6A215864"/>
    <w:rsid w:val="6BC90595"/>
    <w:rsid w:val="6FFB7B9C"/>
    <w:rsid w:val="73223535"/>
    <w:rsid w:val="78DB1925"/>
    <w:rsid w:val="7BC42D09"/>
    <w:rsid w:val="7F343AA5"/>
    <w:rsid w:val="7F4A4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spacing w:before="100" w:beforeAutospacing="1" w:after="100" w:afterAutospacing="1"/>
      <w:jc w:val="left"/>
    </w:pPr>
    <w:rPr>
      <w:rFonts w:ascii="Calibri" w:hAnsi="Calibri"/>
      <w:kern w:val="0"/>
      <w:sz w:val="24"/>
      <w:szCs w:val="22"/>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rFonts w:ascii="Times New Roman" w:hAnsi="Times New Roman" w:eastAsia="宋体" w:cs="Times New Roman"/>
      <w:kern w:val="2"/>
      <w:sz w:val="18"/>
      <w:szCs w:val="18"/>
    </w:rPr>
  </w:style>
  <w:style w:type="character" w:customStyle="1" w:styleId="9">
    <w:name w:val="页脚 字符"/>
    <w:basedOn w:val="7"/>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www.caams.org.cn</Company>
  <Pages>2</Pages>
  <Words>686</Words>
  <Characters>849</Characters>
  <Lines>7</Lines>
  <Paragraphs>2</Paragraphs>
  <TotalTime>0</TotalTime>
  <ScaleCrop>false</ScaleCrop>
  <LinksUpToDate>false</LinksUpToDate>
  <CharactersWithSpaces>868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2024-01-19T01:57:00Z</dcterms:created>
  <dc:creator>神奇的宋</dc:creator>
  <cp:lastModifiedBy>申雅楠</cp:lastModifiedBy>
  <dcterms:modified xsi:type="dcterms:W3CDTF">2024-08-12T05:54:17Z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A8583E8F91214432A2B3B9020E50B43D_13</vt:lpwstr>
  </property>
</Properties>
</file>