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4" w:lineRule="exact"/>
        <w:jc w:val="center"/>
        <w:rPr>
          <w:rFonts w:hint="eastAsia" w:eastAsia="方正小标宋简体" w:cs="方正仿宋简体"/>
          <w:sz w:val="32"/>
          <w:szCs w:val="32"/>
          <w:lang w:eastAsia="zh-CN"/>
        </w:rPr>
      </w:pPr>
      <w:r>
        <w:rPr>
          <w:rFonts w:hint="eastAsia" w:eastAsia="方正小标宋简体" w:cs="方正仿宋简体"/>
          <w:sz w:val="32"/>
          <w:szCs w:val="32"/>
          <w:lang w:val="en-US" w:eastAsia="zh-CN"/>
        </w:rPr>
        <w:t>鞍山市</w:t>
      </w:r>
      <w:r>
        <w:rPr>
          <w:rFonts w:hint="eastAsia" w:eastAsia="方正小标宋简体" w:cs="方正仿宋简体"/>
          <w:sz w:val="32"/>
          <w:szCs w:val="32"/>
        </w:rPr>
        <w:t>液化石油气</w:t>
      </w:r>
      <w:r>
        <w:rPr>
          <w:rFonts w:eastAsia="方正小标宋简体" w:cs="方正仿宋简体"/>
          <w:sz w:val="32"/>
          <w:szCs w:val="32"/>
        </w:rPr>
        <w:t>产品质量监督抽查实施细则</w:t>
      </w:r>
      <w:r>
        <w:rPr>
          <w:rFonts w:eastAsia="方正小标宋简体" w:cs="方正仿宋简体"/>
          <w:sz w:val="32"/>
          <w:szCs w:val="32"/>
        </w:rPr>
        <w:br w:type="textWrapping"/>
      </w:r>
      <w:r>
        <w:rPr>
          <w:rFonts w:hint="eastAsia" w:eastAsia="方正小标宋简体" w:cs="方正仿宋简体"/>
          <w:sz w:val="32"/>
          <w:szCs w:val="32"/>
          <w:lang w:eastAsia="zh-CN"/>
        </w:rPr>
        <w:t>（</w:t>
      </w:r>
      <w:r>
        <w:rPr>
          <w:rFonts w:hint="eastAsia" w:eastAsia="方正小标宋简体" w:cs="方正仿宋简体"/>
          <w:sz w:val="32"/>
          <w:szCs w:val="32"/>
          <w:lang w:val="en-US" w:eastAsia="zh-CN"/>
        </w:rPr>
        <w:t>2024年版</w:t>
      </w:r>
      <w:bookmarkStart w:id="0" w:name="_GoBack"/>
      <w:bookmarkEnd w:id="0"/>
      <w:r>
        <w:rPr>
          <w:rFonts w:hint="eastAsia" w:eastAsia="方正小标宋简体" w:cs="方正仿宋简体"/>
          <w:sz w:val="32"/>
          <w:szCs w:val="32"/>
          <w:lang w:eastAsia="zh-CN"/>
        </w:rPr>
        <w:t>）</w:t>
      </w:r>
    </w:p>
    <w:p>
      <w:pPr>
        <w:snapToGrid w:val="0"/>
        <w:spacing w:line="360" w:lineRule="auto"/>
        <w:jc w:val="center"/>
        <w:rPr>
          <w:rFonts w:eastAsia="方正小标宋简体"/>
          <w:sz w:val="32"/>
          <w:szCs w:val="32"/>
        </w:rPr>
      </w:pPr>
    </w:p>
    <w:p>
      <w:pPr>
        <w:snapToGrid w:val="0"/>
        <w:spacing w:line="440" w:lineRule="exact"/>
        <w:rPr>
          <w:rFonts w:eastAsia="黑体"/>
          <w:szCs w:val="21"/>
        </w:rPr>
      </w:pPr>
      <w:r>
        <w:rPr>
          <w:rFonts w:eastAsia="黑体"/>
          <w:szCs w:val="21"/>
        </w:rPr>
        <w:t>1 抽样方法</w:t>
      </w:r>
    </w:p>
    <w:p>
      <w:pPr>
        <w:spacing w:line="440" w:lineRule="exact"/>
        <w:ind w:firstLine="420" w:firstLineChars="200"/>
        <w:rPr>
          <w:szCs w:val="21"/>
        </w:rPr>
      </w:pPr>
      <w:r>
        <w:rPr>
          <w:szCs w:val="21"/>
        </w:rPr>
        <w:t>以随机抽样的方式在被抽样生产者、销售者的待销产品中抽取。</w:t>
      </w:r>
    </w:p>
    <w:p>
      <w:pPr>
        <w:spacing w:line="440" w:lineRule="exact"/>
        <w:ind w:firstLine="420" w:firstLineChars="200"/>
        <w:rPr>
          <w:szCs w:val="21"/>
        </w:rPr>
      </w:pPr>
      <w:r>
        <w:rPr>
          <w:szCs w:val="21"/>
        </w:rPr>
        <w:t>随机数一般可使用随机数表等方法产生。</w:t>
      </w:r>
    </w:p>
    <w:p>
      <w:pPr>
        <w:spacing w:line="440" w:lineRule="exact"/>
        <w:ind w:firstLine="420" w:firstLineChars="200"/>
        <w:rPr>
          <w:szCs w:val="21"/>
        </w:rPr>
      </w:pPr>
      <w:r>
        <w:rPr>
          <w:rFonts w:hint="eastAsia"/>
          <w:szCs w:val="21"/>
        </w:rPr>
        <w:t>每批次产品抽取样品不少于2kg，其中1/2作为检验样品，1/2作为备用样品。</w:t>
      </w:r>
    </w:p>
    <w:p>
      <w:pPr>
        <w:snapToGrid w:val="0"/>
        <w:spacing w:line="440" w:lineRule="exact"/>
        <w:rPr>
          <w:szCs w:val="21"/>
        </w:rPr>
      </w:pPr>
    </w:p>
    <w:p>
      <w:pPr>
        <w:snapToGrid w:val="0"/>
        <w:spacing w:line="440" w:lineRule="exact"/>
        <w:rPr>
          <w:rFonts w:eastAsia="黑体"/>
          <w:szCs w:val="21"/>
        </w:rPr>
      </w:pPr>
      <w:r>
        <w:rPr>
          <w:rFonts w:eastAsia="黑体"/>
          <w:szCs w:val="21"/>
        </w:rPr>
        <w:t>2 检验依据</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7"/>
        <w:gridCol w:w="4200"/>
        <w:gridCol w:w="29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047" w:type="dxa"/>
            <w:vAlign w:val="center"/>
          </w:tcPr>
          <w:p>
            <w:pPr>
              <w:jc w:val="center"/>
              <w:rPr>
                <w:szCs w:val="21"/>
              </w:rPr>
            </w:pPr>
            <w:r>
              <w:rPr>
                <w:szCs w:val="21"/>
              </w:rPr>
              <w:t>序号</w:t>
            </w:r>
          </w:p>
        </w:tc>
        <w:tc>
          <w:tcPr>
            <w:tcW w:w="4200" w:type="dxa"/>
            <w:vAlign w:val="center"/>
          </w:tcPr>
          <w:p>
            <w:pPr>
              <w:jc w:val="center"/>
              <w:rPr>
                <w:szCs w:val="21"/>
              </w:rPr>
            </w:pPr>
            <w:r>
              <w:rPr>
                <w:szCs w:val="21"/>
              </w:rPr>
              <w:t>检验项目</w:t>
            </w:r>
          </w:p>
        </w:tc>
        <w:tc>
          <w:tcPr>
            <w:tcW w:w="2970" w:type="dxa"/>
            <w:vAlign w:val="center"/>
          </w:tcPr>
          <w:p>
            <w:pPr>
              <w:jc w:val="center"/>
              <w:rPr>
                <w:szCs w:val="21"/>
              </w:rPr>
            </w:pPr>
            <w:r>
              <w:rPr>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1047" w:type="dxa"/>
            <w:vAlign w:val="center"/>
          </w:tcPr>
          <w:p>
            <w:pPr>
              <w:jc w:val="center"/>
              <w:rPr>
                <w:rFonts w:eastAsia="仿宋_GB2312"/>
                <w:szCs w:val="21"/>
              </w:rPr>
            </w:pPr>
            <w:r>
              <w:rPr>
                <w:rFonts w:eastAsia="仿宋_GB2312"/>
                <w:szCs w:val="21"/>
              </w:rPr>
              <w:t>1</w:t>
            </w:r>
          </w:p>
        </w:tc>
        <w:tc>
          <w:tcPr>
            <w:tcW w:w="4200" w:type="dxa"/>
            <w:tcBorders>
              <w:top w:val="single" w:color="auto" w:sz="4" w:space="0"/>
            </w:tcBorders>
            <w:vAlign w:val="center"/>
          </w:tcPr>
          <w:p>
            <w:pPr>
              <w:jc w:val="center"/>
              <w:rPr>
                <w:szCs w:val="21"/>
              </w:rPr>
            </w:pPr>
            <w:r>
              <w:rPr>
                <w:rFonts w:hint="eastAsia"/>
                <w:szCs w:val="21"/>
              </w:rPr>
              <w:t>蒸气压（37.8℃）</w:t>
            </w:r>
          </w:p>
        </w:tc>
        <w:tc>
          <w:tcPr>
            <w:tcW w:w="2970" w:type="dxa"/>
            <w:vAlign w:val="center"/>
          </w:tcPr>
          <w:p>
            <w:pPr>
              <w:jc w:val="center"/>
              <w:rPr>
                <w:szCs w:val="21"/>
              </w:rPr>
            </w:pPr>
            <w:r>
              <w:rPr>
                <w:szCs w:val="21"/>
              </w:rPr>
              <w:t>GB/T 12576-1997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1047" w:type="dxa"/>
            <w:vAlign w:val="center"/>
          </w:tcPr>
          <w:p>
            <w:pPr>
              <w:jc w:val="center"/>
              <w:rPr>
                <w:rFonts w:eastAsia="仿宋_GB2312"/>
                <w:szCs w:val="21"/>
              </w:rPr>
            </w:pPr>
            <w:r>
              <w:rPr>
                <w:rFonts w:eastAsia="仿宋_GB2312"/>
                <w:szCs w:val="21"/>
              </w:rPr>
              <w:t>2</w:t>
            </w:r>
          </w:p>
        </w:tc>
        <w:tc>
          <w:tcPr>
            <w:tcW w:w="4200" w:type="dxa"/>
            <w:tcBorders>
              <w:top w:val="single" w:color="auto" w:sz="4" w:space="0"/>
            </w:tcBorders>
            <w:vAlign w:val="center"/>
          </w:tcPr>
          <w:p>
            <w:pPr>
              <w:jc w:val="center"/>
              <w:rPr>
                <w:szCs w:val="21"/>
              </w:rPr>
            </w:pPr>
            <w:r>
              <w:rPr>
                <w:rFonts w:hint="eastAsia"/>
                <w:szCs w:val="21"/>
              </w:rPr>
              <w:t>组分</w:t>
            </w:r>
          </w:p>
        </w:tc>
        <w:tc>
          <w:tcPr>
            <w:tcW w:w="2970" w:type="dxa"/>
            <w:vAlign w:val="center"/>
          </w:tcPr>
          <w:p>
            <w:pPr>
              <w:jc w:val="center"/>
              <w:rPr>
                <w:szCs w:val="21"/>
              </w:rPr>
            </w:pPr>
            <w:r>
              <w:rPr>
                <w:szCs w:val="21"/>
              </w:rPr>
              <w:t>NB/SH/T 0230-2019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1047" w:type="dxa"/>
            <w:vAlign w:val="center"/>
          </w:tcPr>
          <w:p>
            <w:pPr>
              <w:jc w:val="center"/>
              <w:rPr>
                <w:rFonts w:eastAsia="仿宋_GB2312"/>
                <w:szCs w:val="21"/>
              </w:rPr>
            </w:pPr>
            <w:r>
              <w:rPr>
                <w:rFonts w:eastAsia="仿宋_GB2312"/>
                <w:szCs w:val="21"/>
              </w:rPr>
              <w:t>3</w:t>
            </w:r>
          </w:p>
        </w:tc>
        <w:tc>
          <w:tcPr>
            <w:tcW w:w="4200" w:type="dxa"/>
            <w:vAlign w:val="center"/>
          </w:tcPr>
          <w:p>
            <w:pPr>
              <w:jc w:val="center"/>
              <w:rPr>
                <w:szCs w:val="21"/>
              </w:rPr>
            </w:pPr>
            <w:r>
              <w:rPr>
                <w:rFonts w:hint="eastAsia"/>
                <w:szCs w:val="21"/>
              </w:rPr>
              <w:t>残留物</w:t>
            </w:r>
          </w:p>
        </w:tc>
        <w:tc>
          <w:tcPr>
            <w:tcW w:w="2970" w:type="dxa"/>
            <w:vAlign w:val="center"/>
          </w:tcPr>
          <w:p>
            <w:pPr>
              <w:jc w:val="center"/>
              <w:rPr>
                <w:szCs w:val="21"/>
              </w:rPr>
            </w:pPr>
            <w:r>
              <w:rPr>
                <w:szCs w:val="21"/>
              </w:rPr>
              <w:t>SY/T 7509-2014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1047" w:type="dxa"/>
            <w:vAlign w:val="center"/>
          </w:tcPr>
          <w:p>
            <w:pPr>
              <w:jc w:val="center"/>
              <w:rPr>
                <w:rFonts w:eastAsia="仿宋_GB2312"/>
                <w:szCs w:val="21"/>
              </w:rPr>
            </w:pPr>
            <w:r>
              <w:rPr>
                <w:rFonts w:hint="eastAsia" w:eastAsia="仿宋_GB2312"/>
                <w:szCs w:val="21"/>
              </w:rPr>
              <w:t>4</w:t>
            </w:r>
          </w:p>
        </w:tc>
        <w:tc>
          <w:tcPr>
            <w:tcW w:w="4200" w:type="dxa"/>
            <w:vAlign w:val="center"/>
          </w:tcPr>
          <w:p>
            <w:pPr>
              <w:jc w:val="center"/>
              <w:rPr>
                <w:szCs w:val="21"/>
              </w:rPr>
            </w:pPr>
            <w:r>
              <w:rPr>
                <w:rFonts w:hint="eastAsia"/>
                <w:szCs w:val="21"/>
              </w:rPr>
              <w:t>铜片腐蚀（40℃，1h）</w:t>
            </w:r>
          </w:p>
        </w:tc>
        <w:tc>
          <w:tcPr>
            <w:tcW w:w="2970" w:type="dxa"/>
            <w:vAlign w:val="center"/>
          </w:tcPr>
          <w:p>
            <w:pPr>
              <w:jc w:val="center"/>
              <w:rPr>
                <w:szCs w:val="21"/>
              </w:rPr>
            </w:pPr>
            <w:r>
              <w:rPr>
                <w:szCs w:val="21"/>
              </w:rPr>
              <w:t>SH/T 0232-1992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1047" w:type="dxa"/>
            <w:vAlign w:val="center"/>
          </w:tcPr>
          <w:p>
            <w:pPr>
              <w:jc w:val="center"/>
              <w:rPr>
                <w:rFonts w:eastAsia="仿宋_GB2312"/>
                <w:szCs w:val="21"/>
              </w:rPr>
            </w:pPr>
            <w:r>
              <w:rPr>
                <w:rFonts w:hint="eastAsia" w:eastAsia="仿宋_GB2312"/>
                <w:szCs w:val="21"/>
              </w:rPr>
              <w:t>5</w:t>
            </w:r>
          </w:p>
        </w:tc>
        <w:tc>
          <w:tcPr>
            <w:tcW w:w="4200" w:type="dxa"/>
            <w:vAlign w:val="center"/>
          </w:tcPr>
          <w:p>
            <w:pPr>
              <w:jc w:val="center"/>
              <w:rPr>
                <w:szCs w:val="21"/>
              </w:rPr>
            </w:pPr>
            <w:r>
              <w:rPr>
                <w:rFonts w:hint="eastAsia"/>
                <w:szCs w:val="21"/>
              </w:rPr>
              <w:t>总硫含量</w:t>
            </w:r>
          </w:p>
        </w:tc>
        <w:tc>
          <w:tcPr>
            <w:tcW w:w="2970" w:type="dxa"/>
            <w:vAlign w:val="center"/>
          </w:tcPr>
          <w:p>
            <w:pPr>
              <w:jc w:val="center"/>
              <w:rPr>
                <w:szCs w:val="21"/>
              </w:rPr>
            </w:pPr>
            <w:r>
              <w:rPr>
                <w:szCs w:val="21"/>
              </w:rPr>
              <w:t>SH/T 0222-1992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1047" w:type="dxa"/>
            <w:vAlign w:val="center"/>
          </w:tcPr>
          <w:p>
            <w:pPr>
              <w:jc w:val="center"/>
              <w:rPr>
                <w:rFonts w:eastAsia="仿宋_GB2312"/>
                <w:szCs w:val="21"/>
              </w:rPr>
            </w:pPr>
            <w:r>
              <w:rPr>
                <w:rFonts w:hint="eastAsia" w:eastAsia="仿宋_GB2312"/>
                <w:szCs w:val="21"/>
              </w:rPr>
              <w:t>6</w:t>
            </w:r>
          </w:p>
        </w:tc>
        <w:tc>
          <w:tcPr>
            <w:tcW w:w="4200" w:type="dxa"/>
            <w:vAlign w:val="center"/>
          </w:tcPr>
          <w:p>
            <w:pPr>
              <w:jc w:val="center"/>
              <w:rPr>
                <w:szCs w:val="21"/>
              </w:rPr>
            </w:pPr>
            <w:r>
              <w:rPr>
                <w:rFonts w:hint="eastAsia"/>
                <w:szCs w:val="21"/>
              </w:rPr>
              <w:t>游离水</w:t>
            </w:r>
          </w:p>
        </w:tc>
        <w:tc>
          <w:tcPr>
            <w:tcW w:w="2970" w:type="dxa"/>
            <w:vAlign w:val="center"/>
          </w:tcPr>
          <w:p>
            <w:pPr>
              <w:jc w:val="center"/>
              <w:rPr>
                <w:rFonts w:hint="eastAsia"/>
                <w:szCs w:val="21"/>
              </w:rPr>
            </w:pPr>
            <w:r>
              <w:rPr>
                <w:rFonts w:hint="eastAsia"/>
                <w:szCs w:val="21"/>
              </w:rPr>
              <w:t>GB 11174-2011</w:t>
            </w:r>
          </w:p>
          <w:p>
            <w:pPr>
              <w:jc w:val="center"/>
              <w:rPr>
                <w:szCs w:val="21"/>
              </w:rPr>
            </w:pPr>
            <w:r>
              <w:rPr>
                <w:rFonts w:hint="eastAsia"/>
                <w:szCs w:val="21"/>
              </w:rPr>
              <w:t>SH/T 0221-1992</w:t>
            </w:r>
          </w:p>
        </w:tc>
      </w:tr>
    </w:tbl>
    <w:p>
      <w:pPr>
        <w:adjustRightInd w:val="0"/>
        <w:snapToGrid w:val="0"/>
        <w:spacing w:line="440" w:lineRule="exact"/>
        <w:ind w:firstLine="420" w:firstLineChars="200"/>
        <w:rPr>
          <w:szCs w:val="21"/>
        </w:rPr>
      </w:pPr>
      <w:r>
        <w:rPr>
          <w:rFonts w:hint="eastAsia"/>
          <w:szCs w:val="21"/>
        </w:rPr>
        <w:t>执行企业标准、团体标准、地方标准的产品，检验项目参照上述内容执行。</w:t>
      </w:r>
    </w:p>
    <w:p>
      <w:pPr>
        <w:snapToGrid w:val="0"/>
        <w:spacing w:line="440" w:lineRule="exact"/>
        <w:ind w:firstLine="420" w:firstLineChars="200"/>
        <w:rPr>
          <w:szCs w:val="21"/>
        </w:rPr>
      </w:pPr>
      <w:r>
        <w:rPr>
          <w:szCs w:val="21"/>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szCs w:val="21"/>
        </w:rPr>
      </w:pPr>
    </w:p>
    <w:p>
      <w:pPr>
        <w:spacing w:line="360" w:lineRule="auto"/>
        <w:rPr>
          <w:rFonts w:eastAsia="黑体"/>
          <w:szCs w:val="21"/>
        </w:rPr>
      </w:pPr>
      <w:r>
        <w:rPr>
          <w:rFonts w:eastAsia="黑体"/>
          <w:szCs w:val="21"/>
        </w:rPr>
        <w:t>3 判定规则</w:t>
      </w:r>
    </w:p>
    <w:p>
      <w:pPr>
        <w:snapToGrid w:val="0"/>
        <w:spacing w:line="440" w:lineRule="exact"/>
        <w:rPr>
          <w:szCs w:val="21"/>
        </w:rPr>
      </w:pPr>
      <w:r>
        <w:rPr>
          <w:szCs w:val="21"/>
        </w:rPr>
        <w:t>3.1依据标准</w:t>
      </w:r>
    </w:p>
    <w:p>
      <w:pPr>
        <w:snapToGrid w:val="0"/>
        <w:spacing w:line="440" w:lineRule="exact"/>
        <w:ind w:firstLine="420" w:firstLineChars="200"/>
        <w:rPr>
          <w:szCs w:val="21"/>
        </w:rPr>
      </w:pPr>
      <w:r>
        <w:rPr>
          <w:szCs w:val="21"/>
        </w:rPr>
        <w:t xml:space="preserve">GB 11174-2011 </w:t>
      </w:r>
      <w:r>
        <w:rPr>
          <w:rFonts w:hint="eastAsia"/>
          <w:szCs w:val="21"/>
        </w:rPr>
        <w:t>液化石油气</w:t>
      </w:r>
    </w:p>
    <w:p>
      <w:pPr>
        <w:snapToGrid w:val="0"/>
        <w:spacing w:line="440" w:lineRule="exact"/>
        <w:ind w:firstLine="420" w:firstLineChars="200"/>
        <w:rPr>
          <w:szCs w:val="21"/>
        </w:rPr>
      </w:pPr>
      <w:r>
        <w:rPr>
          <w:szCs w:val="21"/>
        </w:rPr>
        <w:t>现行有效的企业标准、团体标准、地方标准及产品明示质量要求</w:t>
      </w:r>
    </w:p>
    <w:p>
      <w:pPr>
        <w:snapToGrid w:val="0"/>
        <w:spacing w:line="440" w:lineRule="exact"/>
        <w:rPr>
          <w:szCs w:val="21"/>
        </w:rPr>
      </w:pPr>
      <w:r>
        <w:rPr>
          <w:szCs w:val="21"/>
        </w:rPr>
        <w:t>3.2判定原则</w:t>
      </w:r>
    </w:p>
    <w:p>
      <w:pPr>
        <w:snapToGrid w:val="0"/>
        <w:spacing w:line="440" w:lineRule="exact"/>
        <w:ind w:firstLine="420" w:firstLineChars="200"/>
        <w:rPr>
          <w:szCs w:val="21"/>
        </w:rPr>
      </w:pPr>
      <w:r>
        <w:rPr>
          <w:szCs w:val="21"/>
        </w:rPr>
        <w:t>经检验，检验项目全部合格，判定为被抽查产品</w:t>
      </w:r>
      <w:r>
        <w:rPr>
          <w:rFonts w:hint="eastAsia"/>
          <w:szCs w:val="21"/>
        </w:rPr>
        <w:t>所检项目未发现不</w:t>
      </w:r>
      <w:r>
        <w:rPr>
          <w:szCs w:val="21"/>
        </w:rPr>
        <w:t>合格；检验项目中任一项或一项以上不合格，判定为被抽查产品不合格。</w:t>
      </w:r>
    </w:p>
    <w:p>
      <w:pPr>
        <w:snapToGrid w:val="0"/>
        <w:spacing w:line="440" w:lineRule="exact"/>
        <w:ind w:firstLine="417" w:firstLineChars="199"/>
        <w:rPr>
          <w:szCs w:val="21"/>
        </w:rPr>
      </w:pPr>
      <w:r>
        <w:rPr>
          <w:szCs w:val="21"/>
        </w:rPr>
        <w:t>若被检产品明示的质量要求高于本细则中检验项目依据的标准要求时，应按被检产品明示的质量要求判定。</w:t>
      </w:r>
    </w:p>
    <w:p>
      <w:pPr>
        <w:snapToGrid w:val="0"/>
        <w:spacing w:line="440" w:lineRule="exact"/>
        <w:ind w:firstLine="417" w:firstLineChars="199"/>
        <w:rPr>
          <w:szCs w:val="21"/>
        </w:rPr>
      </w:pPr>
      <w:r>
        <w:rPr>
          <w:szCs w:val="21"/>
        </w:rPr>
        <w:t>若被检产品明示的质量要求低于本细则中检验项目依据的强制性标准要求时，应按照强制性标准要求判定。</w:t>
      </w:r>
    </w:p>
    <w:p>
      <w:pPr>
        <w:snapToGrid w:val="0"/>
        <w:spacing w:line="440" w:lineRule="exact"/>
        <w:ind w:firstLine="417" w:firstLineChars="199"/>
        <w:rPr>
          <w:szCs w:val="21"/>
        </w:rPr>
      </w:pPr>
      <w:r>
        <w:rPr>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szCs w:val="21"/>
        </w:rPr>
      </w:pPr>
      <w:r>
        <w:rPr>
          <w:szCs w:val="21"/>
        </w:rPr>
        <w:t>若被检产品明示的质量要求缺少本细则中检验项目依据的强制性标准要求时，应按照强制性标准要求判定。</w:t>
      </w:r>
    </w:p>
    <w:p>
      <w:pPr>
        <w:snapToGrid w:val="0"/>
        <w:spacing w:line="440" w:lineRule="exact"/>
        <w:ind w:firstLine="417" w:firstLineChars="199"/>
        <w:rPr>
          <w:szCs w:val="21"/>
        </w:rPr>
      </w:pPr>
      <w:r>
        <w:rPr>
          <w:szCs w:val="21"/>
        </w:rPr>
        <w:t>若被检产品明示的质量要求缺少本细则中检验项目依据的推荐性标准要求时，该项目不参与判定。</w:t>
      </w:r>
    </w:p>
    <w:p>
      <w:pPr>
        <w:snapToGrid w:val="0"/>
        <w:spacing w:line="440" w:lineRule="exact"/>
        <w:ind w:firstLine="417" w:firstLineChars="199"/>
        <w:rPr>
          <w:szCs w:val="21"/>
        </w:rPr>
      </w:pPr>
    </w:p>
    <w:sectPr>
      <w:pgSz w:w="11906" w:h="16838"/>
      <w:pgMar w:top="1985"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小标宋简体">
    <w:panose1 w:val="02000000000000000000"/>
    <w:charset w:val="86"/>
    <w:family w:val="script"/>
    <w:pitch w:val="default"/>
    <w:sig w:usb0="00000001" w:usb1="08000000" w:usb2="00000000" w:usb3="00000000" w:csb0="00040000" w:csb1="00000000"/>
  </w:font>
  <w:font w:name="方正仿宋简体">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M1M2FhZjFkMGNjZGM3MTA2OTc3MmM3NTMzZTdmNTYifQ=="/>
  </w:docVars>
  <w:rsids>
    <w:rsidRoot w:val="002F3A86"/>
    <w:rsid w:val="00015D2A"/>
    <w:rsid w:val="00043E20"/>
    <w:rsid w:val="00086E14"/>
    <w:rsid w:val="00177DF9"/>
    <w:rsid w:val="001C719F"/>
    <w:rsid w:val="002004E7"/>
    <w:rsid w:val="002747EF"/>
    <w:rsid w:val="00290C00"/>
    <w:rsid w:val="0029162A"/>
    <w:rsid w:val="002F3A86"/>
    <w:rsid w:val="00345456"/>
    <w:rsid w:val="00381DCA"/>
    <w:rsid w:val="003B2EB2"/>
    <w:rsid w:val="003F4DA7"/>
    <w:rsid w:val="00414FCF"/>
    <w:rsid w:val="004A3131"/>
    <w:rsid w:val="004A34C9"/>
    <w:rsid w:val="006337D4"/>
    <w:rsid w:val="00775A62"/>
    <w:rsid w:val="009410B7"/>
    <w:rsid w:val="0098534A"/>
    <w:rsid w:val="00A55105"/>
    <w:rsid w:val="00AE2469"/>
    <w:rsid w:val="00B44460"/>
    <w:rsid w:val="00BD4DC7"/>
    <w:rsid w:val="00C43945"/>
    <w:rsid w:val="00D426DD"/>
    <w:rsid w:val="00D632A3"/>
    <w:rsid w:val="00E1419B"/>
    <w:rsid w:val="00EE16F0"/>
    <w:rsid w:val="00F73346"/>
    <w:rsid w:val="04212A78"/>
    <w:rsid w:val="5D1149FE"/>
    <w:rsid w:val="671059A6"/>
    <w:rsid w:val="F3D7CC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8"/>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4">
    <w:name w:val="heading 2"/>
    <w:basedOn w:val="1"/>
    <w:next w:val="1"/>
    <w:link w:val="19"/>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5">
    <w:name w:val="heading 3"/>
    <w:basedOn w:val="1"/>
    <w:next w:val="1"/>
    <w:link w:val="20"/>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6">
    <w:name w:val="heading 4"/>
    <w:basedOn w:val="1"/>
    <w:next w:val="1"/>
    <w:link w:val="21"/>
    <w:semiHidden/>
    <w:unhideWhenUsed/>
    <w:qFormat/>
    <w:uiPriority w:val="9"/>
    <w:pPr>
      <w:keepNext/>
      <w:keepLines/>
      <w:spacing w:before="80" w:after="40"/>
      <w:outlineLvl w:val="3"/>
    </w:pPr>
    <w:rPr>
      <w:rFonts w:asciiTheme="minorHAnsi" w:hAnsiTheme="minorHAnsi" w:eastAsiaTheme="minorEastAsia" w:cstheme="majorBidi"/>
      <w:color w:val="104862" w:themeColor="accent1" w:themeShade="BF"/>
      <w:sz w:val="28"/>
      <w:szCs w:val="28"/>
    </w:rPr>
  </w:style>
  <w:style w:type="paragraph" w:styleId="7">
    <w:name w:val="heading 5"/>
    <w:basedOn w:val="1"/>
    <w:next w:val="1"/>
    <w:link w:val="22"/>
    <w:semiHidden/>
    <w:unhideWhenUsed/>
    <w:qFormat/>
    <w:uiPriority w:val="9"/>
    <w:pPr>
      <w:keepNext/>
      <w:keepLines/>
      <w:spacing w:before="80" w:after="40"/>
      <w:outlineLvl w:val="4"/>
    </w:pPr>
    <w:rPr>
      <w:rFonts w:asciiTheme="minorHAnsi" w:hAnsiTheme="minorHAnsi" w:eastAsiaTheme="minorEastAsia" w:cstheme="majorBidi"/>
      <w:color w:val="104862" w:themeColor="accent1" w:themeShade="BF"/>
      <w:sz w:val="24"/>
    </w:rPr>
  </w:style>
  <w:style w:type="paragraph" w:styleId="8">
    <w:name w:val="heading 6"/>
    <w:basedOn w:val="1"/>
    <w:next w:val="1"/>
    <w:link w:val="23"/>
    <w:semiHidden/>
    <w:unhideWhenUsed/>
    <w:qFormat/>
    <w:uiPriority w:val="9"/>
    <w:pPr>
      <w:keepNext/>
      <w:keepLines/>
      <w:spacing w:before="40"/>
      <w:outlineLvl w:val="5"/>
    </w:pPr>
    <w:rPr>
      <w:rFonts w:asciiTheme="minorHAnsi" w:hAnsiTheme="minorHAnsi" w:eastAsiaTheme="minorEastAsia" w:cstheme="majorBidi"/>
      <w:b/>
      <w:bCs/>
      <w:color w:val="104862" w:themeColor="accent1" w:themeShade="BF"/>
      <w:szCs w:val="22"/>
    </w:rPr>
  </w:style>
  <w:style w:type="paragraph" w:styleId="9">
    <w:name w:val="heading 7"/>
    <w:basedOn w:val="1"/>
    <w:next w:val="1"/>
    <w:link w:val="24"/>
    <w:semiHidden/>
    <w:unhideWhenUsed/>
    <w:qFormat/>
    <w:uiPriority w:val="9"/>
    <w:pPr>
      <w:keepNext/>
      <w:keepLines/>
      <w:spacing w:before="40"/>
      <w:outlineLvl w:val="6"/>
    </w:pPr>
    <w:rPr>
      <w:rFonts w:asciiTheme="minorHAnsi" w:hAnsiTheme="minorHAnsi" w:eastAsiaTheme="minorEastAsia" w:cstheme="majorBidi"/>
      <w:b/>
      <w:bCs/>
      <w:color w:val="595959" w:themeColor="text1" w:themeTint="A6"/>
      <w:szCs w:val="22"/>
      <w14:textFill>
        <w14:solidFill>
          <w14:schemeClr w14:val="tx1">
            <w14:lumMod w14:val="65000"/>
            <w14:lumOff w14:val="35000"/>
          </w14:schemeClr>
        </w14:solidFill>
      </w14:textFill>
    </w:rPr>
  </w:style>
  <w:style w:type="paragraph" w:styleId="10">
    <w:name w:val="heading 8"/>
    <w:basedOn w:val="1"/>
    <w:next w:val="1"/>
    <w:link w:val="25"/>
    <w:semiHidden/>
    <w:unhideWhenUsed/>
    <w:qFormat/>
    <w:uiPriority w:val="9"/>
    <w:pPr>
      <w:keepNext/>
      <w:keepLines/>
      <w:outlineLvl w:val="7"/>
    </w:pPr>
    <w:rPr>
      <w:rFonts w:asciiTheme="minorHAnsi" w:hAnsiTheme="minorHAnsi" w:eastAsiaTheme="minorEastAsia" w:cstheme="majorBidi"/>
      <w:color w:val="595959" w:themeColor="text1" w:themeTint="A6"/>
      <w:szCs w:val="22"/>
      <w14:textFill>
        <w14:solidFill>
          <w14:schemeClr w14:val="tx1">
            <w14:lumMod w14:val="65000"/>
            <w14:lumOff w14:val="35000"/>
          </w14:schemeClr>
        </w14:solidFill>
      </w14:textFill>
    </w:rPr>
  </w:style>
  <w:style w:type="paragraph" w:styleId="11">
    <w:name w:val="heading 9"/>
    <w:basedOn w:val="1"/>
    <w:next w:val="1"/>
    <w:link w:val="26"/>
    <w:semiHidden/>
    <w:unhideWhenUsed/>
    <w:qFormat/>
    <w:uiPriority w:val="9"/>
    <w:pPr>
      <w:keepNext/>
      <w:keepLines/>
      <w:outlineLvl w:val="8"/>
    </w:pPr>
    <w:rPr>
      <w:rFonts w:asciiTheme="minorHAnsi" w:hAnsiTheme="minorHAnsi" w:eastAsiaTheme="majorEastAsia" w:cstheme="majorBidi"/>
      <w:color w:val="595959" w:themeColor="text1" w:themeTint="A6"/>
      <w:szCs w:val="22"/>
      <w14:textFill>
        <w14:solidFill>
          <w14:schemeClr w14:val="tx1">
            <w14:lumMod w14:val="65000"/>
            <w14:lumOff w14:val="35000"/>
          </w14:schemeClr>
        </w14:solidFill>
      </w14:textFill>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toa heading"/>
    <w:basedOn w:val="1"/>
    <w:next w:val="1"/>
    <w:qFormat/>
    <w:uiPriority w:val="0"/>
    <w:pPr>
      <w:adjustRightInd w:val="0"/>
      <w:spacing w:before="120" w:line="360" w:lineRule="atLeast"/>
      <w:textAlignment w:val="baseline"/>
    </w:pPr>
    <w:rPr>
      <w:rFonts w:ascii="Cambria" w:hAnsi="Cambria"/>
      <w:sz w:val="24"/>
    </w:rPr>
  </w:style>
  <w:style w:type="paragraph" w:styleId="12">
    <w:name w:val="footer"/>
    <w:basedOn w:val="1"/>
    <w:link w:val="3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3">
    <w:name w:val="header"/>
    <w:basedOn w:val="1"/>
    <w:link w:val="36"/>
    <w:unhideWhenUsed/>
    <w:qFormat/>
    <w:uiPriority w:val="99"/>
    <w:pPr>
      <w:tabs>
        <w:tab w:val="center" w:pos="4153"/>
        <w:tab w:val="right" w:pos="8306"/>
      </w:tabs>
      <w:snapToGrid w:val="0"/>
      <w:jc w:val="center"/>
    </w:pPr>
    <w:rPr>
      <w:rFonts w:asciiTheme="minorHAnsi" w:hAnsiTheme="minorHAnsi" w:eastAsiaTheme="minorEastAsia" w:cstheme="minorBidi"/>
      <w:sz w:val="18"/>
      <w:szCs w:val="18"/>
    </w:rPr>
  </w:style>
  <w:style w:type="paragraph" w:styleId="14">
    <w:name w:val="Subtitle"/>
    <w:basedOn w:val="1"/>
    <w:next w:val="1"/>
    <w:link w:val="28"/>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5">
    <w:name w:val="Title"/>
    <w:basedOn w:val="1"/>
    <w:next w:val="1"/>
    <w:link w:val="27"/>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8">
    <w:name w:val="标题 1 字符"/>
    <w:basedOn w:val="17"/>
    <w:link w:val="3"/>
    <w:qFormat/>
    <w:uiPriority w:val="9"/>
    <w:rPr>
      <w:rFonts w:asciiTheme="majorHAnsi" w:hAnsiTheme="majorHAnsi" w:eastAsiaTheme="majorEastAsia" w:cstheme="majorBidi"/>
      <w:color w:val="104862" w:themeColor="accent1" w:themeShade="BF"/>
      <w:sz w:val="48"/>
      <w:szCs w:val="48"/>
    </w:rPr>
  </w:style>
  <w:style w:type="character" w:customStyle="1" w:styleId="19">
    <w:name w:val="标题 2 字符"/>
    <w:basedOn w:val="17"/>
    <w:link w:val="4"/>
    <w:semiHidden/>
    <w:qFormat/>
    <w:uiPriority w:val="9"/>
    <w:rPr>
      <w:rFonts w:asciiTheme="majorHAnsi" w:hAnsiTheme="majorHAnsi" w:eastAsiaTheme="majorEastAsia" w:cstheme="majorBidi"/>
      <w:color w:val="104862" w:themeColor="accent1" w:themeShade="BF"/>
      <w:sz w:val="40"/>
      <w:szCs w:val="40"/>
    </w:rPr>
  </w:style>
  <w:style w:type="character" w:customStyle="1" w:styleId="20">
    <w:name w:val="标题 3 字符"/>
    <w:basedOn w:val="17"/>
    <w:link w:val="5"/>
    <w:semiHidden/>
    <w:qFormat/>
    <w:uiPriority w:val="9"/>
    <w:rPr>
      <w:rFonts w:asciiTheme="majorHAnsi" w:hAnsiTheme="majorHAnsi" w:eastAsiaTheme="majorEastAsia" w:cstheme="majorBidi"/>
      <w:color w:val="104862" w:themeColor="accent1" w:themeShade="BF"/>
      <w:sz w:val="32"/>
      <w:szCs w:val="32"/>
    </w:rPr>
  </w:style>
  <w:style w:type="character" w:customStyle="1" w:styleId="21">
    <w:name w:val="标题 4 字符"/>
    <w:basedOn w:val="17"/>
    <w:link w:val="6"/>
    <w:semiHidden/>
    <w:qFormat/>
    <w:uiPriority w:val="9"/>
    <w:rPr>
      <w:rFonts w:cstheme="majorBidi"/>
      <w:color w:val="104862" w:themeColor="accent1" w:themeShade="BF"/>
      <w:sz w:val="28"/>
      <w:szCs w:val="28"/>
    </w:rPr>
  </w:style>
  <w:style w:type="character" w:customStyle="1" w:styleId="22">
    <w:name w:val="标题 5 字符"/>
    <w:basedOn w:val="17"/>
    <w:link w:val="7"/>
    <w:semiHidden/>
    <w:qFormat/>
    <w:uiPriority w:val="9"/>
    <w:rPr>
      <w:rFonts w:cstheme="majorBidi"/>
      <w:color w:val="104862" w:themeColor="accent1" w:themeShade="BF"/>
      <w:sz w:val="24"/>
      <w:szCs w:val="24"/>
    </w:rPr>
  </w:style>
  <w:style w:type="character" w:customStyle="1" w:styleId="23">
    <w:name w:val="标题 6 字符"/>
    <w:basedOn w:val="17"/>
    <w:link w:val="8"/>
    <w:semiHidden/>
    <w:qFormat/>
    <w:uiPriority w:val="9"/>
    <w:rPr>
      <w:rFonts w:cstheme="majorBidi"/>
      <w:b/>
      <w:bCs/>
      <w:color w:val="104862" w:themeColor="accent1" w:themeShade="BF"/>
    </w:rPr>
  </w:style>
  <w:style w:type="character" w:customStyle="1" w:styleId="24">
    <w:name w:val="标题 7 字符"/>
    <w:basedOn w:val="17"/>
    <w:link w:val="9"/>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5">
    <w:name w:val="标题 8 字符"/>
    <w:basedOn w:val="17"/>
    <w:link w:val="10"/>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6">
    <w:name w:val="标题 9 字符"/>
    <w:basedOn w:val="17"/>
    <w:link w:val="11"/>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7">
    <w:name w:val="标题 字符"/>
    <w:basedOn w:val="17"/>
    <w:link w:val="15"/>
    <w:qFormat/>
    <w:uiPriority w:val="10"/>
    <w:rPr>
      <w:rFonts w:asciiTheme="majorHAnsi" w:hAnsiTheme="majorHAnsi" w:eastAsiaTheme="majorEastAsia" w:cstheme="majorBidi"/>
      <w:spacing w:val="-10"/>
      <w:kern w:val="28"/>
      <w:sz w:val="56"/>
      <w:szCs w:val="56"/>
    </w:rPr>
  </w:style>
  <w:style w:type="character" w:customStyle="1" w:styleId="28">
    <w:name w:val="副标题 字符"/>
    <w:basedOn w:val="17"/>
    <w:link w:val="14"/>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9">
    <w:name w:val="Quote"/>
    <w:basedOn w:val="1"/>
    <w:next w:val="1"/>
    <w:link w:val="30"/>
    <w:qFormat/>
    <w:uiPriority w:val="29"/>
    <w:pPr>
      <w:spacing w:before="160" w:after="160"/>
      <w:jc w:val="center"/>
    </w:pPr>
    <w:rPr>
      <w:rFonts w:asciiTheme="minorHAnsi" w:hAnsiTheme="minorHAnsi" w:eastAsiaTheme="minorEastAsia" w:cstheme="minorBidi"/>
      <w:i/>
      <w:iCs/>
      <w:color w:val="404040" w:themeColor="text1" w:themeTint="BF"/>
      <w:szCs w:val="22"/>
      <w14:textFill>
        <w14:solidFill>
          <w14:schemeClr w14:val="tx1">
            <w14:lumMod w14:val="75000"/>
            <w14:lumOff w14:val="25000"/>
          </w14:schemeClr>
        </w14:solidFill>
      </w14:textFill>
    </w:rPr>
  </w:style>
  <w:style w:type="character" w:customStyle="1" w:styleId="30">
    <w:name w:val="引用 字符"/>
    <w:basedOn w:val="17"/>
    <w:link w:val="29"/>
    <w:qFormat/>
    <w:uiPriority w:val="29"/>
    <w:rPr>
      <w:i/>
      <w:iCs/>
      <w:color w:val="404040" w:themeColor="text1" w:themeTint="BF"/>
      <w14:textFill>
        <w14:solidFill>
          <w14:schemeClr w14:val="tx1">
            <w14:lumMod w14:val="75000"/>
            <w14:lumOff w14:val="25000"/>
          </w14:schemeClr>
        </w14:solidFill>
      </w14:textFill>
    </w:rPr>
  </w:style>
  <w:style w:type="paragraph" w:styleId="31">
    <w:name w:val="List Paragraph"/>
    <w:basedOn w:val="1"/>
    <w:qFormat/>
    <w:uiPriority w:val="34"/>
    <w:pPr>
      <w:ind w:left="720"/>
      <w:contextualSpacing/>
    </w:pPr>
    <w:rPr>
      <w:rFonts w:asciiTheme="minorHAnsi" w:hAnsiTheme="minorHAnsi" w:eastAsiaTheme="minorEastAsia" w:cstheme="minorBidi"/>
      <w:szCs w:val="22"/>
    </w:rPr>
  </w:style>
  <w:style w:type="character" w:customStyle="1" w:styleId="32">
    <w:name w:val="明显强调1"/>
    <w:basedOn w:val="17"/>
    <w:qFormat/>
    <w:uiPriority w:val="21"/>
    <w:rPr>
      <w:i/>
      <w:iCs/>
      <w:color w:val="104862" w:themeColor="accent1" w:themeShade="BF"/>
    </w:rPr>
  </w:style>
  <w:style w:type="paragraph" w:styleId="33">
    <w:name w:val="Intense Quote"/>
    <w:basedOn w:val="1"/>
    <w:next w:val="1"/>
    <w:link w:val="34"/>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rFonts w:asciiTheme="minorHAnsi" w:hAnsiTheme="minorHAnsi" w:eastAsiaTheme="minorEastAsia" w:cstheme="minorBidi"/>
      <w:i/>
      <w:iCs/>
      <w:color w:val="104862" w:themeColor="accent1" w:themeShade="BF"/>
      <w:szCs w:val="22"/>
    </w:rPr>
  </w:style>
  <w:style w:type="character" w:customStyle="1" w:styleId="34">
    <w:name w:val="明显引用 字符"/>
    <w:basedOn w:val="17"/>
    <w:link w:val="33"/>
    <w:qFormat/>
    <w:uiPriority w:val="30"/>
    <w:rPr>
      <w:i/>
      <w:iCs/>
      <w:color w:val="104862" w:themeColor="accent1" w:themeShade="BF"/>
    </w:rPr>
  </w:style>
  <w:style w:type="character" w:customStyle="1" w:styleId="35">
    <w:name w:val="明显参考1"/>
    <w:basedOn w:val="17"/>
    <w:qFormat/>
    <w:uiPriority w:val="32"/>
    <w:rPr>
      <w:b/>
      <w:bCs/>
      <w:smallCaps/>
      <w:color w:val="104862" w:themeColor="accent1" w:themeShade="BF"/>
      <w:spacing w:val="5"/>
    </w:rPr>
  </w:style>
  <w:style w:type="character" w:customStyle="1" w:styleId="36">
    <w:name w:val="页眉 字符"/>
    <w:basedOn w:val="17"/>
    <w:link w:val="13"/>
    <w:qFormat/>
    <w:uiPriority w:val="99"/>
    <w:rPr>
      <w:sz w:val="18"/>
      <w:szCs w:val="18"/>
    </w:rPr>
  </w:style>
  <w:style w:type="character" w:customStyle="1" w:styleId="37">
    <w:name w:val="页脚 字符"/>
    <w:basedOn w:val="17"/>
    <w:link w:val="1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129</Words>
  <Characters>741</Characters>
  <Lines>6</Lines>
  <Paragraphs>1</Paragraphs>
  <TotalTime>1</TotalTime>
  <ScaleCrop>false</ScaleCrop>
  <LinksUpToDate>false</LinksUpToDate>
  <CharactersWithSpaces>869</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2024-04-24T19:22:00Z</dcterms:created>
  <dc:creator>斌 张</dc:creator>
  <cp:lastModifiedBy>李松岩</cp:lastModifiedBy>
  <dcterms:modified xsi:type="dcterms:W3CDTF">2024-07-31T07:04:28Z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195DC958BC9D41508F47F5E4B7ACECDE_13</vt:lpwstr>
  </property>
</Properties>
</file>