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CAE7B">
      <w:pPr>
        <w:pStyle w:val="2"/>
        <w:ind w:left="161" w:leftChars="77" w:firstLine="0" w:firstLineChars="0"/>
        <w:jc w:val="center"/>
        <w:rPr>
          <w:rFonts w:hint="eastAsia" w:ascii="仿宋" w:hAnsi="仿宋" w:eastAsia="仿宋" w:cs="仿宋"/>
          <w:b/>
          <w:bCs/>
          <w:sz w:val="48"/>
          <w:szCs w:val="48"/>
        </w:rPr>
      </w:pPr>
      <w:r>
        <w:rPr>
          <w:rFonts w:hint="eastAsia" w:ascii="仿宋" w:hAnsi="仿宋" w:eastAsia="仿宋" w:cs="仿宋"/>
          <w:b/>
          <w:bCs/>
          <w:sz w:val="48"/>
          <w:szCs w:val="48"/>
        </w:rPr>
        <w:t>2024年</w:t>
      </w:r>
      <w:r>
        <w:rPr>
          <w:rFonts w:hint="eastAsia" w:ascii="仿宋" w:hAnsi="仿宋" w:eastAsia="仿宋" w:cs="仿宋"/>
          <w:b/>
          <w:bCs/>
          <w:sz w:val="48"/>
          <w:szCs w:val="48"/>
          <w:lang w:val="en-US" w:eastAsia="zh-CN"/>
        </w:rPr>
        <w:t>度</w:t>
      </w:r>
      <w:r>
        <w:rPr>
          <w:rFonts w:hint="eastAsia" w:ascii="仿宋" w:hAnsi="仿宋" w:eastAsia="仿宋" w:cs="仿宋"/>
          <w:b/>
          <w:bCs/>
          <w:sz w:val="48"/>
          <w:szCs w:val="48"/>
        </w:rPr>
        <w:t>鞍山市车用尿素水溶液产品</w:t>
      </w:r>
    </w:p>
    <w:p w14:paraId="363CC1B2">
      <w:pPr>
        <w:pStyle w:val="2"/>
        <w:ind w:left="161" w:leftChars="77" w:firstLine="0" w:firstLineChars="0"/>
        <w:jc w:val="center"/>
        <w:rPr>
          <w:rFonts w:hint="eastAsia" w:ascii="仿宋" w:hAnsi="仿宋" w:eastAsia="仿宋" w:cs="仿宋"/>
          <w:b/>
          <w:bCs/>
          <w:sz w:val="48"/>
          <w:szCs w:val="48"/>
        </w:rPr>
      </w:pPr>
      <w:r>
        <w:rPr>
          <w:rFonts w:hint="eastAsia" w:ascii="仿宋" w:hAnsi="仿宋" w:eastAsia="仿宋" w:cs="仿宋"/>
          <w:b/>
          <w:bCs/>
          <w:sz w:val="48"/>
          <w:szCs w:val="48"/>
        </w:rPr>
        <w:t>质量监督抽查实施方案</w:t>
      </w:r>
    </w:p>
    <w:p w14:paraId="02DE76C9">
      <w:pPr>
        <w:pStyle w:val="23"/>
        <w:rPr>
          <w:rFonts w:hAnsi="仿宋_GB2312"/>
          <w:sz w:val="28"/>
          <w:szCs w:val="28"/>
        </w:rPr>
      </w:pPr>
      <w:r>
        <w:rPr>
          <w:rFonts w:hint="eastAsia" w:hAnsi="仿宋_GB2312"/>
          <w:sz w:val="28"/>
          <w:szCs w:val="28"/>
        </w:rPr>
        <w:t>一、产品行业状况</w:t>
      </w:r>
    </w:p>
    <w:p w14:paraId="198AD2B1">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车用尿素水溶液(俗称为：汽车尿素，车用尿素，汽车环保尿素)，是SCR技术中必要的消耗品，与SCR催化剂一起将柴油发动机排放的有害氮氧化物转换成无害的水蒸气和氮，以降低柴油车辆的氮氧化物以及固体颗粒物的排放。车用尿素水溶液是重型柴油车达到国家排放标准的必备产品。</w:t>
      </w:r>
    </w:p>
    <w:p w14:paraId="63DA1B21">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车用尿素水溶液是浓度为32.5%左右且溶剂为超纯水的尿素水溶液，生产原料为尿素和超纯水，其关键点在于原料纯度。从生产工艺来看，虽然车用尿素水溶液对原料纯度要求高于一般工业用需求，但目前国内工艺已然可以满足实际应用需求。因此，车用尿素溶液的生产工艺不足以构建高准入技术壁垒。</w:t>
      </w:r>
    </w:p>
    <w:p w14:paraId="4F591022">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车用尿素生产工艺较为简单，行业门槛低，大量的小型企业应运而生，规模较大的企业为龙蟠科技旗下可兰素、中石化旗下悦泰、中石油旗下昆仑之星，具备品牌和渠道优势，企业销量远高于其他企业，占据主要份额。伴随行业发展，龙头企业在渠道铺设方面更加创新灵活，渠道影响力持续加码，未来行业集中度将持续提升。另外国内相对知名的车用尿素生产企业还有辽宁润迪、京脉化工、北京益利等企业生产。公司产能都在年产10-30万吨之间。江苏可兰素、辽宁润迪等产能为年产30万吨。江苏可兰素</w:t>
      </w:r>
      <w:r>
        <w:rPr>
          <w:rFonts w:hint="eastAsia" w:ascii="仿宋_GB2312" w:hAnsi="仿宋_GB2312" w:cs="仿宋_GB2312"/>
          <w:sz w:val="28"/>
          <w:szCs w:val="28"/>
          <w:lang w:eastAsia="zh-CN"/>
        </w:rPr>
        <w:t>已经</w:t>
      </w:r>
      <w:r>
        <w:rPr>
          <w:rFonts w:hint="eastAsia" w:ascii="仿宋_GB2312" w:hAnsi="仿宋_GB2312" w:eastAsia="仿宋_GB2312" w:cs="仿宋_GB2312"/>
          <w:sz w:val="28"/>
          <w:szCs w:val="28"/>
        </w:rPr>
        <w:t>将可兰素车用尿素溶液出口到候罗斯、东欧和南美。国内销售渠道主要以加油站和汽配城，泵站也在逐步建设。随着2023年国六B排放标准的全面实施，车用尿素行业引来了进一步的洗牌。国家监管加强，对产品品质要求也进一步提升。</w:t>
      </w:r>
    </w:p>
    <w:p w14:paraId="61E42AB5">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辽宁省内大约有500余家车用尿素水溶液产品生产及销售企业。生产企业分布相对集中，分别为大连市、辽阳市、沈阳市、鞍山市、盘锦市、锦州市及葫芦岛市等。其中规模相对较大的企业有辽宁润迪科技股份有限公司，大连帕瓦福石油化工有限公司、北方华锦（辽宁）能源化工有限责任公司等，其中辽宁润迪科技股份有限公司为国内初期车用尿素生产企业，生产技术纯熟，科研专利等较为领先，公司主营润滑油、机动车制动液、发动机冷却液和车用尿素溶液等产品，目前为一汽股份、东风股份、重庆长安、长安福特、华晨汽车、长城汽车、河北中兴、广汽三菱、昌河铃木、北汽集团、东风小康、江铃汽车等四十余家整车主机厂配套，车用尿素溶液产品获得中国内燃机协会首批CGT标识认证；大连帕瓦福石油化工有限公司为中国石油润滑油公司委托加工；华锦集团与中石化辽宁石油合作生产车用尿素水溶液。其他生产企业以中小微企业为主，企业数量从2018年以来呈增长趋势递增。</w:t>
      </w:r>
    </w:p>
    <w:p w14:paraId="101F0968">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辽宁省内车用尿素水溶液的销售渠道主要以加油站和汽配城，个体工商户为主，泵站也在逐步建设，另外在国省干道路边也有个体销售，需要加强监管。</w:t>
      </w:r>
    </w:p>
    <w:p w14:paraId="6FF764D3">
      <w:pPr>
        <w:pStyle w:val="23"/>
        <w:rPr>
          <w:rFonts w:hAnsi="仿宋_GB2312"/>
          <w:sz w:val="28"/>
          <w:szCs w:val="28"/>
        </w:rPr>
      </w:pPr>
      <w:r>
        <w:rPr>
          <w:rFonts w:hint="eastAsia" w:hAnsi="仿宋_GB2312"/>
          <w:sz w:val="28"/>
          <w:szCs w:val="28"/>
        </w:rPr>
        <w:t>二、抽查产品的质量状况</w:t>
      </w:r>
    </w:p>
    <w:p w14:paraId="46B3D77C">
      <w:pPr>
        <w:pStyle w:val="20"/>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（一）抽查产品存在的主要质量问题</w:t>
      </w:r>
    </w:p>
    <w:p w14:paraId="4540FE70">
      <w:pPr>
        <w:spacing w:line="594"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历年来国家及各省市市场监督管理部门公示的抽查结果显示，影响产品质量的关键检验项目主要有尿素含量、密度、折光率、杂质含量。</w:t>
      </w:r>
    </w:p>
    <w:p w14:paraId="6BA8C690">
      <w:pPr>
        <w:pStyle w:val="66"/>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尿素含量：尿素含量是车用尿素水溶液产品的重要质量指标。尿素含量过高会导致尿素剩余造成二次污染(尿素高温水解产生氨气和二氧化碳)，尿素含量过低会降低尾气中氮氧化物被还原为氮气的转化效率，导致仍有部分氮氧化物未被还原而直接排入大气。此外，尿素含量会影响尿素水溶液的结晶点，从而可能会堵塞尿素输液管及喷嘴。</w:t>
      </w:r>
    </w:p>
    <w:p w14:paraId="125C3127">
      <w:pPr>
        <w:pStyle w:val="66"/>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密度、折光率：尿素水溶液中的尿素含量与其密度、折光率密切相关，在一定温度下尿素含量与密度、折光率分别有一一对应关系，且尿素含量随其密度、折光率增大而增大。密度、折光率的检测结果有利于辅助验证尿素水溶液的尿素含量及质量。若密度和折光率不合格，则尿素质量有问题，其危害同尿素含量不合格。</w:t>
      </w:r>
    </w:p>
    <w:p w14:paraId="7B275DD1">
      <w:pPr>
        <w:pStyle w:val="66"/>
        <w:ind w:firstLine="560" w:firstLineChars="200"/>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3.杂质含量（碱度</w:t>
      </w:r>
      <w:r>
        <w:rPr>
          <w:rFonts w:hint="eastAsia" w:ascii="仿宋_GB2312" w:hAnsi="仿宋_GB2312" w:eastAsia="仿宋_GB2312" w:cs="仿宋_GB2312"/>
          <w:kern w:val="2"/>
          <w:sz w:val="28"/>
          <w:szCs w:val="28"/>
        </w:rPr>
        <w:t>）：尿素碱度不合格会影响尿素溶液中的活性成分含量，使得尿素无法有效地与氮氧化物反应，从而降低减排效果，增加排放污染。</w:t>
      </w:r>
    </w:p>
    <w:p w14:paraId="40FDCD27">
      <w:pPr>
        <w:pStyle w:val="66"/>
        <w:ind w:firstLine="560" w:firstLineChars="200"/>
        <w:rPr>
          <w:rFonts w:hint="eastAsia" w:ascii="仿宋_GB2312" w:hAnsi="仿宋_GB2312" w:eastAsia="仿宋_GB2312" w:cs="仿宋_GB2312"/>
          <w:kern w:val="2"/>
          <w:sz w:val="28"/>
          <w:szCs w:val="28"/>
        </w:rPr>
      </w:pPr>
      <w:r>
        <w:rPr>
          <w:rFonts w:hint="eastAsia" w:ascii="仿宋_GB2312" w:hAnsi="仿宋_GB2312" w:eastAsia="仿宋_GB2312" w:cs="仿宋_GB2312"/>
          <w:sz w:val="28"/>
          <w:szCs w:val="28"/>
        </w:rPr>
        <w:t>4.杂质含量（缩二脲）</w:t>
      </w:r>
      <w:r>
        <w:rPr>
          <w:rFonts w:hint="eastAsia" w:ascii="仿宋_GB2312" w:hAnsi="仿宋_GB2312" w:eastAsia="仿宋_GB2312" w:cs="仿宋_GB2312"/>
          <w:kern w:val="2"/>
          <w:sz w:val="28"/>
          <w:szCs w:val="28"/>
        </w:rPr>
        <w:t>：缩二脲不合格可能会导致尿素在尾气净化系统中结晶和沉积，堵塞喷嘴、管道和相关组件。这会导致尿素无法均匀喷射，影响尾气净化效果，增加氮氧化物排放。</w:t>
      </w:r>
    </w:p>
    <w:p w14:paraId="2484F2F2">
      <w:pPr>
        <w:pStyle w:val="66"/>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5.杂质含量（不溶物）</w:t>
      </w:r>
      <w:r>
        <w:rPr>
          <w:rFonts w:hint="eastAsia" w:ascii="仿宋_GB2312" w:hAnsi="仿宋_GB2312" w:eastAsia="仿宋_GB2312" w:cs="仿宋_GB2312"/>
          <w:kern w:val="2"/>
          <w:sz w:val="28"/>
          <w:szCs w:val="28"/>
        </w:rPr>
        <w:t>：不溶物可能会导致尿素喷嘴和管道堵塞。这会影响尿素的正常喷射和均匀分布，导致尿素无法有效参与尾气净化反应，减少氮氧化物的转化效率。</w:t>
      </w:r>
    </w:p>
    <w:p w14:paraId="79194E5A">
      <w:pPr>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6.杂质含量（醛类）：醛类超标会影响尿素溶液的碱度，在加热情况下会生成氨气溢出，降低氮氧化物的转化率。醛类</w:t>
      </w:r>
      <w:r>
        <w:rPr>
          <w:rFonts w:hint="eastAsia" w:ascii="仿宋_GB2312" w:hAnsi="仿宋_GB2312" w:eastAsia="仿宋_GB2312" w:cs="仿宋_GB2312"/>
          <w:sz w:val="28"/>
          <w:szCs w:val="28"/>
        </w:rPr>
        <w:t>作为杂质项要应严格控制。</w:t>
      </w:r>
    </w:p>
    <w:p w14:paraId="2865DE4F">
      <w:pPr>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7.杂质含量（金属离子）：金属阳离子对转化系统的催化剂有毒害作用，会造成催化剂中毒影响氮氧化物转化还原效率。</w:t>
      </w:r>
    </w:p>
    <w:p w14:paraId="300848D0">
      <w:pPr>
        <w:pStyle w:val="20"/>
        <w:spacing w:before="0" w:after="0" w:line="240" w:lineRule="auto"/>
        <w:ind w:firstLine="560" w:firstLineChars="200"/>
        <w:rPr>
          <w:rFonts w:ascii="仿宋_GB2312" w:hAnsi="仿宋_GB2312" w:cs="仿宋_GB2312"/>
          <w:sz w:val="28"/>
          <w:szCs w:val="28"/>
        </w:rPr>
      </w:pPr>
      <w:r>
        <w:rPr>
          <w:rFonts w:hint="eastAsia" w:ascii="仿宋_GB2312" w:hAnsi="仿宋_GB2312" w:cs="仿宋_GB2312"/>
          <w:sz w:val="28"/>
          <w:szCs w:val="28"/>
        </w:rPr>
        <w:t>（二）抽查产品的行政许可管理</w:t>
      </w:r>
    </w:p>
    <w:p w14:paraId="3612568B">
      <w:pPr>
        <w:ind w:firstLine="560" w:firstLineChars="200"/>
        <w:rPr>
          <w:rFonts w:ascii="仿宋_GB2312" w:hAnsi="仿宋_GB2312" w:cs="仿宋_GB2312"/>
          <w:sz w:val="28"/>
          <w:szCs w:val="28"/>
        </w:rPr>
      </w:pPr>
      <w:r>
        <w:rPr>
          <w:rFonts w:hint="eastAsia" w:ascii="仿宋_GB2312" w:hAnsi="仿宋_GB2312" w:cs="仿宋_GB2312"/>
          <w:sz w:val="28"/>
          <w:szCs w:val="28"/>
        </w:rPr>
        <w:t>车用尿素水溶液产品未实施生产许可管理。</w:t>
      </w:r>
    </w:p>
    <w:p w14:paraId="12C7E5FD">
      <w:pPr>
        <w:spacing w:line="594" w:lineRule="exact"/>
        <w:ind w:firstLine="700" w:firstLineChars="250"/>
        <w:rPr>
          <w:rFonts w:ascii="仿宋_GB2312" w:hAnsi="仿宋"/>
          <w:sz w:val="28"/>
          <w:szCs w:val="28"/>
        </w:rPr>
      </w:pPr>
      <w:r>
        <w:rPr>
          <w:rFonts w:hint="eastAsia" w:ascii="仿宋_GB2312" w:hAnsi="仿宋"/>
          <w:sz w:val="28"/>
          <w:szCs w:val="28"/>
        </w:rPr>
        <w:t>（三）历年产品质量监督抽查情况</w:t>
      </w:r>
    </w:p>
    <w:p w14:paraId="7AAF7E67">
      <w:pPr>
        <w:pStyle w:val="21"/>
        <w:ind w:left="0" w:leftChars="0" w:firstLine="560" w:firstLineChars="200"/>
        <w:jc w:val="left"/>
        <w:rPr>
          <w:rFonts w:ascii="仿宋_GB2312" w:hAnsi="仿宋" w:eastAsia="仿宋_GB2312"/>
          <w:sz w:val="28"/>
          <w:szCs w:val="28"/>
        </w:rPr>
      </w:pPr>
      <w:r>
        <w:rPr>
          <w:rFonts w:hint="eastAsia" w:ascii="仿宋_GB2312" w:hAnsi="仿宋" w:eastAsia="仿宋_GB2312"/>
          <w:sz w:val="28"/>
          <w:szCs w:val="28"/>
        </w:rPr>
        <w:t>1、辽宁省监督抽查质量情况</w:t>
      </w:r>
    </w:p>
    <w:tbl>
      <w:tblPr>
        <w:tblStyle w:val="25"/>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1002"/>
        <w:gridCol w:w="1289"/>
        <w:gridCol w:w="1009"/>
        <w:gridCol w:w="1036"/>
        <w:gridCol w:w="982"/>
        <w:gridCol w:w="1786"/>
      </w:tblGrid>
      <w:tr w14:paraId="1FDB1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76" w:type="dxa"/>
            <w:vMerge w:val="restart"/>
            <w:vAlign w:val="center"/>
          </w:tcPr>
          <w:p w14:paraId="099ADA8A">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年份</w:t>
            </w:r>
          </w:p>
        </w:tc>
        <w:tc>
          <w:tcPr>
            <w:tcW w:w="1002" w:type="dxa"/>
            <w:vMerge w:val="restart"/>
            <w:vAlign w:val="center"/>
          </w:tcPr>
          <w:p w14:paraId="04BE9519">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抽查性质</w:t>
            </w:r>
          </w:p>
        </w:tc>
        <w:tc>
          <w:tcPr>
            <w:tcW w:w="3334" w:type="dxa"/>
            <w:gridSpan w:val="3"/>
            <w:vAlign w:val="center"/>
          </w:tcPr>
          <w:p w14:paraId="02E9450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抽查产品批次情况</w:t>
            </w:r>
          </w:p>
        </w:tc>
        <w:tc>
          <w:tcPr>
            <w:tcW w:w="982" w:type="dxa"/>
            <w:vMerge w:val="restart"/>
            <w:vAlign w:val="center"/>
          </w:tcPr>
          <w:p w14:paraId="1646D12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合格率</w:t>
            </w:r>
          </w:p>
          <w:p w14:paraId="2508EF65">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1786" w:type="dxa"/>
            <w:vMerge w:val="restart"/>
            <w:vAlign w:val="center"/>
          </w:tcPr>
          <w:p w14:paraId="70BD4F89">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不合格项目</w:t>
            </w:r>
          </w:p>
        </w:tc>
      </w:tr>
      <w:tr w14:paraId="48404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76" w:type="dxa"/>
            <w:vMerge w:val="continue"/>
            <w:vAlign w:val="center"/>
          </w:tcPr>
          <w:p w14:paraId="3179DCCD">
            <w:pPr>
              <w:widowControl/>
              <w:jc w:val="center"/>
              <w:rPr>
                <w:rFonts w:hint="eastAsia" w:ascii="仿宋_GB2312" w:hAnsi="仿宋_GB2312" w:eastAsia="仿宋_GB2312" w:cs="仿宋_GB2312"/>
                <w:kern w:val="0"/>
                <w:sz w:val="24"/>
                <w:szCs w:val="24"/>
              </w:rPr>
            </w:pPr>
          </w:p>
        </w:tc>
        <w:tc>
          <w:tcPr>
            <w:tcW w:w="1002" w:type="dxa"/>
            <w:vMerge w:val="continue"/>
            <w:vAlign w:val="center"/>
          </w:tcPr>
          <w:p w14:paraId="7A1A2184">
            <w:pPr>
              <w:widowControl/>
              <w:jc w:val="center"/>
              <w:rPr>
                <w:rFonts w:hint="eastAsia" w:ascii="仿宋_GB2312" w:hAnsi="仿宋_GB2312" w:eastAsia="仿宋_GB2312" w:cs="仿宋_GB2312"/>
                <w:kern w:val="0"/>
                <w:sz w:val="24"/>
                <w:szCs w:val="24"/>
              </w:rPr>
            </w:pPr>
          </w:p>
        </w:tc>
        <w:tc>
          <w:tcPr>
            <w:tcW w:w="1289" w:type="dxa"/>
            <w:vAlign w:val="center"/>
          </w:tcPr>
          <w:p w14:paraId="1EE56E4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产品分布</w:t>
            </w:r>
          </w:p>
        </w:tc>
        <w:tc>
          <w:tcPr>
            <w:tcW w:w="1009" w:type="dxa"/>
            <w:vAlign w:val="center"/>
          </w:tcPr>
          <w:p w14:paraId="0D56B26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监督</w:t>
            </w:r>
          </w:p>
          <w:p w14:paraId="40AAA9C7">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批次</w:t>
            </w:r>
          </w:p>
        </w:tc>
        <w:tc>
          <w:tcPr>
            <w:tcW w:w="1036" w:type="dxa"/>
            <w:vAlign w:val="center"/>
          </w:tcPr>
          <w:p w14:paraId="6A85077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w:t>
            </w:r>
          </w:p>
          <w:p w14:paraId="750A0D3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批次</w:t>
            </w:r>
          </w:p>
        </w:tc>
        <w:tc>
          <w:tcPr>
            <w:tcW w:w="982" w:type="dxa"/>
            <w:vMerge w:val="continue"/>
            <w:vAlign w:val="center"/>
          </w:tcPr>
          <w:p w14:paraId="7C27C35C">
            <w:pPr>
              <w:widowControl/>
              <w:jc w:val="center"/>
              <w:rPr>
                <w:rFonts w:hint="eastAsia" w:ascii="仿宋_GB2312" w:hAnsi="仿宋_GB2312" w:eastAsia="仿宋_GB2312" w:cs="仿宋_GB2312"/>
                <w:kern w:val="0"/>
                <w:sz w:val="24"/>
                <w:szCs w:val="24"/>
              </w:rPr>
            </w:pPr>
          </w:p>
        </w:tc>
        <w:tc>
          <w:tcPr>
            <w:tcW w:w="1786" w:type="dxa"/>
            <w:vMerge w:val="continue"/>
            <w:vAlign w:val="center"/>
          </w:tcPr>
          <w:p w14:paraId="50A0828C">
            <w:pPr>
              <w:widowControl/>
              <w:jc w:val="center"/>
              <w:rPr>
                <w:rFonts w:hint="eastAsia" w:ascii="仿宋_GB2312" w:hAnsi="仿宋_GB2312" w:eastAsia="仿宋_GB2312" w:cs="仿宋_GB2312"/>
                <w:kern w:val="0"/>
                <w:sz w:val="24"/>
                <w:szCs w:val="24"/>
              </w:rPr>
            </w:pPr>
          </w:p>
        </w:tc>
      </w:tr>
      <w:tr w14:paraId="6AB4C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376" w:type="dxa"/>
            <w:vAlign w:val="center"/>
          </w:tcPr>
          <w:p w14:paraId="305F67A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2021年</w:t>
            </w:r>
          </w:p>
        </w:tc>
        <w:tc>
          <w:tcPr>
            <w:tcW w:w="1002" w:type="dxa"/>
            <w:vAlign w:val="center"/>
          </w:tcPr>
          <w:p w14:paraId="0C5C9B00">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省级监督抽查</w:t>
            </w:r>
          </w:p>
        </w:tc>
        <w:tc>
          <w:tcPr>
            <w:tcW w:w="1289" w:type="dxa"/>
            <w:vAlign w:val="center"/>
          </w:tcPr>
          <w:p w14:paraId="0D6D6D1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生产和流通领域</w:t>
            </w:r>
          </w:p>
        </w:tc>
        <w:tc>
          <w:tcPr>
            <w:tcW w:w="1009" w:type="dxa"/>
            <w:vAlign w:val="center"/>
          </w:tcPr>
          <w:p w14:paraId="233D837F">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111</w:t>
            </w:r>
          </w:p>
        </w:tc>
        <w:tc>
          <w:tcPr>
            <w:tcW w:w="1036" w:type="dxa"/>
            <w:vAlign w:val="center"/>
          </w:tcPr>
          <w:p w14:paraId="19520364">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94</w:t>
            </w:r>
          </w:p>
        </w:tc>
        <w:tc>
          <w:tcPr>
            <w:tcW w:w="982" w:type="dxa"/>
            <w:vAlign w:val="center"/>
          </w:tcPr>
          <w:p w14:paraId="7A0B5E7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84.7</w:t>
            </w:r>
          </w:p>
        </w:tc>
        <w:tc>
          <w:tcPr>
            <w:tcW w:w="1786" w:type="dxa"/>
            <w:vAlign w:val="center"/>
          </w:tcPr>
          <w:p w14:paraId="6515C83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尿素含量、折光率、密度(20℃)、醛类、钠</w:t>
            </w:r>
          </w:p>
        </w:tc>
      </w:tr>
      <w:tr w14:paraId="62255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376" w:type="dxa"/>
            <w:vAlign w:val="center"/>
          </w:tcPr>
          <w:p w14:paraId="31994AF0">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2022年</w:t>
            </w:r>
          </w:p>
        </w:tc>
        <w:tc>
          <w:tcPr>
            <w:tcW w:w="1002" w:type="dxa"/>
            <w:vAlign w:val="center"/>
          </w:tcPr>
          <w:p w14:paraId="1324F999">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省级监督抽查</w:t>
            </w:r>
          </w:p>
        </w:tc>
        <w:tc>
          <w:tcPr>
            <w:tcW w:w="1289" w:type="dxa"/>
            <w:vAlign w:val="center"/>
          </w:tcPr>
          <w:p w14:paraId="72D74B4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生产和流通领域</w:t>
            </w:r>
          </w:p>
        </w:tc>
        <w:tc>
          <w:tcPr>
            <w:tcW w:w="1009" w:type="dxa"/>
            <w:vAlign w:val="center"/>
          </w:tcPr>
          <w:p w14:paraId="452A900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110</w:t>
            </w:r>
          </w:p>
        </w:tc>
        <w:tc>
          <w:tcPr>
            <w:tcW w:w="1036" w:type="dxa"/>
            <w:vAlign w:val="center"/>
          </w:tcPr>
          <w:p w14:paraId="75961B1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102</w:t>
            </w:r>
          </w:p>
        </w:tc>
        <w:tc>
          <w:tcPr>
            <w:tcW w:w="982" w:type="dxa"/>
            <w:vAlign w:val="center"/>
          </w:tcPr>
          <w:p w14:paraId="737D3A5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92.7</w:t>
            </w:r>
          </w:p>
        </w:tc>
        <w:tc>
          <w:tcPr>
            <w:tcW w:w="1786" w:type="dxa"/>
            <w:vAlign w:val="center"/>
          </w:tcPr>
          <w:p w14:paraId="077702F7">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尿素含量、折光率、密度(20℃)、醛类、钙、钠</w:t>
            </w:r>
          </w:p>
        </w:tc>
      </w:tr>
      <w:tr w14:paraId="23A0B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376" w:type="dxa"/>
            <w:vAlign w:val="center"/>
          </w:tcPr>
          <w:p w14:paraId="6B16A02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2023年</w:t>
            </w:r>
          </w:p>
        </w:tc>
        <w:tc>
          <w:tcPr>
            <w:tcW w:w="1002" w:type="dxa"/>
            <w:vAlign w:val="center"/>
          </w:tcPr>
          <w:p w14:paraId="23F0182B">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省级监督抽查</w:t>
            </w:r>
          </w:p>
        </w:tc>
        <w:tc>
          <w:tcPr>
            <w:tcW w:w="1289" w:type="dxa"/>
            <w:vAlign w:val="center"/>
          </w:tcPr>
          <w:p w14:paraId="0A28E78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生产和流通领域</w:t>
            </w:r>
          </w:p>
        </w:tc>
        <w:tc>
          <w:tcPr>
            <w:tcW w:w="1009" w:type="dxa"/>
            <w:vAlign w:val="center"/>
          </w:tcPr>
          <w:p w14:paraId="5EE32A3D">
            <w:pPr>
              <w:widowControl/>
              <w:tabs>
                <w:tab w:val="left" w:pos="468"/>
                <w:tab w:val="left" w:pos="2088"/>
              </w:tabs>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100</w:t>
            </w:r>
          </w:p>
        </w:tc>
        <w:tc>
          <w:tcPr>
            <w:tcW w:w="1036" w:type="dxa"/>
            <w:vAlign w:val="center"/>
          </w:tcPr>
          <w:p w14:paraId="42730ADC">
            <w:pPr>
              <w:widowControl/>
              <w:tabs>
                <w:tab w:val="left" w:pos="468"/>
                <w:tab w:val="left" w:pos="2088"/>
              </w:tabs>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96</w:t>
            </w:r>
          </w:p>
        </w:tc>
        <w:tc>
          <w:tcPr>
            <w:tcW w:w="982" w:type="dxa"/>
            <w:vAlign w:val="center"/>
          </w:tcPr>
          <w:p w14:paraId="46C58008">
            <w:pPr>
              <w:widowControl/>
              <w:tabs>
                <w:tab w:val="left" w:pos="468"/>
                <w:tab w:val="left" w:pos="2088"/>
              </w:tabs>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96.0</w:t>
            </w:r>
          </w:p>
        </w:tc>
        <w:tc>
          <w:tcPr>
            <w:tcW w:w="1786" w:type="dxa"/>
            <w:vAlign w:val="center"/>
          </w:tcPr>
          <w:p w14:paraId="43BF8DF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尿素含量、密度、折光率20nD、醛类</w:t>
            </w:r>
          </w:p>
        </w:tc>
      </w:tr>
    </w:tbl>
    <w:p w14:paraId="5AB91F8A">
      <w:pPr>
        <w:pStyle w:val="21"/>
        <w:ind w:left="0" w:leftChars="0" w:firstLine="560" w:firstLineChars="200"/>
        <w:jc w:val="left"/>
        <w:rPr>
          <w:rFonts w:ascii="仿宋_GB2312" w:hAnsi="仿宋" w:eastAsia="仿宋_GB2312"/>
          <w:sz w:val="28"/>
          <w:szCs w:val="28"/>
        </w:rPr>
      </w:pPr>
      <w:r>
        <w:rPr>
          <w:rFonts w:hint="eastAsia" w:ascii="仿宋_GB2312" w:hAnsi="仿宋" w:eastAsia="仿宋_GB2312"/>
          <w:sz w:val="28"/>
          <w:szCs w:val="28"/>
        </w:rPr>
        <w:t>2、鞍山市监督抽查质量情况</w:t>
      </w:r>
    </w:p>
    <w:tbl>
      <w:tblPr>
        <w:tblStyle w:val="25"/>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1002"/>
        <w:gridCol w:w="1289"/>
        <w:gridCol w:w="1009"/>
        <w:gridCol w:w="1036"/>
        <w:gridCol w:w="982"/>
        <w:gridCol w:w="1786"/>
      </w:tblGrid>
      <w:tr w14:paraId="5311A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76" w:type="dxa"/>
            <w:vMerge w:val="restart"/>
            <w:vAlign w:val="center"/>
          </w:tcPr>
          <w:p w14:paraId="477A2A0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年份</w:t>
            </w:r>
          </w:p>
        </w:tc>
        <w:tc>
          <w:tcPr>
            <w:tcW w:w="1002" w:type="dxa"/>
            <w:vMerge w:val="restart"/>
            <w:vAlign w:val="center"/>
          </w:tcPr>
          <w:p w14:paraId="7E32E3AF">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抽查性质</w:t>
            </w:r>
          </w:p>
        </w:tc>
        <w:tc>
          <w:tcPr>
            <w:tcW w:w="3334" w:type="dxa"/>
            <w:gridSpan w:val="3"/>
            <w:vAlign w:val="center"/>
          </w:tcPr>
          <w:p w14:paraId="1438928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抽查产品批次情况</w:t>
            </w:r>
          </w:p>
        </w:tc>
        <w:tc>
          <w:tcPr>
            <w:tcW w:w="982" w:type="dxa"/>
            <w:vMerge w:val="restart"/>
            <w:vAlign w:val="center"/>
          </w:tcPr>
          <w:p w14:paraId="02B6AAD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合格率</w:t>
            </w:r>
          </w:p>
          <w:p w14:paraId="1502686F">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1786" w:type="dxa"/>
            <w:vMerge w:val="restart"/>
            <w:vAlign w:val="center"/>
          </w:tcPr>
          <w:p w14:paraId="5913632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不合格项目</w:t>
            </w:r>
          </w:p>
        </w:tc>
      </w:tr>
      <w:tr w14:paraId="7931D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76" w:type="dxa"/>
            <w:vMerge w:val="continue"/>
            <w:vAlign w:val="center"/>
          </w:tcPr>
          <w:p w14:paraId="02704733">
            <w:pPr>
              <w:widowControl/>
              <w:jc w:val="center"/>
              <w:rPr>
                <w:rFonts w:hint="eastAsia" w:ascii="仿宋_GB2312" w:hAnsi="仿宋_GB2312" w:eastAsia="仿宋_GB2312" w:cs="仿宋_GB2312"/>
                <w:kern w:val="0"/>
                <w:sz w:val="24"/>
                <w:szCs w:val="24"/>
              </w:rPr>
            </w:pPr>
          </w:p>
        </w:tc>
        <w:tc>
          <w:tcPr>
            <w:tcW w:w="1002" w:type="dxa"/>
            <w:vMerge w:val="continue"/>
            <w:vAlign w:val="center"/>
          </w:tcPr>
          <w:p w14:paraId="78642E65">
            <w:pPr>
              <w:widowControl/>
              <w:jc w:val="center"/>
              <w:rPr>
                <w:rFonts w:hint="eastAsia" w:ascii="仿宋_GB2312" w:hAnsi="仿宋_GB2312" w:eastAsia="仿宋_GB2312" w:cs="仿宋_GB2312"/>
                <w:kern w:val="0"/>
                <w:sz w:val="24"/>
                <w:szCs w:val="24"/>
              </w:rPr>
            </w:pPr>
          </w:p>
        </w:tc>
        <w:tc>
          <w:tcPr>
            <w:tcW w:w="1289" w:type="dxa"/>
            <w:vAlign w:val="center"/>
          </w:tcPr>
          <w:p w14:paraId="09D99E6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产品分布</w:t>
            </w:r>
          </w:p>
        </w:tc>
        <w:tc>
          <w:tcPr>
            <w:tcW w:w="1009" w:type="dxa"/>
            <w:vAlign w:val="center"/>
          </w:tcPr>
          <w:p w14:paraId="134A292F">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监督</w:t>
            </w:r>
          </w:p>
          <w:p w14:paraId="03874012">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批次</w:t>
            </w:r>
          </w:p>
        </w:tc>
        <w:tc>
          <w:tcPr>
            <w:tcW w:w="1036" w:type="dxa"/>
            <w:vAlign w:val="center"/>
          </w:tcPr>
          <w:p w14:paraId="20AF960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w:t>
            </w:r>
          </w:p>
          <w:p w14:paraId="2E604C90">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批次</w:t>
            </w:r>
          </w:p>
        </w:tc>
        <w:tc>
          <w:tcPr>
            <w:tcW w:w="982" w:type="dxa"/>
            <w:vMerge w:val="continue"/>
            <w:vAlign w:val="center"/>
          </w:tcPr>
          <w:p w14:paraId="2D46E45E">
            <w:pPr>
              <w:widowControl/>
              <w:jc w:val="center"/>
              <w:rPr>
                <w:rFonts w:hint="eastAsia" w:ascii="仿宋_GB2312" w:hAnsi="仿宋_GB2312" w:eastAsia="仿宋_GB2312" w:cs="仿宋_GB2312"/>
                <w:kern w:val="0"/>
                <w:sz w:val="24"/>
                <w:szCs w:val="24"/>
              </w:rPr>
            </w:pPr>
          </w:p>
        </w:tc>
        <w:tc>
          <w:tcPr>
            <w:tcW w:w="1786" w:type="dxa"/>
            <w:vMerge w:val="continue"/>
            <w:vAlign w:val="center"/>
          </w:tcPr>
          <w:p w14:paraId="359399DF">
            <w:pPr>
              <w:widowControl/>
              <w:jc w:val="center"/>
              <w:rPr>
                <w:rFonts w:hint="eastAsia" w:ascii="仿宋_GB2312" w:hAnsi="仿宋_GB2312" w:eastAsia="仿宋_GB2312" w:cs="仿宋_GB2312"/>
                <w:kern w:val="0"/>
                <w:sz w:val="24"/>
                <w:szCs w:val="24"/>
              </w:rPr>
            </w:pPr>
          </w:p>
        </w:tc>
      </w:tr>
      <w:tr w14:paraId="68A47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376" w:type="dxa"/>
            <w:vAlign w:val="center"/>
          </w:tcPr>
          <w:p w14:paraId="3672E94A">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2022年</w:t>
            </w:r>
          </w:p>
        </w:tc>
        <w:tc>
          <w:tcPr>
            <w:tcW w:w="1002" w:type="dxa"/>
            <w:vAlign w:val="center"/>
          </w:tcPr>
          <w:p w14:paraId="0DACAED0">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市级监督抽查</w:t>
            </w:r>
          </w:p>
        </w:tc>
        <w:tc>
          <w:tcPr>
            <w:tcW w:w="1289" w:type="dxa"/>
            <w:vAlign w:val="center"/>
          </w:tcPr>
          <w:p w14:paraId="576E0252">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生产和流通领域</w:t>
            </w:r>
          </w:p>
        </w:tc>
        <w:tc>
          <w:tcPr>
            <w:tcW w:w="1009" w:type="dxa"/>
            <w:vAlign w:val="center"/>
          </w:tcPr>
          <w:p w14:paraId="243AFE55">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w:t>
            </w:r>
          </w:p>
        </w:tc>
        <w:tc>
          <w:tcPr>
            <w:tcW w:w="1036" w:type="dxa"/>
            <w:vAlign w:val="center"/>
          </w:tcPr>
          <w:p w14:paraId="3E068E6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w:t>
            </w:r>
          </w:p>
        </w:tc>
        <w:tc>
          <w:tcPr>
            <w:tcW w:w="982" w:type="dxa"/>
            <w:vAlign w:val="center"/>
          </w:tcPr>
          <w:p w14:paraId="2A7B471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100</w:t>
            </w:r>
          </w:p>
        </w:tc>
        <w:tc>
          <w:tcPr>
            <w:tcW w:w="1786" w:type="dxa"/>
            <w:vAlign w:val="center"/>
          </w:tcPr>
          <w:p w14:paraId="389DFE2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r>
      <w:tr w14:paraId="5177C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376" w:type="dxa"/>
            <w:vAlign w:val="center"/>
          </w:tcPr>
          <w:p w14:paraId="15E3169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2023年</w:t>
            </w:r>
          </w:p>
        </w:tc>
        <w:tc>
          <w:tcPr>
            <w:tcW w:w="1002" w:type="dxa"/>
            <w:vAlign w:val="center"/>
          </w:tcPr>
          <w:p w14:paraId="02AA312B">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市级监督抽查</w:t>
            </w:r>
          </w:p>
        </w:tc>
        <w:tc>
          <w:tcPr>
            <w:tcW w:w="1289" w:type="dxa"/>
            <w:vAlign w:val="center"/>
          </w:tcPr>
          <w:p w14:paraId="43FE6A37">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生产和流通领域</w:t>
            </w:r>
          </w:p>
        </w:tc>
        <w:tc>
          <w:tcPr>
            <w:tcW w:w="1009" w:type="dxa"/>
            <w:vAlign w:val="center"/>
          </w:tcPr>
          <w:p w14:paraId="2D77ECC6">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1036" w:type="dxa"/>
            <w:vAlign w:val="center"/>
          </w:tcPr>
          <w:p w14:paraId="5666A4E9">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982" w:type="dxa"/>
            <w:vAlign w:val="center"/>
          </w:tcPr>
          <w:p w14:paraId="377F084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100</w:t>
            </w:r>
          </w:p>
        </w:tc>
        <w:tc>
          <w:tcPr>
            <w:tcW w:w="1786" w:type="dxa"/>
            <w:vAlign w:val="center"/>
          </w:tcPr>
          <w:p w14:paraId="61D9F54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r>
    </w:tbl>
    <w:p w14:paraId="2829571C">
      <w:pPr>
        <w:pStyle w:val="23"/>
        <w:rPr>
          <w:rFonts w:hAnsi="仿宋_GB2312"/>
          <w:sz w:val="28"/>
          <w:szCs w:val="28"/>
        </w:rPr>
      </w:pPr>
      <w:r>
        <w:rPr>
          <w:rFonts w:hint="eastAsia" w:hAnsi="仿宋_GB2312"/>
          <w:sz w:val="28"/>
          <w:szCs w:val="28"/>
        </w:rPr>
        <w:t>三、抽查产品的标准状况</w:t>
      </w:r>
    </w:p>
    <w:p w14:paraId="3FE4B37E">
      <w:pPr>
        <w:spacing w:line="594"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本次车用尿素水溶液产品抽查所涉及的标准包括：</w:t>
      </w:r>
    </w:p>
    <w:p w14:paraId="735F7A03">
      <w:pPr>
        <w:spacing w:line="594"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GB 29518-2013《柴油发动机氮氧化物还原剂 尿素水溶液（AUS32）》</w:t>
      </w:r>
    </w:p>
    <w:p w14:paraId="5155E3A0">
      <w:pPr>
        <w:spacing w:line="594"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SH/T 0604-2000 《原油和石油产品密度测定法（U形振动管法）》</w:t>
      </w:r>
    </w:p>
    <w:p w14:paraId="5CBCAD78">
      <w:pPr>
        <w:spacing w:line="594"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GB/T 614-2021 《化学试剂 折光率测定通用方法》</w:t>
      </w:r>
    </w:p>
    <w:p w14:paraId="3AA41751">
      <w:pPr>
        <w:spacing w:line="594"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GB/T1884-2000 《原油和液体石油产品密度实验室测定法(密度计法)》</w:t>
      </w:r>
    </w:p>
    <w:p w14:paraId="13928C8D">
      <w:pPr>
        <w:spacing w:line="594"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GB/T1885-1998 《石油计量表》</w:t>
      </w:r>
    </w:p>
    <w:p w14:paraId="143E4A9A">
      <w:pPr>
        <w:spacing w:line="594"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以上标准均为现行有效标准</w:t>
      </w:r>
    </w:p>
    <w:p w14:paraId="385DAC89">
      <w:pPr>
        <w:pStyle w:val="23"/>
        <w:rPr>
          <w:rFonts w:hAnsi="仿宋_GB2312"/>
          <w:sz w:val="28"/>
          <w:szCs w:val="28"/>
        </w:rPr>
      </w:pPr>
      <w:r>
        <w:rPr>
          <w:rFonts w:hint="eastAsia" w:hAnsi="仿宋_GB2312"/>
          <w:color w:val="000000"/>
          <w:sz w:val="28"/>
          <w:szCs w:val="28"/>
        </w:rPr>
        <w:t>四、</w:t>
      </w:r>
      <w:r>
        <w:rPr>
          <w:rFonts w:hint="eastAsia" w:hAnsi="仿宋_GB2312"/>
          <w:sz w:val="28"/>
          <w:szCs w:val="28"/>
        </w:rPr>
        <w:t>抽查产品质量监督抽查实施细则</w:t>
      </w:r>
    </w:p>
    <w:p w14:paraId="3E5555F0">
      <w:pPr>
        <w:spacing w:line="360" w:lineRule="auto"/>
        <w:ind w:firstLine="560" w:firstLineChars="200"/>
        <w:rPr>
          <w:rFonts w:ascii="仿宋_GB2312" w:hAnsi="仿宋_GB2312" w:cs="仿宋_GB2312"/>
          <w:kern w:val="0"/>
          <w:sz w:val="28"/>
          <w:szCs w:val="28"/>
        </w:rPr>
      </w:pPr>
      <w:r>
        <w:rPr>
          <w:rFonts w:hint="eastAsia" w:ascii="仿宋_GB2312" w:hAnsi="仿宋_GB2312" w:cs="仿宋_GB2312"/>
          <w:kern w:val="0"/>
          <w:sz w:val="28"/>
          <w:szCs w:val="28"/>
        </w:rPr>
        <w:t>依据鞍山市市场监督管理局公布的</w:t>
      </w:r>
      <w:r>
        <w:rPr>
          <w:rFonts w:hint="eastAsia" w:ascii="仿宋_GB2312" w:hAnsi="仿宋_GB2312" w:cs="仿宋_GB2312"/>
          <w:kern w:val="0"/>
          <w:sz w:val="28"/>
          <w:szCs w:val="28"/>
          <w:lang w:eastAsia="zh-CN"/>
        </w:rPr>
        <w:t>《</w:t>
      </w:r>
      <w:r>
        <w:rPr>
          <w:rFonts w:hint="eastAsia" w:ascii="仿宋_GB2312" w:hAnsi="仿宋_GB2312" w:cs="仿宋_GB2312"/>
          <w:kern w:val="0"/>
          <w:sz w:val="28"/>
          <w:szCs w:val="28"/>
          <w:lang w:val="en-US" w:eastAsia="zh-CN"/>
        </w:rPr>
        <w:t>鞍山市车用尿素水溶液</w:t>
      </w:r>
      <w:r>
        <w:rPr>
          <w:rFonts w:hint="eastAsia" w:ascii="仿宋_GB2312" w:hAnsi="仿宋_GB2312" w:cs="仿宋_GB2312"/>
          <w:kern w:val="0"/>
          <w:sz w:val="28"/>
          <w:szCs w:val="28"/>
        </w:rPr>
        <w:t>产品质量监督抽查实施细则</w:t>
      </w:r>
      <w:r>
        <w:rPr>
          <w:rFonts w:hint="eastAsia" w:ascii="仿宋_GB2312" w:hAnsi="仿宋_GB2312" w:cs="仿宋_GB2312"/>
          <w:kern w:val="0"/>
          <w:sz w:val="28"/>
          <w:szCs w:val="28"/>
          <w:lang w:eastAsia="zh-CN"/>
        </w:rPr>
        <w:t>》</w:t>
      </w:r>
      <w:r>
        <w:rPr>
          <w:rFonts w:hint="eastAsia" w:ascii="仿宋_GB2312" w:hAnsi="仿宋_GB2312" w:cs="仿宋_GB2312"/>
          <w:kern w:val="0"/>
          <w:sz w:val="28"/>
          <w:szCs w:val="28"/>
        </w:rPr>
        <w:t>。</w:t>
      </w:r>
    </w:p>
    <w:p w14:paraId="22B8E16E">
      <w:pPr>
        <w:pStyle w:val="23"/>
        <w:spacing w:before="0" w:after="0"/>
        <w:rPr>
          <w:rFonts w:hAnsi="仿宋_GB2312"/>
          <w:color w:val="000000"/>
          <w:sz w:val="28"/>
          <w:szCs w:val="28"/>
        </w:rPr>
      </w:pPr>
      <w:r>
        <w:rPr>
          <w:rFonts w:hint="eastAsia" w:hAnsi="仿宋_GB2312"/>
          <w:color w:val="000000"/>
          <w:sz w:val="28"/>
          <w:szCs w:val="28"/>
        </w:rPr>
        <w:t>五、</w:t>
      </w:r>
      <w:r>
        <w:rPr>
          <w:rFonts w:hint="eastAsia" w:ascii="仿宋" w:eastAsia="仿宋" w:cs="仿宋"/>
          <w:sz w:val="28"/>
          <w:szCs w:val="28"/>
        </w:rPr>
        <w:t>抽查产品范围及抽样方式</w:t>
      </w:r>
    </w:p>
    <w:p w14:paraId="505A5FE2">
      <w:pPr>
        <w:adjustRightInd w:val="0"/>
        <w:snapToGrid w:val="0"/>
        <w:spacing w:line="594" w:lineRule="exact"/>
        <w:ind w:firstLine="548" w:firstLineChars="196"/>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（一）拟抽查产品范围</w:t>
      </w:r>
    </w:p>
    <w:p w14:paraId="1124D98B">
      <w:pPr>
        <w:adjustRightInd w:val="0"/>
        <w:snapToGrid w:val="0"/>
        <w:spacing w:line="594" w:lineRule="exact"/>
        <w:ind w:firstLine="548" w:firstLineChars="196"/>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车用尿素水溶液产品销售单位的柴油发动机氮氧化物还原剂尿素水溶液（AUS32）产品。</w:t>
      </w:r>
    </w:p>
    <w:p w14:paraId="6E7C59C0">
      <w:pPr>
        <w:adjustRightInd w:val="0"/>
        <w:snapToGrid w:val="0"/>
        <w:spacing w:line="594" w:lineRule="exact"/>
        <w:ind w:firstLine="548" w:firstLineChars="196"/>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（二）拟抽查产品范围</w:t>
      </w:r>
    </w:p>
    <w:p w14:paraId="637EAAD1">
      <w:pPr>
        <w:adjustRightInd w:val="0"/>
        <w:snapToGrid w:val="0"/>
        <w:spacing w:line="594" w:lineRule="exact"/>
        <w:ind w:firstLine="548" w:firstLineChars="196"/>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1.抽样领域</w:t>
      </w:r>
    </w:p>
    <w:p w14:paraId="531CF42E">
      <w:pPr>
        <w:adjustRightInd w:val="0"/>
        <w:snapToGrid w:val="0"/>
        <w:spacing w:line="594" w:lineRule="exact"/>
        <w:ind w:firstLine="548" w:firstLineChars="196"/>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流通领域。流通领域同一城市覆盖尽可能多店铺。</w:t>
      </w:r>
    </w:p>
    <w:p w14:paraId="288E9FF9">
      <w:pPr>
        <w:adjustRightInd w:val="0"/>
        <w:snapToGrid w:val="0"/>
        <w:spacing w:line="594" w:lineRule="exact"/>
        <w:ind w:firstLine="548" w:firstLineChars="196"/>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2.样品型号或规格</w:t>
      </w:r>
    </w:p>
    <w:p w14:paraId="04BD2AA2">
      <w:pPr>
        <w:adjustRightInd w:val="0"/>
        <w:snapToGrid w:val="0"/>
        <w:spacing w:line="594" w:lineRule="exact"/>
        <w:ind w:firstLine="548" w:firstLineChars="196"/>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抽取样品应为同一型号规格、同一批次的产品，优先抽取企业的主导产品。</w:t>
      </w:r>
    </w:p>
    <w:p w14:paraId="2E8D5515">
      <w:pPr>
        <w:adjustRightInd w:val="0"/>
        <w:snapToGrid w:val="0"/>
        <w:spacing w:line="594" w:lineRule="exact"/>
        <w:ind w:firstLine="548" w:firstLineChars="196"/>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3.抽样方法和数量</w:t>
      </w:r>
    </w:p>
    <w:p w14:paraId="041F0F77">
      <w:pPr>
        <w:adjustRightInd w:val="0"/>
        <w:snapToGrid w:val="0"/>
        <w:spacing w:line="594" w:lineRule="exact"/>
        <w:ind w:firstLine="548" w:firstLineChars="196"/>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在待销产品中随机抽取有产品质量检验合格证明或者以其它形式表明合格（合格证、合格报告、企业相关人员确认等方式均可）的产品。</w:t>
      </w:r>
    </w:p>
    <w:p w14:paraId="474518A6">
      <w:pPr>
        <w:adjustRightInd w:val="0"/>
        <w:snapToGrid w:val="0"/>
        <w:spacing w:line="594" w:lineRule="exact"/>
        <w:ind w:firstLine="548" w:firstLineChars="196"/>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在流通领域抽样时，抽样基数应不少于抽取样品量。抽取不小于2个最小独立包装，总量不少于8kg的样品，其中1份作为检验样品，1份作为备用样品。</w:t>
      </w:r>
    </w:p>
    <w:p w14:paraId="13700288">
      <w:pPr>
        <w:pStyle w:val="52"/>
        <w:spacing w:line="594" w:lineRule="exact"/>
        <w:ind w:left="0" w:leftChars="0" w:firstLine="0" w:firstLineChars="0"/>
        <w:outlineLvl w:val="0"/>
        <w:rPr>
          <w:rFonts w:ascii="仿宋_GB2312" w:hAnsi="仿宋_GB2312" w:cs="仿宋_GB2312"/>
          <w:b/>
          <w:bCs/>
          <w:sz w:val="28"/>
          <w:szCs w:val="28"/>
        </w:rPr>
      </w:pPr>
      <w:r>
        <w:rPr>
          <w:rFonts w:hint="eastAsia" w:ascii="仿宋_GB2312" w:hAnsi="仿宋_GB2312" w:cs="仿宋_GB2312"/>
          <w:b/>
          <w:bCs/>
          <w:sz w:val="28"/>
          <w:szCs w:val="28"/>
          <w:lang w:val="en-US" w:eastAsia="zh-CN"/>
        </w:rPr>
        <w:t>六</w:t>
      </w:r>
      <w:r>
        <w:rPr>
          <w:rFonts w:hint="eastAsia" w:ascii="仿宋_GB2312" w:hAnsi="仿宋_GB2312" w:cs="仿宋_GB2312"/>
          <w:b/>
          <w:bCs/>
          <w:sz w:val="28"/>
          <w:szCs w:val="28"/>
        </w:rPr>
        <w:t>、跟踪抽查情况</w:t>
      </w:r>
    </w:p>
    <w:p w14:paraId="28AF6910">
      <w:pPr>
        <w:tabs>
          <w:tab w:val="left" w:pos="465"/>
          <w:tab w:val="right" w:pos="8313"/>
        </w:tabs>
        <w:spacing w:line="360" w:lineRule="auto"/>
        <w:ind w:firstLine="1120" w:firstLineChars="400"/>
        <w:rPr>
          <w:rFonts w:hint="eastAsia" w:ascii="仿宋_GB2312" w:hAnsi="仿宋_GB2312" w:eastAsia="仿宋_GB2312" w:cs="仿宋_GB2312"/>
          <w:kern w:val="0"/>
          <w:sz w:val="28"/>
          <w:szCs w:val="28"/>
          <w:lang w:eastAsia="zh-CN"/>
        </w:rPr>
      </w:pPr>
      <w:r>
        <w:rPr>
          <w:rFonts w:hint="eastAsia" w:ascii="仿宋_GB2312" w:hAnsi="仿宋_GB2312" w:cs="仿宋_GB2312"/>
          <w:kern w:val="0"/>
          <w:sz w:val="28"/>
          <w:szCs w:val="28"/>
        </w:rPr>
        <w:t>无</w:t>
      </w:r>
      <w:r>
        <w:rPr>
          <w:rFonts w:hint="eastAsia" w:ascii="仿宋_GB2312" w:hAnsi="仿宋_GB2312" w:cs="仿宋_GB2312"/>
          <w:kern w:val="0"/>
          <w:sz w:val="28"/>
          <w:szCs w:val="28"/>
          <w:lang w:eastAsia="zh-CN"/>
        </w:rPr>
        <w:t>。</w:t>
      </w:r>
    </w:p>
    <w:p w14:paraId="5B9A4B69">
      <w:pPr>
        <w:pStyle w:val="2"/>
        <w:ind w:left="0" w:leftChars="0" w:firstLine="0" w:firstLineChars="0"/>
        <w:rPr>
          <w:rFonts w:ascii="仿宋_GB2312" w:hAnsi="仿宋_GB2312" w:cs="仿宋_GB2312"/>
          <w:b/>
          <w:bCs/>
          <w:sz w:val="28"/>
          <w:szCs w:val="28"/>
        </w:rPr>
      </w:pPr>
      <w:r>
        <w:rPr>
          <w:rFonts w:hint="eastAsia" w:ascii="仿宋_GB2312" w:hAnsi="仿宋_GB2312" w:cs="仿宋_GB2312"/>
          <w:b/>
          <w:bCs/>
          <w:sz w:val="28"/>
          <w:szCs w:val="28"/>
          <w:lang w:val="en-US" w:eastAsia="zh-CN"/>
        </w:rPr>
        <w:t>七</w:t>
      </w:r>
      <w:r>
        <w:rPr>
          <w:rFonts w:hint="eastAsia" w:ascii="仿宋_GB2312" w:hAnsi="仿宋_GB2312" w:cs="仿宋_GB2312"/>
          <w:b/>
          <w:bCs/>
          <w:sz w:val="28"/>
          <w:szCs w:val="28"/>
        </w:rPr>
        <w:t>、抽查工作</w:t>
      </w:r>
      <w:r>
        <w:rPr>
          <w:rFonts w:hint="eastAsia" w:ascii="仿宋_GB2312" w:hAnsi="仿宋_GB2312" w:cs="仿宋_GB2312"/>
          <w:b/>
          <w:bCs/>
          <w:sz w:val="28"/>
          <w:szCs w:val="28"/>
          <w:lang w:val="en-US" w:eastAsia="zh-CN"/>
        </w:rPr>
        <w:t>分工</w:t>
      </w:r>
      <w:r>
        <w:rPr>
          <w:rFonts w:hint="eastAsia" w:ascii="仿宋_GB2312" w:hAnsi="仿宋_GB2312" w:cs="仿宋_GB2312"/>
          <w:b/>
          <w:bCs/>
          <w:sz w:val="28"/>
          <w:szCs w:val="28"/>
        </w:rPr>
        <w:t>和进度安排</w:t>
      </w:r>
    </w:p>
    <w:p w14:paraId="057CF876">
      <w:pPr>
        <w:pStyle w:val="14"/>
        <w:spacing w:after="0" w:line="360" w:lineRule="auto"/>
        <w:ind w:left="0" w:leftChars="0" w:firstLine="560" w:firstLineChars="200"/>
        <w:outlineLvl w:val="1"/>
        <w:rPr>
          <w:rFonts w:hint="eastAsia" w:ascii="仿宋_GB2312" w:hAnsi="仿宋" w:eastAsia="仿宋_GB2312" w:cs="仿宋"/>
          <w:color w:val="000000" w:themeColor="text1"/>
          <w:kern w:val="0"/>
          <w:sz w:val="28"/>
          <w:szCs w:val="28"/>
          <w14:textFill>
            <w14:solidFill>
              <w14:schemeClr w14:val="tx1"/>
            </w14:solidFill>
          </w14:textFill>
        </w:rPr>
      </w:pPr>
      <w:r>
        <w:rPr>
          <w:rFonts w:hint="eastAsia" w:ascii="仿宋_GB2312" w:hAnsi="仿宋" w:eastAsia="仿宋_GB2312" w:cs="仿宋"/>
          <w:color w:val="000000" w:themeColor="text1"/>
          <w:kern w:val="0"/>
          <w:sz w:val="28"/>
          <w:szCs w:val="28"/>
          <w14:textFill>
            <w14:solidFill>
              <w14:schemeClr w14:val="tx1"/>
            </w14:solidFill>
          </w14:textFill>
        </w:rPr>
        <w:t>（一）抽查地区、抽样数量、抽样分工</w:t>
      </w:r>
    </w:p>
    <w:p w14:paraId="61AAA93A">
      <w:pPr>
        <w:widowControl/>
        <w:spacing w:line="360" w:lineRule="auto"/>
        <w:ind w:firstLine="560" w:firstLineChars="2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 w:eastAsia="仿宋_GB2312" w:cs="仿宋"/>
          <w:color w:val="000000" w:themeColor="text1"/>
          <w:kern w:val="0"/>
          <w:sz w:val="28"/>
          <w:szCs w:val="28"/>
          <w14:textFill>
            <w14:solidFill>
              <w14:schemeClr w14:val="tx1"/>
            </w14:solidFill>
          </w14:textFill>
        </w:rPr>
        <w:t>抽样地区：全</w:t>
      </w:r>
      <w:r>
        <w:rPr>
          <w:rFonts w:hint="eastAsia" w:ascii="仿宋_GB2312" w:hAnsi="仿宋" w:eastAsia="仿宋_GB2312" w:cs="仿宋"/>
          <w:color w:val="000000" w:themeColor="text1"/>
          <w:kern w:val="0"/>
          <w:sz w:val="28"/>
          <w:szCs w:val="28"/>
          <w:lang w:eastAsia="zh-CN"/>
          <w14:textFill>
            <w14:solidFill>
              <w14:schemeClr w14:val="tx1"/>
            </w14:solidFill>
          </w14:textFill>
        </w:rPr>
        <w:t>市</w:t>
      </w:r>
      <w:r>
        <w:rPr>
          <w:rFonts w:hint="eastAsia" w:ascii="仿宋_GB2312" w:hAnsi="仿宋" w:eastAsia="仿宋_GB2312" w:cs="仿宋"/>
          <w:color w:val="000000" w:themeColor="text1"/>
          <w:kern w:val="0"/>
          <w:sz w:val="28"/>
          <w:szCs w:val="28"/>
          <w14:textFill>
            <w14:solidFill>
              <w14:schemeClr w14:val="tx1"/>
            </w14:solidFill>
          </w14:textFill>
        </w:rPr>
        <w:t>范围内。</w:t>
      </w:r>
      <w:r>
        <w:rPr>
          <w:rFonts w:hint="eastAsia" w:ascii="仿宋_GB2312" w:hAnsi="仿宋" w:eastAsia="仿宋_GB2312" w:cs="仿宋"/>
          <w:color w:val="000000" w:themeColor="text1"/>
          <w:kern w:val="0"/>
          <w:sz w:val="28"/>
          <w:szCs w:val="28"/>
          <w:lang w:eastAsia="zh-CN"/>
          <w14:textFill>
            <w14:solidFill>
              <w14:schemeClr w14:val="tx1"/>
            </w14:solidFill>
          </w14:textFill>
        </w:rPr>
        <w:t>尽量</w:t>
      </w:r>
      <w:r>
        <w:rPr>
          <w:rFonts w:hint="eastAsia" w:ascii="仿宋_GB2312" w:hAnsi="仿宋" w:eastAsia="仿宋_GB2312" w:cs="仿宋"/>
          <w:color w:val="000000" w:themeColor="text1"/>
          <w:kern w:val="0"/>
          <w:sz w:val="28"/>
          <w:szCs w:val="28"/>
          <w14:textFill>
            <w14:solidFill>
              <w14:schemeClr w14:val="tx1"/>
            </w14:solidFill>
          </w14:textFill>
        </w:rPr>
        <w:t>涵盖</w:t>
      </w:r>
      <w:r>
        <w:rPr>
          <w:rFonts w:hint="eastAsia" w:ascii="仿宋_GB2312" w:hAnsi="仿宋" w:eastAsia="仿宋_GB2312" w:cs="仿宋"/>
          <w:color w:val="000000" w:themeColor="text1"/>
          <w:kern w:val="0"/>
          <w:sz w:val="28"/>
          <w:szCs w:val="28"/>
          <w:lang w:eastAsia="zh-CN"/>
          <w14:textFill>
            <w14:solidFill>
              <w14:schemeClr w14:val="tx1"/>
            </w14:solidFill>
          </w14:textFill>
        </w:rPr>
        <w:t>各</w:t>
      </w:r>
      <w:r>
        <w:rPr>
          <w:rFonts w:hint="eastAsia" w:ascii="仿宋_GB2312" w:hAnsi="宋体" w:eastAsia="仿宋_GB2312"/>
          <w:color w:val="000000" w:themeColor="text1"/>
          <w:sz w:val="28"/>
          <w:szCs w:val="28"/>
          <w14:textFill>
            <w14:solidFill>
              <w14:schemeClr w14:val="tx1"/>
            </w14:solidFill>
          </w14:textFill>
        </w:rPr>
        <w:t>区的流通领域经销点，</w:t>
      </w:r>
      <w:r>
        <w:rPr>
          <w:rFonts w:hint="eastAsia" w:ascii="仿宋_GB2312" w:hAnsi="仿宋_GB2312" w:eastAsia="仿宋_GB2312" w:cs="仿宋_GB2312"/>
          <w:color w:val="000000" w:themeColor="text1"/>
          <w:kern w:val="0"/>
          <w:sz w:val="28"/>
          <w:szCs w:val="28"/>
          <w14:textFill>
            <w14:solidFill>
              <w14:schemeClr w14:val="tx1"/>
            </w14:solidFill>
          </w14:textFill>
        </w:rPr>
        <w:t>能够真实反映</w:t>
      </w:r>
      <w:r>
        <w:rPr>
          <w:rFonts w:hint="eastAsia" w:ascii="仿宋_GB2312" w:hAnsi="仿宋_GB2312" w:eastAsia="仿宋_GB2312" w:cs="仿宋_GB2312"/>
          <w:color w:val="000000" w:themeColor="text1"/>
          <w:kern w:val="0"/>
          <w:sz w:val="28"/>
          <w:szCs w:val="28"/>
          <w:lang w:eastAsia="zh-CN"/>
          <w14:textFill>
            <w14:solidFill>
              <w14:schemeClr w14:val="tx1"/>
            </w14:solidFill>
          </w14:textFill>
        </w:rPr>
        <w:t>鞍山市</w:t>
      </w:r>
      <w:r>
        <w:rPr>
          <w:rFonts w:hint="eastAsia" w:ascii="仿宋_GB2312" w:hAnsi="仿宋_GB2312" w:eastAsia="仿宋_GB2312" w:cs="仿宋_GB2312"/>
          <w:color w:val="000000" w:themeColor="text1"/>
          <w:kern w:val="0"/>
          <w:sz w:val="28"/>
          <w:szCs w:val="28"/>
          <w14:textFill>
            <w14:solidFill>
              <w14:schemeClr w14:val="tx1"/>
            </w14:solidFill>
          </w14:textFill>
        </w:rPr>
        <w:t>目前</w:t>
      </w:r>
      <w:r>
        <w:rPr>
          <w:rFonts w:hint="eastAsia" w:ascii="仿宋_GB2312" w:hAnsi="仿宋_GB2312" w:cs="仿宋_GB2312"/>
          <w:color w:val="000000" w:themeColor="text1"/>
          <w:kern w:val="0"/>
          <w:sz w:val="28"/>
          <w:szCs w:val="28"/>
          <w:lang w:val="en-US" w:eastAsia="zh-CN"/>
          <w14:textFill>
            <w14:solidFill>
              <w14:schemeClr w14:val="tx1"/>
            </w14:solidFill>
          </w14:textFill>
        </w:rPr>
        <w:t>车用尿素水溶液</w:t>
      </w:r>
      <w:r>
        <w:rPr>
          <w:rFonts w:hint="eastAsia" w:ascii="仿宋_GB2312" w:hAnsi="仿宋_GB2312" w:eastAsia="仿宋_GB2312" w:cs="仿宋_GB2312"/>
          <w:color w:val="000000" w:themeColor="text1"/>
          <w:kern w:val="0"/>
          <w:sz w:val="28"/>
          <w:szCs w:val="28"/>
          <w14:textFill>
            <w14:solidFill>
              <w14:schemeClr w14:val="tx1"/>
            </w14:solidFill>
          </w14:textFill>
        </w:rPr>
        <w:t>产品的总体质量状况。</w:t>
      </w:r>
    </w:p>
    <w:p w14:paraId="204E1649">
      <w:pPr>
        <w:widowControl/>
        <w:spacing w:line="360" w:lineRule="auto"/>
        <w:ind w:firstLine="560" w:firstLineChars="20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themeColor="text1"/>
          <w:kern w:val="0"/>
          <w:sz w:val="28"/>
          <w:szCs w:val="28"/>
          <w14:textFill>
            <w14:solidFill>
              <w14:schemeClr w14:val="tx1"/>
            </w14:solidFill>
          </w14:textFill>
        </w:rPr>
        <w:t>抽样数量：本次拟抽查</w:t>
      </w:r>
      <w:r>
        <w:rPr>
          <w:rFonts w:hint="eastAsia" w:ascii="仿宋_GB2312" w:hAnsi="仿宋_GB2312" w:cs="仿宋_GB2312"/>
          <w:color w:val="000000" w:themeColor="text1"/>
          <w:kern w:val="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0"/>
          <w:sz w:val="28"/>
          <w:szCs w:val="28"/>
          <w14:textFill>
            <w14:solidFill>
              <w14:schemeClr w14:val="tx1"/>
            </w14:solidFill>
          </w14:textFill>
        </w:rPr>
        <w:t>批次</w:t>
      </w:r>
      <w:r>
        <w:rPr>
          <w:rFonts w:hint="eastAsia" w:ascii="仿宋_GB2312" w:hAnsi="仿宋_GB2312" w:eastAsia="仿宋_GB2312" w:cs="仿宋_GB2312"/>
          <w:color w:val="000000" w:themeColor="text1"/>
          <w:kern w:val="0"/>
          <w:sz w:val="28"/>
          <w:szCs w:val="28"/>
          <w:lang w:eastAsia="zh-CN"/>
          <w14:textFill>
            <w14:solidFill>
              <w14:schemeClr w14:val="tx1"/>
            </w14:solidFill>
          </w14:textFill>
        </w:rPr>
        <w:t>，</w:t>
      </w:r>
      <w:r>
        <w:rPr>
          <w:rFonts w:hint="eastAsia" w:ascii="仿宋_GB2312" w:hAnsi="仿宋_GB2312" w:eastAsia="仿宋_GB2312" w:cs="仿宋_GB2312"/>
          <w:color w:val="000000"/>
          <w:kern w:val="0"/>
          <w:sz w:val="28"/>
          <w:szCs w:val="28"/>
          <w:highlight w:val="none"/>
        </w:rPr>
        <w:t>每个受检单位抽查产品不超过2批次。</w:t>
      </w:r>
    </w:p>
    <w:p w14:paraId="6B5841E0">
      <w:pPr>
        <w:pStyle w:val="14"/>
        <w:spacing w:after="0" w:line="360" w:lineRule="auto"/>
        <w:ind w:left="0" w:leftChars="0" w:firstLine="560" w:firstLineChars="200"/>
        <w:rPr>
          <w:rFonts w:ascii="仿宋_GB2312" w:hAnsi="仿宋_GB2312" w:eastAsia="仿宋_GB2312" w:cs="仿宋_GB2312"/>
          <w:color w:val="00B050"/>
          <w:kern w:val="0"/>
          <w:sz w:val="28"/>
          <w:szCs w:val="28"/>
        </w:rPr>
      </w:pPr>
      <w:r>
        <w:rPr>
          <w:rFonts w:hint="eastAsia" w:ascii="仿宋_GB2312" w:hAnsi="仿宋_GB2312" w:eastAsia="仿宋_GB2312" w:cs="仿宋_GB2312"/>
          <w:color w:val="000000"/>
          <w:kern w:val="0"/>
          <w:sz w:val="28"/>
          <w:szCs w:val="28"/>
        </w:rPr>
        <w:t>抽样分工：按照“抽检分离”原则，机构内抽样人员与检验人员分离</w:t>
      </w:r>
      <w:r>
        <w:rPr>
          <w:rFonts w:hint="eastAsia" w:ascii="仿宋_GB2312" w:hAnsi="仿宋" w:eastAsia="仿宋_GB2312" w:cs="仿宋"/>
          <w:kern w:val="0"/>
          <w:sz w:val="28"/>
          <w:szCs w:val="28"/>
        </w:rPr>
        <w:t>。合</w:t>
      </w:r>
      <w:r>
        <w:rPr>
          <w:rFonts w:hint="eastAsia" w:ascii="仿宋_GB2312" w:hAnsi="仿宋_GB2312" w:eastAsia="仿宋_GB2312" w:cs="仿宋_GB2312"/>
          <w:kern w:val="0"/>
          <w:sz w:val="28"/>
          <w:szCs w:val="28"/>
        </w:rPr>
        <w:t>理规划抽样人员，每组抽样人员不少于2人，抽样人员随机产生。</w:t>
      </w:r>
    </w:p>
    <w:p w14:paraId="79E26472">
      <w:pPr>
        <w:pStyle w:val="14"/>
        <w:spacing w:line="360" w:lineRule="auto"/>
        <w:ind w:left="0" w:leftChars="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）抽查进度安排（含检验周期）</w:t>
      </w:r>
    </w:p>
    <w:p w14:paraId="2E469357">
      <w:pPr>
        <w:pStyle w:val="14"/>
        <w:spacing w:line="360" w:lineRule="auto"/>
        <w:ind w:left="0" w:leftChars="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总体时间安排：接到市局任务起30日内。</w:t>
      </w:r>
    </w:p>
    <w:p w14:paraId="45D1CD69">
      <w:pPr>
        <w:pStyle w:val="14"/>
        <w:spacing w:line="360" w:lineRule="auto"/>
        <w:ind w:left="0" w:leftChars="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具体时间安排：</w:t>
      </w:r>
    </w:p>
    <w:p w14:paraId="7E1910DE">
      <w:pPr>
        <w:pStyle w:val="14"/>
        <w:spacing w:line="360" w:lineRule="auto"/>
        <w:ind w:left="0" w:leftChars="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1、抽样阶段：接到市局任务起5日内；</w:t>
      </w:r>
    </w:p>
    <w:p w14:paraId="032B82B5">
      <w:pPr>
        <w:pStyle w:val="14"/>
        <w:spacing w:line="360" w:lineRule="auto"/>
        <w:ind w:left="0" w:leftChars="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2、检验阶段（检验周期）：到样日起10日内；</w:t>
      </w:r>
    </w:p>
    <w:p w14:paraId="0CA9ED0F">
      <w:pPr>
        <w:pStyle w:val="14"/>
        <w:spacing w:line="360" w:lineRule="auto"/>
        <w:ind w:left="0" w:leftChars="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3、异议处理：10日内；</w:t>
      </w:r>
    </w:p>
    <w:p w14:paraId="12DE4D81">
      <w:pPr>
        <w:pStyle w:val="14"/>
        <w:spacing w:line="360" w:lineRule="auto"/>
        <w:ind w:left="0" w:leftChars="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4、上报材料：异议处理结束后5日内。</w:t>
      </w:r>
    </w:p>
    <w:p w14:paraId="27E5621B">
      <w:pPr>
        <w:pStyle w:val="14"/>
        <w:spacing w:line="360" w:lineRule="auto"/>
        <w:ind w:left="0" w:leftChars="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）抽样批次数的分配</w:t>
      </w:r>
    </w:p>
    <w:p w14:paraId="68612485">
      <w:pPr>
        <w:spacing w:line="360" w:lineRule="auto"/>
        <w:jc w:val="center"/>
        <w:rPr>
          <w:rFonts w:ascii="仿宋_GB2312" w:hAnsi="仿宋_GB2312" w:cs="仿宋_GB2312"/>
          <w:sz w:val="28"/>
          <w:szCs w:val="28"/>
        </w:rPr>
      </w:pPr>
      <w:r>
        <w:rPr>
          <w:rFonts w:hint="eastAsia" w:ascii="仿宋_GB2312" w:hAnsi="仿宋_GB2312" w:cs="仿宋_GB2312"/>
          <w:sz w:val="28"/>
          <w:szCs w:val="28"/>
        </w:rPr>
        <w:t>2024年车用尿素水溶液产品质量监督抽查抽样区域及抽样数量</w:t>
      </w:r>
    </w:p>
    <w:tbl>
      <w:tblPr>
        <w:tblStyle w:val="25"/>
        <w:tblW w:w="79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710"/>
        <w:gridCol w:w="2936"/>
        <w:gridCol w:w="1878"/>
      </w:tblGrid>
      <w:tr w14:paraId="7E0CC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470" w:type="dxa"/>
            <w:noWrap/>
            <w:vAlign w:val="center"/>
          </w:tcPr>
          <w:p w14:paraId="68F30C22">
            <w:pPr>
              <w:widowControl/>
              <w:jc w:val="center"/>
              <w:rPr>
                <w:rFonts w:ascii="仿宋_GB2312" w:hAnsi="仿宋_GB2312" w:cs="仿宋_GB2312"/>
                <w:sz w:val="24"/>
                <w:szCs w:val="24"/>
              </w:rPr>
            </w:pPr>
            <w:r>
              <w:rPr>
                <w:rFonts w:hint="eastAsia" w:ascii="仿宋_GB2312" w:hAnsi="仿宋_GB2312" w:cs="仿宋_GB2312"/>
                <w:sz w:val="24"/>
                <w:szCs w:val="24"/>
              </w:rPr>
              <w:t>抽样地域</w:t>
            </w:r>
          </w:p>
        </w:tc>
        <w:tc>
          <w:tcPr>
            <w:tcW w:w="1710" w:type="dxa"/>
            <w:noWrap/>
            <w:vAlign w:val="center"/>
          </w:tcPr>
          <w:p w14:paraId="7EF11CB2">
            <w:pPr>
              <w:widowControl/>
              <w:jc w:val="center"/>
              <w:rPr>
                <w:rFonts w:ascii="仿宋_GB2312" w:hAnsi="仿宋_GB2312" w:cs="仿宋_GB2312"/>
                <w:sz w:val="24"/>
                <w:szCs w:val="24"/>
              </w:rPr>
            </w:pPr>
            <w:r>
              <w:rPr>
                <w:rFonts w:hint="eastAsia" w:ascii="仿宋_GB2312" w:hAnsi="仿宋_GB2312" w:cs="仿宋_GB2312"/>
                <w:sz w:val="24"/>
                <w:szCs w:val="24"/>
              </w:rPr>
              <w:t>抽样批次</w:t>
            </w:r>
          </w:p>
        </w:tc>
        <w:tc>
          <w:tcPr>
            <w:tcW w:w="2936" w:type="dxa"/>
            <w:noWrap/>
            <w:vAlign w:val="center"/>
          </w:tcPr>
          <w:p w14:paraId="5A6710E7">
            <w:pPr>
              <w:widowControl/>
              <w:jc w:val="center"/>
              <w:rPr>
                <w:rFonts w:ascii="仿宋_GB2312" w:hAnsi="仿宋_GB2312" w:cs="仿宋_GB2312"/>
                <w:sz w:val="24"/>
                <w:szCs w:val="24"/>
              </w:rPr>
            </w:pPr>
            <w:r>
              <w:rPr>
                <w:rFonts w:hint="eastAsia" w:ascii="仿宋_GB2312" w:hAnsi="仿宋_GB2312" w:cs="仿宋_GB2312"/>
                <w:sz w:val="24"/>
                <w:szCs w:val="24"/>
              </w:rPr>
              <w:t>抽样地域</w:t>
            </w:r>
          </w:p>
        </w:tc>
        <w:tc>
          <w:tcPr>
            <w:tcW w:w="1878" w:type="dxa"/>
            <w:noWrap/>
            <w:vAlign w:val="center"/>
          </w:tcPr>
          <w:p w14:paraId="22B83635">
            <w:pPr>
              <w:widowControl/>
              <w:jc w:val="center"/>
              <w:rPr>
                <w:rFonts w:ascii="仿宋_GB2312" w:hAnsi="仿宋_GB2312" w:cs="仿宋_GB2312"/>
                <w:sz w:val="24"/>
                <w:szCs w:val="24"/>
              </w:rPr>
            </w:pPr>
            <w:r>
              <w:rPr>
                <w:rFonts w:hint="eastAsia" w:ascii="仿宋_GB2312" w:hAnsi="仿宋_GB2312" w:cs="仿宋_GB2312"/>
                <w:sz w:val="24"/>
                <w:szCs w:val="24"/>
              </w:rPr>
              <w:t>抽样批次</w:t>
            </w:r>
          </w:p>
        </w:tc>
      </w:tr>
      <w:tr w14:paraId="1A251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470" w:type="dxa"/>
            <w:noWrap/>
            <w:vAlign w:val="center"/>
          </w:tcPr>
          <w:p w14:paraId="4060EACD">
            <w:pPr>
              <w:widowControl/>
              <w:jc w:val="center"/>
              <w:rPr>
                <w:rFonts w:ascii="仿宋_GB2312" w:hAnsi="仿宋_GB2312" w:cs="仿宋_GB2312"/>
                <w:sz w:val="24"/>
                <w:szCs w:val="24"/>
              </w:rPr>
            </w:pPr>
            <w:r>
              <w:rPr>
                <w:rFonts w:hint="eastAsia" w:ascii="仿宋_GB2312" w:hAnsi="仿宋_GB2312" w:cs="仿宋_GB2312"/>
                <w:sz w:val="24"/>
                <w:szCs w:val="24"/>
              </w:rPr>
              <w:t>立山区</w:t>
            </w:r>
          </w:p>
        </w:tc>
        <w:tc>
          <w:tcPr>
            <w:tcW w:w="1710" w:type="dxa"/>
            <w:noWrap/>
            <w:vAlign w:val="center"/>
          </w:tcPr>
          <w:p w14:paraId="31F023A4">
            <w:pPr>
              <w:widowControl/>
              <w:jc w:val="center"/>
              <w:rPr>
                <w:rFonts w:ascii="仿宋_GB2312" w:hAnsi="仿宋_GB2312" w:cs="仿宋_GB2312"/>
                <w:sz w:val="24"/>
                <w:szCs w:val="24"/>
              </w:rPr>
            </w:pPr>
            <w:r>
              <w:rPr>
                <w:rFonts w:hint="eastAsia" w:ascii="仿宋_GB2312" w:hAnsi="仿宋_GB2312" w:cs="仿宋_GB2312"/>
                <w:sz w:val="24"/>
                <w:szCs w:val="24"/>
              </w:rPr>
              <w:t>1</w:t>
            </w:r>
          </w:p>
        </w:tc>
        <w:tc>
          <w:tcPr>
            <w:tcW w:w="2936" w:type="dxa"/>
            <w:noWrap/>
            <w:vAlign w:val="center"/>
          </w:tcPr>
          <w:p w14:paraId="468EC6A6">
            <w:pPr>
              <w:widowControl/>
              <w:jc w:val="center"/>
              <w:rPr>
                <w:rFonts w:ascii="仿宋_GB2312" w:hAnsi="仿宋_GB2312" w:cs="仿宋_GB2312"/>
                <w:sz w:val="24"/>
                <w:szCs w:val="24"/>
              </w:rPr>
            </w:pPr>
            <w:r>
              <w:rPr>
                <w:rFonts w:hint="eastAsia" w:ascii="仿宋_GB2312" w:hAnsi="仿宋_GB2312" w:cs="仿宋_GB2312"/>
                <w:sz w:val="24"/>
                <w:szCs w:val="24"/>
              </w:rPr>
              <w:t>岫岩满族自治县、海城市</w:t>
            </w:r>
          </w:p>
        </w:tc>
        <w:tc>
          <w:tcPr>
            <w:tcW w:w="1878" w:type="dxa"/>
            <w:noWrap/>
            <w:vAlign w:val="center"/>
          </w:tcPr>
          <w:p w14:paraId="272A55D9">
            <w:pPr>
              <w:widowControl/>
              <w:jc w:val="center"/>
              <w:rPr>
                <w:rFonts w:ascii="仿宋_GB2312" w:hAnsi="仿宋_GB2312" w:cs="仿宋_GB2312"/>
                <w:sz w:val="24"/>
                <w:szCs w:val="24"/>
              </w:rPr>
            </w:pPr>
            <w:r>
              <w:rPr>
                <w:rFonts w:hint="eastAsia" w:ascii="仿宋_GB2312" w:hAnsi="仿宋_GB2312" w:cs="仿宋_GB2312"/>
                <w:sz w:val="24"/>
                <w:szCs w:val="24"/>
              </w:rPr>
              <w:t>1</w:t>
            </w:r>
          </w:p>
        </w:tc>
      </w:tr>
      <w:tr w14:paraId="79B5E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470" w:type="dxa"/>
            <w:noWrap/>
            <w:vAlign w:val="center"/>
          </w:tcPr>
          <w:p w14:paraId="0FADA8EF">
            <w:pPr>
              <w:widowControl/>
              <w:jc w:val="center"/>
              <w:rPr>
                <w:rFonts w:ascii="仿宋_GB2312" w:hAnsi="仿宋_GB2312" w:cs="仿宋_GB2312"/>
                <w:sz w:val="24"/>
                <w:szCs w:val="24"/>
              </w:rPr>
            </w:pPr>
            <w:r>
              <w:rPr>
                <w:rFonts w:hint="eastAsia" w:ascii="仿宋_GB2312" w:hAnsi="仿宋_GB2312" w:cs="仿宋_GB2312"/>
                <w:sz w:val="24"/>
                <w:szCs w:val="24"/>
              </w:rPr>
              <w:t>千山区</w:t>
            </w:r>
          </w:p>
        </w:tc>
        <w:tc>
          <w:tcPr>
            <w:tcW w:w="1710" w:type="dxa"/>
            <w:noWrap/>
            <w:vAlign w:val="center"/>
          </w:tcPr>
          <w:p w14:paraId="30797D55">
            <w:pPr>
              <w:widowControl/>
              <w:jc w:val="center"/>
              <w:rPr>
                <w:rFonts w:ascii="仿宋_GB2312" w:hAnsi="仿宋_GB2312" w:cs="仿宋_GB2312"/>
                <w:sz w:val="24"/>
                <w:szCs w:val="24"/>
              </w:rPr>
            </w:pPr>
            <w:r>
              <w:rPr>
                <w:rFonts w:hint="eastAsia" w:ascii="仿宋_GB2312" w:hAnsi="仿宋_GB2312" w:cs="仿宋_GB2312"/>
                <w:sz w:val="24"/>
                <w:szCs w:val="24"/>
              </w:rPr>
              <w:t>1</w:t>
            </w:r>
          </w:p>
        </w:tc>
        <w:tc>
          <w:tcPr>
            <w:tcW w:w="2936" w:type="dxa"/>
            <w:noWrap/>
            <w:vAlign w:val="center"/>
          </w:tcPr>
          <w:p w14:paraId="6B551F01">
            <w:pPr>
              <w:widowControl/>
              <w:jc w:val="center"/>
              <w:rPr>
                <w:rFonts w:ascii="仿宋_GB2312" w:hAnsi="仿宋_GB2312" w:cs="仿宋_GB2312"/>
                <w:sz w:val="24"/>
                <w:szCs w:val="24"/>
              </w:rPr>
            </w:pPr>
            <w:r>
              <w:rPr>
                <w:rFonts w:hint="eastAsia" w:ascii="仿宋_GB2312" w:hAnsi="仿宋_GB2312" w:cs="仿宋_GB2312"/>
                <w:sz w:val="24"/>
                <w:szCs w:val="24"/>
              </w:rPr>
              <w:t>铁东区</w:t>
            </w:r>
          </w:p>
        </w:tc>
        <w:tc>
          <w:tcPr>
            <w:tcW w:w="1878" w:type="dxa"/>
            <w:noWrap/>
            <w:vAlign w:val="center"/>
          </w:tcPr>
          <w:p w14:paraId="661BD55A">
            <w:pPr>
              <w:widowControl/>
              <w:jc w:val="center"/>
              <w:rPr>
                <w:rFonts w:ascii="仿宋_GB2312" w:hAnsi="仿宋_GB2312" w:cs="仿宋_GB2312"/>
                <w:sz w:val="24"/>
                <w:szCs w:val="24"/>
              </w:rPr>
            </w:pPr>
            <w:r>
              <w:rPr>
                <w:rFonts w:hint="eastAsia" w:ascii="仿宋_GB2312" w:hAnsi="仿宋_GB2312" w:cs="仿宋_GB2312"/>
                <w:sz w:val="24"/>
                <w:szCs w:val="24"/>
              </w:rPr>
              <w:t>1</w:t>
            </w:r>
          </w:p>
        </w:tc>
      </w:tr>
      <w:tr w14:paraId="37F6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470" w:type="dxa"/>
            <w:noWrap/>
            <w:vAlign w:val="center"/>
          </w:tcPr>
          <w:p w14:paraId="1D835440">
            <w:pPr>
              <w:widowControl/>
              <w:jc w:val="center"/>
              <w:rPr>
                <w:rFonts w:ascii="仿宋_GB2312" w:hAnsi="仿宋_GB2312" w:cs="仿宋_GB2312"/>
                <w:sz w:val="24"/>
                <w:szCs w:val="24"/>
              </w:rPr>
            </w:pPr>
            <w:r>
              <w:rPr>
                <w:rFonts w:hint="eastAsia" w:ascii="仿宋_GB2312" w:hAnsi="仿宋_GB2312" w:cs="仿宋_GB2312"/>
                <w:sz w:val="24"/>
                <w:szCs w:val="24"/>
              </w:rPr>
              <w:t>台安县</w:t>
            </w:r>
          </w:p>
        </w:tc>
        <w:tc>
          <w:tcPr>
            <w:tcW w:w="1710" w:type="dxa"/>
            <w:noWrap/>
            <w:vAlign w:val="center"/>
          </w:tcPr>
          <w:p w14:paraId="5376F815">
            <w:pPr>
              <w:widowControl/>
              <w:jc w:val="center"/>
              <w:rPr>
                <w:rFonts w:ascii="仿宋_GB2312" w:hAnsi="仿宋_GB2312" w:cs="仿宋_GB2312"/>
                <w:sz w:val="24"/>
                <w:szCs w:val="24"/>
              </w:rPr>
            </w:pPr>
            <w:r>
              <w:rPr>
                <w:rFonts w:hint="eastAsia" w:ascii="仿宋_GB2312" w:hAnsi="仿宋_GB2312" w:cs="仿宋_GB2312"/>
                <w:sz w:val="24"/>
                <w:szCs w:val="24"/>
              </w:rPr>
              <w:t>1</w:t>
            </w:r>
          </w:p>
        </w:tc>
        <w:tc>
          <w:tcPr>
            <w:tcW w:w="2936" w:type="dxa"/>
            <w:noWrap/>
            <w:vAlign w:val="center"/>
          </w:tcPr>
          <w:p w14:paraId="6C0E35EB">
            <w:pPr>
              <w:widowControl/>
              <w:jc w:val="center"/>
              <w:rPr>
                <w:rFonts w:ascii="仿宋_GB2312" w:hAnsi="仿宋_GB2312" w:cs="仿宋_GB2312"/>
                <w:sz w:val="24"/>
                <w:szCs w:val="24"/>
              </w:rPr>
            </w:pPr>
          </w:p>
        </w:tc>
        <w:tc>
          <w:tcPr>
            <w:tcW w:w="1878" w:type="dxa"/>
            <w:noWrap/>
            <w:vAlign w:val="center"/>
          </w:tcPr>
          <w:p w14:paraId="68D82576">
            <w:pPr>
              <w:widowControl/>
              <w:jc w:val="center"/>
              <w:rPr>
                <w:rFonts w:ascii="仿宋_GB2312" w:hAnsi="仿宋_GB2312" w:cs="仿宋_GB2312"/>
                <w:sz w:val="24"/>
                <w:szCs w:val="24"/>
              </w:rPr>
            </w:pPr>
          </w:p>
        </w:tc>
      </w:tr>
    </w:tbl>
    <w:p w14:paraId="69F5DE9E">
      <w:pPr>
        <w:pStyle w:val="14"/>
        <w:spacing w:after="0" w:line="360" w:lineRule="auto"/>
        <w:ind w:left="0" w:left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八、承检机构联系方式</w:t>
      </w:r>
    </w:p>
    <w:p w14:paraId="2DAAF908">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承检机构：大连产品质量检验检测研究院有限公司</w:t>
      </w:r>
    </w:p>
    <w:p w14:paraId="2AF272B6">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单位地址：大连市沙河口区万岁街68-2号</w:t>
      </w:r>
    </w:p>
    <w:p w14:paraId="09D877E8">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业务联系人：王宁</w:t>
      </w:r>
      <w:bookmarkStart w:id="0" w:name="_GoBack"/>
      <w:bookmarkEnd w:id="0"/>
    </w:p>
    <w:p w14:paraId="29D3C10B">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电话/邮箱：</w:t>
      </w:r>
      <w:r>
        <w:rPr>
          <w:highlight w:val="none"/>
        </w:rPr>
        <w:t xml:space="preserve"> </w:t>
      </w:r>
      <w:r>
        <w:rPr>
          <w:rFonts w:ascii="仿宋_GB2312" w:hAnsi="仿宋" w:eastAsia="仿宋_GB2312" w:cs="仿宋"/>
          <w:kern w:val="0"/>
          <w:sz w:val="28"/>
          <w:szCs w:val="28"/>
          <w:highlight w:val="none"/>
        </w:rPr>
        <w:t>15942621521/ning1164@qq.com</w:t>
      </w:r>
    </w:p>
    <w:p w14:paraId="68EF9430">
      <w:pPr>
        <w:pStyle w:val="14"/>
        <w:spacing w:after="0" w:line="360" w:lineRule="auto"/>
        <w:ind w:left="0" w:left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九、承检机构资质认定授权有效期说明</w:t>
      </w:r>
    </w:p>
    <w:p w14:paraId="0A1E1ED4">
      <w:pPr>
        <w:spacing w:line="560" w:lineRule="exact"/>
        <w:jc w:val="center"/>
        <w:rPr>
          <w:rFonts w:ascii="宋体" w:hAnsi="宋体"/>
          <w:sz w:val="28"/>
          <w:szCs w:val="28"/>
        </w:rPr>
      </w:pPr>
      <w:r>
        <w:rPr>
          <w:rFonts w:hint="eastAsia" w:ascii="宋体" w:hAnsi="宋体"/>
          <w:sz w:val="28"/>
          <w:szCs w:val="28"/>
        </w:rPr>
        <w:t>承检机构资质认定情况统计</w:t>
      </w:r>
    </w:p>
    <w:tbl>
      <w:tblPr>
        <w:tblStyle w:val="25"/>
        <w:tblW w:w="4717" w:type="pct"/>
        <w:jc w:val="center"/>
        <w:tblLayout w:type="autofit"/>
        <w:tblCellMar>
          <w:top w:w="0" w:type="dxa"/>
          <w:left w:w="108" w:type="dxa"/>
          <w:bottom w:w="0" w:type="dxa"/>
          <w:right w:w="108" w:type="dxa"/>
        </w:tblCellMar>
      </w:tblPr>
      <w:tblGrid>
        <w:gridCol w:w="837"/>
        <w:gridCol w:w="3544"/>
        <w:gridCol w:w="4338"/>
      </w:tblGrid>
      <w:tr w14:paraId="6B0465EA">
        <w:tblPrEx>
          <w:tblCellMar>
            <w:top w:w="0" w:type="dxa"/>
            <w:left w:w="108" w:type="dxa"/>
            <w:bottom w:w="0" w:type="dxa"/>
            <w:right w:w="108" w:type="dxa"/>
          </w:tblCellMar>
        </w:tblPrEx>
        <w:trPr>
          <w:trHeight w:val="875" w:hRule="atLeast"/>
          <w:tblHeader/>
          <w:jc w:val="center"/>
        </w:trPr>
        <w:tc>
          <w:tcPr>
            <w:tcW w:w="480" w:type="pct"/>
            <w:tcBorders>
              <w:top w:val="single" w:color="auto" w:sz="6" w:space="0"/>
              <w:left w:val="single" w:color="auto" w:sz="6" w:space="0"/>
              <w:bottom w:val="single" w:color="auto" w:sz="6" w:space="0"/>
              <w:right w:val="single" w:color="auto" w:sz="6" w:space="0"/>
            </w:tcBorders>
            <w:vAlign w:val="center"/>
          </w:tcPr>
          <w:p w14:paraId="1CEBA286">
            <w:pPr>
              <w:jc w:val="center"/>
              <w:rPr>
                <w:rFonts w:ascii="宋体" w:hAnsi="宋体" w:eastAsia="宋体"/>
                <w:color w:val="000000"/>
                <w:sz w:val="24"/>
              </w:rPr>
            </w:pPr>
            <w:r>
              <w:rPr>
                <w:rFonts w:hint="eastAsia" w:ascii="宋体" w:hAnsi="宋体" w:eastAsia="宋体"/>
                <w:color w:val="000000"/>
                <w:sz w:val="24"/>
              </w:rPr>
              <w:t>序号</w:t>
            </w:r>
          </w:p>
        </w:tc>
        <w:tc>
          <w:tcPr>
            <w:tcW w:w="2032" w:type="pct"/>
            <w:tcBorders>
              <w:top w:val="single" w:color="auto" w:sz="6" w:space="0"/>
              <w:left w:val="single" w:color="auto" w:sz="6" w:space="0"/>
              <w:bottom w:val="single" w:color="auto" w:sz="6" w:space="0"/>
              <w:right w:val="single" w:color="auto" w:sz="6" w:space="0"/>
            </w:tcBorders>
            <w:vAlign w:val="center"/>
          </w:tcPr>
          <w:p w14:paraId="427480F1">
            <w:pPr>
              <w:jc w:val="center"/>
              <w:rPr>
                <w:rFonts w:ascii="宋体" w:hAnsi="宋体" w:eastAsia="宋体"/>
                <w:color w:val="000000"/>
                <w:sz w:val="24"/>
              </w:rPr>
            </w:pPr>
            <w:r>
              <w:rPr>
                <w:rFonts w:hint="eastAsia" w:ascii="宋体" w:hAnsi="宋体" w:eastAsia="宋体"/>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vAlign w:val="center"/>
          </w:tcPr>
          <w:p w14:paraId="46718A75">
            <w:pPr>
              <w:jc w:val="center"/>
              <w:rPr>
                <w:rFonts w:ascii="宋体" w:hAnsi="宋体" w:eastAsia="宋体"/>
                <w:color w:val="000000"/>
                <w:sz w:val="24"/>
              </w:rPr>
            </w:pPr>
            <w:r>
              <w:rPr>
                <w:rFonts w:hint="eastAsia" w:ascii="宋体" w:hAnsi="宋体" w:eastAsia="宋体"/>
                <w:color w:val="000000"/>
                <w:sz w:val="24"/>
              </w:rPr>
              <w:t>CMA证书编号及有效期限</w:t>
            </w:r>
          </w:p>
        </w:tc>
      </w:tr>
      <w:tr w14:paraId="1AA3C46C">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vAlign w:val="center"/>
          </w:tcPr>
          <w:p w14:paraId="07EE2BCF">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vAlign w:val="center"/>
          </w:tcPr>
          <w:p w14:paraId="2C7BBFB2">
            <w:pPr>
              <w:jc w:val="center"/>
              <w:rPr>
                <w:rFonts w:ascii="仿宋_GB2312" w:hAnsi="仿宋_GB2312" w:eastAsia="仿宋_GB2312" w:cs="仿宋_GB2312"/>
                <w:sz w:val="24"/>
              </w:rPr>
            </w:pPr>
            <w:r>
              <w:rPr>
                <w:rFonts w:hint="eastAsia" w:ascii="仿宋_GB2312" w:hAnsi="仿宋_GB2312" w:eastAsia="仿宋_GB2312" w:cs="仿宋_GB2312"/>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vAlign w:val="center"/>
          </w:tcPr>
          <w:p w14:paraId="3C20AB54">
            <w:pPr>
              <w:pStyle w:val="12"/>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编号：18060011B027</w:t>
            </w:r>
          </w:p>
          <w:p w14:paraId="710DD452">
            <w:pPr>
              <w:pStyle w:val="12"/>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有效期：2024.6.11</w:t>
            </w:r>
          </w:p>
        </w:tc>
      </w:tr>
    </w:tbl>
    <w:p w14:paraId="68C9D60B">
      <w:pPr>
        <w:jc w:val="center"/>
        <w:rPr>
          <w:rFonts w:ascii="仿宋_GB2312" w:hAnsi="仿宋_GB2312" w:cs="仿宋_GB2312"/>
          <w:b/>
          <w:spacing w:val="20"/>
          <w:w w:val="105"/>
          <w:sz w:val="28"/>
          <w:szCs w:val="28"/>
        </w:rPr>
      </w:pPr>
    </w:p>
    <w:p w14:paraId="3AB2F56B">
      <w:pPr>
        <w:rPr>
          <w:rFonts w:ascii="仿宋_GB2312" w:hAnsi="仿宋_GB2312" w:cs="仿宋_GB2312"/>
          <w:b/>
          <w:spacing w:val="20"/>
          <w:w w:val="105"/>
          <w:sz w:val="28"/>
          <w:szCs w:val="28"/>
        </w:rPr>
      </w:pPr>
    </w:p>
    <w:sectPr>
      <w:pgSz w:w="11906" w:h="16838"/>
      <w:pgMar w:top="1440"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汉鼎简书宋二">
    <w:altName w:val="宋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63748D"/>
    <w:multiLevelType w:val="multilevel"/>
    <w:tmpl w:val="1C63748D"/>
    <w:lvl w:ilvl="0" w:tentative="0">
      <w:start w:val="1"/>
      <w:numFmt w:val="decimal"/>
      <w:pStyle w:val="3"/>
      <w:lvlText w:val="%1."/>
      <w:lvlJc w:val="left"/>
      <w:pPr>
        <w:ind w:left="432" w:hanging="432"/>
      </w:pPr>
      <w:rPr>
        <w:rFonts w:hint="default"/>
      </w:rPr>
    </w:lvl>
    <w:lvl w:ilvl="1" w:tentative="0">
      <w:start w:val="1"/>
      <w:numFmt w:val="decimal"/>
      <w:pStyle w:val="4"/>
      <w:lvlText w:val="%1.%2."/>
      <w:lvlJc w:val="left"/>
      <w:pPr>
        <w:ind w:left="1001" w:hanging="575"/>
      </w:pPr>
      <w:rPr>
        <w:rFonts w:hint="default"/>
      </w:rPr>
    </w:lvl>
    <w:lvl w:ilvl="2" w:tentative="0">
      <w:start w:val="1"/>
      <w:numFmt w:val="decimal"/>
      <w:pStyle w:val="5"/>
      <w:lvlText w:val="%1.%2.%3."/>
      <w:lvlJc w:val="left"/>
      <w:pPr>
        <w:ind w:left="720" w:hanging="720"/>
      </w:pPr>
      <w:rPr>
        <w:rFonts w:hint="default"/>
      </w:rPr>
    </w:lvl>
    <w:lvl w:ilvl="3" w:tentative="0">
      <w:start w:val="1"/>
      <w:numFmt w:val="decimal"/>
      <w:pStyle w:val="6"/>
      <w:lvlText w:val="%1.%2.%3.%4."/>
      <w:lvlJc w:val="left"/>
      <w:pPr>
        <w:ind w:left="1857"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jk2NmU4ODlkMGU2Yzk1N2FhZWM1ODAxNDRlMGEifQ=="/>
  </w:docVars>
  <w:rsids>
    <w:rsidRoot w:val="00C85D44"/>
    <w:rsid w:val="0002586A"/>
    <w:rsid w:val="000415B8"/>
    <w:rsid w:val="00057CFF"/>
    <w:rsid w:val="00084B93"/>
    <w:rsid w:val="000A5907"/>
    <w:rsid w:val="000B0E0E"/>
    <w:rsid w:val="000C0743"/>
    <w:rsid w:val="000F3483"/>
    <w:rsid w:val="00111254"/>
    <w:rsid w:val="0013408B"/>
    <w:rsid w:val="001416E6"/>
    <w:rsid w:val="0014334A"/>
    <w:rsid w:val="001467BD"/>
    <w:rsid w:val="00146B61"/>
    <w:rsid w:val="0018417B"/>
    <w:rsid w:val="0019345A"/>
    <w:rsid w:val="001A74D5"/>
    <w:rsid w:val="001A76E0"/>
    <w:rsid w:val="001D000E"/>
    <w:rsid w:val="001F1E74"/>
    <w:rsid w:val="00213D7E"/>
    <w:rsid w:val="00220E4F"/>
    <w:rsid w:val="00226AB5"/>
    <w:rsid w:val="00253C51"/>
    <w:rsid w:val="003148AA"/>
    <w:rsid w:val="0031546A"/>
    <w:rsid w:val="003560DA"/>
    <w:rsid w:val="003943F7"/>
    <w:rsid w:val="003949E6"/>
    <w:rsid w:val="003D2798"/>
    <w:rsid w:val="003D3A49"/>
    <w:rsid w:val="003D686C"/>
    <w:rsid w:val="004006B6"/>
    <w:rsid w:val="00415FC8"/>
    <w:rsid w:val="00422AE7"/>
    <w:rsid w:val="00424DCB"/>
    <w:rsid w:val="00432F9E"/>
    <w:rsid w:val="004378B6"/>
    <w:rsid w:val="004438FA"/>
    <w:rsid w:val="0048376E"/>
    <w:rsid w:val="004A1541"/>
    <w:rsid w:val="004A3010"/>
    <w:rsid w:val="004D5C3D"/>
    <w:rsid w:val="004E241F"/>
    <w:rsid w:val="004F3E89"/>
    <w:rsid w:val="0050614E"/>
    <w:rsid w:val="005313AC"/>
    <w:rsid w:val="005725AA"/>
    <w:rsid w:val="005A56F5"/>
    <w:rsid w:val="005A7B39"/>
    <w:rsid w:val="005B5418"/>
    <w:rsid w:val="005D3EE2"/>
    <w:rsid w:val="005E41C8"/>
    <w:rsid w:val="006840F7"/>
    <w:rsid w:val="006E4F6A"/>
    <w:rsid w:val="00711DBA"/>
    <w:rsid w:val="00713F43"/>
    <w:rsid w:val="007414D4"/>
    <w:rsid w:val="00742D94"/>
    <w:rsid w:val="00760281"/>
    <w:rsid w:val="00767A53"/>
    <w:rsid w:val="007B4915"/>
    <w:rsid w:val="007B5D79"/>
    <w:rsid w:val="007C44BE"/>
    <w:rsid w:val="007F6FA9"/>
    <w:rsid w:val="0086375B"/>
    <w:rsid w:val="008D001E"/>
    <w:rsid w:val="008D648D"/>
    <w:rsid w:val="008F3746"/>
    <w:rsid w:val="009248BF"/>
    <w:rsid w:val="009647A3"/>
    <w:rsid w:val="00972CA5"/>
    <w:rsid w:val="009768DF"/>
    <w:rsid w:val="00990860"/>
    <w:rsid w:val="009A1C56"/>
    <w:rsid w:val="009A2367"/>
    <w:rsid w:val="009F221F"/>
    <w:rsid w:val="00A26F0A"/>
    <w:rsid w:val="00A558D7"/>
    <w:rsid w:val="00A724AC"/>
    <w:rsid w:val="00A72C1B"/>
    <w:rsid w:val="00AA3DC6"/>
    <w:rsid w:val="00AB5732"/>
    <w:rsid w:val="00AB73FB"/>
    <w:rsid w:val="00AE2C2F"/>
    <w:rsid w:val="00AE4F22"/>
    <w:rsid w:val="00AF1070"/>
    <w:rsid w:val="00B156B7"/>
    <w:rsid w:val="00B1708D"/>
    <w:rsid w:val="00B93543"/>
    <w:rsid w:val="00BD3399"/>
    <w:rsid w:val="00BE021A"/>
    <w:rsid w:val="00BF084E"/>
    <w:rsid w:val="00C2084B"/>
    <w:rsid w:val="00C35EBD"/>
    <w:rsid w:val="00C77F11"/>
    <w:rsid w:val="00C85D44"/>
    <w:rsid w:val="00CA688E"/>
    <w:rsid w:val="00CB5CDA"/>
    <w:rsid w:val="00CC6986"/>
    <w:rsid w:val="00CD6C0E"/>
    <w:rsid w:val="00CE0F82"/>
    <w:rsid w:val="00D06646"/>
    <w:rsid w:val="00D15637"/>
    <w:rsid w:val="00D46774"/>
    <w:rsid w:val="00D55FF3"/>
    <w:rsid w:val="00D7217C"/>
    <w:rsid w:val="00D72D9C"/>
    <w:rsid w:val="00D8184A"/>
    <w:rsid w:val="00DB1D66"/>
    <w:rsid w:val="00DB35D5"/>
    <w:rsid w:val="00DC1D5A"/>
    <w:rsid w:val="00DD075F"/>
    <w:rsid w:val="00DE6CC7"/>
    <w:rsid w:val="00DF496E"/>
    <w:rsid w:val="00E039A1"/>
    <w:rsid w:val="00E16138"/>
    <w:rsid w:val="00E511D5"/>
    <w:rsid w:val="00E549D7"/>
    <w:rsid w:val="00E73D7A"/>
    <w:rsid w:val="00E906FB"/>
    <w:rsid w:val="00EF689E"/>
    <w:rsid w:val="00F21669"/>
    <w:rsid w:val="00F560B4"/>
    <w:rsid w:val="00F779B7"/>
    <w:rsid w:val="00F82B4A"/>
    <w:rsid w:val="00FC0C8E"/>
    <w:rsid w:val="00FC7E2A"/>
    <w:rsid w:val="00FD642C"/>
    <w:rsid w:val="00FE2BE5"/>
    <w:rsid w:val="03055F06"/>
    <w:rsid w:val="03B62344"/>
    <w:rsid w:val="052D7D62"/>
    <w:rsid w:val="06D117B7"/>
    <w:rsid w:val="07A27433"/>
    <w:rsid w:val="089A09FB"/>
    <w:rsid w:val="08C77405"/>
    <w:rsid w:val="0FB30112"/>
    <w:rsid w:val="1C3C0423"/>
    <w:rsid w:val="1D7B7B52"/>
    <w:rsid w:val="1FEB696E"/>
    <w:rsid w:val="21BE75B2"/>
    <w:rsid w:val="2A771021"/>
    <w:rsid w:val="2B0A0068"/>
    <w:rsid w:val="309F1F4A"/>
    <w:rsid w:val="32552983"/>
    <w:rsid w:val="35BD38C5"/>
    <w:rsid w:val="35D0117A"/>
    <w:rsid w:val="37B62653"/>
    <w:rsid w:val="3C352A18"/>
    <w:rsid w:val="3FEB7D50"/>
    <w:rsid w:val="41A773B9"/>
    <w:rsid w:val="41CC11EB"/>
    <w:rsid w:val="46957CB9"/>
    <w:rsid w:val="475F0E5B"/>
    <w:rsid w:val="48A512AB"/>
    <w:rsid w:val="4F965443"/>
    <w:rsid w:val="541319E9"/>
    <w:rsid w:val="570D3D35"/>
    <w:rsid w:val="578E0498"/>
    <w:rsid w:val="58394C0F"/>
    <w:rsid w:val="59A32D6E"/>
    <w:rsid w:val="5A8A123A"/>
    <w:rsid w:val="5AC32439"/>
    <w:rsid w:val="5B5E3D94"/>
    <w:rsid w:val="603F469F"/>
    <w:rsid w:val="64C962AB"/>
    <w:rsid w:val="682C402F"/>
    <w:rsid w:val="6B5B2487"/>
    <w:rsid w:val="72476362"/>
    <w:rsid w:val="73855828"/>
    <w:rsid w:val="74A959DC"/>
    <w:rsid w:val="78F55C03"/>
    <w:rsid w:val="7DE11BC3"/>
    <w:rsid w:val="7E9230A4"/>
    <w:rsid w:val="7EEB7329"/>
    <w:rsid w:val="7F8E3E7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qFormat="1" w:unhideWhenUsed="0" w:uiPriority="99" w:semiHidden="0" w:name="List 2"/>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name="Date"/>
    <w:lsdException w:qFormat="1" w:unhideWhenUsed="0" w:uiPriority="99" w:name="Body Text First Indent"/>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name="FollowedHyperlink"/>
    <w:lsdException w:qFormat="1" w:unhideWhenUsed="0" w:uiPriority="22" w:semiHidden="0" w:name="Strong" w:locked="1"/>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1"/>
      <w:szCs w:val="21"/>
      <w:lang w:val="en-US" w:eastAsia="zh-CN" w:bidi="ar-SA"/>
    </w:rPr>
  </w:style>
  <w:style w:type="paragraph" w:styleId="3">
    <w:name w:val="heading 1"/>
    <w:basedOn w:val="1"/>
    <w:next w:val="1"/>
    <w:link w:val="31"/>
    <w:qFormat/>
    <w:uiPriority w:val="99"/>
    <w:pPr>
      <w:keepNext/>
      <w:keepLines/>
      <w:numPr>
        <w:ilvl w:val="0"/>
        <w:numId w:val="1"/>
      </w:numPr>
      <w:tabs>
        <w:tab w:val="left" w:pos="0"/>
      </w:tabs>
      <w:spacing w:before="340" w:after="330" w:line="576" w:lineRule="auto"/>
      <w:outlineLvl w:val="0"/>
    </w:pPr>
    <w:rPr>
      <w:b/>
      <w:bCs/>
      <w:kern w:val="44"/>
      <w:sz w:val="44"/>
      <w:szCs w:val="44"/>
    </w:rPr>
  </w:style>
  <w:style w:type="paragraph" w:styleId="4">
    <w:name w:val="heading 2"/>
    <w:basedOn w:val="1"/>
    <w:next w:val="1"/>
    <w:link w:val="32"/>
    <w:qFormat/>
    <w:uiPriority w:val="99"/>
    <w:pPr>
      <w:keepNext/>
      <w:keepLines/>
      <w:numPr>
        <w:ilvl w:val="1"/>
        <w:numId w:val="1"/>
      </w:numPr>
      <w:spacing w:before="260" w:after="260" w:line="413" w:lineRule="auto"/>
      <w:outlineLvl w:val="1"/>
    </w:pPr>
    <w:rPr>
      <w:rFonts w:ascii="Arial" w:hAnsi="Arial" w:eastAsia="黑体" w:cs="Arial"/>
      <w:b/>
      <w:bCs/>
      <w:sz w:val="32"/>
      <w:szCs w:val="32"/>
    </w:rPr>
  </w:style>
  <w:style w:type="paragraph" w:styleId="5">
    <w:name w:val="heading 3"/>
    <w:basedOn w:val="1"/>
    <w:next w:val="1"/>
    <w:link w:val="33"/>
    <w:qFormat/>
    <w:uiPriority w:val="99"/>
    <w:pPr>
      <w:keepNext/>
      <w:keepLines/>
      <w:numPr>
        <w:ilvl w:val="2"/>
        <w:numId w:val="1"/>
      </w:numPr>
      <w:spacing w:before="260" w:after="260" w:line="413" w:lineRule="auto"/>
      <w:outlineLvl w:val="2"/>
    </w:pPr>
    <w:rPr>
      <w:b/>
      <w:bCs/>
      <w:sz w:val="32"/>
      <w:szCs w:val="32"/>
    </w:rPr>
  </w:style>
  <w:style w:type="paragraph" w:styleId="6">
    <w:name w:val="heading 4"/>
    <w:basedOn w:val="1"/>
    <w:next w:val="1"/>
    <w:link w:val="34"/>
    <w:qFormat/>
    <w:uiPriority w:val="99"/>
    <w:pPr>
      <w:keepNext/>
      <w:keepLines/>
      <w:numPr>
        <w:ilvl w:val="3"/>
        <w:numId w:val="1"/>
      </w:numPr>
      <w:spacing w:before="280" w:after="290" w:line="372" w:lineRule="auto"/>
      <w:outlineLvl w:val="3"/>
    </w:pPr>
    <w:rPr>
      <w:rFonts w:ascii="Arial" w:hAnsi="Arial" w:cs="Arial"/>
      <w:b/>
      <w:bCs/>
      <w:sz w:val="28"/>
      <w:szCs w:val="28"/>
    </w:rPr>
  </w:style>
  <w:style w:type="paragraph" w:styleId="7">
    <w:name w:val="heading 5"/>
    <w:basedOn w:val="1"/>
    <w:next w:val="1"/>
    <w:link w:val="35"/>
    <w:qFormat/>
    <w:uiPriority w:val="99"/>
    <w:pPr>
      <w:keepNext/>
      <w:keepLines/>
      <w:numPr>
        <w:ilvl w:val="4"/>
        <w:numId w:val="1"/>
      </w:numPr>
      <w:spacing w:before="280" w:after="290" w:line="372" w:lineRule="auto"/>
      <w:outlineLvl w:val="4"/>
    </w:pPr>
    <w:rPr>
      <w:b/>
      <w:bCs/>
      <w:sz w:val="28"/>
      <w:szCs w:val="28"/>
    </w:rPr>
  </w:style>
  <w:style w:type="paragraph" w:styleId="8">
    <w:name w:val="heading 6"/>
    <w:basedOn w:val="1"/>
    <w:next w:val="1"/>
    <w:link w:val="36"/>
    <w:qFormat/>
    <w:uiPriority w:val="99"/>
    <w:pPr>
      <w:keepNext/>
      <w:keepLines/>
      <w:numPr>
        <w:ilvl w:val="5"/>
        <w:numId w:val="1"/>
      </w:numPr>
      <w:spacing w:before="240" w:after="64" w:line="317" w:lineRule="auto"/>
      <w:outlineLvl w:val="5"/>
    </w:pPr>
    <w:rPr>
      <w:rFonts w:ascii="Arial" w:hAnsi="Arial" w:eastAsia="黑体" w:cs="Arial"/>
      <w:b/>
      <w:bCs/>
      <w:sz w:val="24"/>
      <w:szCs w:val="24"/>
    </w:rPr>
  </w:style>
  <w:style w:type="paragraph" w:styleId="9">
    <w:name w:val="heading 7"/>
    <w:basedOn w:val="1"/>
    <w:next w:val="1"/>
    <w:link w:val="37"/>
    <w:qFormat/>
    <w:uiPriority w:val="99"/>
    <w:pPr>
      <w:keepNext/>
      <w:keepLines/>
      <w:numPr>
        <w:ilvl w:val="6"/>
        <w:numId w:val="1"/>
      </w:numPr>
      <w:spacing w:before="240" w:after="64" w:line="317" w:lineRule="auto"/>
      <w:outlineLvl w:val="6"/>
    </w:pPr>
    <w:rPr>
      <w:b/>
      <w:bCs/>
      <w:sz w:val="24"/>
      <w:szCs w:val="24"/>
    </w:rPr>
  </w:style>
  <w:style w:type="paragraph" w:styleId="10">
    <w:name w:val="heading 8"/>
    <w:basedOn w:val="1"/>
    <w:next w:val="1"/>
    <w:link w:val="38"/>
    <w:qFormat/>
    <w:uiPriority w:val="99"/>
    <w:pPr>
      <w:keepNext/>
      <w:keepLines/>
      <w:numPr>
        <w:ilvl w:val="7"/>
        <w:numId w:val="1"/>
      </w:numPr>
      <w:spacing w:before="240" w:after="64" w:line="317" w:lineRule="auto"/>
      <w:outlineLvl w:val="7"/>
    </w:pPr>
    <w:rPr>
      <w:rFonts w:ascii="Arial" w:hAnsi="Arial" w:eastAsia="黑体" w:cs="Arial"/>
      <w:sz w:val="24"/>
      <w:szCs w:val="24"/>
    </w:rPr>
  </w:style>
  <w:style w:type="paragraph" w:styleId="11">
    <w:name w:val="heading 9"/>
    <w:basedOn w:val="1"/>
    <w:next w:val="1"/>
    <w:link w:val="39"/>
    <w:qFormat/>
    <w:uiPriority w:val="99"/>
    <w:pPr>
      <w:keepNext/>
      <w:keepLines/>
      <w:numPr>
        <w:ilvl w:val="8"/>
        <w:numId w:val="1"/>
      </w:numPr>
      <w:spacing w:before="240" w:after="64" w:line="317" w:lineRule="auto"/>
      <w:outlineLvl w:val="8"/>
    </w:pPr>
    <w:rPr>
      <w:rFonts w:ascii="Arial" w:hAnsi="Arial" w:eastAsia="黑体" w:cs="Arial"/>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List 2"/>
    <w:basedOn w:val="1"/>
    <w:qFormat/>
    <w:uiPriority w:val="99"/>
    <w:pPr>
      <w:ind w:left="100" w:leftChars="200" w:hanging="200" w:hangingChars="200"/>
    </w:pPr>
  </w:style>
  <w:style w:type="paragraph" w:styleId="12">
    <w:name w:val="Normal Indent"/>
    <w:basedOn w:val="1"/>
    <w:qFormat/>
    <w:uiPriority w:val="99"/>
    <w:pPr>
      <w:ind w:firstLine="420" w:firstLineChars="200"/>
    </w:pPr>
  </w:style>
  <w:style w:type="paragraph" w:styleId="13">
    <w:name w:val="Body Text"/>
    <w:basedOn w:val="1"/>
    <w:link w:val="40"/>
    <w:qFormat/>
    <w:uiPriority w:val="99"/>
    <w:pPr>
      <w:spacing w:after="120"/>
    </w:pPr>
    <w:rPr>
      <w:rFonts w:eastAsia="仿宋"/>
      <w:kern w:val="0"/>
      <w:sz w:val="20"/>
      <w:szCs w:val="20"/>
    </w:rPr>
  </w:style>
  <w:style w:type="paragraph" w:styleId="14">
    <w:name w:val="Body Text Indent"/>
    <w:basedOn w:val="1"/>
    <w:link w:val="41"/>
    <w:qFormat/>
    <w:uiPriority w:val="99"/>
    <w:pPr>
      <w:spacing w:after="120"/>
      <w:ind w:left="420" w:leftChars="200"/>
    </w:pPr>
    <w:rPr>
      <w:rFonts w:eastAsia="仿宋"/>
      <w:kern w:val="0"/>
      <w:sz w:val="20"/>
      <w:szCs w:val="20"/>
    </w:rPr>
  </w:style>
  <w:style w:type="paragraph" w:styleId="15">
    <w:name w:val="Plain Text"/>
    <w:basedOn w:val="1"/>
    <w:link w:val="42"/>
    <w:qFormat/>
    <w:uiPriority w:val="99"/>
    <w:rPr>
      <w:rFonts w:ascii="宋体" w:hAnsi="Courier New" w:cs="宋体"/>
      <w:kern w:val="0"/>
      <w:sz w:val="20"/>
      <w:szCs w:val="20"/>
    </w:rPr>
  </w:style>
  <w:style w:type="paragraph" w:styleId="16">
    <w:name w:val="Date"/>
    <w:basedOn w:val="1"/>
    <w:next w:val="1"/>
    <w:link w:val="43"/>
    <w:semiHidden/>
    <w:qFormat/>
    <w:uiPriority w:val="99"/>
    <w:pPr>
      <w:ind w:left="100" w:leftChars="2500"/>
    </w:pPr>
    <w:rPr>
      <w:rFonts w:ascii="Calibri" w:hAnsi="Calibri" w:eastAsia="宋体" w:cs="Calibri"/>
    </w:rPr>
  </w:style>
  <w:style w:type="paragraph" w:styleId="17">
    <w:name w:val="Balloon Text"/>
    <w:basedOn w:val="1"/>
    <w:link w:val="44"/>
    <w:semiHidden/>
    <w:qFormat/>
    <w:uiPriority w:val="99"/>
    <w:rPr>
      <w:rFonts w:eastAsia="仿宋"/>
      <w:kern w:val="0"/>
      <w:sz w:val="18"/>
      <w:szCs w:val="18"/>
    </w:rPr>
  </w:style>
  <w:style w:type="paragraph" w:styleId="18">
    <w:name w:val="footer"/>
    <w:basedOn w:val="1"/>
    <w:link w:val="45"/>
    <w:qFormat/>
    <w:uiPriority w:val="99"/>
    <w:pPr>
      <w:tabs>
        <w:tab w:val="center" w:pos="4153"/>
        <w:tab w:val="right" w:pos="8306"/>
      </w:tabs>
      <w:snapToGrid w:val="0"/>
      <w:jc w:val="left"/>
    </w:pPr>
    <w:rPr>
      <w:sz w:val="18"/>
      <w:szCs w:val="18"/>
    </w:rPr>
  </w:style>
  <w:style w:type="paragraph" w:styleId="19">
    <w:name w:val="header"/>
    <w:basedOn w:val="1"/>
    <w:link w:val="46"/>
    <w:qFormat/>
    <w:uiPriority w:val="99"/>
    <w:pPr>
      <w:pBdr>
        <w:bottom w:val="single" w:color="auto" w:sz="6" w:space="1"/>
      </w:pBdr>
      <w:tabs>
        <w:tab w:val="center" w:pos="4153"/>
        <w:tab w:val="right" w:pos="8306"/>
      </w:tabs>
      <w:snapToGrid w:val="0"/>
      <w:jc w:val="center"/>
    </w:pPr>
    <w:rPr>
      <w:sz w:val="18"/>
      <w:szCs w:val="18"/>
    </w:rPr>
  </w:style>
  <w:style w:type="paragraph" w:styleId="20">
    <w:name w:val="Subtitle"/>
    <w:basedOn w:val="1"/>
    <w:next w:val="1"/>
    <w:link w:val="47"/>
    <w:qFormat/>
    <w:uiPriority w:val="99"/>
    <w:pPr>
      <w:spacing w:before="240" w:after="60" w:line="312" w:lineRule="auto"/>
      <w:outlineLvl w:val="1"/>
    </w:pPr>
    <w:rPr>
      <w:rFonts w:ascii="Cambria" w:hAnsi="Cambria" w:cs="Cambria"/>
      <w:kern w:val="28"/>
    </w:rPr>
  </w:style>
  <w:style w:type="paragraph" w:styleId="21">
    <w:name w:val="Body Text Indent 3"/>
    <w:basedOn w:val="1"/>
    <w:link w:val="48"/>
    <w:qFormat/>
    <w:uiPriority w:val="99"/>
    <w:pPr>
      <w:spacing w:after="120"/>
      <w:ind w:left="420" w:leftChars="200"/>
    </w:pPr>
    <w:rPr>
      <w:rFonts w:eastAsia="仿宋"/>
      <w:kern w:val="0"/>
      <w:sz w:val="16"/>
      <w:szCs w:val="16"/>
    </w:rPr>
  </w:style>
  <w:style w:type="paragraph" w:styleId="22">
    <w:name w:val="Normal (Web)"/>
    <w:basedOn w:val="1"/>
    <w:semiHidden/>
    <w:qFormat/>
    <w:uiPriority w:val="99"/>
    <w:pPr>
      <w:spacing w:beforeAutospacing="1" w:afterAutospacing="1"/>
      <w:jc w:val="left"/>
    </w:pPr>
    <w:rPr>
      <w:rFonts w:ascii="Calibri" w:hAnsi="Calibri" w:eastAsia="宋体" w:cs="Calibri"/>
      <w:kern w:val="0"/>
      <w:sz w:val="24"/>
      <w:szCs w:val="24"/>
    </w:rPr>
  </w:style>
  <w:style w:type="paragraph" w:styleId="23">
    <w:name w:val="Title"/>
    <w:basedOn w:val="1"/>
    <w:next w:val="1"/>
    <w:link w:val="49"/>
    <w:qFormat/>
    <w:uiPriority w:val="99"/>
    <w:pPr>
      <w:spacing w:before="240" w:after="60"/>
      <w:outlineLvl w:val="0"/>
    </w:pPr>
    <w:rPr>
      <w:rFonts w:ascii="仿宋_GB2312" w:hAnsi="仿宋" w:cs="仿宋_GB2312"/>
      <w:b/>
      <w:bCs/>
      <w:kern w:val="0"/>
    </w:rPr>
  </w:style>
  <w:style w:type="paragraph" w:styleId="24">
    <w:name w:val="Body Text First Indent"/>
    <w:basedOn w:val="13"/>
    <w:link w:val="50"/>
    <w:semiHidden/>
    <w:qFormat/>
    <w:uiPriority w:val="99"/>
    <w:pPr>
      <w:ind w:firstLine="420" w:firstLineChars="100"/>
    </w:pPr>
  </w:style>
  <w:style w:type="table" w:styleId="26">
    <w:name w:val="Table Grid"/>
    <w:basedOn w:val="25"/>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8">
    <w:name w:val="FollowedHyperlink"/>
    <w:basedOn w:val="27"/>
    <w:semiHidden/>
    <w:qFormat/>
    <w:uiPriority w:val="99"/>
    <w:rPr>
      <w:color w:val="800080"/>
      <w:u w:val="single"/>
    </w:rPr>
  </w:style>
  <w:style w:type="character" w:styleId="29">
    <w:name w:val="Emphasis"/>
    <w:basedOn w:val="27"/>
    <w:qFormat/>
    <w:uiPriority w:val="99"/>
    <w:rPr>
      <w:i/>
      <w:iCs/>
    </w:rPr>
  </w:style>
  <w:style w:type="character" w:styleId="30">
    <w:name w:val="Hyperlink"/>
    <w:basedOn w:val="27"/>
    <w:qFormat/>
    <w:uiPriority w:val="99"/>
    <w:rPr>
      <w:color w:val="auto"/>
      <w:u w:val="single"/>
    </w:rPr>
  </w:style>
  <w:style w:type="character" w:customStyle="1" w:styleId="31">
    <w:name w:val="标题 1 Char"/>
    <w:basedOn w:val="27"/>
    <w:link w:val="3"/>
    <w:qFormat/>
    <w:locked/>
    <w:uiPriority w:val="99"/>
    <w:rPr>
      <w:rFonts w:ascii="Times New Roman" w:hAnsi="Times New Roman" w:eastAsia="仿宋_GB2312" w:cs="Times New Roman"/>
      <w:b/>
      <w:bCs/>
      <w:kern w:val="44"/>
      <w:sz w:val="24"/>
      <w:szCs w:val="24"/>
    </w:rPr>
  </w:style>
  <w:style w:type="character" w:customStyle="1" w:styleId="32">
    <w:name w:val="标题 2 Char"/>
    <w:basedOn w:val="27"/>
    <w:link w:val="4"/>
    <w:qFormat/>
    <w:locked/>
    <w:uiPriority w:val="99"/>
    <w:rPr>
      <w:rFonts w:ascii="Arial" w:hAnsi="Arial" w:eastAsia="黑体" w:cs="Arial"/>
      <w:b/>
      <w:bCs/>
      <w:sz w:val="24"/>
      <w:szCs w:val="24"/>
    </w:rPr>
  </w:style>
  <w:style w:type="character" w:customStyle="1" w:styleId="33">
    <w:name w:val="标题 3 Char"/>
    <w:basedOn w:val="27"/>
    <w:link w:val="5"/>
    <w:qFormat/>
    <w:locked/>
    <w:uiPriority w:val="99"/>
    <w:rPr>
      <w:rFonts w:ascii="Times New Roman" w:hAnsi="Times New Roman" w:eastAsia="仿宋_GB2312" w:cs="Times New Roman"/>
      <w:b/>
      <w:bCs/>
      <w:sz w:val="24"/>
      <w:szCs w:val="24"/>
    </w:rPr>
  </w:style>
  <w:style w:type="character" w:customStyle="1" w:styleId="34">
    <w:name w:val="标题 4 Char"/>
    <w:basedOn w:val="27"/>
    <w:link w:val="6"/>
    <w:qFormat/>
    <w:locked/>
    <w:uiPriority w:val="99"/>
    <w:rPr>
      <w:rFonts w:ascii="Arial" w:hAnsi="Arial" w:eastAsia="仿宋_GB2312" w:cs="Arial"/>
      <w:b/>
      <w:bCs/>
      <w:sz w:val="24"/>
      <w:szCs w:val="24"/>
    </w:rPr>
  </w:style>
  <w:style w:type="character" w:customStyle="1" w:styleId="35">
    <w:name w:val="标题 5 Char"/>
    <w:basedOn w:val="27"/>
    <w:link w:val="7"/>
    <w:qFormat/>
    <w:locked/>
    <w:uiPriority w:val="99"/>
    <w:rPr>
      <w:rFonts w:ascii="Times New Roman" w:hAnsi="Times New Roman" w:eastAsia="仿宋_GB2312" w:cs="Times New Roman"/>
      <w:b/>
      <w:bCs/>
      <w:sz w:val="24"/>
      <w:szCs w:val="24"/>
    </w:rPr>
  </w:style>
  <w:style w:type="character" w:customStyle="1" w:styleId="36">
    <w:name w:val="标题 6 Char"/>
    <w:basedOn w:val="27"/>
    <w:link w:val="8"/>
    <w:qFormat/>
    <w:locked/>
    <w:uiPriority w:val="99"/>
    <w:rPr>
      <w:rFonts w:ascii="Arial" w:hAnsi="Arial" w:eastAsia="黑体" w:cs="Arial"/>
      <w:b/>
      <w:bCs/>
      <w:sz w:val="24"/>
      <w:szCs w:val="24"/>
    </w:rPr>
  </w:style>
  <w:style w:type="character" w:customStyle="1" w:styleId="37">
    <w:name w:val="标题 7 Char"/>
    <w:basedOn w:val="27"/>
    <w:link w:val="9"/>
    <w:semiHidden/>
    <w:qFormat/>
    <w:locked/>
    <w:uiPriority w:val="99"/>
    <w:rPr>
      <w:rFonts w:ascii="Times New Roman" w:hAnsi="Times New Roman" w:eastAsia="仿宋_GB2312" w:cs="Times New Roman"/>
      <w:b/>
      <w:bCs/>
      <w:sz w:val="24"/>
      <w:szCs w:val="24"/>
    </w:rPr>
  </w:style>
  <w:style w:type="character" w:customStyle="1" w:styleId="38">
    <w:name w:val="标题 8 Char"/>
    <w:basedOn w:val="27"/>
    <w:link w:val="10"/>
    <w:semiHidden/>
    <w:qFormat/>
    <w:locked/>
    <w:uiPriority w:val="99"/>
    <w:rPr>
      <w:rFonts w:ascii="Arial" w:hAnsi="Arial" w:eastAsia="黑体" w:cs="Arial"/>
      <w:sz w:val="24"/>
      <w:szCs w:val="24"/>
    </w:rPr>
  </w:style>
  <w:style w:type="character" w:customStyle="1" w:styleId="39">
    <w:name w:val="标题 9 Char"/>
    <w:basedOn w:val="27"/>
    <w:link w:val="11"/>
    <w:semiHidden/>
    <w:qFormat/>
    <w:locked/>
    <w:uiPriority w:val="99"/>
    <w:rPr>
      <w:rFonts w:ascii="Arial" w:hAnsi="Arial" w:eastAsia="黑体" w:cs="Arial"/>
      <w:sz w:val="24"/>
      <w:szCs w:val="24"/>
    </w:rPr>
  </w:style>
  <w:style w:type="character" w:customStyle="1" w:styleId="40">
    <w:name w:val="正文文本 Char"/>
    <w:basedOn w:val="27"/>
    <w:link w:val="13"/>
    <w:qFormat/>
    <w:locked/>
    <w:uiPriority w:val="99"/>
    <w:rPr>
      <w:rFonts w:eastAsia="仿宋"/>
      <w:sz w:val="24"/>
      <w:szCs w:val="24"/>
    </w:rPr>
  </w:style>
  <w:style w:type="character" w:customStyle="1" w:styleId="41">
    <w:name w:val="正文文本缩进 Char"/>
    <w:basedOn w:val="27"/>
    <w:link w:val="14"/>
    <w:qFormat/>
    <w:locked/>
    <w:uiPriority w:val="99"/>
    <w:rPr>
      <w:rFonts w:eastAsia="仿宋"/>
      <w:sz w:val="24"/>
      <w:szCs w:val="24"/>
    </w:rPr>
  </w:style>
  <w:style w:type="character" w:customStyle="1" w:styleId="42">
    <w:name w:val="纯文本 Char"/>
    <w:basedOn w:val="27"/>
    <w:link w:val="15"/>
    <w:qFormat/>
    <w:locked/>
    <w:uiPriority w:val="99"/>
    <w:rPr>
      <w:rFonts w:ascii="宋体" w:hAnsi="Courier New" w:eastAsia="仿宋_GB2312" w:cs="宋体"/>
    </w:rPr>
  </w:style>
  <w:style w:type="character" w:customStyle="1" w:styleId="43">
    <w:name w:val="日期 Char"/>
    <w:basedOn w:val="27"/>
    <w:link w:val="16"/>
    <w:semiHidden/>
    <w:qFormat/>
    <w:locked/>
    <w:uiPriority w:val="99"/>
    <w:rPr>
      <w:rFonts w:ascii="Calibri" w:hAnsi="Calibri" w:cs="Calibri"/>
      <w:kern w:val="2"/>
      <w:sz w:val="22"/>
      <w:szCs w:val="22"/>
    </w:rPr>
  </w:style>
  <w:style w:type="character" w:customStyle="1" w:styleId="44">
    <w:name w:val="批注框文本 Char"/>
    <w:basedOn w:val="27"/>
    <w:link w:val="17"/>
    <w:qFormat/>
    <w:locked/>
    <w:uiPriority w:val="99"/>
    <w:rPr>
      <w:rFonts w:eastAsia="仿宋"/>
      <w:sz w:val="18"/>
      <w:szCs w:val="18"/>
    </w:rPr>
  </w:style>
  <w:style w:type="character" w:customStyle="1" w:styleId="45">
    <w:name w:val="页脚 Char1"/>
    <w:basedOn w:val="27"/>
    <w:link w:val="18"/>
    <w:qFormat/>
    <w:locked/>
    <w:uiPriority w:val="99"/>
    <w:rPr>
      <w:sz w:val="18"/>
      <w:szCs w:val="18"/>
    </w:rPr>
  </w:style>
  <w:style w:type="character" w:customStyle="1" w:styleId="46">
    <w:name w:val="页眉 Char1"/>
    <w:basedOn w:val="27"/>
    <w:link w:val="19"/>
    <w:qFormat/>
    <w:locked/>
    <w:uiPriority w:val="99"/>
    <w:rPr>
      <w:sz w:val="18"/>
      <w:szCs w:val="18"/>
    </w:rPr>
  </w:style>
  <w:style w:type="character" w:customStyle="1" w:styleId="47">
    <w:name w:val="副标题 Char"/>
    <w:basedOn w:val="27"/>
    <w:link w:val="20"/>
    <w:qFormat/>
    <w:locked/>
    <w:uiPriority w:val="99"/>
    <w:rPr>
      <w:rFonts w:ascii="Cambria" w:hAnsi="Cambria" w:cs="Cambria"/>
      <w:b/>
      <w:bCs/>
      <w:kern w:val="28"/>
      <w:sz w:val="32"/>
      <w:szCs w:val="32"/>
    </w:rPr>
  </w:style>
  <w:style w:type="character" w:customStyle="1" w:styleId="48">
    <w:name w:val="正文文本缩进 3 Char"/>
    <w:basedOn w:val="27"/>
    <w:link w:val="21"/>
    <w:qFormat/>
    <w:locked/>
    <w:uiPriority w:val="99"/>
    <w:rPr>
      <w:rFonts w:eastAsia="仿宋"/>
      <w:sz w:val="16"/>
      <w:szCs w:val="16"/>
    </w:rPr>
  </w:style>
  <w:style w:type="character" w:customStyle="1" w:styleId="49">
    <w:name w:val="标题 Char"/>
    <w:basedOn w:val="27"/>
    <w:link w:val="23"/>
    <w:qFormat/>
    <w:locked/>
    <w:uiPriority w:val="99"/>
    <w:rPr>
      <w:rFonts w:ascii="Cambria" w:hAnsi="Cambria" w:cs="Cambria"/>
      <w:b/>
      <w:bCs/>
      <w:sz w:val="32"/>
      <w:szCs w:val="32"/>
    </w:rPr>
  </w:style>
  <w:style w:type="character" w:customStyle="1" w:styleId="50">
    <w:name w:val="正文首行缩进 Char"/>
    <w:basedOn w:val="40"/>
    <w:link w:val="24"/>
    <w:qFormat/>
    <w:locked/>
    <w:uiPriority w:val="99"/>
    <w:rPr>
      <w:rFonts w:eastAsia="仿宋"/>
      <w:sz w:val="24"/>
      <w:szCs w:val="24"/>
    </w:rPr>
  </w:style>
  <w:style w:type="paragraph" w:customStyle="1" w:styleId="51">
    <w:name w:val="_Style 27"/>
    <w:basedOn w:val="1"/>
    <w:next w:val="52"/>
    <w:qFormat/>
    <w:uiPriority w:val="99"/>
    <w:pPr>
      <w:ind w:firstLine="420" w:firstLineChars="200"/>
    </w:pPr>
    <w:rPr>
      <w:rFonts w:eastAsia="仿宋"/>
    </w:rPr>
  </w:style>
  <w:style w:type="paragraph" w:styleId="52">
    <w:name w:val="List Paragraph"/>
    <w:basedOn w:val="1"/>
    <w:qFormat/>
    <w:uiPriority w:val="99"/>
    <w:pPr>
      <w:ind w:firstLine="420" w:firstLineChars="200"/>
    </w:pPr>
  </w:style>
  <w:style w:type="character" w:customStyle="1" w:styleId="53">
    <w:name w:val="font81"/>
    <w:qFormat/>
    <w:uiPriority w:val="99"/>
    <w:rPr>
      <w:rFonts w:ascii="宋体" w:hAnsi="宋体" w:eastAsia="宋体" w:cs="宋体"/>
      <w:color w:val="000000"/>
      <w:sz w:val="22"/>
      <w:szCs w:val="22"/>
      <w:u w:val="none"/>
    </w:rPr>
  </w:style>
  <w:style w:type="character" w:styleId="54">
    <w:name w:val="Placeholder Text"/>
    <w:basedOn w:val="27"/>
    <w:qFormat/>
    <w:uiPriority w:val="99"/>
    <w:rPr>
      <w:color w:val="808080"/>
    </w:rPr>
  </w:style>
  <w:style w:type="character" w:customStyle="1" w:styleId="55">
    <w:name w:val="页脚 Char"/>
    <w:qFormat/>
    <w:uiPriority w:val="99"/>
    <w:rPr>
      <w:rFonts w:eastAsia="仿宋"/>
      <w:kern w:val="2"/>
      <w:sz w:val="18"/>
      <w:szCs w:val="18"/>
    </w:rPr>
  </w:style>
  <w:style w:type="character" w:customStyle="1" w:styleId="56">
    <w:name w:val="font01"/>
    <w:qFormat/>
    <w:uiPriority w:val="99"/>
    <w:rPr>
      <w:rFonts w:ascii="宋体" w:hAnsi="宋体" w:eastAsia="宋体" w:cs="宋体"/>
      <w:color w:val="000000"/>
      <w:sz w:val="18"/>
      <w:szCs w:val="18"/>
      <w:u w:val="none"/>
    </w:rPr>
  </w:style>
  <w:style w:type="character" w:customStyle="1" w:styleId="57">
    <w:name w:val="页眉 Char"/>
    <w:qFormat/>
    <w:uiPriority w:val="99"/>
    <w:rPr>
      <w:rFonts w:eastAsia="仿宋"/>
      <w:kern w:val="2"/>
      <w:sz w:val="18"/>
      <w:szCs w:val="18"/>
    </w:rPr>
  </w:style>
  <w:style w:type="character" w:customStyle="1" w:styleId="58">
    <w:name w:val="font71"/>
    <w:qFormat/>
    <w:uiPriority w:val="99"/>
    <w:rPr>
      <w:rFonts w:ascii="宋体" w:hAnsi="宋体" w:eastAsia="宋体" w:cs="宋体"/>
      <w:color w:val="000000"/>
      <w:sz w:val="24"/>
      <w:szCs w:val="24"/>
      <w:u w:val="none"/>
    </w:rPr>
  </w:style>
  <w:style w:type="character" w:customStyle="1" w:styleId="59">
    <w:name w:val="font21"/>
    <w:qFormat/>
    <w:uiPriority w:val="99"/>
    <w:rPr>
      <w:rFonts w:ascii="宋体" w:hAnsi="宋体" w:eastAsia="宋体" w:cs="宋体"/>
      <w:color w:val="000000"/>
      <w:sz w:val="20"/>
      <w:szCs w:val="20"/>
      <w:u w:val="none"/>
    </w:rPr>
  </w:style>
  <w:style w:type="character" w:customStyle="1" w:styleId="60">
    <w:name w:val="正文文本缩进 3 字符"/>
    <w:basedOn w:val="27"/>
    <w:semiHidden/>
    <w:qFormat/>
    <w:uiPriority w:val="99"/>
    <w:rPr>
      <w:rFonts w:ascii="Times New Roman" w:hAnsi="Times New Roman" w:eastAsia="仿宋_GB2312" w:cs="Times New Roman"/>
      <w:sz w:val="16"/>
      <w:szCs w:val="16"/>
    </w:rPr>
  </w:style>
  <w:style w:type="character" w:customStyle="1" w:styleId="61">
    <w:name w:val="批注框文本 字符"/>
    <w:basedOn w:val="27"/>
    <w:semiHidden/>
    <w:qFormat/>
    <w:uiPriority w:val="99"/>
    <w:rPr>
      <w:rFonts w:ascii="Times New Roman" w:hAnsi="Times New Roman" w:eastAsia="仿宋_GB2312" w:cs="Times New Roman"/>
      <w:sz w:val="18"/>
      <w:szCs w:val="18"/>
    </w:rPr>
  </w:style>
  <w:style w:type="character" w:customStyle="1" w:styleId="62">
    <w:name w:val="正文文本缩进 字符"/>
    <w:basedOn w:val="27"/>
    <w:semiHidden/>
    <w:qFormat/>
    <w:uiPriority w:val="99"/>
    <w:rPr>
      <w:rFonts w:ascii="Times New Roman" w:hAnsi="Times New Roman" w:eastAsia="仿宋_GB2312" w:cs="Times New Roman"/>
      <w:sz w:val="24"/>
      <w:szCs w:val="24"/>
    </w:rPr>
  </w:style>
  <w:style w:type="character" w:customStyle="1" w:styleId="63">
    <w:name w:val="正文文本 字符"/>
    <w:basedOn w:val="27"/>
    <w:semiHidden/>
    <w:qFormat/>
    <w:uiPriority w:val="99"/>
    <w:rPr>
      <w:rFonts w:ascii="Times New Roman" w:hAnsi="Times New Roman" w:eastAsia="仿宋_GB2312" w:cs="Times New Roman"/>
      <w:sz w:val="24"/>
      <w:szCs w:val="24"/>
    </w:rPr>
  </w:style>
  <w:style w:type="paragraph" w:customStyle="1" w:styleId="64">
    <w:name w:val="肥料正文"/>
    <w:basedOn w:val="1"/>
    <w:qFormat/>
    <w:uiPriority w:val="99"/>
    <w:pPr>
      <w:adjustRightInd w:val="0"/>
      <w:snapToGrid w:val="0"/>
      <w:spacing w:line="317" w:lineRule="auto"/>
      <w:ind w:firstLine="200" w:firstLineChars="200"/>
    </w:pPr>
    <w:rPr>
      <w:rFonts w:eastAsia="汉鼎简书宋二"/>
      <w:spacing w:val="2"/>
      <w:kern w:val="0"/>
      <w:sz w:val="22"/>
      <w:szCs w:val="22"/>
    </w:rPr>
  </w:style>
  <w:style w:type="paragraph" w:customStyle="1" w:styleId="65">
    <w:name w:val="一级条标题"/>
    <w:basedOn w:val="1"/>
    <w:next w:val="1"/>
    <w:qFormat/>
    <w:uiPriority w:val="99"/>
    <w:pPr>
      <w:widowControl/>
      <w:spacing w:line="300" w:lineRule="auto"/>
      <w:outlineLvl w:val="2"/>
    </w:pPr>
    <w:rPr>
      <w:rFonts w:ascii="宋体" w:eastAsia="宋体" w:cs="宋体"/>
      <w:kern w:val="0"/>
      <w:sz w:val="24"/>
      <w:szCs w:val="24"/>
    </w:rPr>
  </w:style>
  <w:style w:type="paragraph" w:customStyle="1" w:styleId="66">
    <w:name w:val="Default"/>
    <w:qFormat/>
    <w:uiPriority w:val="99"/>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67">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character" w:customStyle="1" w:styleId="68">
    <w:name w:val="正文文本首行缩进 字符"/>
    <w:basedOn w:val="63"/>
    <w:semiHidden/>
    <w:qFormat/>
    <w:uiPriority w:val="99"/>
    <w:rPr>
      <w:rFonts w:ascii="Times New Roman" w:hAnsi="Times New Roman" w:eastAsia="仿宋_GB2312" w:cs="Times New Roman"/>
      <w:sz w:val="24"/>
      <w:szCs w:val="24"/>
    </w:rPr>
  </w:style>
  <w:style w:type="paragraph" w:customStyle="1" w:styleId="69">
    <w:name w:val="222"/>
    <w:basedOn w:val="14"/>
    <w:link w:val="70"/>
    <w:qFormat/>
    <w:uiPriority w:val="99"/>
    <w:pPr>
      <w:spacing w:after="0" w:line="360" w:lineRule="auto"/>
      <w:ind w:left="0" w:leftChars="0" w:firstLine="560" w:firstLineChars="200"/>
    </w:pPr>
    <w:rPr>
      <w:rFonts w:ascii="仿宋_GB2312" w:hAnsi="宋体" w:eastAsia="仿宋_GB2312" w:cs="仿宋_GB2312"/>
      <w:sz w:val="28"/>
      <w:szCs w:val="28"/>
    </w:rPr>
  </w:style>
  <w:style w:type="character" w:customStyle="1" w:styleId="70">
    <w:name w:val="222 Char"/>
    <w:basedOn w:val="41"/>
    <w:link w:val="69"/>
    <w:qFormat/>
    <w:locked/>
    <w:uiPriority w:val="99"/>
    <w:rPr>
      <w:rFonts w:ascii="仿宋_GB2312" w:hAnsi="宋体" w:eastAsia="仿宋_GB2312" w:cs="仿宋_GB2312"/>
      <w:kern w:val="2"/>
      <w:sz w:val="28"/>
      <w:szCs w:val="28"/>
    </w:rPr>
  </w:style>
  <w:style w:type="table" w:customStyle="1" w:styleId="71">
    <w:name w:val="网格型3"/>
    <w:qFormat/>
    <w:uiPriority w:val="99"/>
    <w:rPr>
      <w:rFonts w:ascii="Calibri" w:hAnsi="Calibri"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72">
    <w:name w:val="网格型1"/>
    <w:qFormat/>
    <w:uiPriority w:val="99"/>
    <w:rPr>
      <w:rFonts w:ascii="Calibri" w:hAnsi="Calibri"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73">
    <w:name w:val="_Style 6"/>
    <w:qFormat/>
    <w:uiPriority w:val="99"/>
    <w:rPr>
      <w:rFonts w:eastAsia="仿宋"/>
      <w:sz w:val="28"/>
      <w:szCs w:val="28"/>
    </w:rPr>
  </w:style>
  <w:style w:type="paragraph" w:customStyle="1" w:styleId="74">
    <w:name w:val="_Style 19"/>
    <w:basedOn w:val="1"/>
    <w:next w:val="15"/>
    <w:qFormat/>
    <w:uiPriority w:val="99"/>
    <w:rPr>
      <w:rFonts w:ascii="宋体" w:hAnsi="Courier New" w:cs="宋体"/>
    </w:rPr>
  </w:style>
  <w:style w:type="character" w:customStyle="1" w:styleId="75">
    <w:name w:val="val"/>
    <w:basedOn w:val="27"/>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D4F40-23EC-47F7-BB19-D6C8B1119832}">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3076</Words>
  <Characters>3278</Characters>
  <Lines>3</Lines>
  <Paragraphs>6</Paragraphs>
  <TotalTime>2</TotalTime>
  <ScaleCrop>false</ScaleCrop>
  <LinksUpToDate>false</LinksUpToDate>
  <CharactersWithSpaces>3291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2024-08-06T05:17:00Z</dcterms:created>
  <dc:creator>Lenovo</dc:creator>
  <cp:lastModifiedBy>zm</cp:lastModifiedBy>
  <dcterms:modified xsi:type="dcterms:W3CDTF">2024-08-12T03:30:14Z</dcterms:modified>
  <dc:title>2021年度鞍山市车用尿素水溶液产品</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8C0D4199520D4C2F8945E940283897A7</vt:lpwstr>
  </property>
</Properties>
</file>