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</w:pP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产品质量监督抽查实施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  <w:t>方案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582930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9pt;height:0.05pt;width:459pt;z-index:251659264;mso-width-relative:page;mso-height-relative:page;" filled="f" stroked="t" coordsize="21600,21600" o:gfxdata="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VHRDrTAAAABgEAAA8AAAAAAAAAAQAgAAAAIgAAAGRycy9kb3ducmV2LnhtbFBLAQIU&#10;ABQAAAAIAIdO4kA94BjB+AEAAOcDAAAOAAAAAAAAAAEAIAAAACIBAABkcnMvZTJvRG9jLnhtbFBL&#10;BQYAAAAABgAGAFkBAACMBQAAAAA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8"/>
      </w:pPr>
    </w:p>
    <w:p>
      <w:pPr>
        <w:pStyle w:val="3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bCs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hint="eastAsia" w:ascii="仿宋" w:hAnsi="仿宋" w:cs="黑体"/>
          <w:b/>
          <w:bCs/>
          <w:spacing w:val="20"/>
          <w:w w:val="105"/>
          <w:sz w:val="36"/>
          <w:szCs w:val="36"/>
          <w:lang w:val="en-US" w:eastAsia="zh-CN"/>
        </w:rPr>
        <w:t>燃气器具类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both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8"/>
      </w:pPr>
    </w:p>
    <w:p>
      <w:pPr>
        <w:pStyle w:val="3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8"/>
      </w:pPr>
    </w:p>
    <w:p>
      <w:pPr>
        <w:pStyle w:val="8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  <w:u w:val="single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37465</wp:posOffset>
                </wp:positionV>
                <wp:extent cx="56007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2.95pt;height:0.05pt;width:441pt;z-index:251660288;mso-width-relative:page;mso-height-relative:page;" filled="f" stroked="t" coordsize="21600,21600" o:gfxdata="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98JBHUAAAABgEAAA8AAAAAAAAAAQAgAAAAIgAAAGRycy9kb3ducmV2LnhtbFBLAQIUABQA&#10;AAAIAIdO4kAbdr/a9AEAAOYDAAAOAAAAAAAAAAEAIAAAACM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hint="eastAsia" w:ascii="仿宋" w:hAnsi="仿宋" w:cs="黑体"/>
          <w:b/>
          <w:spacing w:val="20"/>
          <w:w w:val="105"/>
          <w:sz w:val="36"/>
          <w:szCs w:val="36"/>
          <w:lang w:eastAsia="zh-CN"/>
        </w:rPr>
        <w:t>鞍山市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仿宋" w:hAnsi="仿宋" w:cs="仿宋_GB2312"/>
          <w:b/>
          <w:bCs/>
          <w:sz w:val="32"/>
          <w:szCs w:val="32"/>
        </w:rPr>
      </w:pPr>
      <w:r>
        <w:rPr>
          <w:rFonts w:hint="eastAsia" w:ascii="仿宋" w:hAnsi="仿宋" w:cs="仿宋_GB2312"/>
          <w:b/>
          <w:bCs/>
          <w:sz w:val="32"/>
          <w:szCs w:val="32"/>
          <w:lang w:eastAsia="zh-CN"/>
        </w:rPr>
        <w:t>2024年鞍山市</w:t>
      </w:r>
      <w:r>
        <w:rPr>
          <w:rFonts w:hint="eastAsia" w:ascii="仿宋" w:hAnsi="仿宋" w:cs="仿宋_GB2312"/>
          <w:b/>
          <w:bCs/>
          <w:sz w:val="32"/>
          <w:szCs w:val="32"/>
          <w:lang w:val="en-US" w:eastAsia="zh-CN"/>
        </w:rPr>
        <w:t>燃气器具类产品</w:t>
      </w:r>
      <w:r>
        <w:rPr>
          <w:rFonts w:hint="eastAsia" w:ascii="仿宋" w:hAnsi="仿宋" w:cs="仿宋_GB2312"/>
          <w:b/>
          <w:bCs/>
          <w:sz w:val="32"/>
          <w:szCs w:val="32"/>
        </w:rPr>
        <w:t>质量监督抽查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ascii="仿宋" w:hAnsi="仿宋" w:cs="仿宋_GB2312"/>
          <w:b/>
          <w:bCs/>
          <w:sz w:val="32"/>
          <w:szCs w:val="32"/>
        </w:rPr>
      </w:pPr>
      <w:r>
        <w:rPr>
          <w:rFonts w:hint="eastAsia" w:ascii="仿宋" w:hAnsi="仿宋" w:cs="仿宋_GB2312"/>
          <w:b/>
          <w:bCs/>
          <w:sz w:val="32"/>
          <w:szCs w:val="32"/>
        </w:rPr>
        <w:t>实施方案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right="0" w:rightChars="0"/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、抽查产品的标准状况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目前我国燃气器具类执行国家强制性标准GB 16410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-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2020《家用燃气灶具》、GB 30720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-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2014《家用燃气灶具能效限定值及能效等级》、GB 35844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-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2018《瓶装液化石油气调压器》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、GB 41317-2024《燃气用具连接用不锈钢波纹软管》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；国家推荐性标准GB/T 41317-2022《燃气用具连接用不锈钢波纹软管》；行业标准CJ/T 197-2010《燃气用具连接用不锈钢波纹软管》、CJ/T 490-2016《燃气用具连接用金属包覆软管》。对检验项目的技术指标要求有明确的规定，对促进社会和市场监督，提高行业产品质量，发挥了积极的作用。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、抽查产品质量监督抽查实施细则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依据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</w:rPr>
        <w:t>市场监督管理局公布的产品质量监督抽查实施细则。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产品监督抽查涉及的产品主要有：家用燃气灶具、瓶装液化石油气调压器、燃气用具连接用不锈钢波纹软管、燃气用具连接用金属包覆软管。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、抽查工作人员组成及分工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280" w:firstLineChars="100"/>
        <w:jc w:val="center"/>
        <w:textAlignment w:val="auto"/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山东腾翔产品质量检测有限公司</w:t>
      </w:r>
      <w:r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  <w:t>相关人员名单</w:t>
      </w:r>
    </w:p>
    <w:tbl>
      <w:tblPr>
        <w:tblStyle w:val="9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19"/>
        <w:gridCol w:w="1991"/>
        <w:gridCol w:w="1973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职责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1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徐彦霞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技术负责人/授权签字人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高级工程师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2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崔浩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质量负责人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中级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杨元朝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部门主管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机械设计制造及其自动化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李吉利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光信息科学与技术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刘培豹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李尊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沈炎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王海杰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机电一体化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丁永梅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采购供应管理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、抽查工作分工和进度安排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（一）抽查地区、抽样数量、抽样分工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1、抽样地区：</w:t>
      </w:r>
      <w:r>
        <w:rPr>
          <w:rFonts w:hint="eastAsia" w:ascii="仿宋" w:hAnsi="仿宋" w:eastAsia="仿宋" w:cs="仿宋"/>
          <w:kern w:val="0"/>
          <w:sz w:val="28"/>
          <w:szCs w:val="28"/>
        </w:rPr>
        <w:t>全市范围内。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涵盖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4个区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铁东区、铁西区、立山区、千山区；1个县：台安县，1个自治县：岫岩满族自治县；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个县级市：海城市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；抽查兼顾经营该产品的大、中、小型经营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者，能够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反映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目前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燃气器具类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产品的总体质量状况。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抽样数量：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（1）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家用燃气灶具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）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燃气软管、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调压器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3、抽样分工：按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照“抽检分离”原则，合理规划抽样人员，每组抽样人员不少于 2 人。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（二）抽查进度安排</w:t>
      </w:r>
    </w:p>
    <w:p>
      <w:pPr>
        <w:pStyle w:val="14"/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本次抽查工作严格按照任务下达部门进度要求执行，现对抽查工作计划、进度预做如下安排，详见表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。</w:t>
      </w:r>
    </w:p>
    <w:p>
      <w:pPr>
        <w:adjustRightInd w:val="0"/>
        <w:spacing w:line="360" w:lineRule="auto"/>
        <w:ind w:firstLine="560" w:firstLineChars="200"/>
        <w:jc w:val="center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抽查工作进度要求</w:t>
      </w:r>
    </w:p>
    <w:tbl>
      <w:tblPr>
        <w:tblStyle w:val="9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593"/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工作流程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责任单位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进度要求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样品抽取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负责，区、县（市）局配合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任务下达之日起20日内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被抽样单位汇总表上报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抽样工作结束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样品检验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完成后30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检验工作完成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材料汇总及上报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  <w:r>
              <w:rPr>
                <w:rFonts w:hint="eastAsia" w:ascii="仿宋" w:hAnsi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工作完成后7日内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遇到特殊情况，经市局同意后时间顺延。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、承检机构联系方式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承检机构：山东腾翔产品质量检测有限公司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单位地址：菏泽市上海路4666号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负 责 人：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侯金义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系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人：朱正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电 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话：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"mailto:13998142404/33220679@qq.com"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kern w:val="0"/>
          <w:sz w:val="28"/>
          <w:szCs w:val="28"/>
        </w:rPr>
        <w:t>15566118601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邮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箱：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"mailto:15566118601@163.com"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sdtxzj001</w:t>
      </w:r>
      <w:r>
        <w:rPr>
          <w:rFonts w:hint="eastAsia" w:ascii="仿宋" w:hAnsi="仿宋" w:eastAsia="仿宋" w:cs="仿宋"/>
          <w:kern w:val="0"/>
          <w:sz w:val="28"/>
          <w:szCs w:val="28"/>
        </w:rPr>
        <w:t>@163.com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2" w:firstLineChars="20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、承检机构资质认定授权有效期说明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承检机构资质认定情况统计</w:t>
      </w:r>
    </w:p>
    <w:tbl>
      <w:tblPr>
        <w:tblStyle w:val="9"/>
        <w:tblW w:w="85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2410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承检机构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CMA证书编号及有效期限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CNAS证书编号及有效期限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山东腾翔产品质量检测有限公司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231520340578/ 20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29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31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 L11982/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2025.02.19</w:t>
            </w:r>
          </w:p>
        </w:tc>
      </w:tr>
    </w:tbl>
    <w:p/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B93ED8"/>
    <w:multiLevelType w:val="singleLevel"/>
    <w:tmpl w:val="BDB93ED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58E1F19"/>
    <w:multiLevelType w:val="multilevel"/>
    <w:tmpl w:val="758E1F19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32"/>
        <w:szCs w:val="24"/>
      </w:rPr>
    </w:lvl>
    <w:lvl w:ilvl="1" w:tentative="0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2" w:tentative="0">
      <w:start w:val="1"/>
      <w:numFmt w:val="decimal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4" w:tentative="0">
      <w:start w:val="1"/>
      <w:numFmt w:val="decimal"/>
      <w:suff w:val="nothing"/>
      <w:lvlText w:val="%3.%4.%5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YTMyY2IzMGNjYjI2OTAzN2ZiZjQyYjU1NmQ5M2UifQ=="/>
  </w:docVars>
  <w:rsids>
    <w:rsidRoot w:val="5FAF3E1C"/>
    <w:rsid w:val="00244268"/>
    <w:rsid w:val="004E4C8E"/>
    <w:rsid w:val="008E1AA8"/>
    <w:rsid w:val="01BA3EF2"/>
    <w:rsid w:val="03B40098"/>
    <w:rsid w:val="0406356C"/>
    <w:rsid w:val="057D5A3F"/>
    <w:rsid w:val="058B469A"/>
    <w:rsid w:val="0D0D1AC1"/>
    <w:rsid w:val="0D5E7B29"/>
    <w:rsid w:val="0E572E1A"/>
    <w:rsid w:val="11A77DD3"/>
    <w:rsid w:val="153B647A"/>
    <w:rsid w:val="28565EC0"/>
    <w:rsid w:val="29653D33"/>
    <w:rsid w:val="29EB26F7"/>
    <w:rsid w:val="31B815F8"/>
    <w:rsid w:val="32124F34"/>
    <w:rsid w:val="32E204E5"/>
    <w:rsid w:val="3348124B"/>
    <w:rsid w:val="36C808C9"/>
    <w:rsid w:val="36C87AEF"/>
    <w:rsid w:val="38794ECF"/>
    <w:rsid w:val="39D00373"/>
    <w:rsid w:val="3CF94FA8"/>
    <w:rsid w:val="3D186608"/>
    <w:rsid w:val="415052BD"/>
    <w:rsid w:val="4A58641F"/>
    <w:rsid w:val="4BD27869"/>
    <w:rsid w:val="4BF1782C"/>
    <w:rsid w:val="4C511B9E"/>
    <w:rsid w:val="571B45CE"/>
    <w:rsid w:val="58146FCA"/>
    <w:rsid w:val="5825174C"/>
    <w:rsid w:val="5AD52312"/>
    <w:rsid w:val="5B1A285A"/>
    <w:rsid w:val="5FAF3E1C"/>
    <w:rsid w:val="615C3D71"/>
    <w:rsid w:val="686E5C13"/>
    <w:rsid w:val="6CB82237"/>
    <w:rsid w:val="6E524D0E"/>
    <w:rsid w:val="700A6F0C"/>
    <w:rsid w:val="72587BCF"/>
    <w:rsid w:val="75466399"/>
    <w:rsid w:val="76C4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Autospacing="0" w:afterLines="0" w:afterAutospacing="0" w:line="360" w:lineRule="auto"/>
      <w:jc w:val="left"/>
      <w:outlineLvl w:val="1"/>
    </w:pPr>
    <w:rPr>
      <w:rFonts w:ascii="Arial" w:hAnsi="Arial"/>
      <w:b/>
      <w:sz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 w:firstLineChars="200"/>
    </w:pPr>
  </w:style>
  <w:style w:type="paragraph" w:styleId="4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5">
    <w:name w:val="List 2"/>
    <w:basedOn w:val="1"/>
    <w:qFormat/>
    <w:uiPriority w:val="0"/>
    <w:pPr>
      <w:ind w:left="100" w:leftChars="200" w:hanging="200" w:hangingChars="200"/>
    </w:pPr>
  </w:style>
  <w:style w:type="paragraph" w:styleId="6">
    <w:name w:val="toc 1"/>
    <w:basedOn w:val="1"/>
    <w:next w:val="1"/>
    <w:autoRedefine/>
    <w:qFormat/>
    <w:uiPriority w:val="0"/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8">
    <w:name w:val="Body Text First Indent 2"/>
    <w:basedOn w:val="4"/>
    <w:autoRedefine/>
    <w:qFormat/>
    <w:uiPriority w:val="99"/>
    <w:pPr>
      <w:spacing w:after="120" w:line="240" w:lineRule="auto"/>
      <w:ind w:left="480" w:leftChars="200" w:firstLine="210" w:firstLineChars="100"/>
      <w:jc w:val="left"/>
    </w:pPr>
    <w:rPr>
      <w:rFonts w:ascii="DFKai-SB" w:eastAsia="DFKai-SB"/>
      <w:sz w:val="28"/>
      <w:lang w:eastAsia="zh-TW"/>
    </w:rPr>
  </w:style>
  <w:style w:type="character" w:styleId="11">
    <w:name w:val="Hyperlink"/>
    <w:basedOn w:val="10"/>
    <w:autoRedefine/>
    <w:qFormat/>
    <w:uiPriority w:val="99"/>
    <w:rPr>
      <w:color w:val="0563C1"/>
      <w:u w:val="single"/>
    </w:rPr>
  </w:style>
  <w:style w:type="paragraph" w:customStyle="1" w:styleId="12">
    <w:name w:val="列出段落1"/>
    <w:basedOn w:val="1"/>
    <w:next w:val="1"/>
    <w:autoRedefine/>
    <w:qFormat/>
    <w:uiPriority w:val="0"/>
    <w:pPr>
      <w:spacing w:line="360" w:lineRule="auto"/>
      <w:ind w:left="720"/>
      <w:contextualSpacing/>
    </w:pPr>
  </w:style>
  <w:style w:type="paragraph" w:customStyle="1" w:styleId="13">
    <w:name w:val="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1188</Words>
  <Characters>1391</Characters>
  <Lines>0</Lines>
  <Paragraphs>0</Paragraphs>
  <TotalTime>0</TotalTime>
  <ScaleCrop>false</ScaleCrop>
  <LinksUpToDate>false</LinksUpToDate>
  <CharactersWithSpaces>1464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2022-06-10T06:46:00Z</dcterms:created>
  <dc:creator>Administrator</dc:creator>
  <cp:lastModifiedBy>朱正</cp:lastModifiedBy>
  <dcterms:modified xsi:type="dcterms:W3CDTF">2024-08-16T01:25:04Z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88A3D0F8FBFF4FDD95F4A8035C4A18A6_13</vt:lpwstr>
  </property>
</Properties>
</file>