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F0140">
      <w:pPr>
        <w:ind w:left="1807" w:hanging="2409" w:hangingChars="500"/>
        <w:jc w:val="center"/>
        <w:rPr>
          <w:rFonts w:hint="eastAsia" w:ascii="仿宋" w:hAnsi="仿宋" w:eastAsia="仿宋" w:cs="仿宋"/>
          <w:b/>
          <w:bCs/>
          <w:sz w:val="48"/>
          <w:szCs w:val="48"/>
        </w:rPr>
      </w:pPr>
      <w:r>
        <w:rPr>
          <w:rFonts w:hint="eastAsia" w:ascii="仿宋" w:hAnsi="仿宋" w:eastAsia="仿宋" w:cs="仿宋"/>
          <w:b/>
          <w:bCs/>
          <w:sz w:val="48"/>
          <w:szCs w:val="48"/>
        </w:rPr>
        <w:t>2024年</w:t>
      </w:r>
      <w:r>
        <w:rPr>
          <w:rFonts w:hint="eastAsia" w:ascii="仿宋" w:hAnsi="仿宋" w:eastAsia="仿宋" w:cs="仿宋"/>
          <w:b/>
          <w:bCs/>
          <w:sz w:val="48"/>
          <w:szCs w:val="48"/>
          <w:lang w:val="en-US" w:eastAsia="zh-CN"/>
        </w:rPr>
        <w:t>度</w:t>
      </w:r>
      <w:r>
        <w:rPr>
          <w:rFonts w:hint="eastAsia" w:ascii="仿宋" w:hAnsi="仿宋" w:eastAsia="仿宋" w:cs="仿宋"/>
          <w:b/>
          <w:bCs/>
          <w:sz w:val="48"/>
          <w:szCs w:val="48"/>
        </w:rPr>
        <w:t>鞍山市化肥产品质量监督抽查</w:t>
      </w:r>
    </w:p>
    <w:p w14:paraId="078929C6">
      <w:pPr>
        <w:ind w:left="1807" w:hanging="2409" w:hangingChars="500"/>
        <w:jc w:val="center"/>
        <w:rPr>
          <w:rFonts w:hint="eastAsia" w:ascii="仿宋" w:hAnsi="仿宋" w:eastAsia="仿宋" w:cs="仿宋"/>
          <w:b/>
          <w:bCs/>
          <w:sz w:val="48"/>
          <w:szCs w:val="48"/>
        </w:rPr>
      </w:pPr>
      <w:r>
        <w:rPr>
          <w:rFonts w:hint="eastAsia" w:ascii="仿宋" w:hAnsi="仿宋" w:eastAsia="仿宋" w:cs="仿宋"/>
          <w:b/>
          <w:bCs/>
          <w:sz w:val="48"/>
          <w:szCs w:val="48"/>
        </w:rPr>
        <w:t>实施方案</w:t>
      </w:r>
    </w:p>
    <w:p w14:paraId="4D4204A7">
      <w:pPr>
        <w:widowControl/>
        <w:spacing w:line="360" w:lineRule="auto"/>
        <w:jc w:val="left"/>
        <w:rPr>
          <w:rFonts w:ascii="仿宋_GB2312" w:hAnsi="仿宋_GB2312" w:cs="仿宋_GB2312"/>
          <w:b/>
          <w:bCs/>
          <w:sz w:val="28"/>
          <w:szCs w:val="28"/>
        </w:rPr>
      </w:pPr>
      <w:r>
        <w:rPr>
          <w:rFonts w:hint="eastAsia" w:ascii="仿宋_GB2312" w:hAnsi="仿宋_GB2312" w:cs="仿宋_GB2312"/>
          <w:b/>
          <w:bCs/>
          <w:sz w:val="28"/>
          <w:szCs w:val="28"/>
        </w:rPr>
        <w:t>一、产品行业状况</w:t>
      </w:r>
    </w:p>
    <w:p w14:paraId="3AC6FB04">
      <w:pPr>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化肥是重要的农业生产资料，是粮食的“粮食”，在促进粮食和农业生产发展中起到不可替代的作用，合理施肥是提高农作物单产和品质的重要环节。化肥是化学肥料的简称，是天然或合成的一种或多种植物成长发育所必需的营养元素，约30%-50%的作物产量增加是归因于天然或无机化学合成的商业肥料，是农业生产的物质基础之一。</w:t>
      </w:r>
      <w:r>
        <w:rPr>
          <w:rFonts w:hint="eastAsia" w:ascii="仿宋_GB2312" w:hAnsi="仿宋_GB2312" w:eastAsia="仿宋_GB2312" w:cs="仿宋_GB2312"/>
          <w:kern w:val="0"/>
          <w:sz w:val="28"/>
          <w:szCs w:val="28"/>
        </w:rPr>
        <w:t>化肥是指用化学方法制成的含有一种或几种农作物生长需要的营养元素的肥料。只含有一种可标明含量的营养元素的化肥称为单元肥料，如氮肥、磷肥、钾肥以及次要</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"http://baike.baidu.com/view/637423.htm" \t "_blank"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kern w:val="0"/>
          <w:sz w:val="28"/>
          <w:szCs w:val="28"/>
        </w:rPr>
        <w:t>常量元素</w:t>
      </w:r>
      <w:r>
        <w:rPr>
          <w:rFonts w:hint="eastAsia" w:ascii="仿宋_GB2312" w:hAnsi="仿宋_GB2312" w:eastAsia="仿宋_GB2312" w:cs="仿宋_GB2312"/>
          <w:kern w:val="0"/>
          <w:sz w:val="28"/>
          <w:szCs w:val="28"/>
        </w:rPr>
        <w:fldChar w:fldCharType="end"/>
      </w:r>
      <w:r>
        <w:rPr>
          <w:rFonts w:hint="eastAsia" w:ascii="仿宋_GB2312" w:hAnsi="仿宋_GB2312" w:eastAsia="仿宋_GB2312" w:cs="仿宋_GB2312"/>
          <w:kern w:val="0"/>
          <w:sz w:val="28"/>
          <w:szCs w:val="28"/>
        </w:rPr>
        <w:t>肥料和微量元素肥料。含有氮、磷、钾三种营养元素中的两种或三种且可标明其含量的化肥，称为</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"http://baike.baidu.com/view/602960.htm" \t "_blank"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kern w:val="0"/>
          <w:sz w:val="28"/>
          <w:szCs w:val="28"/>
        </w:rPr>
        <w:t>复合肥料</w:t>
      </w:r>
      <w:r>
        <w:rPr>
          <w:rFonts w:hint="eastAsia" w:ascii="仿宋_GB2312" w:hAnsi="仿宋_GB2312" w:eastAsia="仿宋_GB2312" w:cs="仿宋_GB2312"/>
          <w:kern w:val="0"/>
          <w:sz w:val="28"/>
          <w:szCs w:val="28"/>
        </w:rPr>
        <w:fldChar w:fldCharType="end"/>
      </w:r>
      <w:r>
        <w:rPr>
          <w:rFonts w:hint="eastAsia" w:ascii="仿宋_GB2312" w:hAnsi="仿宋_GB2312" w:eastAsia="仿宋_GB2312" w:cs="仿宋_GB2312"/>
          <w:kern w:val="0"/>
          <w:sz w:val="28"/>
          <w:szCs w:val="28"/>
        </w:rPr>
        <w:t>或混合肥料。常用的单元肥料包括尿素、农用硫酸钾、农用氯化钾、农用硝酸钾、过磷酸钙等，常用的复合（混）肥料包括磷酸一铵、磷酸二铵、掺混肥料、复混肥料、复合肥料、有机-无机复混肥料等。</w:t>
      </w:r>
    </w:p>
    <w:p w14:paraId="4B209471">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世界发达国家肥料的复混（复合）化程度较高，美国及西欧诸国使用量占到肥料总使用量的70%-80%，使用单一肥料比例甚少。印度也大力推行复混肥料生产，以高浓度产品为主，以尿素、磷酸铵、氯化钾为主要原料，加入少量过磷酸钙和磷矿粉。我国是世界化肥第一生产大国和消费大国，化肥产能和产量占世界31%，消费量占世界30%。中国化肥产业仍处于转型升级的重要阶段，化肥行业总体供大于需、产能过剩，落后产能退出迟缓，复合肥施用比例不高，肥料利用率低，据不完全统计，目前有生产许可证的复肥企业3400多家，产能约2亿，生产方式上，以滚筒（圆盘）造粒、氨酸法、塔式喷淋和化学法为主。出口方面受中国化肥生产成本较高影响，竞争力稍显不足。化肥消费，化肥使用量的要求已从“零增长”转向“负增长”，减量增效是主流趋势。</w:t>
      </w:r>
    </w:p>
    <w:p w14:paraId="172E04E5">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目前我国化肥行业产能严重过剩，再加上国家正在对该行业实行市场化政策调整，致使化肥行业挑战和压力骤增。一是化肥企业的电价、水价和运费优惠政策已经全部取消，近期原油和煤炭价格走高，直接大幅提升了生产企业的生产成本；二是环保要求已上升到立法阶段，企业环境治理项目的投入巨大；三是税费营改增在规范生产经营的同时，也增加了企业实际税负。</w:t>
      </w:r>
    </w:p>
    <w:p w14:paraId="2D75147F">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化肥行业总体发展趋势谨慎乐观，需求上，化肥使用量零增长、有机肥替代等将影响化肥投入，农业供给侧结构性改革，化肥需求品种将发生改变。产业政策上，化肥优惠政策取消殆尽，资源税、环保税、碳交易会陆续实施，能耗指标、清洁生产、大气排放等环保要求更严格。化肥产品发展方向上，新型肥料需求增速快，改革产业结构，发展循环经济，改革产品结构，适应农业需求变化，延长产业链，提高综合竞争力，增强国际话语权将成企业未来发展方向。在转型发展上，化肥企业可与农业大数据深度融合，适应下游需求变化，促进转型发展。未来环境友好、肥料利用率高或具有土壤修复功能的高效生态肥料将迎来巨大发展空间。</w:t>
      </w:r>
    </w:p>
    <w:p w14:paraId="499FE79B">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国对复肥产品实施生产许可证管理，复肥行业近几年得到了极大的发展。我省目前获证企业约260家，企业所在地区包括沈阳市、大连市、鞍山市、抚顺市、本溪市、丹东市、锦州市、营口市、阜新市、辽阳市、铁岭市、朝阳市、盘锦市、葫芦岛市、沈抚改革示范区等共15个地区。生产企业以铁岭市、锦州市居多，根据化肥企业规模大、中、小比例计算，我省目前大型企业约占全省总数的5%，中型企业约占全省总数的35%，小型企业占全省总数的60%。</w:t>
      </w:r>
    </w:p>
    <w:p w14:paraId="6DB79691">
      <w:pPr>
        <w:widowControl/>
        <w:spacing w:line="360" w:lineRule="auto"/>
        <w:jc w:val="left"/>
        <w:rPr>
          <w:rFonts w:ascii="仿宋_GB2312" w:hAnsi="仿宋_GB2312" w:cs="仿宋_GB2312"/>
          <w:b/>
          <w:bCs/>
          <w:sz w:val="28"/>
          <w:szCs w:val="28"/>
        </w:rPr>
      </w:pPr>
      <w:r>
        <w:rPr>
          <w:rFonts w:hint="eastAsia" w:ascii="仿宋_GB2312" w:hAnsi="仿宋_GB2312" w:cs="仿宋_GB2312"/>
          <w:b/>
          <w:bCs/>
          <w:sz w:val="28"/>
          <w:szCs w:val="28"/>
        </w:rPr>
        <w:t>二、抽查产品的质量状况</w:t>
      </w:r>
    </w:p>
    <w:p w14:paraId="4E9914E6">
      <w:pPr>
        <w:widowControl/>
        <w:spacing w:line="360" w:lineRule="auto"/>
        <w:ind w:firstLine="560" w:firstLineChars="200"/>
        <w:jc w:val="left"/>
        <w:rPr>
          <w:rFonts w:ascii="仿宋_GB2312" w:hAnsi="仿宋_GB2312" w:cs="仿宋_GB2312"/>
          <w:b/>
          <w:bCs/>
          <w:sz w:val="28"/>
          <w:szCs w:val="28"/>
        </w:rPr>
      </w:pPr>
      <w:r>
        <w:rPr>
          <w:rFonts w:hint="eastAsia" w:ascii="仿宋_GB2312" w:hAnsi="仿宋_GB2312" w:cs="仿宋_GB2312"/>
          <w:kern w:val="0"/>
          <w:sz w:val="28"/>
          <w:szCs w:val="28"/>
        </w:rPr>
        <w:t>（一）抽查产品存在的主要质量问题</w:t>
      </w:r>
    </w:p>
    <w:p w14:paraId="5D74802B">
      <w:pPr>
        <w:pStyle w:val="15"/>
        <w:spacing w:after="0" w:line="360" w:lineRule="auto"/>
        <w:ind w:left="0" w:leftChars="0"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历年来国家及各省市市场监督管理部门公示的抽查结果显示，化肥产品存在的主要问题有：包装标识、养分不足、氯离子超标等。</w:t>
      </w:r>
    </w:p>
    <w:p w14:paraId="42D02F5B">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1、养分含量不足</w:t>
      </w:r>
    </w:p>
    <w:p w14:paraId="40EFB10B">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生产企业为降低成本，刻意降低主要原料使用配比，造成产品养分含量不足，使用此种肥料会使农户提高耕种成本，损害农户的合法权益，可能会给农作物的种植带来隐患。</w:t>
      </w:r>
    </w:p>
    <w:p w14:paraId="520271F0">
      <w:pPr>
        <w:spacing w:line="360" w:lineRule="auto"/>
        <w:ind w:firstLine="560" w:firstLineChars="200"/>
        <w:rPr>
          <w:rFonts w:ascii="仿宋_GB2312" w:hAnsi="仿宋_GB2312" w:cs="仿宋_GB2312"/>
          <w:sz w:val="28"/>
          <w:szCs w:val="28"/>
        </w:rPr>
      </w:pPr>
      <w:r>
        <w:rPr>
          <w:rFonts w:hint="eastAsia" w:ascii="仿宋_GB2312" w:hAnsi="仿宋_GB2312" w:cs="仿宋_GB2312"/>
          <w:sz w:val="28"/>
          <w:szCs w:val="28"/>
        </w:rPr>
        <w:t>2、氯离子超标</w:t>
      </w:r>
    </w:p>
    <w:p w14:paraId="04D3AB04">
      <w:pPr>
        <w:spacing w:line="360" w:lineRule="auto"/>
        <w:ind w:firstLine="560" w:firstLineChars="200"/>
        <w:rPr>
          <w:rFonts w:hint="eastAsia" w:ascii="仿宋_GB2312" w:hAnsi="仿宋_GB2312" w:cs="仿宋_GB2312"/>
          <w:sz w:val="28"/>
          <w:szCs w:val="28"/>
        </w:rPr>
      </w:pPr>
      <w:r>
        <w:rPr>
          <w:rFonts w:hint="eastAsia" w:ascii="仿宋_GB2312" w:hAnsi="仿宋_GB2312" w:cs="仿宋_GB2312"/>
          <w:sz w:val="28"/>
          <w:szCs w:val="28"/>
        </w:rPr>
        <w:t>长期使用氯离子超标的肥料一方面会引起土壤变酸，使土壤有益微生物活动受影响；另一方面，肥料中氯成分能与土壤钙结合，生成氯化钙。氯化钙溶解度大，能随水流失。钙是形成土壤结构不可缺少的元素，钙盐流失过多，会破坏土壤结构，造成板结。如果一些忌氯的农作物使用了这样的肥料，将会严重影响农作物生长。</w:t>
      </w:r>
    </w:p>
    <w:p w14:paraId="0BE4CA4E">
      <w:pPr>
        <w:spacing w:after="120"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3、包装标识和质量证明书不合格。化肥包装标识和质量证明书不规范实际上也是质量问题的一种，许多企业都出现过包装标识不规范的情况。究其原因可分为两种，一是企业包装标识规范意识尚存欠缺，认为只要产品质量好，包装标识都是“身外”之物，无须特别在意，从而造成违规；另一种则是企业为了追求经济利益有意为之，或夸大宣传，或寻找噱头取一些吸引眼球的商品名称，或在包装标识上不按照规定故意漏标或错标，涉嫌欺诈消费者。化肥产品标准中要求每批检验合格的出厂产品应附有质量证明书。</w:t>
      </w:r>
    </w:p>
    <w:p w14:paraId="265147EA">
      <w:pPr>
        <w:widowControl/>
        <w:spacing w:line="360" w:lineRule="auto"/>
        <w:ind w:firstLine="560" w:firstLineChars="200"/>
        <w:jc w:val="left"/>
        <w:rPr>
          <w:rFonts w:ascii="仿宋_GB2312" w:hAnsi="仿宋_GB2312" w:cs="仿宋_GB2312"/>
          <w:sz w:val="28"/>
          <w:szCs w:val="28"/>
        </w:rPr>
      </w:pPr>
      <w:r>
        <w:rPr>
          <w:rFonts w:hint="eastAsia" w:ascii="仿宋_GB2312" w:hAnsi="仿宋_GB2312" w:cs="仿宋_GB2312"/>
          <w:sz w:val="28"/>
          <w:szCs w:val="28"/>
        </w:rPr>
        <w:t>（二）抽查产品的行政许可管理</w:t>
      </w:r>
    </w:p>
    <w:p w14:paraId="3BB25D64">
      <w:pPr>
        <w:spacing w:line="360" w:lineRule="auto"/>
        <w:ind w:firstLine="560" w:firstLineChars="200"/>
        <w:rPr>
          <w:rFonts w:ascii="仿宋_GB2312" w:hAnsi="仿宋_GB2312" w:cs="仿宋_GB2312"/>
          <w:bCs/>
          <w:sz w:val="28"/>
          <w:szCs w:val="28"/>
        </w:rPr>
      </w:pPr>
      <w:r>
        <w:rPr>
          <w:rFonts w:hint="eastAsia" w:ascii="仿宋_GB2312" w:hAnsi="仿宋_GB2312" w:cs="仿宋_GB2312"/>
          <w:bCs/>
          <w:sz w:val="28"/>
          <w:szCs w:val="28"/>
        </w:rPr>
        <w:t>化肥产品属于生产许可发证产品。</w:t>
      </w:r>
    </w:p>
    <w:p w14:paraId="112AF304">
      <w:pPr>
        <w:spacing w:line="594" w:lineRule="exact"/>
        <w:ind w:firstLine="560" w:firstLineChars="200"/>
        <w:rPr>
          <w:rFonts w:ascii="仿宋_GB2312" w:hAnsi="仿宋"/>
          <w:sz w:val="28"/>
          <w:szCs w:val="28"/>
        </w:rPr>
      </w:pPr>
      <w:r>
        <w:rPr>
          <w:rFonts w:hint="eastAsia" w:ascii="仿宋_GB2312" w:hAnsi="仿宋"/>
          <w:sz w:val="28"/>
          <w:szCs w:val="28"/>
        </w:rPr>
        <w:t>（三）历年产品质量监督抽查情况</w:t>
      </w:r>
    </w:p>
    <w:p w14:paraId="6826CB93">
      <w:pPr>
        <w:pStyle w:val="19"/>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1、 辽宁省监督抽查质量情况</w:t>
      </w:r>
    </w:p>
    <w:tbl>
      <w:tblPr>
        <w:tblStyle w:val="23"/>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1395"/>
        <w:gridCol w:w="928"/>
        <w:gridCol w:w="1022"/>
        <w:gridCol w:w="1155"/>
        <w:gridCol w:w="1110"/>
        <w:gridCol w:w="1823"/>
      </w:tblGrid>
      <w:tr w14:paraId="0142F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923" w:type="dxa"/>
            <w:vMerge w:val="restart"/>
            <w:vAlign w:val="center"/>
          </w:tcPr>
          <w:p w14:paraId="4CC2B1B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公告</w:t>
            </w:r>
          </w:p>
        </w:tc>
        <w:tc>
          <w:tcPr>
            <w:tcW w:w="1395" w:type="dxa"/>
            <w:vMerge w:val="restart"/>
            <w:vAlign w:val="center"/>
          </w:tcPr>
          <w:p w14:paraId="46A68494">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发布时间</w:t>
            </w:r>
          </w:p>
        </w:tc>
        <w:tc>
          <w:tcPr>
            <w:tcW w:w="3105" w:type="dxa"/>
            <w:gridSpan w:val="3"/>
            <w:vAlign w:val="center"/>
          </w:tcPr>
          <w:p w14:paraId="00BEE65C">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1110" w:type="dxa"/>
            <w:vMerge w:val="restart"/>
            <w:vAlign w:val="center"/>
          </w:tcPr>
          <w:p w14:paraId="6C601FA3">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47565B5B">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823" w:type="dxa"/>
            <w:vMerge w:val="restart"/>
            <w:vAlign w:val="center"/>
          </w:tcPr>
          <w:p w14:paraId="30A854BC">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5193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923" w:type="dxa"/>
            <w:vMerge w:val="continue"/>
            <w:vAlign w:val="center"/>
          </w:tcPr>
          <w:p w14:paraId="133FFD7A">
            <w:pPr>
              <w:autoSpaceDE w:val="0"/>
              <w:autoSpaceDN w:val="0"/>
              <w:adjustRightInd w:val="0"/>
              <w:snapToGrid w:val="0"/>
              <w:jc w:val="center"/>
              <w:rPr>
                <w:rFonts w:hint="eastAsia" w:ascii="仿宋_GB2312" w:hAnsi="仿宋_GB2312" w:eastAsia="仿宋_GB2312" w:cs="仿宋_GB2312"/>
                <w:kern w:val="0"/>
                <w:sz w:val="24"/>
                <w:szCs w:val="24"/>
              </w:rPr>
            </w:pPr>
          </w:p>
        </w:tc>
        <w:tc>
          <w:tcPr>
            <w:tcW w:w="1395" w:type="dxa"/>
            <w:vMerge w:val="continue"/>
            <w:vAlign w:val="center"/>
          </w:tcPr>
          <w:p w14:paraId="0FA9EA67">
            <w:pPr>
              <w:autoSpaceDE w:val="0"/>
              <w:autoSpaceDN w:val="0"/>
              <w:adjustRightInd w:val="0"/>
              <w:snapToGrid w:val="0"/>
              <w:jc w:val="center"/>
              <w:rPr>
                <w:rFonts w:hint="eastAsia" w:ascii="仿宋_GB2312" w:hAnsi="仿宋_GB2312" w:eastAsia="仿宋_GB2312" w:cs="仿宋_GB2312"/>
                <w:kern w:val="0"/>
                <w:sz w:val="24"/>
                <w:szCs w:val="24"/>
              </w:rPr>
            </w:pPr>
          </w:p>
        </w:tc>
        <w:tc>
          <w:tcPr>
            <w:tcW w:w="928" w:type="dxa"/>
            <w:vAlign w:val="center"/>
          </w:tcPr>
          <w:p w14:paraId="5455DEAA">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1022" w:type="dxa"/>
            <w:vAlign w:val="center"/>
          </w:tcPr>
          <w:p w14:paraId="4ECFDD71">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监督批次</w:t>
            </w:r>
          </w:p>
        </w:tc>
        <w:tc>
          <w:tcPr>
            <w:tcW w:w="1155" w:type="dxa"/>
            <w:vAlign w:val="center"/>
          </w:tcPr>
          <w:p w14:paraId="3FA04ADD">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合格批次</w:t>
            </w:r>
          </w:p>
        </w:tc>
        <w:tc>
          <w:tcPr>
            <w:tcW w:w="1110" w:type="dxa"/>
            <w:vMerge w:val="continue"/>
            <w:vAlign w:val="center"/>
          </w:tcPr>
          <w:p w14:paraId="7252B075">
            <w:pPr>
              <w:autoSpaceDE w:val="0"/>
              <w:autoSpaceDN w:val="0"/>
              <w:adjustRightInd w:val="0"/>
              <w:snapToGrid w:val="0"/>
              <w:jc w:val="center"/>
              <w:rPr>
                <w:rFonts w:hint="eastAsia" w:ascii="仿宋_GB2312" w:hAnsi="仿宋_GB2312" w:eastAsia="仿宋_GB2312" w:cs="仿宋_GB2312"/>
                <w:kern w:val="0"/>
                <w:sz w:val="24"/>
                <w:szCs w:val="24"/>
              </w:rPr>
            </w:pPr>
          </w:p>
        </w:tc>
        <w:tc>
          <w:tcPr>
            <w:tcW w:w="1823" w:type="dxa"/>
            <w:vMerge w:val="continue"/>
            <w:vAlign w:val="center"/>
          </w:tcPr>
          <w:p w14:paraId="1A3B1D0B">
            <w:pPr>
              <w:autoSpaceDE w:val="0"/>
              <w:autoSpaceDN w:val="0"/>
              <w:adjustRightInd w:val="0"/>
              <w:snapToGrid w:val="0"/>
              <w:jc w:val="center"/>
              <w:rPr>
                <w:rFonts w:hint="eastAsia" w:ascii="仿宋_GB2312" w:hAnsi="仿宋_GB2312" w:eastAsia="仿宋_GB2312" w:cs="仿宋_GB2312"/>
                <w:kern w:val="0"/>
                <w:sz w:val="24"/>
                <w:szCs w:val="24"/>
              </w:rPr>
            </w:pPr>
          </w:p>
        </w:tc>
      </w:tr>
      <w:tr w14:paraId="4357A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23" w:type="dxa"/>
            <w:vMerge w:val="restart"/>
            <w:vAlign w:val="center"/>
          </w:tcPr>
          <w:p w14:paraId="0509A36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辽宁省市场监督管理局关于2021年化肥等产品质量监督抽查情况的通报</w:t>
            </w:r>
          </w:p>
        </w:tc>
        <w:tc>
          <w:tcPr>
            <w:tcW w:w="1395" w:type="dxa"/>
            <w:vMerge w:val="restart"/>
            <w:vAlign w:val="center"/>
          </w:tcPr>
          <w:p w14:paraId="4EFA534E">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2021.4.29</w:t>
            </w:r>
          </w:p>
        </w:tc>
        <w:tc>
          <w:tcPr>
            <w:tcW w:w="928" w:type="dxa"/>
            <w:vAlign w:val="center"/>
          </w:tcPr>
          <w:p w14:paraId="27A1717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生产领域</w:t>
            </w:r>
          </w:p>
        </w:tc>
        <w:tc>
          <w:tcPr>
            <w:tcW w:w="1022" w:type="dxa"/>
            <w:vAlign w:val="center"/>
          </w:tcPr>
          <w:p w14:paraId="0FEA7E14">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150</w:t>
            </w:r>
          </w:p>
        </w:tc>
        <w:tc>
          <w:tcPr>
            <w:tcW w:w="1155" w:type="dxa"/>
            <w:vAlign w:val="center"/>
          </w:tcPr>
          <w:p w14:paraId="22BA4383">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128</w:t>
            </w:r>
          </w:p>
        </w:tc>
        <w:tc>
          <w:tcPr>
            <w:tcW w:w="1110" w:type="dxa"/>
            <w:vAlign w:val="center"/>
          </w:tcPr>
          <w:p w14:paraId="198CD7FB">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85.3</w:t>
            </w:r>
          </w:p>
        </w:tc>
        <w:tc>
          <w:tcPr>
            <w:tcW w:w="1823" w:type="dxa"/>
            <w:vMerge w:val="restart"/>
            <w:vAlign w:val="center"/>
          </w:tcPr>
          <w:p w14:paraId="5E49DBE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总养分、总氮、有效五氧化二磷、氧化钾、氯离子、酸碱度、粒度、包装标识</w:t>
            </w:r>
          </w:p>
        </w:tc>
      </w:tr>
      <w:tr w14:paraId="42F8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23" w:type="dxa"/>
            <w:vMerge w:val="continue"/>
            <w:vAlign w:val="center"/>
          </w:tcPr>
          <w:p w14:paraId="63880924">
            <w:pPr>
              <w:autoSpaceDE w:val="0"/>
              <w:autoSpaceDN w:val="0"/>
              <w:adjustRightInd w:val="0"/>
              <w:snapToGrid w:val="0"/>
              <w:jc w:val="center"/>
              <w:rPr>
                <w:rFonts w:hint="eastAsia" w:ascii="仿宋_GB2312" w:hAnsi="仿宋_GB2312" w:eastAsia="仿宋_GB2312" w:cs="仿宋_GB2312"/>
                <w:kern w:val="0"/>
                <w:sz w:val="24"/>
                <w:szCs w:val="24"/>
              </w:rPr>
            </w:pPr>
          </w:p>
        </w:tc>
        <w:tc>
          <w:tcPr>
            <w:tcW w:w="1395" w:type="dxa"/>
            <w:vMerge w:val="continue"/>
            <w:vAlign w:val="center"/>
          </w:tcPr>
          <w:p w14:paraId="3E5EA9DC">
            <w:pPr>
              <w:autoSpaceDE w:val="0"/>
              <w:autoSpaceDN w:val="0"/>
              <w:adjustRightInd w:val="0"/>
              <w:snapToGrid w:val="0"/>
              <w:jc w:val="center"/>
              <w:rPr>
                <w:rFonts w:hint="eastAsia" w:ascii="仿宋_GB2312" w:hAnsi="仿宋_GB2312" w:eastAsia="仿宋_GB2312" w:cs="仿宋_GB2312"/>
                <w:kern w:val="0"/>
                <w:sz w:val="24"/>
                <w:szCs w:val="24"/>
              </w:rPr>
            </w:pPr>
          </w:p>
        </w:tc>
        <w:tc>
          <w:tcPr>
            <w:tcW w:w="928" w:type="dxa"/>
            <w:vAlign w:val="center"/>
          </w:tcPr>
          <w:p w14:paraId="3B7195CA">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1022" w:type="dxa"/>
            <w:vAlign w:val="center"/>
          </w:tcPr>
          <w:p w14:paraId="35BD2D3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150</w:t>
            </w:r>
          </w:p>
        </w:tc>
        <w:tc>
          <w:tcPr>
            <w:tcW w:w="1155" w:type="dxa"/>
            <w:vAlign w:val="center"/>
          </w:tcPr>
          <w:p w14:paraId="2C0C89F2">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125</w:t>
            </w:r>
          </w:p>
        </w:tc>
        <w:tc>
          <w:tcPr>
            <w:tcW w:w="1110" w:type="dxa"/>
            <w:vAlign w:val="center"/>
          </w:tcPr>
          <w:p w14:paraId="69242D23">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83.3</w:t>
            </w:r>
          </w:p>
        </w:tc>
        <w:tc>
          <w:tcPr>
            <w:tcW w:w="1823" w:type="dxa"/>
            <w:vMerge w:val="continue"/>
            <w:vAlign w:val="center"/>
          </w:tcPr>
          <w:p w14:paraId="2234A641">
            <w:pPr>
              <w:autoSpaceDE w:val="0"/>
              <w:autoSpaceDN w:val="0"/>
              <w:adjustRightInd w:val="0"/>
              <w:snapToGrid w:val="0"/>
              <w:jc w:val="center"/>
              <w:rPr>
                <w:rFonts w:hint="eastAsia" w:ascii="仿宋_GB2312" w:hAnsi="仿宋_GB2312" w:eastAsia="仿宋_GB2312" w:cs="仿宋_GB2312"/>
                <w:kern w:val="0"/>
                <w:sz w:val="24"/>
                <w:szCs w:val="24"/>
              </w:rPr>
            </w:pPr>
          </w:p>
        </w:tc>
      </w:tr>
      <w:tr w14:paraId="6547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923" w:type="dxa"/>
            <w:vMerge w:val="restart"/>
            <w:vAlign w:val="center"/>
          </w:tcPr>
          <w:p w14:paraId="4DC081F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辽宁省市场监督管理局关于2022年化肥等产品质量监督抽查情况的通报</w:t>
            </w:r>
          </w:p>
        </w:tc>
        <w:tc>
          <w:tcPr>
            <w:tcW w:w="1395" w:type="dxa"/>
            <w:vMerge w:val="restart"/>
            <w:vAlign w:val="center"/>
          </w:tcPr>
          <w:p w14:paraId="51B6E044">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2022.5.30</w:t>
            </w:r>
          </w:p>
        </w:tc>
        <w:tc>
          <w:tcPr>
            <w:tcW w:w="928" w:type="dxa"/>
            <w:vAlign w:val="center"/>
          </w:tcPr>
          <w:p w14:paraId="7A6333D6">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生产领域</w:t>
            </w:r>
          </w:p>
        </w:tc>
        <w:tc>
          <w:tcPr>
            <w:tcW w:w="1022" w:type="dxa"/>
            <w:vAlign w:val="center"/>
          </w:tcPr>
          <w:p w14:paraId="4AD4F35C">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148</w:t>
            </w:r>
          </w:p>
        </w:tc>
        <w:tc>
          <w:tcPr>
            <w:tcW w:w="1155" w:type="dxa"/>
            <w:vAlign w:val="center"/>
          </w:tcPr>
          <w:p w14:paraId="79BF2150">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136</w:t>
            </w:r>
          </w:p>
        </w:tc>
        <w:tc>
          <w:tcPr>
            <w:tcW w:w="1110" w:type="dxa"/>
            <w:vAlign w:val="center"/>
          </w:tcPr>
          <w:p w14:paraId="630773C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91.9</w:t>
            </w:r>
          </w:p>
        </w:tc>
        <w:tc>
          <w:tcPr>
            <w:tcW w:w="1823" w:type="dxa"/>
            <w:vMerge w:val="restart"/>
            <w:vAlign w:val="center"/>
          </w:tcPr>
          <w:p w14:paraId="429461A1">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总养分、总氮、氧化钾、氯离子、总硫、包装标识、质量证明书</w:t>
            </w:r>
          </w:p>
        </w:tc>
      </w:tr>
      <w:tr w14:paraId="70FF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923" w:type="dxa"/>
            <w:vMerge w:val="continue"/>
            <w:vAlign w:val="center"/>
          </w:tcPr>
          <w:p w14:paraId="4EFC5670">
            <w:pPr>
              <w:autoSpaceDE w:val="0"/>
              <w:autoSpaceDN w:val="0"/>
              <w:adjustRightInd w:val="0"/>
              <w:snapToGrid w:val="0"/>
              <w:jc w:val="center"/>
              <w:rPr>
                <w:rFonts w:hint="eastAsia" w:ascii="仿宋_GB2312" w:hAnsi="仿宋_GB2312" w:eastAsia="仿宋_GB2312" w:cs="仿宋_GB2312"/>
                <w:kern w:val="0"/>
                <w:sz w:val="24"/>
                <w:szCs w:val="24"/>
              </w:rPr>
            </w:pPr>
          </w:p>
        </w:tc>
        <w:tc>
          <w:tcPr>
            <w:tcW w:w="1395" w:type="dxa"/>
            <w:vMerge w:val="continue"/>
            <w:vAlign w:val="center"/>
          </w:tcPr>
          <w:p w14:paraId="2D4A36F6">
            <w:pPr>
              <w:autoSpaceDE w:val="0"/>
              <w:autoSpaceDN w:val="0"/>
              <w:adjustRightInd w:val="0"/>
              <w:snapToGrid w:val="0"/>
              <w:jc w:val="center"/>
              <w:rPr>
                <w:rFonts w:hint="eastAsia" w:ascii="仿宋_GB2312" w:hAnsi="仿宋_GB2312" w:eastAsia="仿宋_GB2312" w:cs="仿宋_GB2312"/>
                <w:kern w:val="0"/>
                <w:sz w:val="24"/>
                <w:szCs w:val="24"/>
              </w:rPr>
            </w:pPr>
          </w:p>
        </w:tc>
        <w:tc>
          <w:tcPr>
            <w:tcW w:w="928" w:type="dxa"/>
            <w:vAlign w:val="center"/>
          </w:tcPr>
          <w:p w14:paraId="6DF053C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1022" w:type="dxa"/>
            <w:vAlign w:val="center"/>
          </w:tcPr>
          <w:p w14:paraId="3CFCA95C">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153</w:t>
            </w:r>
          </w:p>
        </w:tc>
        <w:tc>
          <w:tcPr>
            <w:tcW w:w="1155" w:type="dxa"/>
            <w:vAlign w:val="center"/>
          </w:tcPr>
          <w:p w14:paraId="687E92C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122</w:t>
            </w:r>
          </w:p>
        </w:tc>
        <w:tc>
          <w:tcPr>
            <w:tcW w:w="1110" w:type="dxa"/>
            <w:vAlign w:val="center"/>
          </w:tcPr>
          <w:p w14:paraId="0C02833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79.7</w:t>
            </w:r>
          </w:p>
        </w:tc>
        <w:tc>
          <w:tcPr>
            <w:tcW w:w="1823" w:type="dxa"/>
            <w:vMerge w:val="continue"/>
            <w:vAlign w:val="center"/>
          </w:tcPr>
          <w:p w14:paraId="70145CC6">
            <w:pPr>
              <w:autoSpaceDE w:val="0"/>
              <w:autoSpaceDN w:val="0"/>
              <w:adjustRightInd w:val="0"/>
              <w:snapToGrid w:val="0"/>
              <w:jc w:val="center"/>
              <w:rPr>
                <w:rFonts w:hint="eastAsia" w:ascii="仿宋_GB2312" w:hAnsi="仿宋_GB2312" w:eastAsia="仿宋_GB2312" w:cs="仿宋_GB2312"/>
                <w:kern w:val="0"/>
                <w:sz w:val="24"/>
                <w:szCs w:val="24"/>
              </w:rPr>
            </w:pPr>
          </w:p>
        </w:tc>
      </w:tr>
      <w:tr w14:paraId="58C7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923" w:type="dxa"/>
            <w:vMerge w:val="restart"/>
            <w:vAlign w:val="center"/>
          </w:tcPr>
          <w:p w14:paraId="6C698538">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辽宁省市场监督管理局关于2023年化肥等产品质量监督抽查情况的通报</w:t>
            </w:r>
          </w:p>
        </w:tc>
        <w:tc>
          <w:tcPr>
            <w:tcW w:w="1395" w:type="dxa"/>
            <w:vMerge w:val="restart"/>
            <w:vAlign w:val="center"/>
          </w:tcPr>
          <w:p w14:paraId="57D2DF02">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2023.5.12</w:t>
            </w:r>
          </w:p>
        </w:tc>
        <w:tc>
          <w:tcPr>
            <w:tcW w:w="928" w:type="dxa"/>
            <w:vAlign w:val="center"/>
          </w:tcPr>
          <w:p w14:paraId="3404587A">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生产领域</w:t>
            </w:r>
          </w:p>
        </w:tc>
        <w:tc>
          <w:tcPr>
            <w:tcW w:w="1022" w:type="dxa"/>
            <w:vAlign w:val="center"/>
          </w:tcPr>
          <w:p w14:paraId="51F63B32">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75</w:t>
            </w:r>
          </w:p>
        </w:tc>
        <w:tc>
          <w:tcPr>
            <w:tcW w:w="1155" w:type="dxa"/>
            <w:vAlign w:val="center"/>
          </w:tcPr>
          <w:p w14:paraId="2AF44EDA">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66</w:t>
            </w:r>
          </w:p>
        </w:tc>
        <w:tc>
          <w:tcPr>
            <w:tcW w:w="1110" w:type="dxa"/>
            <w:vAlign w:val="center"/>
          </w:tcPr>
          <w:p w14:paraId="263C78E2">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88.0</w:t>
            </w:r>
          </w:p>
        </w:tc>
        <w:tc>
          <w:tcPr>
            <w:tcW w:w="1823" w:type="dxa"/>
            <w:vMerge w:val="restart"/>
            <w:vAlign w:val="center"/>
          </w:tcPr>
          <w:p w14:paraId="1EA40439">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总养分、总氮、有效五氧化二磷、氧化钾、水溶性磷占有效磷百分率、氯离子、包装标识、质量证明书</w:t>
            </w:r>
          </w:p>
        </w:tc>
      </w:tr>
      <w:tr w14:paraId="059E1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923" w:type="dxa"/>
            <w:vMerge w:val="continue"/>
            <w:vAlign w:val="center"/>
          </w:tcPr>
          <w:p w14:paraId="06409F37">
            <w:pPr>
              <w:autoSpaceDE w:val="0"/>
              <w:autoSpaceDN w:val="0"/>
              <w:adjustRightInd w:val="0"/>
              <w:snapToGrid w:val="0"/>
              <w:jc w:val="center"/>
              <w:rPr>
                <w:rFonts w:hint="eastAsia" w:ascii="仿宋_GB2312" w:hAnsi="仿宋_GB2312" w:eastAsia="仿宋_GB2312" w:cs="仿宋_GB2312"/>
                <w:kern w:val="0"/>
                <w:sz w:val="24"/>
                <w:szCs w:val="24"/>
              </w:rPr>
            </w:pPr>
          </w:p>
        </w:tc>
        <w:tc>
          <w:tcPr>
            <w:tcW w:w="1395" w:type="dxa"/>
            <w:vMerge w:val="continue"/>
            <w:vAlign w:val="center"/>
          </w:tcPr>
          <w:p w14:paraId="47DED75D">
            <w:pPr>
              <w:autoSpaceDE w:val="0"/>
              <w:autoSpaceDN w:val="0"/>
              <w:adjustRightInd w:val="0"/>
              <w:snapToGrid w:val="0"/>
              <w:jc w:val="center"/>
              <w:rPr>
                <w:rFonts w:hint="eastAsia" w:ascii="仿宋_GB2312" w:hAnsi="仿宋_GB2312" w:eastAsia="仿宋_GB2312" w:cs="仿宋_GB2312"/>
                <w:kern w:val="0"/>
                <w:sz w:val="24"/>
                <w:szCs w:val="24"/>
              </w:rPr>
            </w:pPr>
          </w:p>
        </w:tc>
        <w:tc>
          <w:tcPr>
            <w:tcW w:w="928" w:type="dxa"/>
            <w:vAlign w:val="center"/>
          </w:tcPr>
          <w:p w14:paraId="663A1D7D">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1022" w:type="dxa"/>
            <w:vAlign w:val="center"/>
          </w:tcPr>
          <w:p w14:paraId="5B4A11BB">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76</w:t>
            </w:r>
          </w:p>
        </w:tc>
        <w:tc>
          <w:tcPr>
            <w:tcW w:w="1155" w:type="dxa"/>
            <w:vAlign w:val="center"/>
          </w:tcPr>
          <w:p w14:paraId="78B6B9E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59</w:t>
            </w:r>
          </w:p>
        </w:tc>
        <w:tc>
          <w:tcPr>
            <w:tcW w:w="1110" w:type="dxa"/>
            <w:vAlign w:val="center"/>
          </w:tcPr>
          <w:p w14:paraId="6A40E526">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77.6</w:t>
            </w:r>
          </w:p>
        </w:tc>
        <w:tc>
          <w:tcPr>
            <w:tcW w:w="1823" w:type="dxa"/>
            <w:vMerge w:val="continue"/>
            <w:vAlign w:val="center"/>
          </w:tcPr>
          <w:p w14:paraId="6CB47E61">
            <w:pPr>
              <w:autoSpaceDE w:val="0"/>
              <w:autoSpaceDN w:val="0"/>
              <w:adjustRightInd w:val="0"/>
              <w:snapToGrid w:val="0"/>
              <w:jc w:val="center"/>
              <w:rPr>
                <w:rFonts w:hint="eastAsia" w:ascii="仿宋_GB2312" w:hAnsi="仿宋_GB2312" w:eastAsia="仿宋_GB2312" w:cs="仿宋_GB2312"/>
                <w:kern w:val="0"/>
                <w:sz w:val="24"/>
                <w:szCs w:val="24"/>
              </w:rPr>
            </w:pPr>
          </w:p>
        </w:tc>
      </w:tr>
      <w:tr w14:paraId="1409B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923" w:type="dxa"/>
            <w:vMerge w:val="restart"/>
          </w:tcPr>
          <w:p w14:paraId="7ECD58C5">
            <w:pP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辽宁省市场监督管理局关于2024年化肥等产品质量监督抽查情况的通报</w:t>
            </w:r>
          </w:p>
          <w:p w14:paraId="423DE65B">
            <w:pPr>
              <w:rPr>
                <w:rFonts w:hint="eastAsia" w:ascii="仿宋_GB2312" w:hAnsi="仿宋_GB2312" w:eastAsia="仿宋_GB2312" w:cs="仿宋_GB2312"/>
                <w:sz w:val="24"/>
                <w:szCs w:val="24"/>
              </w:rPr>
            </w:pPr>
          </w:p>
        </w:tc>
        <w:tc>
          <w:tcPr>
            <w:tcW w:w="1395" w:type="dxa"/>
            <w:vMerge w:val="restart"/>
            <w:vAlign w:val="center"/>
          </w:tcPr>
          <w:p w14:paraId="7F17E007">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2024.5.11</w:t>
            </w:r>
          </w:p>
        </w:tc>
        <w:tc>
          <w:tcPr>
            <w:tcW w:w="928" w:type="dxa"/>
            <w:vAlign w:val="center"/>
          </w:tcPr>
          <w:p w14:paraId="78D5BDF0">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生产领域</w:t>
            </w:r>
          </w:p>
        </w:tc>
        <w:tc>
          <w:tcPr>
            <w:tcW w:w="1022" w:type="dxa"/>
            <w:vAlign w:val="center"/>
          </w:tcPr>
          <w:p w14:paraId="61C2D7BF">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150</w:t>
            </w:r>
          </w:p>
        </w:tc>
        <w:tc>
          <w:tcPr>
            <w:tcW w:w="1155" w:type="dxa"/>
            <w:vAlign w:val="center"/>
          </w:tcPr>
          <w:p w14:paraId="3702C76E">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138</w:t>
            </w:r>
          </w:p>
        </w:tc>
        <w:tc>
          <w:tcPr>
            <w:tcW w:w="1110" w:type="dxa"/>
            <w:vAlign w:val="center"/>
          </w:tcPr>
          <w:p w14:paraId="0A4AA97E">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92.0</w:t>
            </w:r>
          </w:p>
        </w:tc>
        <w:tc>
          <w:tcPr>
            <w:tcW w:w="1823" w:type="dxa"/>
            <w:vAlign w:val="center"/>
          </w:tcPr>
          <w:p w14:paraId="6F533C17">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氯离子、包装标识、总养分、有效五氧化二磷、总氮、粒度</w:t>
            </w:r>
          </w:p>
        </w:tc>
      </w:tr>
      <w:tr w14:paraId="2E390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923" w:type="dxa"/>
            <w:vMerge w:val="continue"/>
          </w:tcPr>
          <w:p w14:paraId="1D7260F8">
            <w:pPr>
              <w:rPr>
                <w:rFonts w:hint="eastAsia" w:ascii="仿宋_GB2312" w:hAnsi="仿宋_GB2312" w:eastAsia="仿宋_GB2312" w:cs="仿宋_GB2312"/>
                <w:sz w:val="24"/>
                <w:szCs w:val="24"/>
              </w:rPr>
            </w:pPr>
          </w:p>
        </w:tc>
        <w:tc>
          <w:tcPr>
            <w:tcW w:w="1395" w:type="dxa"/>
            <w:vMerge w:val="continue"/>
            <w:vAlign w:val="center"/>
          </w:tcPr>
          <w:p w14:paraId="09EA9C66">
            <w:pPr>
              <w:autoSpaceDE w:val="0"/>
              <w:autoSpaceDN w:val="0"/>
              <w:adjustRightInd w:val="0"/>
              <w:snapToGrid w:val="0"/>
              <w:jc w:val="center"/>
              <w:rPr>
                <w:rFonts w:hint="eastAsia" w:ascii="仿宋_GB2312" w:hAnsi="仿宋_GB2312" w:eastAsia="仿宋_GB2312" w:cs="仿宋_GB2312"/>
                <w:kern w:val="0"/>
                <w:sz w:val="24"/>
                <w:szCs w:val="24"/>
              </w:rPr>
            </w:pPr>
          </w:p>
        </w:tc>
        <w:tc>
          <w:tcPr>
            <w:tcW w:w="928" w:type="dxa"/>
            <w:vAlign w:val="center"/>
          </w:tcPr>
          <w:p w14:paraId="54515663">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1022" w:type="dxa"/>
            <w:vAlign w:val="center"/>
          </w:tcPr>
          <w:p w14:paraId="6A74D377">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150</w:t>
            </w:r>
          </w:p>
        </w:tc>
        <w:tc>
          <w:tcPr>
            <w:tcW w:w="1155" w:type="dxa"/>
            <w:vAlign w:val="center"/>
          </w:tcPr>
          <w:p w14:paraId="5F2C93A5">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130</w:t>
            </w:r>
          </w:p>
        </w:tc>
        <w:tc>
          <w:tcPr>
            <w:tcW w:w="1110" w:type="dxa"/>
            <w:vAlign w:val="center"/>
          </w:tcPr>
          <w:p w14:paraId="2EF2233F">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86.7</w:t>
            </w:r>
          </w:p>
        </w:tc>
        <w:tc>
          <w:tcPr>
            <w:tcW w:w="1823" w:type="dxa"/>
            <w:vAlign w:val="center"/>
          </w:tcPr>
          <w:p w14:paraId="6F0E085E">
            <w:pPr>
              <w:autoSpaceDE w:val="0"/>
              <w:autoSpaceDN w:val="0"/>
              <w:adjustRightInd w:val="0"/>
              <w:snapToGrid w:val="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总、有效钙、有效镁、包装标识、总养分、总氮、质量证明书、氧化钾、粒度、锌、硼</w:t>
            </w:r>
          </w:p>
        </w:tc>
      </w:tr>
    </w:tbl>
    <w:p w14:paraId="02050FF5">
      <w:pPr>
        <w:pStyle w:val="19"/>
        <w:ind w:left="0" w:leftChars="0" w:firstLine="560" w:firstLineChars="200"/>
        <w:jc w:val="left"/>
        <w:rPr>
          <w:rFonts w:ascii="仿宋_GB2312" w:hAnsi="仿宋" w:eastAsia="仿宋_GB2312"/>
          <w:sz w:val="28"/>
          <w:szCs w:val="28"/>
        </w:rPr>
      </w:pPr>
      <w:r>
        <w:rPr>
          <w:rFonts w:hint="eastAsia" w:ascii="仿宋_GB2312" w:hAnsi="仿宋" w:eastAsia="仿宋_GB2312"/>
          <w:sz w:val="28"/>
          <w:szCs w:val="28"/>
        </w:rPr>
        <w:t>2、 鞍山市监督抽查质量情况</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832"/>
        <w:gridCol w:w="1411"/>
        <w:gridCol w:w="999"/>
        <w:gridCol w:w="1276"/>
        <w:gridCol w:w="992"/>
        <w:gridCol w:w="1418"/>
      </w:tblGrid>
      <w:tr w14:paraId="6D9A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4" w:type="dxa"/>
            <w:vMerge w:val="restart"/>
            <w:vAlign w:val="center"/>
          </w:tcPr>
          <w:p w14:paraId="60391762">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年份</w:t>
            </w:r>
          </w:p>
        </w:tc>
        <w:tc>
          <w:tcPr>
            <w:tcW w:w="832" w:type="dxa"/>
            <w:vMerge w:val="restart"/>
            <w:vAlign w:val="center"/>
          </w:tcPr>
          <w:p w14:paraId="436C7AF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抽查性质</w:t>
            </w:r>
          </w:p>
        </w:tc>
        <w:tc>
          <w:tcPr>
            <w:tcW w:w="3686" w:type="dxa"/>
            <w:gridSpan w:val="3"/>
            <w:vAlign w:val="center"/>
          </w:tcPr>
          <w:p w14:paraId="039C767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抽查产品批次情况</w:t>
            </w:r>
          </w:p>
        </w:tc>
        <w:tc>
          <w:tcPr>
            <w:tcW w:w="992" w:type="dxa"/>
            <w:vMerge w:val="restart"/>
            <w:vAlign w:val="center"/>
          </w:tcPr>
          <w:p w14:paraId="7B42C3B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合格率</w:t>
            </w:r>
          </w:p>
          <w:p w14:paraId="3083280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c>
          <w:tcPr>
            <w:tcW w:w="1418" w:type="dxa"/>
            <w:vMerge w:val="restart"/>
            <w:vAlign w:val="center"/>
          </w:tcPr>
          <w:p w14:paraId="12DA313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不合格项目</w:t>
            </w:r>
          </w:p>
        </w:tc>
      </w:tr>
      <w:tr w14:paraId="513A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4" w:type="dxa"/>
            <w:vMerge w:val="continue"/>
            <w:vAlign w:val="center"/>
          </w:tcPr>
          <w:p w14:paraId="0CC1194A">
            <w:pPr>
              <w:widowControl/>
              <w:jc w:val="center"/>
              <w:rPr>
                <w:rFonts w:hint="eastAsia" w:ascii="仿宋_GB2312" w:hAnsi="仿宋_GB2312" w:eastAsia="仿宋_GB2312" w:cs="仿宋_GB2312"/>
                <w:kern w:val="0"/>
                <w:sz w:val="24"/>
                <w:szCs w:val="24"/>
              </w:rPr>
            </w:pPr>
          </w:p>
        </w:tc>
        <w:tc>
          <w:tcPr>
            <w:tcW w:w="832" w:type="dxa"/>
            <w:vMerge w:val="continue"/>
            <w:vAlign w:val="center"/>
          </w:tcPr>
          <w:p w14:paraId="072DD3F6">
            <w:pPr>
              <w:widowControl/>
              <w:jc w:val="center"/>
              <w:rPr>
                <w:rFonts w:hint="eastAsia" w:ascii="仿宋_GB2312" w:hAnsi="仿宋_GB2312" w:eastAsia="仿宋_GB2312" w:cs="仿宋_GB2312"/>
                <w:kern w:val="0"/>
                <w:sz w:val="24"/>
                <w:szCs w:val="24"/>
              </w:rPr>
            </w:pPr>
          </w:p>
        </w:tc>
        <w:tc>
          <w:tcPr>
            <w:tcW w:w="1411" w:type="dxa"/>
            <w:vAlign w:val="center"/>
          </w:tcPr>
          <w:p w14:paraId="1297F5E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产品分布</w:t>
            </w:r>
          </w:p>
        </w:tc>
        <w:tc>
          <w:tcPr>
            <w:tcW w:w="999" w:type="dxa"/>
            <w:vAlign w:val="center"/>
          </w:tcPr>
          <w:p w14:paraId="4FF4402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监督</w:t>
            </w:r>
          </w:p>
          <w:p w14:paraId="1F1058F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1276" w:type="dxa"/>
            <w:vAlign w:val="center"/>
          </w:tcPr>
          <w:p w14:paraId="44FB9C87">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合格</w:t>
            </w:r>
          </w:p>
          <w:p w14:paraId="795BF08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批次</w:t>
            </w:r>
          </w:p>
        </w:tc>
        <w:tc>
          <w:tcPr>
            <w:tcW w:w="992" w:type="dxa"/>
            <w:vMerge w:val="continue"/>
            <w:vAlign w:val="center"/>
          </w:tcPr>
          <w:p w14:paraId="31226CE1">
            <w:pPr>
              <w:widowControl/>
              <w:jc w:val="center"/>
              <w:rPr>
                <w:rFonts w:hint="eastAsia" w:ascii="仿宋_GB2312" w:hAnsi="仿宋_GB2312" w:eastAsia="仿宋_GB2312" w:cs="仿宋_GB2312"/>
                <w:kern w:val="0"/>
                <w:sz w:val="24"/>
                <w:szCs w:val="24"/>
              </w:rPr>
            </w:pPr>
          </w:p>
        </w:tc>
        <w:tc>
          <w:tcPr>
            <w:tcW w:w="1418" w:type="dxa"/>
            <w:vMerge w:val="continue"/>
            <w:vAlign w:val="center"/>
          </w:tcPr>
          <w:p w14:paraId="6CD0C2AC">
            <w:pPr>
              <w:widowControl/>
              <w:jc w:val="center"/>
              <w:rPr>
                <w:rFonts w:hint="eastAsia" w:ascii="仿宋_GB2312" w:hAnsi="仿宋_GB2312" w:eastAsia="仿宋_GB2312" w:cs="仿宋_GB2312"/>
                <w:kern w:val="0"/>
                <w:sz w:val="24"/>
                <w:szCs w:val="24"/>
              </w:rPr>
            </w:pPr>
          </w:p>
        </w:tc>
      </w:tr>
      <w:tr w14:paraId="62085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4" w:type="dxa"/>
            <w:vAlign w:val="center"/>
          </w:tcPr>
          <w:p w14:paraId="3E61505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2022年</w:t>
            </w:r>
          </w:p>
        </w:tc>
        <w:tc>
          <w:tcPr>
            <w:tcW w:w="832" w:type="dxa"/>
            <w:vAlign w:val="center"/>
          </w:tcPr>
          <w:p w14:paraId="0F6257E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411" w:type="dxa"/>
            <w:vAlign w:val="center"/>
          </w:tcPr>
          <w:p w14:paraId="0CA2B4A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999" w:type="dxa"/>
            <w:vAlign w:val="center"/>
          </w:tcPr>
          <w:p w14:paraId="4C2CD45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w:t>
            </w:r>
          </w:p>
        </w:tc>
        <w:tc>
          <w:tcPr>
            <w:tcW w:w="1276" w:type="dxa"/>
            <w:vAlign w:val="center"/>
          </w:tcPr>
          <w:p w14:paraId="29448CB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w:t>
            </w:r>
          </w:p>
        </w:tc>
        <w:tc>
          <w:tcPr>
            <w:tcW w:w="992" w:type="dxa"/>
            <w:vAlign w:val="center"/>
          </w:tcPr>
          <w:p w14:paraId="3A98CB7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1418" w:type="dxa"/>
            <w:vAlign w:val="center"/>
          </w:tcPr>
          <w:p w14:paraId="7556B16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r w14:paraId="35B41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4" w:type="dxa"/>
            <w:vAlign w:val="center"/>
          </w:tcPr>
          <w:p w14:paraId="55EAD07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2023年</w:t>
            </w:r>
          </w:p>
        </w:tc>
        <w:tc>
          <w:tcPr>
            <w:tcW w:w="832" w:type="dxa"/>
            <w:vAlign w:val="center"/>
          </w:tcPr>
          <w:p w14:paraId="77DB54A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市级监督抽查</w:t>
            </w:r>
          </w:p>
        </w:tc>
        <w:tc>
          <w:tcPr>
            <w:tcW w:w="1411" w:type="dxa"/>
            <w:vAlign w:val="center"/>
          </w:tcPr>
          <w:p w14:paraId="227FA93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流通领域</w:t>
            </w:r>
          </w:p>
        </w:tc>
        <w:tc>
          <w:tcPr>
            <w:tcW w:w="999" w:type="dxa"/>
            <w:vAlign w:val="center"/>
          </w:tcPr>
          <w:p w14:paraId="4C39A5C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76" w:type="dxa"/>
            <w:vAlign w:val="center"/>
          </w:tcPr>
          <w:p w14:paraId="7F5694C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992" w:type="dxa"/>
            <w:vAlign w:val="center"/>
          </w:tcPr>
          <w:p w14:paraId="1BD73BA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1418" w:type="dxa"/>
            <w:vAlign w:val="center"/>
          </w:tcPr>
          <w:p w14:paraId="045AF31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tc>
      </w:tr>
    </w:tbl>
    <w:p w14:paraId="640845DA">
      <w:pPr>
        <w:pStyle w:val="2"/>
        <w:ind w:left="840" w:hanging="420"/>
      </w:pPr>
    </w:p>
    <w:p w14:paraId="4016A6DC">
      <w:pPr>
        <w:widowControl/>
        <w:spacing w:line="360" w:lineRule="auto"/>
        <w:jc w:val="left"/>
        <w:rPr>
          <w:rFonts w:ascii="仿宋_GB2312" w:hAnsi="仿宋_GB2312" w:cs="仿宋_GB2312"/>
          <w:b/>
          <w:bCs/>
          <w:sz w:val="28"/>
          <w:szCs w:val="28"/>
        </w:rPr>
      </w:pPr>
      <w:r>
        <w:rPr>
          <w:rFonts w:hint="eastAsia" w:ascii="仿宋_GB2312" w:hAnsi="仿宋_GB2312" w:cs="仿宋_GB2312"/>
          <w:b/>
          <w:bCs/>
          <w:sz w:val="28"/>
          <w:szCs w:val="28"/>
        </w:rPr>
        <w:t>三、抽查产品的标准状况</w:t>
      </w:r>
    </w:p>
    <w:p w14:paraId="67266E23">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本次化肥产品抽查所涉及的标准包括：</w:t>
      </w:r>
    </w:p>
    <w:p w14:paraId="162DE2BD">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 xml:space="preserve">GB/T 15063-2020 </w:t>
      </w:r>
      <w:r>
        <w:rPr>
          <w:rFonts w:hint="eastAsia" w:ascii="仿宋_GB2312" w:hAnsi="仿宋" w:cs="仿宋"/>
          <w:kern w:val="0"/>
          <w:sz w:val="28"/>
          <w:szCs w:val="28"/>
        </w:rPr>
        <w:t>《</w:t>
      </w:r>
      <w:r>
        <w:rPr>
          <w:rFonts w:ascii="仿宋_GB2312" w:hAnsi="仿宋" w:cs="仿宋"/>
          <w:kern w:val="0"/>
          <w:sz w:val="28"/>
          <w:szCs w:val="28"/>
        </w:rPr>
        <w:t>复合肥料</w:t>
      </w:r>
      <w:r>
        <w:rPr>
          <w:rFonts w:hint="eastAsia" w:ascii="仿宋_GB2312" w:hAnsi="仿宋" w:cs="仿宋"/>
          <w:kern w:val="0"/>
          <w:sz w:val="28"/>
          <w:szCs w:val="28"/>
        </w:rPr>
        <w:t>》</w:t>
      </w:r>
    </w:p>
    <w:p w14:paraId="507C8417">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 xml:space="preserve">GB/T 18877-2020 </w:t>
      </w:r>
      <w:r>
        <w:rPr>
          <w:rFonts w:hint="eastAsia" w:ascii="仿宋_GB2312" w:hAnsi="仿宋" w:cs="仿宋"/>
          <w:kern w:val="0"/>
          <w:sz w:val="28"/>
          <w:szCs w:val="28"/>
        </w:rPr>
        <w:t>《</w:t>
      </w:r>
      <w:r>
        <w:rPr>
          <w:rFonts w:ascii="仿宋_GB2312" w:hAnsi="仿宋" w:cs="仿宋"/>
          <w:kern w:val="0"/>
          <w:sz w:val="28"/>
          <w:szCs w:val="28"/>
        </w:rPr>
        <w:t>有机无机复混肥料</w:t>
      </w:r>
      <w:r>
        <w:rPr>
          <w:rFonts w:hint="eastAsia" w:ascii="仿宋_GB2312" w:hAnsi="仿宋" w:cs="仿宋"/>
          <w:kern w:val="0"/>
          <w:sz w:val="28"/>
          <w:szCs w:val="28"/>
        </w:rPr>
        <w:t>》</w:t>
      </w:r>
    </w:p>
    <w:p w14:paraId="55D4EA38">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 xml:space="preserve">GB/T 21633-2020 </w:t>
      </w:r>
      <w:r>
        <w:rPr>
          <w:rFonts w:hint="eastAsia" w:ascii="仿宋_GB2312" w:hAnsi="仿宋" w:cs="仿宋"/>
          <w:kern w:val="0"/>
          <w:sz w:val="28"/>
          <w:szCs w:val="28"/>
        </w:rPr>
        <w:t>《</w:t>
      </w:r>
      <w:r>
        <w:rPr>
          <w:rFonts w:ascii="仿宋_GB2312" w:hAnsi="仿宋" w:cs="仿宋"/>
          <w:kern w:val="0"/>
          <w:sz w:val="28"/>
          <w:szCs w:val="28"/>
        </w:rPr>
        <w:t>掺混肥料（BB肥）</w:t>
      </w:r>
      <w:r>
        <w:rPr>
          <w:rFonts w:hint="eastAsia" w:ascii="仿宋_GB2312" w:hAnsi="仿宋" w:cs="仿宋"/>
          <w:kern w:val="0"/>
          <w:sz w:val="28"/>
          <w:szCs w:val="28"/>
        </w:rPr>
        <w:t>》</w:t>
      </w:r>
    </w:p>
    <w:p w14:paraId="7A5C669D">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 xml:space="preserve">GB 18382-2021 </w:t>
      </w:r>
      <w:r>
        <w:rPr>
          <w:rFonts w:hint="eastAsia" w:ascii="仿宋_GB2312" w:hAnsi="仿宋" w:cs="仿宋"/>
          <w:kern w:val="0"/>
          <w:sz w:val="28"/>
          <w:szCs w:val="28"/>
        </w:rPr>
        <w:t>《</w:t>
      </w:r>
      <w:r>
        <w:rPr>
          <w:rFonts w:ascii="仿宋_GB2312" w:hAnsi="仿宋" w:cs="仿宋"/>
          <w:kern w:val="0"/>
          <w:sz w:val="28"/>
          <w:szCs w:val="28"/>
        </w:rPr>
        <w:t>肥料标识 内容和要求</w:t>
      </w:r>
      <w:r>
        <w:rPr>
          <w:rFonts w:hint="eastAsia" w:ascii="仿宋_GB2312" w:hAnsi="仿宋" w:cs="仿宋"/>
          <w:kern w:val="0"/>
          <w:sz w:val="28"/>
          <w:szCs w:val="28"/>
        </w:rPr>
        <w:t>》</w:t>
      </w:r>
    </w:p>
    <w:p w14:paraId="47865E01">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 xml:space="preserve">GB 38400-2019 </w:t>
      </w:r>
      <w:r>
        <w:rPr>
          <w:rFonts w:hint="eastAsia" w:ascii="仿宋_GB2312" w:hAnsi="仿宋" w:cs="仿宋"/>
          <w:kern w:val="0"/>
          <w:sz w:val="28"/>
          <w:szCs w:val="28"/>
        </w:rPr>
        <w:t>《</w:t>
      </w:r>
      <w:r>
        <w:rPr>
          <w:rFonts w:ascii="仿宋_GB2312" w:hAnsi="仿宋" w:cs="仿宋"/>
          <w:kern w:val="0"/>
          <w:sz w:val="28"/>
          <w:szCs w:val="28"/>
        </w:rPr>
        <w:t>肥料中有毒有害物质的限量要求</w:t>
      </w:r>
      <w:r>
        <w:rPr>
          <w:rFonts w:hint="eastAsia" w:ascii="仿宋_GB2312" w:hAnsi="仿宋" w:cs="仿宋"/>
          <w:kern w:val="0"/>
          <w:sz w:val="28"/>
          <w:szCs w:val="28"/>
        </w:rPr>
        <w:t>》</w:t>
      </w:r>
    </w:p>
    <w:p w14:paraId="4D5853AB">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GB/T 17767.1-2008</w:t>
      </w:r>
      <w:r>
        <w:rPr>
          <w:rFonts w:hint="eastAsia" w:ascii="仿宋_GB2312" w:hAnsi="仿宋" w:cs="仿宋"/>
          <w:kern w:val="0"/>
          <w:sz w:val="28"/>
          <w:szCs w:val="28"/>
        </w:rPr>
        <w:t>《有机-无机复混肥料的测定方法 第1部分：总氮含量》</w:t>
      </w:r>
    </w:p>
    <w:p w14:paraId="10D4A50F">
      <w:pPr>
        <w:spacing w:line="360" w:lineRule="auto"/>
        <w:ind w:firstLine="560" w:firstLineChars="200"/>
        <w:rPr>
          <w:rFonts w:eastAsia="仿宋"/>
          <w:sz w:val="28"/>
          <w:szCs w:val="28"/>
        </w:rPr>
      </w:pPr>
      <w:r>
        <w:rPr>
          <w:rFonts w:ascii="仿宋_GB2312" w:hAnsi="仿宋" w:cs="仿宋"/>
          <w:kern w:val="0"/>
          <w:sz w:val="28"/>
          <w:szCs w:val="28"/>
        </w:rPr>
        <w:t>GB/T 17767.3-2010</w:t>
      </w:r>
      <w:r>
        <w:rPr>
          <w:rFonts w:hint="eastAsia" w:ascii="仿宋_GB2312" w:hAnsi="仿宋" w:cs="仿宋"/>
          <w:kern w:val="0"/>
          <w:sz w:val="28"/>
          <w:szCs w:val="28"/>
        </w:rPr>
        <w:t>《</w:t>
      </w:r>
      <w:r>
        <w:rPr>
          <w:rFonts w:ascii="仿宋_GB2312" w:hAnsi="仿宋" w:cs="仿宋"/>
          <w:kern w:val="0"/>
          <w:sz w:val="28"/>
          <w:szCs w:val="28"/>
        </w:rPr>
        <w:t>有机-无机复混肥料的测定方法 第3部分：总钾含量</w:t>
      </w:r>
      <w:r>
        <w:rPr>
          <w:rFonts w:hint="eastAsia" w:ascii="仿宋_GB2312" w:hAnsi="仿宋" w:cs="仿宋"/>
          <w:kern w:val="0"/>
          <w:sz w:val="28"/>
          <w:szCs w:val="28"/>
        </w:rPr>
        <w:t>》</w:t>
      </w:r>
    </w:p>
    <w:p w14:paraId="42B6175C">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19524.1-2004《肥料中粪大肠菌群的测定》</w:t>
      </w:r>
    </w:p>
    <w:p w14:paraId="183DA62F">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19524.2-2004《肥料中蛔虫卵死亡率的测定》</w:t>
      </w:r>
    </w:p>
    <w:p w14:paraId="702DCC7F">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GB/T 22924-2008</w:t>
      </w:r>
      <w:r>
        <w:rPr>
          <w:rFonts w:hint="eastAsia" w:ascii="仿宋_GB2312" w:hAnsi="仿宋" w:cs="仿宋"/>
          <w:kern w:val="0"/>
          <w:sz w:val="28"/>
          <w:szCs w:val="28"/>
        </w:rPr>
        <w:t>《复混肥料（复合肥料）中缩二脲含量的测定》</w:t>
      </w:r>
    </w:p>
    <w:p w14:paraId="3A3A7E78">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23349-2020《肥料中砷、镉、铬、铅、汞含量的测定》</w:t>
      </w:r>
    </w:p>
    <w:p w14:paraId="48CB6DB6">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24890-2010《复混肥料中氯离子含量的测定》</w:t>
      </w:r>
    </w:p>
    <w:p w14:paraId="2AB56BBB">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24891-2010《复混肥料粒度的测定》</w:t>
      </w:r>
    </w:p>
    <w:p w14:paraId="0DFCAAD7">
      <w:pPr>
        <w:spacing w:line="360" w:lineRule="auto"/>
        <w:ind w:firstLine="560" w:firstLineChars="200"/>
        <w:rPr>
          <w:rFonts w:ascii="仿宋_GB2312" w:hAnsi="仿宋" w:cs="仿宋"/>
          <w:kern w:val="0"/>
          <w:sz w:val="28"/>
          <w:szCs w:val="28"/>
        </w:rPr>
      </w:pPr>
      <w:r>
        <w:rPr>
          <w:rFonts w:hint="eastAsia" w:ascii="仿宋_GB2312" w:hAnsi="仿宋" w:cs="仿宋"/>
          <w:kern w:val="0"/>
          <w:sz w:val="28"/>
          <w:szCs w:val="28"/>
        </w:rPr>
        <w:t>GB/T 3597-2002《肥料中硝态氮含量的测定 氮试剂重量法》</w:t>
      </w:r>
    </w:p>
    <w:p w14:paraId="14990BF9">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GB/T 8572-2010</w:t>
      </w:r>
      <w:r>
        <w:rPr>
          <w:rFonts w:hint="eastAsia" w:ascii="仿宋_GB2312" w:hAnsi="仿宋" w:cs="仿宋"/>
          <w:kern w:val="0"/>
          <w:sz w:val="28"/>
          <w:szCs w:val="28"/>
        </w:rPr>
        <w:t>《复混肥料中总氮含量的测定 蒸馏后滴定法》</w:t>
      </w:r>
    </w:p>
    <w:p w14:paraId="1324B894">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GB/T 8574-2010</w:t>
      </w:r>
      <w:r>
        <w:rPr>
          <w:rFonts w:hint="eastAsia" w:ascii="仿宋_GB2312" w:hAnsi="仿宋" w:cs="仿宋"/>
          <w:kern w:val="0"/>
          <w:sz w:val="28"/>
          <w:szCs w:val="28"/>
        </w:rPr>
        <w:t>《复混肥料中钾含量的测定 四苯硼酸钾重量法》</w:t>
      </w:r>
    </w:p>
    <w:p w14:paraId="54CF824B">
      <w:pPr>
        <w:spacing w:line="360" w:lineRule="auto"/>
        <w:ind w:firstLine="560" w:firstLineChars="200"/>
        <w:rPr>
          <w:rFonts w:ascii="仿宋_GB2312" w:hAnsi="仿宋" w:cs="仿宋"/>
          <w:kern w:val="0"/>
          <w:sz w:val="28"/>
          <w:szCs w:val="28"/>
        </w:rPr>
      </w:pPr>
      <w:r>
        <w:rPr>
          <w:rFonts w:ascii="仿宋_GB2312" w:hAnsi="仿宋" w:cs="仿宋"/>
          <w:kern w:val="0"/>
          <w:sz w:val="28"/>
          <w:szCs w:val="28"/>
        </w:rPr>
        <w:t>NY/T 1117-2010</w:t>
      </w:r>
      <w:r>
        <w:rPr>
          <w:rFonts w:hint="eastAsia" w:ascii="仿宋_GB2312" w:hAnsi="仿宋" w:cs="仿宋"/>
          <w:kern w:val="0"/>
          <w:sz w:val="28"/>
          <w:szCs w:val="28"/>
        </w:rPr>
        <w:t>《水溶肥料钙、镁、硫、氯含量的测定》</w:t>
      </w:r>
    </w:p>
    <w:p w14:paraId="66CB5870">
      <w:pPr>
        <w:spacing w:line="360" w:lineRule="auto"/>
        <w:ind w:firstLine="560" w:firstLineChars="200"/>
        <w:rPr>
          <w:rFonts w:hint="eastAsia" w:ascii="仿宋_GB2312" w:hAnsi="仿宋" w:cs="仿宋"/>
          <w:kern w:val="0"/>
          <w:sz w:val="28"/>
          <w:szCs w:val="28"/>
        </w:rPr>
      </w:pPr>
      <w:r>
        <w:rPr>
          <w:rFonts w:ascii="仿宋_GB2312" w:hAnsi="仿宋" w:cs="仿宋"/>
          <w:kern w:val="0"/>
          <w:sz w:val="28"/>
          <w:szCs w:val="28"/>
        </w:rPr>
        <w:t>NY/T 1972-2010</w:t>
      </w:r>
      <w:r>
        <w:rPr>
          <w:rFonts w:hint="eastAsia" w:ascii="仿宋_GB2312" w:hAnsi="仿宋" w:cs="仿宋"/>
          <w:kern w:val="0"/>
          <w:sz w:val="28"/>
          <w:szCs w:val="28"/>
        </w:rPr>
        <w:t>《水溶肥料钠、硒、硅含量的测定》</w:t>
      </w:r>
    </w:p>
    <w:p w14:paraId="5D08083D">
      <w:pPr>
        <w:spacing w:line="360" w:lineRule="auto"/>
        <w:ind w:firstLine="560" w:firstLineChars="200"/>
        <w:rPr>
          <w:rFonts w:hint="default" w:ascii="仿宋_GB2312" w:hAnsi="仿宋" w:cs="仿宋"/>
          <w:kern w:val="0"/>
          <w:sz w:val="28"/>
          <w:szCs w:val="28"/>
          <w:lang w:val="en-US" w:eastAsia="zh-CN"/>
        </w:rPr>
      </w:pPr>
      <w:r>
        <w:rPr>
          <w:rFonts w:hint="eastAsia" w:ascii="仿宋_GB2312" w:hAnsi="仿宋" w:cs="仿宋"/>
          <w:kern w:val="0"/>
          <w:sz w:val="28"/>
          <w:szCs w:val="28"/>
        </w:rPr>
        <w:t>NY/T</w:t>
      </w:r>
      <w:r>
        <w:rPr>
          <w:rFonts w:hint="eastAsia" w:ascii="仿宋_GB2312" w:hAnsi="仿宋" w:cs="仿宋"/>
          <w:kern w:val="0"/>
          <w:sz w:val="28"/>
          <w:szCs w:val="28"/>
          <w:lang w:val="en-US" w:eastAsia="zh-CN"/>
        </w:rPr>
        <w:t xml:space="preserve"> </w:t>
      </w:r>
      <w:r>
        <w:rPr>
          <w:rFonts w:hint="eastAsia" w:ascii="仿宋_GB2312" w:hAnsi="仿宋" w:cs="仿宋"/>
          <w:kern w:val="0"/>
          <w:sz w:val="28"/>
          <w:szCs w:val="28"/>
        </w:rPr>
        <w:t>1116-2014</w:t>
      </w:r>
      <w:r>
        <w:rPr>
          <w:rFonts w:hint="eastAsia" w:ascii="仿宋_GB2312" w:hAnsi="仿宋" w:cs="仿宋"/>
          <w:kern w:val="0"/>
          <w:sz w:val="28"/>
          <w:szCs w:val="28"/>
          <w:lang w:val="en-US" w:eastAsia="zh-CN"/>
        </w:rPr>
        <w:t xml:space="preserve"> 《肥料 硝态氮、铵态氮、酰胺态氮含量的测定》</w:t>
      </w:r>
    </w:p>
    <w:p w14:paraId="4309CE9D">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以上标准均为现行有效标准</w:t>
      </w:r>
    </w:p>
    <w:p w14:paraId="4B0BD10F">
      <w:pPr>
        <w:widowControl/>
        <w:spacing w:line="360" w:lineRule="auto"/>
        <w:jc w:val="left"/>
        <w:rPr>
          <w:rFonts w:ascii="仿宋_GB2312" w:hAnsi="仿宋_GB2312" w:cs="仿宋_GB2312"/>
          <w:b/>
          <w:bCs/>
          <w:sz w:val="28"/>
          <w:szCs w:val="28"/>
        </w:rPr>
      </w:pPr>
      <w:r>
        <w:rPr>
          <w:rFonts w:hint="eastAsia" w:ascii="仿宋_GB2312" w:hAnsi="仿宋_GB2312" w:cs="仿宋_GB2312"/>
          <w:b/>
          <w:bCs/>
          <w:sz w:val="28"/>
          <w:szCs w:val="28"/>
        </w:rPr>
        <w:t>四、产品质量监督抽查实施细则</w:t>
      </w:r>
    </w:p>
    <w:p w14:paraId="3F1D9345">
      <w:pPr>
        <w:pStyle w:val="41"/>
        <w:spacing w:line="360" w:lineRule="auto"/>
        <w:ind w:firstLine="560"/>
        <w:rPr>
          <w:rFonts w:ascii="仿宋_GB2312" w:hAnsi="仿宋_GB2312" w:cs="仿宋_GB2312"/>
          <w:kern w:val="0"/>
          <w:sz w:val="28"/>
          <w:szCs w:val="28"/>
        </w:rPr>
      </w:pPr>
      <w:r>
        <w:rPr>
          <w:rFonts w:hint="eastAsia" w:ascii="仿宋_GB2312" w:hAnsi="仿宋_GB2312" w:cs="仿宋_GB2312"/>
          <w:kern w:val="0"/>
          <w:sz w:val="28"/>
          <w:szCs w:val="28"/>
        </w:rPr>
        <w:t>依据鞍山市市场监督管理局公布的</w:t>
      </w:r>
      <w:r>
        <w:rPr>
          <w:rFonts w:hint="eastAsia" w:ascii="仿宋_GB2312" w:hAnsi="仿宋_GB2312" w:cs="仿宋_GB2312"/>
          <w:kern w:val="0"/>
          <w:sz w:val="28"/>
          <w:szCs w:val="28"/>
          <w:lang w:eastAsia="zh-CN"/>
        </w:rPr>
        <w:t>《</w:t>
      </w:r>
      <w:r>
        <w:rPr>
          <w:rFonts w:hint="eastAsia" w:ascii="仿宋_GB2312" w:hAnsi="仿宋_GB2312" w:cs="仿宋_GB2312"/>
          <w:kern w:val="0"/>
          <w:sz w:val="28"/>
          <w:szCs w:val="28"/>
          <w:lang w:val="en-US" w:eastAsia="zh-CN"/>
        </w:rPr>
        <w:t>鞍山市化肥</w:t>
      </w:r>
      <w:r>
        <w:rPr>
          <w:rFonts w:hint="eastAsia" w:ascii="仿宋_GB2312" w:hAnsi="仿宋_GB2312" w:cs="仿宋_GB2312"/>
          <w:kern w:val="0"/>
          <w:sz w:val="28"/>
          <w:szCs w:val="28"/>
        </w:rPr>
        <w:t>产品质量监督抽查实施细则</w:t>
      </w:r>
      <w:r>
        <w:rPr>
          <w:rFonts w:hint="eastAsia" w:ascii="仿宋_GB2312" w:hAnsi="仿宋_GB2312" w:cs="仿宋_GB2312"/>
          <w:kern w:val="0"/>
          <w:sz w:val="28"/>
          <w:szCs w:val="28"/>
          <w:lang w:eastAsia="zh-CN"/>
        </w:rPr>
        <w:t>》</w:t>
      </w:r>
      <w:r>
        <w:rPr>
          <w:rFonts w:hint="eastAsia" w:ascii="仿宋_GB2312" w:hAnsi="仿宋_GB2312" w:cs="仿宋_GB2312"/>
          <w:kern w:val="0"/>
          <w:sz w:val="28"/>
          <w:szCs w:val="28"/>
        </w:rPr>
        <w:t>。</w:t>
      </w:r>
    </w:p>
    <w:p w14:paraId="360F6177">
      <w:pPr>
        <w:widowControl/>
        <w:spacing w:line="360" w:lineRule="auto"/>
        <w:jc w:val="left"/>
        <w:rPr>
          <w:rFonts w:hint="default" w:ascii="仿宋_GB2312" w:hAnsi="仿宋_GB2312" w:eastAsia="仿宋_GB2312" w:cs="仿宋_GB2312"/>
          <w:b/>
          <w:bCs/>
          <w:sz w:val="28"/>
          <w:szCs w:val="28"/>
          <w:lang w:val="en-US" w:eastAsia="zh-CN"/>
        </w:rPr>
      </w:pPr>
      <w:r>
        <w:rPr>
          <w:rFonts w:hint="eastAsia" w:ascii="仿宋_GB2312" w:hAnsi="仿宋_GB2312" w:cs="仿宋_GB2312"/>
          <w:b/>
          <w:bCs/>
          <w:sz w:val="28"/>
          <w:szCs w:val="28"/>
          <w:lang w:val="en-US" w:eastAsia="zh-CN"/>
        </w:rPr>
        <w:t>五</w:t>
      </w:r>
      <w:r>
        <w:rPr>
          <w:rFonts w:hint="eastAsia" w:ascii="仿宋_GB2312" w:hAnsi="仿宋_GB2312" w:cs="仿宋_GB2312"/>
          <w:b/>
          <w:bCs/>
          <w:sz w:val="28"/>
          <w:szCs w:val="28"/>
        </w:rPr>
        <w:t>、</w:t>
      </w:r>
      <w:r>
        <w:rPr>
          <w:rFonts w:hint="eastAsia" w:ascii="仿宋_GB2312" w:hAnsi="仿宋" w:cs="仿宋"/>
          <w:b/>
          <w:bCs/>
          <w:kern w:val="0"/>
          <w:sz w:val="28"/>
          <w:szCs w:val="28"/>
        </w:rPr>
        <w:t>抽查产品范围</w:t>
      </w:r>
      <w:r>
        <w:rPr>
          <w:rFonts w:hint="eastAsia" w:ascii="仿宋_GB2312" w:hAnsi="仿宋" w:cs="仿宋"/>
          <w:b/>
          <w:bCs/>
          <w:kern w:val="0"/>
          <w:sz w:val="28"/>
          <w:szCs w:val="28"/>
          <w:lang w:val="en-US" w:eastAsia="zh-CN"/>
        </w:rPr>
        <w:t>及抽样方式</w:t>
      </w:r>
    </w:p>
    <w:p w14:paraId="206C972C">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（一）拟抽查产品范围</w:t>
      </w:r>
    </w:p>
    <w:p w14:paraId="314B3EF4">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抽样产品种类为复合肥料、掺混肥料、有机无机复混肥料。本次抽查不应抽取尿素、农用氯化铵、肥料级硫酸铵、过磷酸钙、钙镁磷肥、农业用硫酸钾、肥料级氯化钾、农业用硝酸钾及水溶肥等。</w:t>
      </w:r>
    </w:p>
    <w:p w14:paraId="531C6767">
      <w:pPr>
        <w:ind w:firstLine="560" w:firstLineChars="200"/>
        <w:rPr>
          <w:rFonts w:ascii="仿宋_GB2312" w:hAnsi="仿宋_GB2312" w:cs="仿宋_GB2312"/>
          <w:sz w:val="28"/>
          <w:szCs w:val="28"/>
        </w:rPr>
      </w:pPr>
      <w:r>
        <w:rPr>
          <w:rFonts w:hint="eastAsia" w:ascii="仿宋_GB2312" w:hAnsi="仿宋_GB2312" w:cs="仿宋_GB2312"/>
          <w:sz w:val="28"/>
          <w:szCs w:val="28"/>
        </w:rPr>
        <w:t>（二）抽样方式</w:t>
      </w:r>
    </w:p>
    <w:p w14:paraId="6D8033A8">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1.抽样领域</w:t>
      </w:r>
    </w:p>
    <w:p w14:paraId="652859B5">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流通领域（实体店）。流通领域同一城市覆盖尽可能多实体店。</w:t>
      </w:r>
    </w:p>
    <w:p w14:paraId="50A84AB1">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2.样品型号或规格</w:t>
      </w:r>
    </w:p>
    <w:p w14:paraId="26A83F22">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抽取样品应为同一型号规格、同一批次的产品。优先按以下原则抽取：所抽品种如有多种浓度规格，按就高原则抽取库存产品中浓度最高的产品。</w:t>
      </w:r>
    </w:p>
    <w:p w14:paraId="48F78386">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3.抽样方法和数量</w:t>
      </w:r>
    </w:p>
    <w:p w14:paraId="53533785">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以随机抽样的方式在被抽样销售者的待销产品中抽取。随机数一般可使用随机数表等方法产生。复合肥料、有机无机复混肥料抽取总样品量不少于2kg。掺混肥料抽取总样品量不少于4kg。将抽取的样品迅速充分混匀，用分样器或四分法缩分至约1kg，再缩分为两等份样品，一份为检验样品，一份为备用样品。</w:t>
      </w:r>
    </w:p>
    <w:p w14:paraId="177D2FA9">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现场抽取一条包装袋。</w:t>
      </w:r>
    </w:p>
    <w:p w14:paraId="2A818AC6">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严格按照相关产品的标准中有关抽样规则进行样品抽取。</w:t>
      </w:r>
    </w:p>
    <w:p w14:paraId="4E4F5D16">
      <w:pPr>
        <w:spacing w:after="120" w:line="360" w:lineRule="auto"/>
        <w:ind w:firstLine="560" w:firstLineChars="200"/>
        <w:jc w:val="left"/>
        <w:rPr>
          <w:rFonts w:ascii="仿宋_GB2312" w:hAnsi="仿宋" w:cs="仿宋"/>
          <w:kern w:val="0"/>
          <w:sz w:val="28"/>
          <w:szCs w:val="28"/>
        </w:rPr>
      </w:pPr>
      <w:r>
        <w:rPr>
          <w:rFonts w:hint="eastAsia" w:ascii="仿宋_GB2312" w:hAnsi="仿宋" w:cs="仿宋"/>
          <w:kern w:val="0"/>
          <w:sz w:val="28"/>
          <w:szCs w:val="28"/>
        </w:rPr>
        <w:t>袋装产品抽样不超过512袋时，按表</w:t>
      </w:r>
      <w:r>
        <w:rPr>
          <w:rFonts w:hint="eastAsia" w:ascii="仿宋_GB2312" w:hAnsi="仿宋" w:cs="仿宋"/>
          <w:kern w:val="0"/>
          <w:sz w:val="28"/>
          <w:szCs w:val="28"/>
          <w:lang w:val="en-US" w:eastAsia="zh-CN"/>
        </w:rPr>
        <w:t>1</w:t>
      </w:r>
      <w:r>
        <w:rPr>
          <w:rFonts w:hint="eastAsia" w:ascii="仿宋_GB2312" w:hAnsi="仿宋" w:cs="仿宋"/>
          <w:kern w:val="0"/>
          <w:sz w:val="28"/>
          <w:szCs w:val="28"/>
        </w:rPr>
        <w:t>确定最少采样袋数；超过512袋时，按3×</w:t>
      </w:r>
      <w:r>
        <w:rPr>
          <w:rFonts w:ascii="仿宋_GB2312" w:hAnsi="仿宋" w:cs="仿宋"/>
          <w:kern w:val="0"/>
          <w:sz w:val="28"/>
          <w:szCs w:val="28"/>
        </w:rPr>
        <w:object>
          <v:shape id="_x0000_i1025" o:spt="75" type="#_x0000_t75" style="height:18.35pt;width:23.7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仿宋_GB2312" w:hAnsi="仿宋" w:cs="仿宋"/>
          <w:kern w:val="0"/>
          <w:sz w:val="28"/>
          <w:szCs w:val="28"/>
        </w:rPr>
        <w:t xml:space="preserve"> (N为每批产品总袋数)的规定计算的袋数（遇小数进为整数）。</w:t>
      </w:r>
    </w:p>
    <w:p w14:paraId="7BB451FE">
      <w:pPr>
        <w:snapToGrid w:val="0"/>
        <w:spacing w:line="560" w:lineRule="exact"/>
        <w:jc w:val="center"/>
        <w:rPr>
          <w:rFonts w:hint="eastAsia" w:ascii="仿宋_GB2312" w:hAnsi="仿宋_GB2312" w:eastAsia="仿宋_GB2312" w:cs="仿宋_GB2312"/>
          <w:bCs/>
          <w:kern w:val="0"/>
          <w:sz w:val="24"/>
          <w:szCs w:val="24"/>
        </w:rPr>
      </w:pPr>
    </w:p>
    <w:p w14:paraId="4449D2AF">
      <w:pPr>
        <w:snapToGrid w:val="0"/>
        <w:spacing w:line="560" w:lineRule="exact"/>
        <w:jc w:val="center"/>
        <w:rPr>
          <w:rFonts w:hint="eastAsia" w:ascii="仿宋_GB2312" w:hAnsi="仿宋_GB2312" w:eastAsia="仿宋_GB2312" w:cs="仿宋_GB2312"/>
          <w:bCs/>
          <w:kern w:val="0"/>
          <w:sz w:val="24"/>
          <w:szCs w:val="24"/>
        </w:rPr>
      </w:pPr>
    </w:p>
    <w:p w14:paraId="2296641C">
      <w:pPr>
        <w:snapToGrid w:val="0"/>
        <w:spacing w:line="560" w:lineRule="exact"/>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表</w:t>
      </w:r>
      <w:r>
        <w:rPr>
          <w:rFonts w:hint="eastAsia" w:ascii="仿宋_GB2312" w:hAnsi="仿宋_GB2312" w:eastAsia="仿宋_GB2312" w:cs="仿宋_GB2312"/>
          <w:bCs/>
          <w:kern w:val="0"/>
          <w:sz w:val="24"/>
          <w:szCs w:val="24"/>
          <w:lang w:val="en-US" w:eastAsia="zh-CN"/>
        </w:rPr>
        <w:t xml:space="preserve">1 </w:t>
      </w:r>
      <w:r>
        <w:rPr>
          <w:rFonts w:hint="eastAsia" w:ascii="仿宋_GB2312" w:hAnsi="仿宋_GB2312" w:eastAsia="仿宋_GB2312" w:cs="仿宋_GB2312"/>
          <w:bCs/>
          <w:kern w:val="0"/>
          <w:sz w:val="24"/>
          <w:szCs w:val="24"/>
        </w:rPr>
        <w:t>采样袋数的确定</w:t>
      </w:r>
    </w:p>
    <w:tbl>
      <w:tblPr>
        <w:tblStyle w:val="23"/>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7"/>
        <w:gridCol w:w="2092"/>
        <w:gridCol w:w="1861"/>
        <w:gridCol w:w="2655"/>
      </w:tblGrid>
      <w:tr w14:paraId="35C28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624E40D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总的包装袋数</w:t>
            </w:r>
          </w:p>
        </w:tc>
        <w:tc>
          <w:tcPr>
            <w:tcW w:w="1230" w:type="pct"/>
            <w:tcBorders>
              <w:top w:val="single" w:color="auto" w:sz="4" w:space="0"/>
              <w:left w:val="single" w:color="auto" w:sz="4" w:space="0"/>
              <w:bottom w:val="single" w:color="auto" w:sz="4" w:space="0"/>
              <w:right w:val="single" w:color="auto" w:sz="4" w:space="0"/>
            </w:tcBorders>
            <w:vAlign w:val="center"/>
          </w:tcPr>
          <w:p w14:paraId="23CF16A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选取的最少</w:t>
            </w:r>
          </w:p>
          <w:p w14:paraId="50E0985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抽样袋数</w:t>
            </w:r>
          </w:p>
        </w:tc>
        <w:tc>
          <w:tcPr>
            <w:tcW w:w="1094" w:type="pct"/>
            <w:tcBorders>
              <w:top w:val="single" w:color="auto" w:sz="4" w:space="0"/>
              <w:left w:val="single" w:color="auto" w:sz="4" w:space="0"/>
              <w:bottom w:val="single" w:color="auto" w:sz="4" w:space="0"/>
              <w:right w:val="single" w:color="auto" w:sz="4" w:space="0"/>
            </w:tcBorders>
            <w:vAlign w:val="center"/>
          </w:tcPr>
          <w:p w14:paraId="7AFD0F5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总的包装袋数</w:t>
            </w:r>
          </w:p>
        </w:tc>
        <w:tc>
          <w:tcPr>
            <w:tcW w:w="1561" w:type="pct"/>
            <w:tcBorders>
              <w:top w:val="single" w:color="auto" w:sz="4" w:space="0"/>
              <w:left w:val="single" w:color="auto" w:sz="4" w:space="0"/>
              <w:bottom w:val="single" w:color="auto" w:sz="4" w:space="0"/>
              <w:right w:val="single" w:color="auto" w:sz="4" w:space="0"/>
            </w:tcBorders>
            <w:vAlign w:val="center"/>
          </w:tcPr>
          <w:p w14:paraId="2B5AD0E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选取的最少抽样袋数</w:t>
            </w:r>
          </w:p>
        </w:tc>
      </w:tr>
      <w:tr w14:paraId="5D97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6B521B1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1～10</w:t>
            </w:r>
          </w:p>
        </w:tc>
        <w:tc>
          <w:tcPr>
            <w:tcW w:w="1230" w:type="pct"/>
            <w:tcBorders>
              <w:top w:val="single" w:color="auto" w:sz="4" w:space="0"/>
              <w:left w:val="single" w:color="auto" w:sz="4" w:space="0"/>
              <w:bottom w:val="single" w:color="auto" w:sz="4" w:space="0"/>
              <w:right w:val="single" w:color="auto" w:sz="4" w:space="0"/>
            </w:tcBorders>
            <w:vAlign w:val="center"/>
          </w:tcPr>
          <w:p w14:paraId="3C67A88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全部抽取</w:t>
            </w:r>
          </w:p>
        </w:tc>
        <w:tc>
          <w:tcPr>
            <w:tcW w:w="1094" w:type="pct"/>
            <w:tcBorders>
              <w:top w:val="single" w:color="auto" w:sz="4" w:space="0"/>
              <w:left w:val="single" w:color="auto" w:sz="4" w:space="0"/>
              <w:bottom w:val="single" w:color="auto" w:sz="4" w:space="0"/>
              <w:right w:val="single" w:color="auto" w:sz="4" w:space="0"/>
            </w:tcBorders>
            <w:vAlign w:val="center"/>
          </w:tcPr>
          <w:p w14:paraId="717BAE3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182～216</w:t>
            </w:r>
          </w:p>
        </w:tc>
        <w:tc>
          <w:tcPr>
            <w:tcW w:w="1561" w:type="pct"/>
            <w:tcBorders>
              <w:top w:val="single" w:color="auto" w:sz="4" w:space="0"/>
              <w:left w:val="single" w:color="auto" w:sz="4" w:space="0"/>
              <w:bottom w:val="single" w:color="auto" w:sz="4" w:space="0"/>
              <w:right w:val="single" w:color="auto" w:sz="4" w:space="0"/>
            </w:tcBorders>
            <w:vAlign w:val="center"/>
          </w:tcPr>
          <w:p w14:paraId="1A2A735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r>
      <w:tr w14:paraId="3D123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30B2B64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11～49</w:t>
            </w:r>
          </w:p>
        </w:tc>
        <w:tc>
          <w:tcPr>
            <w:tcW w:w="1230" w:type="pct"/>
            <w:tcBorders>
              <w:top w:val="single" w:color="auto" w:sz="4" w:space="0"/>
              <w:left w:val="single" w:color="auto" w:sz="4" w:space="0"/>
              <w:bottom w:val="single" w:color="auto" w:sz="4" w:space="0"/>
              <w:right w:val="single" w:color="auto" w:sz="4" w:space="0"/>
            </w:tcBorders>
            <w:vAlign w:val="center"/>
          </w:tcPr>
          <w:p w14:paraId="3F1F0FD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1094" w:type="pct"/>
            <w:tcBorders>
              <w:top w:val="single" w:color="auto" w:sz="4" w:space="0"/>
              <w:left w:val="single" w:color="auto" w:sz="4" w:space="0"/>
              <w:bottom w:val="single" w:color="auto" w:sz="4" w:space="0"/>
              <w:right w:val="single" w:color="auto" w:sz="4" w:space="0"/>
            </w:tcBorders>
            <w:vAlign w:val="center"/>
          </w:tcPr>
          <w:p w14:paraId="79DC701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217～254</w:t>
            </w:r>
          </w:p>
        </w:tc>
        <w:tc>
          <w:tcPr>
            <w:tcW w:w="1561" w:type="pct"/>
            <w:tcBorders>
              <w:top w:val="single" w:color="auto" w:sz="4" w:space="0"/>
              <w:left w:val="single" w:color="auto" w:sz="4" w:space="0"/>
              <w:bottom w:val="single" w:color="auto" w:sz="4" w:space="0"/>
              <w:right w:val="single" w:color="auto" w:sz="4" w:space="0"/>
            </w:tcBorders>
            <w:vAlign w:val="center"/>
          </w:tcPr>
          <w:p w14:paraId="0975AE8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r>
      <w:tr w14:paraId="5DCBE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543A249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50～64</w:t>
            </w:r>
          </w:p>
        </w:tc>
        <w:tc>
          <w:tcPr>
            <w:tcW w:w="1230" w:type="pct"/>
            <w:tcBorders>
              <w:top w:val="single" w:color="auto" w:sz="4" w:space="0"/>
              <w:left w:val="single" w:color="auto" w:sz="4" w:space="0"/>
              <w:bottom w:val="single" w:color="auto" w:sz="4" w:space="0"/>
              <w:right w:val="single" w:color="auto" w:sz="4" w:space="0"/>
            </w:tcBorders>
            <w:vAlign w:val="center"/>
          </w:tcPr>
          <w:p w14:paraId="3B86726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1094" w:type="pct"/>
            <w:tcBorders>
              <w:top w:val="single" w:color="auto" w:sz="4" w:space="0"/>
              <w:left w:val="single" w:color="auto" w:sz="4" w:space="0"/>
              <w:bottom w:val="single" w:color="auto" w:sz="4" w:space="0"/>
              <w:right w:val="single" w:color="auto" w:sz="4" w:space="0"/>
            </w:tcBorders>
            <w:vAlign w:val="center"/>
          </w:tcPr>
          <w:p w14:paraId="5E61317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255～296</w:t>
            </w:r>
          </w:p>
        </w:tc>
        <w:tc>
          <w:tcPr>
            <w:tcW w:w="1561" w:type="pct"/>
            <w:tcBorders>
              <w:top w:val="single" w:color="auto" w:sz="4" w:space="0"/>
              <w:left w:val="single" w:color="auto" w:sz="4" w:space="0"/>
              <w:bottom w:val="single" w:color="auto" w:sz="4" w:space="0"/>
              <w:right w:val="single" w:color="auto" w:sz="4" w:space="0"/>
            </w:tcBorders>
            <w:vAlign w:val="center"/>
          </w:tcPr>
          <w:p w14:paraId="511AB23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14:paraId="32D4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0537955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65～81</w:t>
            </w:r>
          </w:p>
        </w:tc>
        <w:tc>
          <w:tcPr>
            <w:tcW w:w="1230" w:type="pct"/>
            <w:tcBorders>
              <w:top w:val="single" w:color="auto" w:sz="4" w:space="0"/>
              <w:left w:val="single" w:color="auto" w:sz="4" w:space="0"/>
              <w:bottom w:val="single" w:color="auto" w:sz="4" w:space="0"/>
              <w:right w:val="single" w:color="auto" w:sz="4" w:space="0"/>
            </w:tcBorders>
            <w:vAlign w:val="center"/>
          </w:tcPr>
          <w:p w14:paraId="5324B84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1094" w:type="pct"/>
            <w:tcBorders>
              <w:top w:val="single" w:color="auto" w:sz="4" w:space="0"/>
              <w:left w:val="single" w:color="auto" w:sz="4" w:space="0"/>
              <w:bottom w:val="single" w:color="auto" w:sz="4" w:space="0"/>
              <w:right w:val="single" w:color="auto" w:sz="4" w:space="0"/>
            </w:tcBorders>
            <w:vAlign w:val="center"/>
          </w:tcPr>
          <w:p w14:paraId="20EDD0A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297～343</w:t>
            </w:r>
          </w:p>
        </w:tc>
        <w:tc>
          <w:tcPr>
            <w:tcW w:w="1561" w:type="pct"/>
            <w:tcBorders>
              <w:top w:val="single" w:color="auto" w:sz="4" w:space="0"/>
              <w:left w:val="single" w:color="auto" w:sz="4" w:space="0"/>
              <w:bottom w:val="single" w:color="auto" w:sz="4" w:space="0"/>
              <w:right w:val="single" w:color="auto" w:sz="4" w:space="0"/>
            </w:tcBorders>
            <w:vAlign w:val="center"/>
          </w:tcPr>
          <w:p w14:paraId="33A3141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w:t>
            </w:r>
          </w:p>
        </w:tc>
      </w:tr>
      <w:tr w14:paraId="2C5C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167AE36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82～101</w:t>
            </w:r>
          </w:p>
        </w:tc>
        <w:tc>
          <w:tcPr>
            <w:tcW w:w="1230" w:type="pct"/>
            <w:tcBorders>
              <w:top w:val="single" w:color="auto" w:sz="4" w:space="0"/>
              <w:left w:val="single" w:color="auto" w:sz="4" w:space="0"/>
              <w:bottom w:val="single" w:color="auto" w:sz="4" w:space="0"/>
              <w:right w:val="single" w:color="auto" w:sz="4" w:space="0"/>
            </w:tcBorders>
            <w:vAlign w:val="center"/>
          </w:tcPr>
          <w:p w14:paraId="172B24A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1094" w:type="pct"/>
            <w:tcBorders>
              <w:top w:val="single" w:color="auto" w:sz="4" w:space="0"/>
              <w:left w:val="single" w:color="auto" w:sz="4" w:space="0"/>
              <w:bottom w:val="single" w:color="auto" w:sz="4" w:space="0"/>
              <w:right w:val="single" w:color="auto" w:sz="4" w:space="0"/>
            </w:tcBorders>
            <w:vAlign w:val="center"/>
          </w:tcPr>
          <w:p w14:paraId="6570AFA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344～394</w:t>
            </w:r>
          </w:p>
        </w:tc>
        <w:tc>
          <w:tcPr>
            <w:tcW w:w="1561" w:type="pct"/>
            <w:tcBorders>
              <w:top w:val="single" w:color="auto" w:sz="4" w:space="0"/>
              <w:left w:val="single" w:color="auto" w:sz="4" w:space="0"/>
              <w:bottom w:val="single" w:color="auto" w:sz="4" w:space="0"/>
              <w:right w:val="single" w:color="auto" w:sz="4" w:space="0"/>
            </w:tcBorders>
            <w:vAlign w:val="center"/>
          </w:tcPr>
          <w:p w14:paraId="5F53345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w:t>
            </w:r>
          </w:p>
        </w:tc>
      </w:tr>
      <w:tr w14:paraId="1EDDF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4419FCF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102～125</w:t>
            </w:r>
          </w:p>
        </w:tc>
        <w:tc>
          <w:tcPr>
            <w:tcW w:w="1230" w:type="pct"/>
            <w:tcBorders>
              <w:top w:val="single" w:color="auto" w:sz="4" w:space="0"/>
              <w:left w:val="single" w:color="auto" w:sz="4" w:space="0"/>
              <w:bottom w:val="single" w:color="auto" w:sz="4" w:space="0"/>
              <w:right w:val="single" w:color="auto" w:sz="4" w:space="0"/>
            </w:tcBorders>
            <w:vAlign w:val="center"/>
          </w:tcPr>
          <w:p w14:paraId="0E5EDC2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1094" w:type="pct"/>
            <w:tcBorders>
              <w:top w:val="single" w:color="auto" w:sz="4" w:space="0"/>
              <w:left w:val="single" w:color="auto" w:sz="4" w:space="0"/>
              <w:bottom w:val="single" w:color="auto" w:sz="4" w:space="0"/>
              <w:right w:val="single" w:color="auto" w:sz="4" w:space="0"/>
            </w:tcBorders>
            <w:vAlign w:val="center"/>
          </w:tcPr>
          <w:p w14:paraId="52AEB1E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395～450</w:t>
            </w:r>
          </w:p>
        </w:tc>
        <w:tc>
          <w:tcPr>
            <w:tcW w:w="1561" w:type="pct"/>
            <w:tcBorders>
              <w:top w:val="single" w:color="auto" w:sz="4" w:space="0"/>
              <w:left w:val="single" w:color="auto" w:sz="4" w:space="0"/>
              <w:bottom w:val="single" w:color="auto" w:sz="4" w:space="0"/>
              <w:right w:val="single" w:color="auto" w:sz="4" w:space="0"/>
            </w:tcBorders>
            <w:vAlign w:val="center"/>
          </w:tcPr>
          <w:p w14:paraId="289EF58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w:t>
            </w:r>
          </w:p>
        </w:tc>
      </w:tr>
      <w:tr w14:paraId="32B4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6D9FD90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126～151</w:t>
            </w:r>
          </w:p>
        </w:tc>
        <w:tc>
          <w:tcPr>
            <w:tcW w:w="1230" w:type="pct"/>
            <w:tcBorders>
              <w:top w:val="single" w:color="auto" w:sz="4" w:space="0"/>
              <w:left w:val="single" w:color="auto" w:sz="4" w:space="0"/>
              <w:bottom w:val="single" w:color="auto" w:sz="4" w:space="0"/>
              <w:right w:val="single" w:color="auto" w:sz="4" w:space="0"/>
            </w:tcBorders>
            <w:vAlign w:val="center"/>
          </w:tcPr>
          <w:p w14:paraId="0AC757A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1094" w:type="pct"/>
            <w:tcBorders>
              <w:top w:val="single" w:color="auto" w:sz="4" w:space="0"/>
              <w:left w:val="single" w:color="auto" w:sz="4" w:space="0"/>
              <w:bottom w:val="single" w:color="auto" w:sz="4" w:space="0"/>
              <w:right w:val="single" w:color="auto" w:sz="4" w:space="0"/>
            </w:tcBorders>
            <w:vAlign w:val="center"/>
          </w:tcPr>
          <w:p w14:paraId="169B90D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451～512</w:t>
            </w:r>
          </w:p>
        </w:tc>
        <w:tc>
          <w:tcPr>
            <w:tcW w:w="1561" w:type="pct"/>
            <w:tcBorders>
              <w:top w:val="single" w:color="auto" w:sz="4" w:space="0"/>
              <w:left w:val="single" w:color="auto" w:sz="4" w:space="0"/>
              <w:bottom w:val="single" w:color="auto" w:sz="4" w:space="0"/>
              <w:right w:val="single" w:color="auto" w:sz="4" w:space="0"/>
            </w:tcBorders>
            <w:vAlign w:val="center"/>
          </w:tcPr>
          <w:p w14:paraId="06756EE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w:t>
            </w:r>
          </w:p>
        </w:tc>
      </w:tr>
      <w:tr w14:paraId="753E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5" w:type="pct"/>
            <w:tcBorders>
              <w:top w:val="single" w:color="auto" w:sz="4" w:space="0"/>
              <w:left w:val="single" w:color="auto" w:sz="4" w:space="0"/>
              <w:bottom w:val="single" w:color="auto" w:sz="4" w:space="0"/>
              <w:right w:val="single" w:color="auto" w:sz="4" w:space="0"/>
            </w:tcBorders>
            <w:vAlign w:val="center"/>
          </w:tcPr>
          <w:p w14:paraId="459E597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152～181</w:t>
            </w:r>
          </w:p>
        </w:tc>
        <w:tc>
          <w:tcPr>
            <w:tcW w:w="1230" w:type="pct"/>
            <w:tcBorders>
              <w:top w:val="single" w:color="auto" w:sz="4" w:space="0"/>
              <w:left w:val="single" w:color="auto" w:sz="4" w:space="0"/>
              <w:bottom w:val="single" w:color="auto" w:sz="4" w:space="0"/>
              <w:right w:val="single" w:color="auto" w:sz="4" w:space="0"/>
            </w:tcBorders>
            <w:vAlign w:val="center"/>
          </w:tcPr>
          <w:p w14:paraId="131F707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1094" w:type="pct"/>
            <w:tcBorders>
              <w:top w:val="single" w:color="auto" w:sz="4" w:space="0"/>
              <w:left w:val="single" w:color="auto" w:sz="4" w:space="0"/>
              <w:bottom w:val="single" w:color="auto" w:sz="4" w:space="0"/>
              <w:right w:val="single" w:color="auto" w:sz="4" w:space="0"/>
            </w:tcBorders>
            <w:vAlign w:val="center"/>
          </w:tcPr>
          <w:p w14:paraId="1E5B1F57">
            <w:pPr>
              <w:adjustRightInd w:val="0"/>
              <w:snapToGrid w:val="0"/>
              <w:jc w:val="center"/>
              <w:rPr>
                <w:rFonts w:hint="eastAsia" w:ascii="仿宋_GB2312" w:hAnsi="仿宋_GB2312" w:eastAsia="仿宋_GB2312" w:cs="仿宋_GB2312"/>
                <w:sz w:val="24"/>
                <w:szCs w:val="24"/>
              </w:rPr>
            </w:pPr>
          </w:p>
        </w:tc>
        <w:tc>
          <w:tcPr>
            <w:tcW w:w="1561" w:type="pct"/>
            <w:tcBorders>
              <w:top w:val="single" w:color="auto" w:sz="4" w:space="0"/>
              <w:left w:val="single" w:color="auto" w:sz="4" w:space="0"/>
              <w:bottom w:val="single" w:color="auto" w:sz="4" w:space="0"/>
              <w:right w:val="single" w:color="auto" w:sz="4" w:space="0"/>
            </w:tcBorders>
            <w:vAlign w:val="center"/>
          </w:tcPr>
          <w:p w14:paraId="238DE1F7">
            <w:pPr>
              <w:adjustRightInd w:val="0"/>
              <w:snapToGrid w:val="0"/>
              <w:jc w:val="center"/>
              <w:rPr>
                <w:rFonts w:hint="eastAsia" w:ascii="仿宋_GB2312" w:hAnsi="仿宋_GB2312" w:eastAsia="仿宋_GB2312" w:cs="仿宋_GB2312"/>
                <w:sz w:val="24"/>
                <w:szCs w:val="24"/>
              </w:rPr>
            </w:pPr>
          </w:p>
        </w:tc>
      </w:tr>
    </w:tbl>
    <w:p w14:paraId="55B8E35A">
      <w:pPr>
        <w:ind w:firstLine="560" w:firstLineChars="200"/>
        <w:rPr>
          <w:rFonts w:hint="eastAsia" w:ascii="仿宋_GB2312" w:hAnsi="Calibri"/>
          <w:sz w:val="28"/>
          <w:szCs w:val="28"/>
        </w:rPr>
      </w:pPr>
      <w:r>
        <w:rPr>
          <w:rFonts w:hint="eastAsia" w:ascii="仿宋_GB2312" w:hAnsi="Calibri"/>
          <w:sz w:val="28"/>
          <w:szCs w:val="28"/>
        </w:rPr>
        <w:t>散装产品按GB/T6679规定进行。</w:t>
      </w:r>
    </w:p>
    <w:p w14:paraId="13700288">
      <w:pPr>
        <w:pStyle w:val="41"/>
        <w:spacing w:line="594" w:lineRule="exact"/>
        <w:ind w:left="0" w:leftChars="0" w:firstLine="0" w:firstLineChars="0"/>
        <w:outlineLvl w:val="0"/>
        <w:rPr>
          <w:rFonts w:ascii="仿宋_GB2312" w:hAnsi="仿宋_GB2312" w:cs="仿宋_GB2312"/>
          <w:b/>
          <w:bCs/>
          <w:sz w:val="28"/>
          <w:szCs w:val="28"/>
        </w:rPr>
      </w:pPr>
      <w:r>
        <w:rPr>
          <w:rFonts w:hint="eastAsia" w:ascii="仿宋_GB2312" w:hAnsi="仿宋_GB2312" w:cs="仿宋_GB2312"/>
          <w:b/>
          <w:bCs/>
          <w:sz w:val="28"/>
          <w:szCs w:val="28"/>
          <w:lang w:val="en-US" w:eastAsia="zh-CN"/>
        </w:rPr>
        <w:t>六</w:t>
      </w:r>
      <w:r>
        <w:rPr>
          <w:rFonts w:hint="eastAsia" w:ascii="仿宋_GB2312" w:hAnsi="仿宋_GB2312" w:cs="仿宋_GB2312"/>
          <w:b/>
          <w:bCs/>
          <w:sz w:val="28"/>
          <w:szCs w:val="28"/>
        </w:rPr>
        <w:t>、跟踪抽查情况</w:t>
      </w:r>
    </w:p>
    <w:p w14:paraId="039A298F">
      <w:pPr>
        <w:tabs>
          <w:tab w:val="left" w:pos="465"/>
          <w:tab w:val="right" w:pos="8313"/>
        </w:tabs>
        <w:spacing w:line="360" w:lineRule="auto"/>
        <w:ind w:firstLine="560" w:firstLineChars="200"/>
        <w:rPr>
          <w:rFonts w:hint="eastAsia" w:ascii="仿宋_GB2312" w:hAnsi="Calibri"/>
          <w:sz w:val="28"/>
          <w:szCs w:val="28"/>
        </w:rPr>
      </w:pPr>
      <w:r>
        <w:rPr>
          <w:rFonts w:hint="eastAsia" w:ascii="仿宋_GB2312" w:hAnsi="仿宋_GB2312" w:cs="仿宋_GB2312"/>
          <w:kern w:val="0"/>
          <w:sz w:val="28"/>
          <w:szCs w:val="28"/>
        </w:rPr>
        <w:t>无</w:t>
      </w:r>
      <w:r>
        <w:rPr>
          <w:rFonts w:hint="eastAsia" w:ascii="仿宋_GB2312" w:hAnsi="仿宋_GB2312" w:cs="仿宋_GB2312"/>
          <w:kern w:val="0"/>
          <w:sz w:val="28"/>
          <w:szCs w:val="28"/>
          <w:lang w:eastAsia="zh-CN"/>
        </w:rPr>
        <w:t>。</w:t>
      </w:r>
    </w:p>
    <w:p w14:paraId="37EE7D8F">
      <w:pPr>
        <w:widowControl/>
        <w:spacing w:line="360" w:lineRule="auto"/>
        <w:jc w:val="left"/>
        <w:rPr>
          <w:rFonts w:ascii="仿宋_GB2312" w:hAnsi="仿宋_GB2312" w:cs="仿宋_GB2312"/>
          <w:b/>
          <w:bCs/>
          <w:sz w:val="28"/>
          <w:szCs w:val="28"/>
        </w:rPr>
      </w:pPr>
      <w:r>
        <w:rPr>
          <w:rFonts w:hint="eastAsia" w:ascii="仿宋_GB2312" w:hAnsi="仿宋_GB2312" w:cs="仿宋_GB2312"/>
          <w:b/>
          <w:bCs/>
          <w:sz w:val="28"/>
          <w:szCs w:val="28"/>
          <w:lang w:val="en-US" w:eastAsia="zh-CN"/>
        </w:rPr>
        <w:t>七</w:t>
      </w:r>
      <w:r>
        <w:rPr>
          <w:rFonts w:hint="eastAsia" w:ascii="仿宋_GB2312" w:hAnsi="仿宋_GB2312" w:cs="仿宋_GB2312"/>
          <w:b/>
          <w:bCs/>
          <w:sz w:val="28"/>
          <w:szCs w:val="28"/>
        </w:rPr>
        <w:t>、抽查工作分工和进度安排</w:t>
      </w:r>
    </w:p>
    <w:p w14:paraId="433ABE8A">
      <w:pPr>
        <w:spacing w:line="594" w:lineRule="exact"/>
        <w:ind w:firstLine="560" w:firstLineChars="200"/>
        <w:rPr>
          <w:rFonts w:ascii="仿宋_GB2312" w:hAnsi="楷体" w:cs="Arial"/>
          <w:sz w:val="28"/>
          <w:szCs w:val="28"/>
        </w:rPr>
      </w:pPr>
      <w:r>
        <w:rPr>
          <w:rFonts w:hint="eastAsia" w:ascii="仿宋_GB2312" w:hAnsi="仿宋_GB2312" w:cs="仿宋_GB2312"/>
          <w:kern w:val="0"/>
          <w:sz w:val="28"/>
          <w:szCs w:val="28"/>
          <w:lang w:eastAsia="zh-CN"/>
        </w:rPr>
        <w:t>（</w:t>
      </w:r>
      <w:r>
        <w:rPr>
          <w:rFonts w:hint="eastAsia" w:ascii="仿宋_GB2312" w:hAnsi="仿宋_GB2312" w:cs="仿宋_GB2312"/>
          <w:kern w:val="0"/>
          <w:sz w:val="28"/>
          <w:szCs w:val="28"/>
          <w:lang w:val="en-US" w:eastAsia="zh-CN"/>
        </w:rPr>
        <w:t>一</w:t>
      </w:r>
      <w:r>
        <w:rPr>
          <w:rFonts w:hint="eastAsia" w:ascii="仿宋_GB2312" w:hAnsi="仿宋_GB2312" w:cs="仿宋_GB2312"/>
          <w:kern w:val="0"/>
          <w:sz w:val="28"/>
          <w:szCs w:val="28"/>
          <w:lang w:eastAsia="zh-CN"/>
        </w:rPr>
        <w:t>）</w:t>
      </w:r>
      <w:r>
        <w:rPr>
          <w:rFonts w:hint="eastAsia" w:ascii="仿宋_GB2312" w:hAnsi="楷体" w:cs="Arial"/>
          <w:sz w:val="28"/>
          <w:szCs w:val="28"/>
        </w:rPr>
        <w:t>抽查地区、抽样数量、抽样分工</w:t>
      </w:r>
    </w:p>
    <w:p w14:paraId="57D11CFD">
      <w:pPr>
        <w:spacing w:line="594" w:lineRule="exact"/>
        <w:ind w:firstLine="560" w:firstLineChars="200"/>
        <w:rPr>
          <w:rFonts w:ascii="仿宋_GB2312" w:hAnsi="仿宋" w:cs="Arial"/>
          <w:sz w:val="28"/>
          <w:szCs w:val="28"/>
        </w:rPr>
      </w:pPr>
      <w:r>
        <w:rPr>
          <w:rFonts w:hint="eastAsia" w:ascii="仿宋_GB2312" w:hAnsi="仿宋" w:cs="Arial"/>
          <w:sz w:val="28"/>
          <w:szCs w:val="28"/>
        </w:rPr>
        <w:t>抽查地区：全市范围内销售企业。</w:t>
      </w:r>
    </w:p>
    <w:p w14:paraId="14501E79">
      <w:pPr>
        <w:widowControl/>
        <w:spacing w:line="594" w:lineRule="exact"/>
        <w:ind w:firstLine="560" w:firstLineChars="200"/>
        <w:jc w:val="left"/>
        <w:rPr>
          <w:rFonts w:hint="eastAsia" w:ascii="仿宋_GB2312" w:hAnsi="仿宋" w:eastAsia="仿宋_GB2312" w:cs="Arial"/>
          <w:sz w:val="28"/>
          <w:szCs w:val="28"/>
          <w:highlight w:val="yellow"/>
          <w:lang w:eastAsia="zh-CN"/>
        </w:rPr>
      </w:pPr>
      <w:r>
        <w:rPr>
          <w:rFonts w:hint="eastAsia" w:ascii="仿宋_GB2312" w:hAnsi="仿宋" w:cs="Arial"/>
          <w:sz w:val="28"/>
          <w:szCs w:val="28"/>
        </w:rPr>
        <w:t>抽样数量：</w:t>
      </w:r>
      <w:r>
        <w:rPr>
          <w:rFonts w:hint="eastAsia" w:ascii="仿宋_GB2312" w:hAnsi="仿宋" w:cs="Arial"/>
          <w:color w:val="auto"/>
          <w:sz w:val="28"/>
          <w:szCs w:val="28"/>
          <w:highlight w:val="none"/>
        </w:rPr>
        <w:t>本次拟抽查</w:t>
      </w:r>
      <w:r>
        <w:rPr>
          <w:rFonts w:hint="eastAsia" w:ascii="仿宋_GB2312" w:hAnsi="仿宋" w:cs="Arial"/>
          <w:color w:val="auto"/>
          <w:sz w:val="28"/>
          <w:szCs w:val="28"/>
          <w:highlight w:val="none"/>
          <w:lang w:val="en-US" w:eastAsia="zh-CN"/>
        </w:rPr>
        <w:t>5</w:t>
      </w:r>
      <w:r>
        <w:rPr>
          <w:rFonts w:hint="eastAsia" w:ascii="仿宋_GB2312" w:hAnsi="仿宋" w:cs="Arial"/>
          <w:color w:val="auto"/>
          <w:sz w:val="28"/>
          <w:szCs w:val="28"/>
          <w:highlight w:val="none"/>
        </w:rPr>
        <w:t>批次样品</w:t>
      </w:r>
      <w:r>
        <w:rPr>
          <w:rFonts w:hint="eastAsia" w:ascii="仿宋_GB2312" w:hAnsi="仿宋" w:cs="Arial"/>
          <w:color w:val="auto"/>
          <w:sz w:val="28"/>
          <w:szCs w:val="28"/>
          <w:highlight w:val="none"/>
          <w:lang w:eastAsia="zh-CN"/>
        </w:rPr>
        <w:t>。</w:t>
      </w:r>
    </w:p>
    <w:p w14:paraId="39F26B17">
      <w:pPr>
        <w:spacing w:line="594" w:lineRule="exact"/>
        <w:ind w:firstLine="560" w:firstLineChars="200"/>
        <w:rPr>
          <w:rFonts w:ascii="仿宋_GB2312" w:hAnsi="仿宋" w:cs="Arial"/>
          <w:sz w:val="28"/>
          <w:szCs w:val="28"/>
        </w:rPr>
      </w:pPr>
      <w:r>
        <w:rPr>
          <w:rFonts w:hint="eastAsia" w:ascii="仿宋_GB2312" w:hAnsi="仿宋" w:cs="Arial"/>
          <w:sz w:val="28"/>
          <w:szCs w:val="28"/>
        </w:rPr>
        <w:t>抽样分工：合理规划抽样人员，每组抽样人员不少于2人，抽样组数不少于2组，抽样人员随机产生。</w:t>
      </w:r>
    </w:p>
    <w:p w14:paraId="2603CC9C">
      <w:pPr>
        <w:spacing w:line="594" w:lineRule="exact"/>
        <w:ind w:firstLine="560" w:firstLineChars="200"/>
        <w:rPr>
          <w:rFonts w:ascii="仿宋_GB2312" w:hAnsi="仿宋" w:cs="Arial"/>
          <w:sz w:val="28"/>
          <w:szCs w:val="28"/>
        </w:rPr>
      </w:pPr>
      <w:r>
        <w:rPr>
          <w:rFonts w:hint="eastAsia" w:ascii="仿宋_GB2312" w:hAnsi="仿宋" w:cs="Arial"/>
          <w:sz w:val="28"/>
          <w:szCs w:val="28"/>
          <w:lang w:eastAsia="zh-CN"/>
        </w:rPr>
        <w:t>（</w:t>
      </w:r>
      <w:r>
        <w:rPr>
          <w:rFonts w:hint="eastAsia" w:ascii="仿宋_GB2312" w:hAnsi="仿宋" w:cs="Arial"/>
          <w:sz w:val="28"/>
          <w:szCs w:val="28"/>
          <w:lang w:val="en-US" w:eastAsia="zh-CN"/>
        </w:rPr>
        <w:t>二</w:t>
      </w:r>
      <w:r>
        <w:rPr>
          <w:rFonts w:hint="eastAsia" w:ascii="仿宋_GB2312" w:hAnsi="仿宋" w:cs="Arial"/>
          <w:sz w:val="28"/>
          <w:szCs w:val="28"/>
          <w:lang w:eastAsia="zh-CN"/>
        </w:rPr>
        <w:t>）</w:t>
      </w:r>
      <w:r>
        <w:rPr>
          <w:rFonts w:hint="eastAsia" w:ascii="仿宋_GB2312" w:hAnsi="仿宋" w:cs="Arial"/>
          <w:sz w:val="28"/>
          <w:szCs w:val="28"/>
        </w:rPr>
        <w:t>抽查进度安排</w:t>
      </w:r>
    </w:p>
    <w:p w14:paraId="3E1DFF3A">
      <w:pPr>
        <w:spacing w:line="594" w:lineRule="exact"/>
        <w:ind w:firstLine="560" w:firstLineChars="200"/>
        <w:rPr>
          <w:rFonts w:ascii="仿宋_GB2312" w:hAnsi="仿宋" w:cs="Arial"/>
          <w:sz w:val="28"/>
          <w:szCs w:val="28"/>
        </w:rPr>
      </w:pPr>
      <w:r>
        <w:rPr>
          <w:rFonts w:hint="eastAsia" w:ascii="仿宋_GB2312" w:hAnsi="仿宋" w:cs="Arial"/>
          <w:sz w:val="28"/>
          <w:szCs w:val="28"/>
        </w:rPr>
        <w:t>总体时间安排：接到市局任务起</w:t>
      </w:r>
      <w:bookmarkStart w:id="0" w:name="_GoBack"/>
      <w:bookmarkEnd w:id="0"/>
      <w:r>
        <w:rPr>
          <w:rFonts w:hint="eastAsia" w:ascii="仿宋_GB2312" w:hAnsi="仿宋" w:cs="Arial"/>
          <w:sz w:val="28"/>
          <w:szCs w:val="28"/>
        </w:rPr>
        <w:t>65日内。</w:t>
      </w:r>
    </w:p>
    <w:p w14:paraId="20B406D0">
      <w:pPr>
        <w:spacing w:line="594" w:lineRule="exact"/>
        <w:ind w:firstLine="560" w:firstLineChars="200"/>
        <w:rPr>
          <w:rFonts w:ascii="仿宋_GB2312" w:hAnsi="仿宋" w:cs="Arial"/>
          <w:sz w:val="28"/>
          <w:szCs w:val="28"/>
        </w:rPr>
      </w:pPr>
      <w:r>
        <w:rPr>
          <w:rFonts w:hint="eastAsia" w:ascii="仿宋_GB2312" w:hAnsi="仿宋" w:cs="Arial"/>
          <w:sz w:val="28"/>
          <w:szCs w:val="28"/>
        </w:rPr>
        <w:t>具体时间安排：</w:t>
      </w:r>
    </w:p>
    <w:p w14:paraId="1BA3D4EB">
      <w:pPr>
        <w:spacing w:line="594" w:lineRule="exact"/>
        <w:ind w:firstLine="560" w:firstLineChars="200"/>
        <w:rPr>
          <w:rFonts w:ascii="仿宋_GB2312" w:hAnsi="仿宋" w:cs="Arial"/>
          <w:sz w:val="28"/>
          <w:szCs w:val="28"/>
        </w:rPr>
      </w:pPr>
      <w:r>
        <w:rPr>
          <w:rFonts w:hint="eastAsia" w:ascii="仿宋_GB2312" w:hAnsi="仿宋" w:cs="Arial"/>
          <w:sz w:val="28"/>
          <w:szCs w:val="28"/>
        </w:rPr>
        <w:t>1、抽样阶段：接到市局任务起15日内；</w:t>
      </w:r>
    </w:p>
    <w:p w14:paraId="1F92FE37">
      <w:pPr>
        <w:spacing w:line="594" w:lineRule="exact"/>
        <w:ind w:firstLine="560" w:firstLineChars="200"/>
        <w:rPr>
          <w:rFonts w:ascii="仿宋_GB2312" w:hAnsi="仿宋" w:cs="Arial"/>
          <w:sz w:val="28"/>
          <w:szCs w:val="28"/>
        </w:rPr>
      </w:pPr>
      <w:r>
        <w:rPr>
          <w:rFonts w:hint="eastAsia" w:ascii="仿宋_GB2312" w:hAnsi="仿宋" w:cs="Arial"/>
          <w:sz w:val="28"/>
          <w:szCs w:val="28"/>
        </w:rPr>
        <w:t>2、检验阶段：到样日起30日内；</w:t>
      </w:r>
    </w:p>
    <w:p w14:paraId="2FBEF12E">
      <w:pPr>
        <w:spacing w:line="594" w:lineRule="exact"/>
        <w:ind w:firstLine="560" w:firstLineChars="200"/>
        <w:rPr>
          <w:rFonts w:ascii="仿宋_GB2312" w:hAnsi="仿宋" w:cs="Arial"/>
          <w:sz w:val="28"/>
          <w:szCs w:val="28"/>
        </w:rPr>
      </w:pPr>
      <w:r>
        <w:rPr>
          <w:rFonts w:hint="eastAsia" w:ascii="仿宋_GB2312" w:hAnsi="仿宋" w:cs="Arial"/>
          <w:sz w:val="28"/>
          <w:szCs w:val="28"/>
        </w:rPr>
        <w:t>3、异议处理：15日内；</w:t>
      </w:r>
    </w:p>
    <w:p w14:paraId="1F777755">
      <w:pPr>
        <w:spacing w:line="594" w:lineRule="exact"/>
        <w:ind w:firstLine="560" w:firstLineChars="200"/>
        <w:jc w:val="left"/>
        <w:rPr>
          <w:rFonts w:ascii="仿宋_GB2312" w:hAnsi="仿宋" w:cs="Arial"/>
          <w:sz w:val="28"/>
          <w:szCs w:val="28"/>
        </w:rPr>
      </w:pPr>
      <w:r>
        <w:rPr>
          <w:rFonts w:hint="eastAsia" w:ascii="仿宋_GB2312" w:hAnsi="仿宋" w:cs="Arial"/>
          <w:sz w:val="28"/>
          <w:szCs w:val="28"/>
        </w:rPr>
        <w:t>4、上报材料：异议处理结束后5日内，遇到特殊情况，经市局同意后时间顺延。</w:t>
      </w:r>
    </w:p>
    <w:p w14:paraId="69F5DE9E">
      <w:pPr>
        <w:pStyle w:val="15"/>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2DAAF90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承检机构：大连产品质量检验检测研究院有限公司</w:t>
      </w:r>
    </w:p>
    <w:p w14:paraId="2AF272B6">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单位地址：大连市沙河口区万岁街68-2号</w:t>
      </w:r>
    </w:p>
    <w:p w14:paraId="09D877E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业务联系人：王宁</w:t>
      </w:r>
    </w:p>
    <w:p w14:paraId="29D3C10B">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电话/邮箱：</w:t>
      </w:r>
      <w:r>
        <w:rPr>
          <w:highlight w:val="none"/>
        </w:rPr>
        <w:t xml:space="preserve"> </w:t>
      </w:r>
      <w:r>
        <w:rPr>
          <w:rFonts w:ascii="仿宋_GB2312" w:hAnsi="仿宋" w:eastAsia="仿宋_GB2312" w:cs="仿宋"/>
          <w:kern w:val="0"/>
          <w:sz w:val="28"/>
          <w:szCs w:val="28"/>
          <w:highlight w:val="none"/>
        </w:rPr>
        <w:t>15942621521/ning1164@qq.com</w:t>
      </w:r>
    </w:p>
    <w:p w14:paraId="68EF9430">
      <w:pPr>
        <w:pStyle w:val="15"/>
        <w:spacing w:after="0" w:line="360" w:lineRule="auto"/>
        <w:ind w:left="0" w:left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0A1E1ED4">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23"/>
        <w:tblW w:w="4717" w:type="pct"/>
        <w:jc w:val="center"/>
        <w:tblLayout w:type="autofit"/>
        <w:tblCellMar>
          <w:top w:w="0" w:type="dxa"/>
          <w:left w:w="108" w:type="dxa"/>
          <w:bottom w:w="0" w:type="dxa"/>
          <w:right w:w="108" w:type="dxa"/>
        </w:tblCellMar>
      </w:tblPr>
      <w:tblGrid>
        <w:gridCol w:w="772"/>
        <w:gridCol w:w="3268"/>
        <w:gridCol w:w="4000"/>
      </w:tblGrid>
      <w:tr w14:paraId="6B0465EA">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1CEBA286">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427480F1">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46718A75">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1AA3C46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07EE2BCF">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C7BBFB2">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3C20AB54">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710DD452">
            <w:pPr>
              <w:pStyle w:val="12"/>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有效期：2024.6.11</w:t>
            </w:r>
          </w:p>
        </w:tc>
      </w:tr>
    </w:tbl>
    <w:p w14:paraId="5283D66D">
      <w:pPr>
        <w:rPr>
          <w:rFonts w:ascii="仿宋_GB2312" w:hAnsi="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鼎简书宋二">
    <w:altName w:val="微软雅黑"/>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63748D"/>
    <w:multiLevelType w:val="multilevel"/>
    <w:tmpl w:val="1C63748D"/>
    <w:lvl w:ilvl="0" w:tentative="0">
      <w:start w:val="1"/>
      <w:numFmt w:val="decimal"/>
      <w:pStyle w:val="3"/>
      <w:lvlText w:val="%1."/>
      <w:lvlJc w:val="left"/>
      <w:pPr>
        <w:ind w:left="432" w:hanging="432"/>
      </w:pPr>
      <w:rPr>
        <w:rFonts w:hint="default"/>
      </w:rPr>
    </w:lvl>
    <w:lvl w:ilvl="1" w:tentative="0">
      <w:start w:val="1"/>
      <w:numFmt w:val="decimal"/>
      <w:pStyle w:val="4"/>
      <w:lvlText w:val="%1.%2."/>
      <w:lvlJc w:val="left"/>
      <w:pPr>
        <w:ind w:left="1001"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1857"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C85D44"/>
    <w:rsid w:val="000223CA"/>
    <w:rsid w:val="0003211B"/>
    <w:rsid w:val="000808DA"/>
    <w:rsid w:val="000B4ABA"/>
    <w:rsid w:val="000C6EF6"/>
    <w:rsid w:val="00103E61"/>
    <w:rsid w:val="001215C1"/>
    <w:rsid w:val="001416E6"/>
    <w:rsid w:val="00155FDF"/>
    <w:rsid w:val="001746C3"/>
    <w:rsid w:val="00174FFB"/>
    <w:rsid w:val="0018417B"/>
    <w:rsid w:val="001B54DB"/>
    <w:rsid w:val="002122D3"/>
    <w:rsid w:val="002622F7"/>
    <w:rsid w:val="002719C7"/>
    <w:rsid w:val="002A03F9"/>
    <w:rsid w:val="00301D30"/>
    <w:rsid w:val="003D686C"/>
    <w:rsid w:val="003E043A"/>
    <w:rsid w:val="003F08C4"/>
    <w:rsid w:val="004004DA"/>
    <w:rsid w:val="004046F4"/>
    <w:rsid w:val="00423F46"/>
    <w:rsid w:val="00462BED"/>
    <w:rsid w:val="0048169D"/>
    <w:rsid w:val="004879F9"/>
    <w:rsid w:val="004C6941"/>
    <w:rsid w:val="00517F75"/>
    <w:rsid w:val="00526A28"/>
    <w:rsid w:val="00551A19"/>
    <w:rsid w:val="00553FCA"/>
    <w:rsid w:val="005B5418"/>
    <w:rsid w:val="005D058D"/>
    <w:rsid w:val="005D31E9"/>
    <w:rsid w:val="005D356B"/>
    <w:rsid w:val="0069188A"/>
    <w:rsid w:val="006A4F57"/>
    <w:rsid w:val="006C1F0D"/>
    <w:rsid w:val="006C7DB6"/>
    <w:rsid w:val="006E7674"/>
    <w:rsid w:val="006F7357"/>
    <w:rsid w:val="00714F5E"/>
    <w:rsid w:val="00764660"/>
    <w:rsid w:val="00767A53"/>
    <w:rsid w:val="007972A5"/>
    <w:rsid w:val="007C44BE"/>
    <w:rsid w:val="007D7050"/>
    <w:rsid w:val="008356CC"/>
    <w:rsid w:val="00874E10"/>
    <w:rsid w:val="008D18EF"/>
    <w:rsid w:val="008D7B25"/>
    <w:rsid w:val="00911FDD"/>
    <w:rsid w:val="0092456F"/>
    <w:rsid w:val="009248BF"/>
    <w:rsid w:val="00967FCE"/>
    <w:rsid w:val="009B5DAD"/>
    <w:rsid w:val="009D751C"/>
    <w:rsid w:val="00A17BF4"/>
    <w:rsid w:val="00A216A7"/>
    <w:rsid w:val="00A32027"/>
    <w:rsid w:val="00A5019B"/>
    <w:rsid w:val="00A724AC"/>
    <w:rsid w:val="00A72DEA"/>
    <w:rsid w:val="00AB5C4A"/>
    <w:rsid w:val="00AC68EC"/>
    <w:rsid w:val="00AE2C2F"/>
    <w:rsid w:val="00AF301B"/>
    <w:rsid w:val="00AF64A9"/>
    <w:rsid w:val="00B02526"/>
    <w:rsid w:val="00B14E3D"/>
    <w:rsid w:val="00B2101B"/>
    <w:rsid w:val="00B23794"/>
    <w:rsid w:val="00B25FD4"/>
    <w:rsid w:val="00B36080"/>
    <w:rsid w:val="00B4680B"/>
    <w:rsid w:val="00B67F05"/>
    <w:rsid w:val="00B67F79"/>
    <w:rsid w:val="00B74212"/>
    <w:rsid w:val="00B75CDD"/>
    <w:rsid w:val="00B80D47"/>
    <w:rsid w:val="00BA0579"/>
    <w:rsid w:val="00BD5A8E"/>
    <w:rsid w:val="00BE021A"/>
    <w:rsid w:val="00C1634C"/>
    <w:rsid w:val="00C45A39"/>
    <w:rsid w:val="00C77617"/>
    <w:rsid w:val="00C85D44"/>
    <w:rsid w:val="00CB5CDA"/>
    <w:rsid w:val="00CC0842"/>
    <w:rsid w:val="00CD6C0E"/>
    <w:rsid w:val="00CD76A8"/>
    <w:rsid w:val="00CE526E"/>
    <w:rsid w:val="00D004FE"/>
    <w:rsid w:val="00D23C97"/>
    <w:rsid w:val="00DB1D66"/>
    <w:rsid w:val="00DD075F"/>
    <w:rsid w:val="00EA5326"/>
    <w:rsid w:val="00EC512B"/>
    <w:rsid w:val="00F0169E"/>
    <w:rsid w:val="00F82B4A"/>
    <w:rsid w:val="0171317F"/>
    <w:rsid w:val="03173CCA"/>
    <w:rsid w:val="03B62344"/>
    <w:rsid w:val="06D117B7"/>
    <w:rsid w:val="1CD32EB7"/>
    <w:rsid w:val="1D7B7B52"/>
    <w:rsid w:val="21BE75B2"/>
    <w:rsid w:val="27D05112"/>
    <w:rsid w:val="27DF5E80"/>
    <w:rsid w:val="284C3689"/>
    <w:rsid w:val="28AD29D6"/>
    <w:rsid w:val="29485689"/>
    <w:rsid w:val="2CBD04D8"/>
    <w:rsid w:val="34E95E89"/>
    <w:rsid w:val="35AE4989"/>
    <w:rsid w:val="35BD38C5"/>
    <w:rsid w:val="39930ABA"/>
    <w:rsid w:val="3AA34D2C"/>
    <w:rsid w:val="3C352A18"/>
    <w:rsid w:val="3FEB7D50"/>
    <w:rsid w:val="41A773B9"/>
    <w:rsid w:val="41CC11EB"/>
    <w:rsid w:val="485A343B"/>
    <w:rsid w:val="55590FF1"/>
    <w:rsid w:val="56C93658"/>
    <w:rsid w:val="570D3D35"/>
    <w:rsid w:val="58CE0248"/>
    <w:rsid w:val="599926D7"/>
    <w:rsid w:val="59A32D6E"/>
    <w:rsid w:val="5AC32439"/>
    <w:rsid w:val="5B824604"/>
    <w:rsid w:val="634152F2"/>
    <w:rsid w:val="66AE24F7"/>
    <w:rsid w:val="66E27E94"/>
    <w:rsid w:val="71A15F30"/>
    <w:rsid w:val="73855828"/>
    <w:rsid w:val="74100EAA"/>
    <w:rsid w:val="7ADA2F79"/>
    <w:rsid w:val="7EEB7329"/>
    <w:rsid w:val="7F056E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3">
    <w:name w:val="heading 1"/>
    <w:basedOn w:val="1"/>
    <w:next w:val="1"/>
    <w:link w:val="31"/>
    <w:qFormat/>
    <w:uiPriority w:val="0"/>
    <w:pPr>
      <w:keepNext/>
      <w:keepLines/>
      <w:numPr>
        <w:ilvl w:val="0"/>
        <w:numId w:val="1"/>
      </w:numPr>
      <w:tabs>
        <w:tab w:val="left" w:pos="0"/>
      </w:tabs>
      <w:spacing w:before="340" w:after="330" w:line="576" w:lineRule="auto"/>
      <w:outlineLvl w:val="0"/>
    </w:pPr>
    <w:rPr>
      <w:b/>
      <w:kern w:val="44"/>
      <w:sz w:val="44"/>
    </w:rPr>
  </w:style>
  <w:style w:type="paragraph" w:styleId="4">
    <w:name w:val="heading 2"/>
    <w:basedOn w:val="1"/>
    <w:next w:val="1"/>
    <w:link w:val="32"/>
    <w:unhideWhenUsed/>
    <w:qFormat/>
    <w:uiPriority w:val="0"/>
    <w:pPr>
      <w:keepNext/>
      <w:keepLines/>
      <w:numPr>
        <w:ilvl w:val="1"/>
        <w:numId w:val="1"/>
      </w:numPr>
      <w:spacing w:before="260" w:after="260" w:line="413" w:lineRule="auto"/>
      <w:outlineLvl w:val="1"/>
    </w:pPr>
    <w:rPr>
      <w:rFonts w:ascii="Arial" w:hAnsi="Arial" w:eastAsia="黑体"/>
      <w:b/>
      <w:sz w:val="32"/>
    </w:rPr>
  </w:style>
  <w:style w:type="paragraph" w:styleId="5">
    <w:name w:val="heading 3"/>
    <w:basedOn w:val="1"/>
    <w:next w:val="1"/>
    <w:link w:val="33"/>
    <w:unhideWhenUsed/>
    <w:qFormat/>
    <w:uiPriority w:val="0"/>
    <w:pPr>
      <w:keepNext/>
      <w:keepLines/>
      <w:numPr>
        <w:ilvl w:val="2"/>
        <w:numId w:val="1"/>
      </w:numPr>
      <w:spacing w:before="260" w:after="260" w:line="413" w:lineRule="auto"/>
      <w:outlineLvl w:val="2"/>
    </w:pPr>
    <w:rPr>
      <w:b/>
      <w:sz w:val="32"/>
    </w:rPr>
  </w:style>
  <w:style w:type="paragraph" w:styleId="6">
    <w:name w:val="heading 4"/>
    <w:basedOn w:val="1"/>
    <w:next w:val="1"/>
    <w:link w:val="34"/>
    <w:unhideWhenUsed/>
    <w:qFormat/>
    <w:uiPriority w:val="0"/>
    <w:pPr>
      <w:keepNext/>
      <w:keepLines/>
      <w:numPr>
        <w:ilvl w:val="3"/>
        <w:numId w:val="1"/>
      </w:numPr>
      <w:spacing w:before="280" w:after="290" w:line="372" w:lineRule="auto"/>
      <w:outlineLvl w:val="3"/>
    </w:pPr>
    <w:rPr>
      <w:rFonts w:ascii="Arial" w:hAnsi="Arial"/>
      <w:b/>
      <w:sz w:val="28"/>
    </w:rPr>
  </w:style>
  <w:style w:type="paragraph" w:styleId="7">
    <w:name w:val="heading 5"/>
    <w:basedOn w:val="1"/>
    <w:next w:val="1"/>
    <w:link w:val="35"/>
    <w:unhideWhenUsed/>
    <w:qFormat/>
    <w:uiPriority w:val="0"/>
    <w:pPr>
      <w:keepNext/>
      <w:keepLines/>
      <w:numPr>
        <w:ilvl w:val="4"/>
        <w:numId w:val="1"/>
      </w:numPr>
      <w:spacing w:before="280" w:after="290" w:line="372" w:lineRule="auto"/>
      <w:outlineLvl w:val="4"/>
    </w:pPr>
    <w:rPr>
      <w:b/>
      <w:sz w:val="28"/>
    </w:rPr>
  </w:style>
  <w:style w:type="paragraph" w:styleId="8">
    <w:name w:val="heading 6"/>
    <w:basedOn w:val="1"/>
    <w:next w:val="1"/>
    <w:link w:val="36"/>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9">
    <w:name w:val="heading 7"/>
    <w:basedOn w:val="1"/>
    <w:next w:val="1"/>
    <w:link w:val="37"/>
    <w:semiHidden/>
    <w:unhideWhenUsed/>
    <w:qFormat/>
    <w:uiPriority w:val="0"/>
    <w:pPr>
      <w:keepNext/>
      <w:keepLines/>
      <w:numPr>
        <w:ilvl w:val="6"/>
        <w:numId w:val="1"/>
      </w:numPr>
      <w:spacing w:before="240" w:after="64" w:line="317" w:lineRule="auto"/>
      <w:outlineLvl w:val="6"/>
    </w:pPr>
    <w:rPr>
      <w:b/>
      <w:sz w:val="24"/>
    </w:rPr>
  </w:style>
  <w:style w:type="paragraph" w:styleId="10">
    <w:name w:val="heading 8"/>
    <w:basedOn w:val="1"/>
    <w:next w:val="1"/>
    <w:link w:val="38"/>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1">
    <w:name w:val="heading 9"/>
    <w:basedOn w:val="1"/>
    <w:next w:val="1"/>
    <w:link w:val="39"/>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List 2"/>
    <w:basedOn w:val="1"/>
    <w:semiHidden/>
    <w:unhideWhenUsed/>
    <w:qFormat/>
    <w:uiPriority w:val="99"/>
    <w:pPr>
      <w:ind w:left="100" w:leftChars="200" w:hanging="200" w:hangingChars="200"/>
      <w:contextualSpacing/>
    </w:pPr>
  </w:style>
  <w:style w:type="paragraph" w:styleId="12">
    <w:name w:val="Normal Indent"/>
    <w:basedOn w:val="1"/>
    <w:unhideWhenUsed/>
    <w:qFormat/>
    <w:uiPriority w:val="99"/>
    <w:pPr>
      <w:ind w:firstLine="420" w:firstLineChars="200"/>
    </w:pPr>
  </w:style>
  <w:style w:type="paragraph" w:styleId="13">
    <w:name w:val="annotation text"/>
    <w:basedOn w:val="1"/>
    <w:link w:val="68"/>
    <w:semiHidden/>
    <w:unhideWhenUsed/>
    <w:qFormat/>
    <w:uiPriority w:val="99"/>
    <w:pPr>
      <w:jc w:val="left"/>
    </w:pPr>
  </w:style>
  <w:style w:type="paragraph" w:styleId="14">
    <w:name w:val="Body Text"/>
    <w:basedOn w:val="1"/>
    <w:link w:val="48"/>
    <w:qFormat/>
    <w:uiPriority w:val="0"/>
    <w:pPr>
      <w:spacing w:after="120"/>
    </w:pPr>
    <w:rPr>
      <w:rFonts w:eastAsia="仿宋" w:asciiTheme="minorHAnsi" w:hAnsiTheme="minorHAnsi" w:cstheme="minorBidi"/>
    </w:rPr>
  </w:style>
  <w:style w:type="paragraph" w:styleId="15">
    <w:name w:val="Body Text Indent"/>
    <w:basedOn w:val="1"/>
    <w:link w:val="47"/>
    <w:qFormat/>
    <w:uiPriority w:val="0"/>
    <w:pPr>
      <w:spacing w:after="120"/>
      <w:ind w:left="420" w:leftChars="200"/>
    </w:pPr>
    <w:rPr>
      <w:rFonts w:eastAsia="仿宋" w:asciiTheme="minorHAnsi" w:hAnsiTheme="minorHAnsi" w:cstheme="minorBidi"/>
    </w:rPr>
  </w:style>
  <w:style w:type="paragraph" w:styleId="16">
    <w:name w:val="Balloon Text"/>
    <w:basedOn w:val="1"/>
    <w:link w:val="46"/>
    <w:qFormat/>
    <w:uiPriority w:val="0"/>
    <w:rPr>
      <w:rFonts w:eastAsia="仿宋" w:asciiTheme="minorHAnsi" w:hAnsiTheme="minorHAnsi" w:cstheme="minorBidi"/>
      <w:sz w:val="18"/>
      <w:szCs w:val="18"/>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Body Text Indent 3"/>
    <w:basedOn w:val="1"/>
    <w:link w:val="44"/>
    <w:qFormat/>
    <w:uiPriority w:val="0"/>
    <w:pPr>
      <w:spacing w:after="120"/>
      <w:ind w:left="420" w:leftChars="200"/>
    </w:pPr>
    <w:rPr>
      <w:rFonts w:eastAsia="仿宋" w:asciiTheme="minorHAnsi" w:hAnsiTheme="minorHAnsi" w:cstheme="minorBidi"/>
      <w:sz w:val="16"/>
      <w:szCs w:val="16"/>
    </w:rPr>
  </w:style>
  <w:style w:type="paragraph" w:styleId="20">
    <w:name w:val="Normal (Web)"/>
    <w:basedOn w:val="1"/>
    <w:qFormat/>
    <w:uiPriority w:val="0"/>
    <w:pPr>
      <w:widowControl/>
      <w:spacing w:before="100" w:beforeAutospacing="1" w:after="100" w:afterAutospacing="1"/>
      <w:jc w:val="left"/>
    </w:pPr>
    <w:rPr>
      <w:rFonts w:ascii="宋体" w:hAnsi="宋体" w:eastAsia="宋体" w:cs="宋体"/>
      <w:color w:val="000000"/>
      <w:kern w:val="0"/>
      <w:sz w:val="24"/>
    </w:rPr>
  </w:style>
  <w:style w:type="paragraph" w:styleId="21">
    <w:name w:val="annotation subject"/>
    <w:basedOn w:val="13"/>
    <w:next w:val="13"/>
    <w:link w:val="69"/>
    <w:semiHidden/>
    <w:unhideWhenUsed/>
    <w:qFormat/>
    <w:uiPriority w:val="99"/>
    <w:rPr>
      <w:b/>
      <w:bCs/>
    </w:rPr>
  </w:style>
  <w:style w:type="paragraph" w:styleId="22">
    <w:name w:val="Body Text First Indent"/>
    <w:basedOn w:val="14"/>
    <w:link w:val="52"/>
    <w:semiHidden/>
    <w:unhideWhenUsed/>
    <w:qFormat/>
    <w:uiPriority w:val="0"/>
    <w:pPr>
      <w:ind w:firstLine="420" w:firstLineChars="100"/>
    </w:pPr>
  </w:style>
  <w:style w:type="table" w:styleId="24">
    <w:name w:val="Table Grid"/>
    <w:basedOn w:val="2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FollowedHyperlink"/>
    <w:basedOn w:val="25"/>
    <w:semiHidden/>
    <w:unhideWhenUsed/>
    <w:qFormat/>
    <w:uiPriority w:val="99"/>
    <w:rPr>
      <w:color w:val="800080" w:themeColor="followedHyperlink"/>
      <w:u w:val="single"/>
      <w14:textFill>
        <w14:solidFill>
          <w14:schemeClr w14:val="folHlink"/>
        </w14:solidFill>
      </w14:textFill>
    </w:rPr>
  </w:style>
  <w:style w:type="character" w:styleId="27">
    <w:name w:val="Hyperlink"/>
    <w:qFormat/>
    <w:uiPriority w:val="99"/>
    <w:rPr>
      <w:color w:val="0563C1"/>
      <w:u w:val="single"/>
    </w:rPr>
  </w:style>
  <w:style w:type="character" w:styleId="28">
    <w:name w:val="annotation reference"/>
    <w:basedOn w:val="25"/>
    <w:semiHidden/>
    <w:unhideWhenUsed/>
    <w:qFormat/>
    <w:uiPriority w:val="99"/>
    <w:rPr>
      <w:sz w:val="21"/>
      <w:szCs w:val="21"/>
    </w:rPr>
  </w:style>
  <w:style w:type="character" w:customStyle="1" w:styleId="29">
    <w:name w:val="页眉 Char1"/>
    <w:basedOn w:val="25"/>
    <w:link w:val="18"/>
    <w:qFormat/>
    <w:uiPriority w:val="99"/>
    <w:rPr>
      <w:sz w:val="18"/>
      <w:szCs w:val="18"/>
    </w:rPr>
  </w:style>
  <w:style w:type="character" w:customStyle="1" w:styleId="30">
    <w:name w:val="页脚 Char1"/>
    <w:basedOn w:val="25"/>
    <w:link w:val="17"/>
    <w:qFormat/>
    <w:uiPriority w:val="99"/>
    <w:rPr>
      <w:sz w:val="18"/>
      <w:szCs w:val="18"/>
    </w:rPr>
  </w:style>
  <w:style w:type="character" w:customStyle="1" w:styleId="31">
    <w:name w:val="标题 1 Char"/>
    <w:basedOn w:val="25"/>
    <w:link w:val="3"/>
    <w:qFormat/>
    <w:uiPriority w:val="0"/>
    <w:rPr>
      <w:rFonts w:ascii="Times New Roman" w:hAnsi="Times New Roman" w:eastAsia="仿宋_GB2312" w:cs="Times New Roman"/>
      <w:b/>
      <w:kern w:val="44"/>
      <w:sz w:val="44"/>
      <w:szCs w:val="24"/>
    </w:rPr>
  </w:style>
  <w:style w:type="character" w:customStyle="1" w:styleId="32">
    <w:name w:val="标题 2 Char"/>
    <w:basedOn w:val="25"/>
    <w:link w:val="4"/>
    <w:qFormat/>
    <w:uiPriority w:val="0"/>
    <w:rPr>
      <w:rFonts w:ascii="Arial" w:hAnsi="Arial" w:eastAsia="黑体" w:cs="Times New Roman"/>
      <w:b/>
      <w:sz w:val="32"/>
      <w:szCs w:val="24"/>
    </w:rPr>
  </w:style>
  <w:style w:type="character" w:customStyle="1" w:styleId="33">
    <w:name w:val="标题 3 Char"/>
    <w:basedOn w:val="25"/>
    <w:link w:val="5"/>
    <w:qFormat/>
    <w:uiPriority w:val="0"/>
    <w:rPr>
      <w:rFonts w:ascii="Times New Roman" w:hAnsi="Times New Roman" w:eastAsia="仿宋_GB2312" w:cs="Times New Roman"/>
      <w:b/>
      <w:sz w:val="32"/>
      <w:szCs w:val="24"/>
    </w:rPr>
  </w:style>
  <w:style w:type="character" w:customStyle="1" w:styleId="34">
    <w:name w:val="标题 4 Char"/>
    <w:basedOn w:val="25"/>
    <w:link w:val="6"/>
    <w:qFormat/>
    <w:uiPriority w:val="0"/>
    <w:rPr>
      <w:rFonts w:ascii="Arial" w:hAnsi="Arial" w:eastAsia="仿宋_GB2312" w:cs="Times New Roman"/>
      <w:b/>
      <w:sz w:val="28"/>
      <w:szCs w:val="24"/>
    </w:rPr>
  </w:style>
  <w:style w:type="character" w:customStyle="1" w:styleId="35">
    <w:name w:val="标题 5 Char"/>
    <w:basedOn w:val="25"/>
    <w:link w:val="7"/>
    <w:qFormat/>
    <w:uiPriority w:val="0"/>
    <w:rPr>
      <w:rFonts w:ascii="Times New Roman" w:hAnsi="Times New Roman" w:eastAsia="仿宋_GB2312" w:cs="Times New Roman"/>
      <w:b/>
      <w:sz w:val="28"/>
      <w:szCs w:val="24"/>
    </w:rPr>
  </w:style>
  <w:style w:type="character" w:customStyle="1" w:styleId="36">
    <w:name w:val="标题 6 Char"/>
    <w:basedOn w:val="25"/>
    <w:link w:val="8"/>
    <w:qFormat/>
    <w:uiPriority w:val="0"/>
    <w:rPr>
      <w:rFonts w:ascii="Arial" w:hAnsi="Arial" w:eastAsia="黑体" w:cs="Times New Roman"/>
      <w:b/>
      <w:sz w:val="24"/>
      <w:szCs w:val="24"/>
    </w:rPr>
  </w:style>
  <w:style w:type="character" w:customStyle="1" w:styleId="37">
    <w:name w:val="标题 7 Char"/>
    <w:basedOn w:val="25"/>
    <w:link w:val="9"/>
    <w:semiHidden/>
    <w:qFormat/>
    <w:uiPriority w:val="0"/>
    <w:rPr>
      <w:rFonts w:ascii="Times New Roman" w:hAnsi="Times New Roman" w:eastAsia="仿宋_GB2312" w:cs="Times New Roman"/>
      <w:b/>
      <w:sz w:val="24"/>
      <w:szCs w:val="24"/>
    </w:rPr>
  </w:style>
  <w:style w:type="character" w:customStyle="1" w:styleId="38">
    <w:name w:val="标题 8 Char"/>
    <w:basedOn w:val="25"/>
    <w:link w:val="10"/>
    <w:semiHidden/>
    <w:qFormat/>
    <w:uiPriority w:val="0"/>
    <w:rPr>
      <w:rFonts w:ascii="Arial" w:hAnsi="Arial" w:eastAsia="黑体" w:cs="Times New Roman"/>
      <w:sz w:val="24"/>
      <w:szCs w:val="24"/>
    </w:rPr>
  </w:style>
  <w:style w:type="character" w:customStyle="1" w:styleId="39">
    <w:name w:val="标题 9 Char"/>
    <w:basedOn w:val="25"/>
    <w:link w:val="11"/>
    <w:semiHidden/>
    <w:qFormat/>
    <w:uiPriority w:val="0"/>
    <w:rPr>
      <w:rFonts w:ascii="Arial" w:hAnsi="Arial" w:eastAsia="黑体" w:cs="Times New Roman"/>
      <w:szCs w:val="24"/>
    </w:rPr>
  </w:style>
  <w:style w:type="paragraph" w:customStyle="1" w:styleId="40">
    <w:name w:val="_Style 27"/>
    <w:basedOn w:val="1"/>
    <w:next w:val="41"/>
    <w:qFormat/>
    <w:uiPriority w:val="0"/>
    <w:pPr>
      <w:ind w:firstLine="420" w:firstLineChars="200"/>
    </w:pPr>
    <w:rPr>
      <w:rFonts w:eastAsia="仿宋"/>
    </w:rPr>
  </w:style>
  <w:style w:type="paragraph" w:styleId="41">
    <w:name w:val="List Paragraph"/>
    <w:basedOn w:val="1"/>
    <w:qFormat/>
    <w:uiPriority w:val="34"/>
    <w:pPr>
      <w:ind w:firstLine="420" w:firstLineChars="200"/>
    </w:pPr>
  </w:style>
  <w:style w:type="character" w:customStyle="1" w:styleId="42">
    <w:name w:val="font81"/>
    <w:qFormat/>
    <w:uiPriority w:val="0"/>
    <w:rPr>
      <w:rFonts w:hint="eastAsia" w:ascii="宋体" w:hAnsi="宋体" w:eastAsia="宋体" w:cs="宋体"/>
      <w:color w:val="000000"/>
      <w:sz w:val="22"/>
      <w:szCs w:val="22"/>
      <w:u w:val="none"/>
    </w:rPr>
  </w:style>
  <w:style w:type="character" w:styleId="43">
    <w:name w:val="Placeholder Text"/>
    <w:unhideWhenUsed/>
    <w:qFormat/>
    <w:uiPriority w:val="99"/>
    <w:rPr>
      <w:color w:val="808080"/>
    </w:rPr>
  </w:style>
  <w:style w:type="character" w:customStyle="1" w:styleId="44">
    <w:name w:val="正文文本缩进 3 Char"/>
    <w:link w:val="19"/>
    <w:qFormat/>
    <w:uiPriority w:val="0"/>
    <w:rPr>
      <w:rFonts w:eastAsia="仿宋"/>
      <w:sz w:val="16"/>
      <w:szCs w:val="16"/>
    </w:rPr>
  </w:style>
  <w:style w:type="character" w:customStyle="1" w:styleId="45">
    <w:name w:val="页脚 Char"/>
    <w:qFormat/>
    <w:uiPriority w:val="99"/>
    <w:rPr>
      <w:rFonts w:eastAsia="仿宋"/>
      <w:kern w:val="2"/>
      <w:sz w:val="18"/>
      <w:szCs w:val="18"/>
    </w:rPr>
  </w:style>
  <w:style w:type="character" w:customStyle="1" w:styleId="46">
    <w:name w:val="批注框文本 Char"/>
    <w:link w:val="16"/>
    <w:qFormat/>
    <w:uiPriority w:val="0"/>
    <w:rPr>
      <w:rFonts w:eastAsia="仿宋"/>
      <w:sz w:val="18"/>
      <w:szCs w:val="18"/>
    </w:rPr>
  </w:style>
  <w:style w:type="character" w:customStyle="1" w:styleId="47">
    <w:name w:val="正文文本缩进 Char"/>
    <w:link w:val="15"/>
    <w:qFormat/>
    <w:uiPriority w:val="0"/>
    <w:rPr>
      <w:rFonts w:eastAsia="仿宋"/>
      <w:szCs w:val="24"/>
    </w:rPr>
  </w:style>
  <w:style w:type="character" w:customStyle="1" w:styleId="48">
    <w:name w:val="正文文本 Char"/>
    <w:link w:val="14"/>
    <w:qFormat/>
    <w:uiPriority w:val="0"/>
    <w:rPr>
      <w:rFonts w:eastAsia="仿宋"/>
      <w:szCs w:val="24"/>
    </w:rPr>
  </w:style>
  <w:style w:type="character" w:customStyle="1" w:styleId="49">
    <w:name w:val="font01"/>
    <w:qFormat/>
    <w:uiPriority w:val="0"/>
    <w:rPr>
      <w:rFonts w:hint="eastAsia" w:ascii="宋体" w:hAnsi="宋体" w:eastAsia="宋体" w:cs="宋体"/>
      <w:color w:val="000000"/>
      <w:sz w:val="18"/>
      <w:szCs w:val="18"/>
      <w:u w:val="none"/>
    </w:rPr>
  </w:style>
  <w:style w:type="character" w:customStyle="1" w:styleId="50">
    <w:name w:val="页眉 Char"/>
    <w:qFormat/>
    <w:uiPriority w:val="99"/>
    <w:rPr>
      <w:rFonts w:eastAsia="仿宋"/>
      <w:kern w:val="2"/>
      <w:sz w:val="18"/>
      <w:szCs w:val="18"/>
    </w:rPr>
  </w:style>
  <w:style w:type="character" w:customStyle="1" w:styleId="51">
    <w:name w:val="font71"/>
    <w:qFormat/>
    <w:uiPriority w:val="0"/>
    <w:rPr>
      <w:rFonts w:hint="eastAsia" w:ascii="宋体" w:hAnsi="宋体" w:eastAsia="宋体" w:cs="宋体"/>
      <w:color w:val="000000"/>
      <w:sz w:val="24"/>
      <w:szCs w:val="24"/>
      <w:u w:val="none"/>
    </w:rPr>
  </w:style>
  <w:style w:type="character" w:customStyle="1" w:styleId="52">
    <w:name w:val="正文首行缩进 Char"/>
    <w:basedOn w:val="48"/>
    <w:link w:val="22"/>
    <w:qFormat/>
    <w:uiPriority w:val="0"/>
    <w:rPr>
      <w:rFonts w:eastAsia="仿宋"/>
      <w:szCs w:val="24"/>
    </w:rPr>
  </w:style>
  <w:style w:type="character" w:customStyle="1" w:styleId="53">
    <w:name w:val="font21"/>
    <w:qFormat/>
    <w:uiPriority w:val="0"/>
    <w:rPr>
      <w:rFonts w:hint="eastAsia" w:ascii="宋体" w:hAnsi="宋体" w:eastAsia="宋体" w:cs="宋体"/>
      <w:color w:val="000000"/>
      <w:sz w:val="20"/>
      <w:szCs w:val="20"/>
      <w:u w:val="none"/>
    </w:rPr>
  </w:style>
  <w:style w:type="character" w:customStyle="1" w:styleId="54">
    <w:name w:val="正文文本缩进 3 字符"/>
    <w:basedOn w:val="25"/>
    <w:semiHidden/>
    <w:qFormat/>
    <w:uiPriority w:val="99"/>
    <w:rPr>
      <w:rFonts w:ascii="Times New Roman" w:hAnsi="Times New Roman" w:eastAsia="仿宋_GB2312" w:cs="Times New Roman"/>
      <w:sz w:val="16"/>
      <w:szCs w:val="16"/>
    </w:rPr>
  </w:style>
  <w:style w:type="character" w:customStyle="1" w:styleId="55">
    <w:name w:val="批注框文本 字符"/>
    <w:basedOn w:val="25"/>
    <w:semiHidden/>
    <w:qFormat/>
    <w:uiPriority w:val="99"/>
    <w:rPr>
      <w:rFonts w:ascii="Times New Roman" w:hAnsi="Times New Roman" w:eastAsia="仿宋_GB2312" w:cs="Times New Roman"/>
      <w:sz w:val="18"/>
      <w:szCs w:val="18"/>
    </w:rPr>
  </w:style>
  <w:style w:type="character" w:customStyle="1" w:styleId="56">
    <w:name w:val="正文文本缩进 字符"/>
    <w:basedOn w:val="25"/>
    <w:semiHidden/>
    <w:qFormat/>
    <w:uiPriority w:val="99"/>
    <w:rPr>
      <w:rFonts w:ascii="Times New Roman" w:hAnsi="Times New Roman" w:eastAsia="仿宋_GB2312" w:cs="Times New Roman"/>
      <w:szCs w:val="24"/>
    </w:rPr>
  </w:style>
  <w:style w:type="character" w:customStyle="1" w:styleId="57">
    <w:name w:val="正文文本 字符"/>
    <w:basedOn w:val="25"/>
    <w:semiHidden/>
    <w:qFormat/>
    <w:uiPriority w:val="99"/>
    <w:rPr>
      <w:rFonts w:ascii="Times New Roman" w:hAnsi="Times New Roman" w:eastAsia="仿宋_GB2312" w:cs="Times New Roman"/>
      <w:szCs w:val="24"/>
    </w:rPr>
  </w:style>
  <w:style w:type="paragraph" w:customStyle="1" w:styleId="58">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customStyle="1" w:styleId="59">
    <w:name w:val="一级条标题"/>
    <w:basedOn w:val="1"/>
    <w:next w:val="1"/>
    <w:qFormat/>
    <w:uiPriority w:val="0"/>
    <w:pPr>
      <w:widowControl/>
      <w:spacing w:line="300" w:lineRule="auto"/>
      <w:outlineLvl w:val="2"/>
    </w:pPr>
    <w:rPr>
      <w:rFonts w:ascii="宋体" w:eastAsia="宋体"/>
      <w:kern w:val="0"/>
      <w:sz w:val="24"/>
      <w:szCs w:val="20"/>
    </w:rPr>
  </w:style>
  <w:style w:type="paragraph" w:customStyle="1" w:styleId="6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6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2">
    <w:name w:val="正文文本首行缩进 字符"/>
    <w:basedOn w:val="57"/>
    <w:semiHidden/>
    <w:qFormat/>
    <w:uiPriority w:val="99"/>
    <w:rPr>
      <w:rFonts w:ascii="Times New Roman" w:hAnsi="Times New Roman" w:eastAsia="仿宋_GB2312" w:cs="Times New Roman"/>
      <w:szCs w:val="24"/>
    </w:rPr>
  </w:style>
  <w:style w:type="paragraph" w:customStyle="1" w:styleId="63">
    <w:name w:val="Char Char Char Char1"/>
    <w:basedOn w:val="1"/>
    <w:qFormat/>
    <w:uiPriority w:val="0"/>
    <w:pPr>
      <w:widowControl/>
      <w:spacing w:after="160" w:line="240" w:lineRule="exact"/>
      <w:jc w:val="left"/>
    </w:pPr>
    <w:rPr>
      <w:rFonts w:ascii="Verdana" w:hAnsi="Verdana" w:eastAsia="宋体"/>
      <w:kern w:val="0"/>
      <w:sz w:val="18"/>
      <w:szCs w:val="20"/>
      <w:lang w:eastAsia="en-US"/>
    </w:rPr>
  </w:style>
  <w:style w:type="character" w:customStyle="1" w:styleId="64">
    <w:name w:val="页脚 字符"/>
    <w:semiHidden/>
    <w:qFormat/>
    <w:uiPriority w:val="99"/>
    <w:rPr>
      <w:sz w:val="18"/>
      <w:szCs w:val="18"/>
    </w:rPr>
  </w:style>
  <w:style w:type="paragraph" w:customStyle="1" w:styleId="65">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rPr>
  </w:style>
  <w:style w:type="paragraph" w:customStyle="1" w:styleId="6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rPr>
  </w:style>
  <w:style w:type="character" w:customStyle="1" w:styleId="68">
    <w:name w:val="批注文字 Char"/>
    <w:basedOn w:val="25"/>
    <w:link w:val="13"/>
    <w:semiHidden/>
    <w:qFormat/>
    <w:uiPriority w:val="99"/>
    <w:rPr>
      <w:rFonts w:eastAsia="仿宋_GB2312"/>
      <w:kern w:val="2"/>
      <w:sz w:val="21"/>
      <w:szCs w:val="24"/>
    </w:rPr>
  </w:style>
  <w:style w:type="character" w:customStyle="1" w:styleId="69">
    <w:name w:val="批注主题 Char"/>
    <w:basedOn w:val="68"/>
    <w:link w:val="21"/>
    <w:semiHidden/>
    <w:qFormat/>
    <w:uiPriority w:val="99"/>
    <w:rPr>
      <w:rFonts w:eastAsia="仿宋_GB2312"/>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9</Pages>
  <Words>3812</Words>
  <Characters>4319</Characters>
  <Lines>33</Lines>
  <Paragraphs>9</Paragraphs>
  <TotalTime>3</TotalTime>
  <ScaleCrop>false</ScaleCrop>
  <LinksUpToDate>false</LinksUpToDate>
  <CharactersWithSpaces>4356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2024-08-06T04:12:00Z</dcterms:created>
  <dc:creator>Lenovo</dc:creator>
  <cp:lastModifiedBy>zm</cp:lastModifiedBy>
  <dcterms:modified xsi:type="dcterms:W3CDTF">2024-08-12T06:28:07Z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7E2B027D6FC646AC872BD66155F2BA69_13</vt:lpwstr>
  </property>
</Properties>
</file>