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DEF3">
      <w:pPr>
        <w:spacing w:line="360" w:lineRule="auto"/>
        <w:jc w:val="center"/>
        <w:rPr>
          <w:rFonts w:hint="eastAsia" w:ascii="仿宋" w:hAnsi="仿宋" w:cs="仿宋_GB2312"/>
          <w:b/>
          <w:bCs/>
          <w:sz w:val="48"/>
          <w:szCs w:val="48"/>
        </w:rPr>
      </w:pPr>
      <w:r>
        <w:rPr>
          <w:rFonts w:hint="eastAsia" w:ascii="仿宋" w:hAnsi="仿宋" w:cs="仿宋_GB2312"/>
          <w:b/>
          <w:bCs/>
          <w:sz w:val="48"/>
          <w:szCs w:val="48"/>
        </w:rPr>
        <w:t>2024年度</w:t>
      </w:r>
      <w:r>
        <w:rPr>
          <w:rFonts w:hint="eastAsia" w:ascii="仿宋" w:hAnsi="仿宋" w:cs="仿宋_GB2312"/>
          <w:b/>
          <w:bCs/>
          <w:sz w:val="48"/>
          <w:szCs w:val="48"/>
          <w:lang w:val="en-US" w:eastAsia="zh-CN"/>
        </w:rPr>
        <w:t>鞍山市学生校服</w:t>
      </w:r>
      <w:r>
        <w:rPr>
          <w:rFonts w:hint="eastAsia" w:ascii="仿宋" w:hAnsi="仿宋" w:cs="仿宋_GB2312"/>
          <w:b/>
          <w:bCs/>
          <w:sz w:val="48"/>
          <w:szCs w:val="48"/>
        </w:rPr>
        <w:t>产品质量</w:t>
      </w:r>
    </w:p>
    <w:p w14:paraId="18E621CF">
      <w:pPr>
        <w:spacing w:line="360" w:lineRule="auto"/>
        <w:jc w:val="center"/>
        <w:rPr>
          <w:rFonts w:ascii="仿宋" w:hAnsi="仿宋" w:cs="仿宋_GB2312"/>
          <w:b/>
          <w:bCs/>
          <w:sz w:val="48"/>
          <w:szCs w:val="48"/>
        </w:rPr>
      </w:pPr>
      <w:r>
        <w:rPr>
          <w:rFonts w:hint="eastAsia" w:ascii="仿宋" w:hAnsi="仿宋" w:cs="仿宋_GB2312"/>
          <w:b/>
          <w:bCs/>
          <w:sz w:val="48"/>
          <w:szCs w:val="48"/>
        </w:rPr>
        <w:t>监督抽查实施方案</w:t>
      </w:r>
    </w:p>
    <w:p w14:paraId="3415C9DC">
      <w:pPr>
        <w:pStyle w:val="4"/>
        <w:spacing w:line="360" w:lineRule="auto"/>
      </w:pPr>
    </w:p>
    <w:p w14:paraId="3572BAD0">
      <w:pPr>
        <w:widowControl/>
        <w:numPr>
          <w:ilvl w:val="0"/>
          <w:numId w:val="1"/>
        </w:numPr>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产品行业状况</w:t>
      </w:r>
    </w:p>
    <w:p w14:paraId="39E1AB97">
      <w:pPr>
        <w:spacing w:line="580"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校服是学校规定统一样式的学生服装，在学校内学生都会被要求统一穿着校服。穿上校服能够展现学生精神抖擞、活力飞扬的一面，也是学生青春时代的专属标志。学生校服是学生穿着时间最长的服装，被人称为学生的“第二皮肤”。学生校服根据其所用面料结构的不同，可分为机织学生服和针织学生服。</w:t>
      </w:r>
    </w:p>
    <w:p w14:paraId="4EF729D3">
      <w:pPr>
        <w:pStyle w:val="4"/>
        <w:ind w:firstLine="560"/>
        <w:rPr>
          <w:sz w:val="28"/>
          <w:szCs w:val="28"/>
        </w:rPr>
      </w:pPr>
      <w:r>
        <w:rPr>
          <w:rFonts w:hint="eastAsia" w:ascii="仿宋_GB2312" w:eastAsia="仿宋_GB2312" w:cs="仿宋_GB2312"/>
          <w:color w:val="000000"/>
          <w:sz w:val="28"/>
          <w:szCs w:val="28"/>
        </w:rPr>
        <w:t>学生校服的生产目前尚未实施行政许可制度，市场准入门槛非常低，对企业规模大小无要求，具备简单缝纫设备的服装加工企业一般都具有生产学生校服的能力。省内各城市教育局通常以招标的形式在本地区确定生产企业，无论企业规模大小、生产能力强弱均可参与竞争，校服生产是一些规模较小企业的力争之地。学生校服无密集型生产区域，目前省内进行学生校服生产的企业不足百家，分布于省内各地区，产品根据招标数量以销定产。</w:t>
      </w:r>
    </w:p>
    <w:p w14:paraId="3181F42E">
      <w:pPr>
        <w:widowControl/>
        <w:spacing w:line="360" w:lineRule="auto"/>
        <w:jc w:val="left"/>
        <w:outlineLvl w:val="0"/>
        <w:rPr>
          <w:rFonts w:ascii="仿宋_GB2312" w:hAnsi="仿宋" w:eastAsia="仿宋_GB2312" w:cs="仿宋"/>
          <w:b/>
          <w:bCs/>
          <w:sz w:val="28"/>
          <w:szCs w:val="28"/>
        </w:rPr>
      </w:pPr>
      <w:r>
        <w:rPr>
          <w:rFonts w:hint="eastAsia" w:ascii="仿宋_GB2312" w:hAnsi="仿宋" w:eastAsia="仿宋_GB2312" w:cs="仿宋"/>
          <w:b/>
          <w:bCs/>
          <w:sz w:val="28"/>
          <w:szCs w:val="28"/>
        </w:rPr>
        <w:t>二、抽查产品的质量状况</w:t>
      </w:r>
    </w:p>
    <w:p w14:paraId="467AB473">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（一）抽查产品存在的主要质量问题</w:t>
      </w:r>
    </w:p>
    <w:p w14:paraId="79F10265">
      <w:pPr>
        <w:adjustRightInd w:val="0"/>
        <w:spacing w:line="594" w:lineRule="exact"/>
        <w:ind w:firstLine="560" w:firstLineChars="200"/>
        <w:outlineLvl w:val="0"/>
        <w:rPr>
          <w:rFonts w:ascii="仿宋_GB2312" w:eastAsia="仿宋_GB2312" w:cs="Times New Roman"/>
          <w:color w:val="000000"/>
          <w:sz w:val="28"/>
          <w:szCs w:val="28"/>
        </w:rPr>
      </w:pPr>
      <w:r>
        <w:rPr>
          <w:rFonts w:hint="eastAsia" w:ascii="仿宋_GB2312" w:eastAsia="仿宋_GB2312" w:cs="仿宋_GB2312"/>
          <w:sz w:val="28"/>
          <w:szCs w:val="28"/>
        </w:rPr>
        <w:t>随着我国人民生活水平的日益提高</w:t>
      </w:r>
      <w:r>
        <w:rPr>
          <w:rFonts w:ascii="仿宋_GB2312" w:eastAsia="仿宋_GB2312" w:cs="仿宋_GB2312"/>
          <w:sz w:val="28"/>
          <w:szCs w:val="28"/>
        </w:rPr>
        <w:t>,</w:t>
      </w:r>
      <w:r>
        <w:rPr>
          <w:rFonts w:hint="eastAsia" w:ascii="仿宋_GB2312" w:eastAsia="仿宋_GB2312" w:cs="仿宋_GB2312"/>
          <w:sz w:val="28"/>
          <w:szCs w:val="28"/>
        </w:rPr>
        <w:t>社会对校服的要求也越来越高</w:t>
      </w:r>
      <w:r>
        <w:rPr>
          <w:rFonts w:ascii="仿宋_GB2312" w:eastAsia="仿宋_GB2312" w:cs="仿宋_GB2312"/>
          <w:sz w:val="28"/>
          <w:szCs w:val="28"/>
        </w:rPr>
        <w:t>,</w:t>
      </w:r>
      <w:r>
        <w:rPr>
          <w:rFonts w:hint="eastAsia" w:ascii="仿宋_GB2312" w:eastAsia="仿宋_GB2312" w:cs="仿宋_GB2312"/>
          <w:sz w:val="28"/>
          <w:szCs w:val="28"/>
        </w:rPr>
        <w:t>品种也越来越要求丰富</w:t>
      </w:r>
      <w:r>
        <w:rPr>
          <w:rFonts w:ascii="仿宋_GB2312" w:eastAsia="仿宋_GB2312" w:cs="仿宋_GB2312"/>
          <w:sz w:val="28"/>
          <w:szCs w:val="28"/>
        </w:rPr>
        <w:t>,</w:t>
      </w:r>
      <w:r>
        <w:rPr>
          <w:rFonts w:hint="eastAsia" w:ascii="仿宋_GB2312" w:eastAsia="仿宋_GB2312" w:cs="仿宋_GB2312"/>
          <w:sz w:val="28"/>
          <w:szCs w:val="28"/>
        </w:rPr>
        <w:t>对学生校服的产品质量也越来越关注。学生校服产品实物质量问题集中在</w:t>
      </w:r>
      <w:r>
        <w:rPr>
          <w:rFonts w:ascii="仿宋_GB2312" w:eastAsia="仿宋_GB2312" w:cs="仿宋_GB2312"/>
          <w:sz w:val="28"/>
          <w:szCs w:val="28"/>
        </w:rPr>
        <w:t>PH</w:t>
      </w:r>
      <w:r>
        <w:rPr>
          <w:rFonts w:hint="eastAsia" w:ascii="仿宋_GB2312" w:eastAsia="仿宋_GB2312" w:cs="仿宋_GB2312"/>
          <w:sz w:val="28"/>
          <w:szCs w:val="28"/>
        </w:rPr>
        <w:t>值、纤维含量、色牢度等项目</w:t>
      </w:r>
      <w:r>
        <w:rPr>
          <w:rFonts w:hint="eastAsia" w:ascii="仿宋_GB2312" w:eastAsia="仿宋_GB2312" w:cs="仿宋_GB2312"/>
          <w:color w:val="000000"/>
          <w:sz w:val="28"/>
          <w:szCs w:val="28"/>
        </w:rPr>
        <w:t>。</w:t>
      </w:r>
    </w:p>
    <w:p w14:paraId="2E7A0B7A">
      <w:pPr>
        <w:numPr>
          <w:ilvl w:val="0"/>
          <w:numId w:val="2"/>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纤维含量不达标。</w:t>
      </w:r>
    </w:p>
    <w:p w14:paraId="6E7CBFE1">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纤维含量是指产品所含有纤维的种类及其含量，纤维含量标识是指导消费者选购产品的一个重要标志。</w:t>
      </w:r>
    </w:p>
    <w:p w14:paraId="5112680C">
      <w:pPr>
        <w:pStyle w:val="9"/>
        <w:spacing w:line="594" w:lineRule="exac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纤维含量不达标的主要原因：</w:t>
      </w:r>
    </w:p>
    <w:p w14:paraId="11A14DFF">
      <w:pPr>
        <w:pStyle w:val="9"/>
        <w:spacing w:line="594" w:lineRule="exac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①随着原材料及人工成本的增加，面料生产企业偷工减料，以次充好，已达到高额利润。</w:t>
      </w:r>
    </w:p>
    <w:p w14:paraId="11EC0990">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②很多中小型校服生产企业质量意识薄弱，出厂的产品很多都没有进行质量控制，这也是纤维含量经常不达标的原因。</w:t>
      </w:r>
    </w:p>
    <w:p w14:paraId="017C6104">
      <w:pPr>
        <w:numPr>
          <w:ilvl w:val="0"/>
          <w:numId w:val="2"/>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化学指标超标。</w:t>
      </w:r>
    </w:p>
    <w:p w14:paraId="5E316C76">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化学指标包括甲醛、</w:t>
      </w:r>
      <w:r>
        <w:rPr>
          <w:rFonts w:ascii="仿宋_GB2312" w:eastAsia="仿宋_GB2312" w:cs="仿宋_GB2312"/>
          <w:color w:val="000000"/>
          <w:sz w:val="28"/>
          <w:szCs w:val="28"/>
        </w:rPr>
        <w:t>pH</w:t>
      </w:r>
      <w:r>
        <w:rPr>
          <w:rFonts w:hint="eastAsia" w:ascii="仿宋_GB2312" w:eastAsia="仿宋_GB2312" w:cs="仿宋_GB2312"/>
          <w:color w:val="000000"/>
          <w:sz w:val="28"/>
          <w:szCs w:val="28"/>
        </w:rPr>
        <w:t>值、可分解致癌芳香胺染料三项，为影响人体健康的重要安全指标。</w:t>
      </w:r>
    </w:p>
    <w:p w14:paraId="267B2F82">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⑴甲醛含量</w:t>
      </w:r>
    </w:p>
    <w:p w14:paraId="30239B79">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甲醛是一种无色、具有刺激性且易溶于水的有机物。甲醛对皮肤和眼睛粘膜有强烈的刺激作用，服装中如存在过量甲醛，会随着穿着过程逐渐释放，通过皮肤和呼吸道对人体产生危害。</w:t>
      </w:r>
    </w:p>
    <w:p w14:paraId="2040E69A">
      <w:pPr>
        <w:pStyle w:val="16"/>
        <w:wordWrap w:val="0"/>
        <w:spacing w:before="0" w:beforeAutospacing="0" w:after="0" w:afterAutospacing="0" w:line="375" w:lineRule="atLeas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服装面料在整理的过程中几乎都要涉及甲醛的使用。服装</w:t>
      </w:r>
      <w:r>
        <w:fldChar w:fldCharType="begin"/>
      </w:r>
      <w:r>
        <w:instrText xml:space="preserve"> HYPERLINK "http://www.sinotex.cn/Mianliao/" \t "_blank" \o "面料专业信息集合" </w:instrText>
      </w:r>
      <w:r>
        <w:fldChar w:fldCharType="separate"/>
      </w:r>
      <w:r>
        <w:rPr>
          <w:rFonts w:hint="eastAsia" w:ascii="仿宋_GB2312" w:hAnsi="Times New Roman" w:eastAsia="仿宋_GB2312" w:cs="仿宋_GB2312"/>
          <w:color w:val="000000"/>
          <w:kern w:val="2"/>
          <w:sz w:val="28"/>
          <w:szCs w:val="28"/>
        </w:rPr>
        <w:t>面料</w:t>
      </w:r>
      <w:r>
        <w:rPr>
          <w:rFonts w:hint="eastAsia" w:ascii="仿宋_GB2312" w:hAnsi="Times New Roman" w:eastAsia="仿宋_GB2312" w:cs="仿宋_GB2312"/>
          <w:color w:val="000000"/>
          <w:kern w:val="2"/>
          <w:sz w:val="28"/>
          <w:szCs w:val="28"/>
        </w:rPr>
        <w:fldChar w:fldCharType="end"/>
      </w:r>
      <w:r>
        <w:rPr>
          <w:rFonts w:ascii="仿宋_GB2312" w:hAnsi="Times New Roman" w:eastAsia="仿宋_GB2312" w:cs="仿宋_GB2312"/>
          <w:color w:val="000000"/>
          <w:kern w:val="2"/>
          <w:sz w:val="28"/>
          <w:szCs w:val="28"/>
        </w:rPr>
        <w:t>的</w:t>
      </w:r>
      <w:r>
        <w:rPr>
          <w:rFonts w:hint="eastAsia" w:ascii="仿宋_GB2312" w:hAnsi="Times New Roman" w:eastAsia="仿宋_GB2312" w:cs="仿宋_GB2312"/>
          <w:color w:val="000000"/>
          <w:kern w:val="2"/>
          <w:sz w:val="28"/>
          <w:szCs w:val="28"/>
        </w:rPr>
        <w:t>生产，为了达到防皱、防缩、阻燃等作用，或为了保持印花、染色的耐久性，或为了改善手感，就需在助剂中添加甲醛。甲醛在</w:t>
      </w:r>
      <w:r>
        <w:fldChar w:fldCharType="begin"/>
      </w:r>
      <w:r>
        <w:instrText xml:space="preserve"> HYPERLINK "http://www.so.com/s?q=%E7%BA%BA%E7%BB%87%E4%B8%9A&amp;ie=utf-8&amp;src=internal_wenda_recommend_textn"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纺织业</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的应用比较多的是</w:t>
      </w:r>
      <w:r>
        <w:fldChar w:fldCharType="begin"/>
      </w:r>
      <w:r>
        <w:instrText xml:space="preserve"> HYPERLINK "http://www.so.com/s?q=%E7%BA%AF%E6%A3%89&amp;ie=utf-8&amp;src=internal_wenda_recommend_textn"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纯棉</w:t>
      </w:r>
      <w:r>
        <w:rPr>
          <w:rFonts w:hint="eastAsia" w:ascii="仿宋_GB2312" w:hAnsi="Times New Roman" w:eastAsia="仿宋_GB2312" w:cs="仿宋_GB2312"/>
          <w:color w:val="000000"/>
          <w:kern w:val="2"/>
          <w:sz w:val="28"/>
          <w:szCs w:val="28"/>
        </w:rPr>
        <w:fldChar w:fldCharType="end"/>
      </w:r>
      <w:r>
        <w:fldChar w:fldCharType="begin"/>
      </w:r>
      <w:r>
        <w:instrText xml:space="preserve"> HYPERLINK "http://www.so.com/s?q=%E7%BA%BA%E7%BB%87%E5%93%81&amp;ie=utf-8&amp;src=internal_wenda_recommend_textn"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纺织品</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，因为纯棉纺织品容易起皱，使用含甲醛的助剂能提高</w:t>
      </w:r>
      <w:r>
        <w:fldChar w:fldCharType="begin"/>
      </w:r>
      <w:r>
        <w:instrText xml:space="preserve"> HYPERLINK "http://www.so.com/s?q=%E6%A3%89%E5%B8%83&amp;ie=utf-8&amp;src=internal_wenda_recommend_textn" \t "_blank" </w:instrText>
      </w:r>
      <w:r>
        <w:fldChar w:fldCharType="separate"/>
      </w:r>
      <w:r>
        <w:rPr>
          <w:rFonts w:hint="eastAsia" w:ascii="仿宋_GB2312" w:hAnsi="Times New Roman" w:eastAsia="仿宋_GB2312" w:cs="仿宋_GB2312"/>
          <w:color w:val="000000"/>
          <w:kern w:val="2"/>
          <w:sz w:val="28"/>
          <w:szCs w:val="28"/>
        </w:rPr>
        <w:t>棉布</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的硬挺度。</w:t>
      </w:r>
      <w:r>
        <w:fldChar w:fldCharType="begin"/>
      </w:r>
      <w:r>
        <w:instrText xml:space="preserve"> HYPERLINK "http://www.so.com/s?q=%E5%8E%82%E5%AE%B6&amp;ie=utf-8&amp;src=internal_wenda_recommend_textn" \t "_blank" </w:instrText>
      </w:r>
      <w:r>
        <w:fldChar w:fldCharType="separate"/>
      </w:r>
      <w:r>
        <w:rPr>
          <w:rFonts w:hint="eastAsia" w:ascii="仿宋_GB2312" w:hAnsi="Times New Roman" w:eastAsia="仿宋_GB2312" w:cs="仿宋_GB2312"/>
          <w:color w:val="000000"/>
          <w:kern w:val="2"/>
          <w:sz w:val="28"/>
          <w:szCs w:val="28"/>
        </w:rPr>
        <w:t>厂家</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使用含甲醛的染色助剂，特别是一些生产厂为降低成本，使用甲醛</w:t>
      </w:r>
      <w:r>
        <w:fldChar w:fldCharType="begin"/>
      </w:r>
      <w:r>
        <w:instrText xml:space="preserve"> HYPERLINK "http://www.so.com/s?q=%E5%90%AB%E9%87%8F&amp;ie=utf-8&amp;src=internal_wenda_recommend_textn" \t "_blank" </w:instrText>
      </w:r>
      <w:r>
        <w:fldChar w:fldCharType="separate"/>
      </w:r>
      <w:r>
        <w:rPr>
          <w:rFonts w:hint="eastAsia" w:ascii="仿宋_GB2312" w:hAnsi="Times New Roman" w:eastAsia="仿宋_GB2312" w:cs="仿宋_GB2312"/>
          <w:color w:val="000000"/>
          <w:kern w:val="2"/>
          <w:sz w:val="28"/>
          <w:szCs w:val="28"/>
        </w:rPr>
        <w:t>含量</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极高的廉价助剂，易对人体产生伤害。</w:t>
      </w:r>
    </w:p>
    <w:p w14:paraId="07F53946">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⑵</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w:t>
      </w:r>
    </w:p>
    <w:p w14:paraId="68B66397">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值是学生校服的安全性指标，人体皮肤表层的</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值为弱酸性，可以抑制某些致病菌的生长繁殖，具有保护皮肤免遭感染的作用。若</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值超标将破坏人体表面抵御疾病的屏障，容易引起皮肤搔痒等炎症。</w:t>
      </w:r>
    </w:p>
    <w:p w14:paraId="1823C5B9">
      <w:pPr>
        <w:pStyle w:val="9"/>
        <w:spacing w:line="594" w:lineRule="exact"/>
        <w:ind w:firstLine="560" w:firstLineChars="200"/>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值不达标的主要原因：</w:t>
      </w:r>
    </w:p>
    <w:p w14:paraId="38A36DA1">
      <w:pPr>
        <w:pStyle w:val="16"/>
        <w:shd w:val="clear" w:color="auto" w:fill="FFFFFF"/>
        <w:spacing w:before="0" w:beforeAutospacing="0" w:after="0" w:afterAutospacing="0" w:line="594" w:lineRule="exact"/>
        <w:ind w:firstLine="560" w:firstLineChars="200"/>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①企业为降低成本</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随意减少生产工序</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对经过染色、整理或特殊工艺处理后的产品没有进行充分水洗或酸碱中和</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致使</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值偏高或偏低。</w:t>
      </w:r>
    </w:p>
    <w:p w14:paraId="03FC01AD">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②企业为降低生产成本</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使用一些价格低廉、质量不稳定的直接染料、涂料进行染色和印花。使用这些染料生产的产品在进行弱酸、弱碱中和后</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产品发暗</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没有光泽</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甚至色相发生变化或留有难闻的气味。因此为保持产品的鲜艳光泽</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有些企业明知道产品</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值偏高</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也不进行中和</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造成了产品质量不合格。</w:t>
      </w:r>
    </w:p>
    <w:p w14:paraId="03A1BDC4">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⑶可分解致癌芳香胺染料</w:t>
      </w:r>
    </w:p>
    <w:p w14:paraId="63298408">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可分解致癌芳香胺染料是影响人体健康的重要安全指标，含有可分解致癌芳香胺染料的产品在与人体的长期接触中，有害物质被皮肤吸收，会在人体内扩散，可引起人体病变和诱发癌症，危害人体的健康。</w:t>
      </w:r>
    </w:p>
    <w:p w14:paraId="001A93F0">
      <w:pPr>
        <w:pStyle w:val="16"/>
        <w:shd w:val="clear" w:color="auto" w:fill="FFFFFF"/>
        <w:spacing w:before="0" w:beforeAutospacing="0" w:after="150" w:afterAutospacing="0" w:line="594" w:lineRule="exact"/>
        <w:ind w:firstLine="420" w:firstLineChars="15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可分解致癌芳香胺染料不合格的原因主要有以下几方面：</w:t>
      </w:r>
    </w:p>
    <w:p w14:paraId="423985E7">
      <w:pPr>
        <w:pStyle w:val="16"/>
        <w:shd w:val="clear" w:color="auto" w:fill="FFFFFF"/>
        <w:spacing w:before="0" w:beforeAutospacing="0" w:after="150" w:afterAutospacing="0" w:line="594" w:lineRule="exact"/>
        <w:ind w:left="0" w:leftChars="0"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①企业为节约成本，在产品生产中使用了禁用偶氮染料做中间体，还原后产生了相应的芳香胺。</w:t>
      </w:r>
    </w:p>
    <w:p w14:paraId="646F8628">
      <w:pPr>
        <w:pStyle w:val="16"/>
        <w:shd w:val="clear" w:color="auto" w:fill="FFFFFF"/>
        <w:spacing w:before="0" w:beforeAutospacing="0" w:after="150" w:afterAutospacing="0" w:line="594" w:lineRule="exact"/>
        <w:ind w:left="0" w:leftChars="0"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②部分可分解致癌芳香胺染料染出的产品颜色鲜艳亮丽，个别企业为了追求服装的外观吸引消费者的眼球，冒险使用可分解致癌芳香胺染料。</w:t>
      </w:r>
    </w:p>
    <w:p w14:paraId="282B3B62">
      <w:pPr>
        <w:pStyle w:val="16"/>
        <w:shd w:val="clear" w:color="auto" w:fill="FFFFFF"/>
        <w:spacing w:before="0" w:beforeAutospacing="0" w:after="150" w:afterAutospacing="0" w:line="594" w:lineRule="exact"/>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③产品配件的引入，比如装饰线、缝纫线、花边等配件如果是用禁用偶氮染料染色，也会造成整个产品的不合格。</w:t>
      </w:r>
    </w:p>
    <w:p w14:paraId="6D32DEFD">
      <w:pPr>
        <w:pStyle w:val="16"/>
        <w:shd w:val="clear" w:color="auto" w:fill="FFFFFF"/>
        <w:spacing w:before="0" w:beforeAutospacing="0" w:after="150" w:afterAutospacing="0" w:line="594" w:lineRule="exact"/>
        <w:ind w:left="0" w:leftChars="0" w:firstLine="280" w:firstLineChars="1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　④可分解致癌芳香胺染料检测无论是对仪器还是对人员水平的要求都很高，一般规模的企业无法建立自检能力，加之送检成本较高，企业往往存在侥幸心理，产品未经检测就直接流入了市场。</w:t>
      </w:r>
    </w:p>
    <w:p w14:paraId="68BA5DC2">
      <w:pPr>
        <w:numPr>
          <w:ilvl w:val="0"/>
          <w:numId w:val="2"/>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色牢度</w:t>
      </w:r>
    </w:p>
    <w:p w14:paraId="1B3A6DC0">
      <w:pPr>
        <w:snapToGrid w:val="0"/>
        <w:spacing w:line="594" w:lineRule="exact"/>
        <w:ind w:firstLine="560" w:firstLineChars="200"/>
        <w:rPr>
          <w:rFonts w:ascii="仿宋_GB2312" w:hAnsi="Times New Roman" w:eastAsia="仿宋_GB2312" w:cs="Times New Roman"/>
          <w:color w:val="000000"/>
          <w:sz w:val="28"/>
          <w:szCs w:val="28"/>
        </w:rPr>
      </w:pPr>
      <w:r>
        <w:rPr>
          <w:rFonts w:hint="eastAsia" w:ascii="仿宋_GB2312" w:hAnsi="Times New Roman" w:eastAsia="仿宋_GB2312" w:cs="仿宋_GB2312"/>
          <w:color w:val="000000"/>
          <w:sz w:val="28"/>
          <w:szCs w:val="28"/>
        </w:rPr>
        <w:t>色牢度包含耐水色牢度、耐汗渍色牢度、耐干摩擦色牢度，为国家强制性的安全指标。</w:t>
      </w:r>
    </w:p>
    <w:p w14:paraId="70BFD3EE">
      <w:pPr>
        <w:pStyle w:val="7"/>
        <w:spacing w:line="360" w:lineRule="auto"/>
        <w:ind w:left="0" w:leftChars="0" w:firstLine="420" w:firstLineChars="150"/>
        <w:rPr>
          <w:rFonts w:hint="eastAsia" w:ascii="仿宋_GB2312" w:hAnsi="仿宋" w:eastAsia="仿宋_GB2312" w:cs="仿宋"/>
          <w:kern w:val="0"/>
          <w:sz w:val="28"/>
          <w:szCs w:val="28"/>
        </w:rPr>
      </w:pPr>
      <w:r>
        <w:rPr>
          <w:rFonts w:hint="eastAsia" w:ascii="仿宋_GB2312" w:hAnsi="Times New Roman" w:eastAsia="仿宋_GB2312" w:cs="仿宋_GB2312"/>
          <w:color w:val="000000"/>
          <w:kern w:val="2"/>
          <w:sz w:val="28"/>
          <w:szCs w:val="28"/>
        </w:rPr>
        <w:t>耐水色牢度是反映服装在一定水分、压力和温度的共同作用下，自身变色和对贴衬织物的沾色情况。织物浸渍水后脱落的染料不仅会影响织物的外观，还会对人体的健康产生潜在的危害。耐汗渍色牢度是反映服装在含有组氨酸的不同试液中，在压力、温度的共同作用下，自身变色和对贴衬织物的沾色情况。人们在穿着及人体出汗时，织物中的染料会借助汗液的作用而脱落并转移到皮肤上，对人体的健康有影响。且汗液会与有些纺织品上的染料发生复杂的反应，导致褪色或变色，影响织物的外观。纺织品服装在使用过程中经常要与其它物体进行摩擦，若染料的耐干摩擦色牢度不佳，在穿着过程中，一方面和皮肤摩擦，面料上脱落的染料会对人体的健康产生潜在的危害，另一方面如与其他衣物摩擦，也容易沾染其他衣物。</w:t>
      </w:r>
    </w:p>
    <w:p w14:paraId="4B53C993">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（二）抽查产品的行政许可管理</w:t>
      </w:r>
    </w:p>
    <w:p w14:paraId="4F314F4A">
      <w:pPr>
        <w:pStyle w:val="7"/>
        <w:spacing w:after="0" w:line="360" w:lineRule="auto"/>
        <w:ind w:left="0" w:leftChars="0" w:firstLine="560" w:firstLineChars="200"/>
        <w:rPr>
          <w:rFonts w:hint="eastAsia" w:ascii="仿宋_GB2312" w:hAnsi="仿宋" w:eastAsia="仿宋_GB2312" w:cs="仿宋"/>
          <w:kern w:val="0"/>
          <w:sz w:val="28"/>
          <w:szCs w:val="28"/>
          <w:highlight w:val="yellow"/>
        </w:rPr>
      </w:pPr>
      <w:r>
        <w:rPr>
          <w:rFonts w:hint="eastAsia" w:ascii="仿宋_GB2312" w:eastAsia="仿宋_GB2312" w:cs="仿宋_GB2312"/>
          <w:sz w:val="28"/>
          <w:szCs w:val="28"/>
        </w:rPr>
        <w:t>学生校服</w:t>
      </w:r>
      <w:r>
        <w:rPr>
          <w:rFonts w:hint="eastAsia" w:ascii="仿宋_GB2312" w:hAnsi="仿宋" w:eastAsia="仿宋_GB2312" w:cs="仿宋_GB2312"/>
          <w:sz w:val="28"/>
          <w:szCs w:val="28"/>
        </w:rPr>
        <w:t>产品质量目前无实施行政许可、市场准入和相关资质管理。</w:t>
      </w:r>
    </w:p>
    <w:p w14:paraId="18A4A31F">
      <w:pPr>
        <w:pStyle w:val="7"/>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（三）历次产品质量监督抽查情况</w:t>
      </w:r>
    </w:p>
    <w:p w14:paraId="67C25B55">
      <w:pPr>
        <w:pStyle w:val="15"/>
        <w:spacing w:after="0" w:line="240" w:lineRule="auto"/>
        <w:ind w:left="0" w:leftChars="0" w:firstLine="560" w:firstLineChars="200"/>
        <w:jc w:val="left"/>
        <w:rPr>
          <w:rFonts w:hint="eastAsia" w:ascii="仿宋_GB2312" w:hAnsi="仿宋" w:eastAsia="仿宋_GB2312" w:cs="仿宋"/>
          <w:kern w:val="0"/>
          <w:sz w:val="28"/>
          <w:szCs w:val="28"/>
        </w:rPr>
      </w:pPr>
      <w:r>
        <w:rPr>
          <w:rFonts w:hint="eastAsia" w:ascii="仿宋_GB2312" w:hAnsi="仿宋" w:eastAsia="仿宋_GB2312" w:cs="仿宋"/>
          <w:kern w:val="0"/>
          <w:sz w:val="28"/>
          <w:szCs w:val="28"/>
          <w:lang w:val="en-US" w:eastAsia="zh-CN"/>
        </w:rPr>
        <w:t>1</w:t>
      </w:r>
      <w:r>
        <w:rPr>
          <w:rFonts w:hint="eastAsia" w:ascii="仿宋_GB2312" w:hAnsi="仿宋" w:eastAsia="仿宋_GB2312" w:cs="仿宋"/>
          <w:kern w:val="0"/>
          <w:sz w:val="28"/>
          <w:szCs w:val="28"/>
        </w:rPr>
        <w:t>辽宁省局监督抽查质量情况</w:t>
      </w:r>
    </w:p>
    <w:p w14:paraId="02BBA4E4">
      <w:pPr>
        <w:spacing w:line="360" w:lineRule="auto"/>
        <w:ind w:firstLine="560" w:firstLineChars="200"/>
        <w:rPr>
          <w:rFonts w:ascii="仿宋_GB2312" w:eastAsia="仿宋_GB2312" w:cs="Times New Roman"/>
          <w:color w:val="000000"/>
          <w:sz w:val="28"/>
          <w:szCs w:val="28"/>
        </w:rPr>
      </w:pPr>
      <w:r>
        <w:rPr>
          <w:rFonts w:hint="eastAsia" w:ascii="仿宋_GB2312" w:eastAsia="仿宋_GB2312" w:cs="仿宋_GB2312"/>
          <w:sz w:val="28"/>
          <w:szCs w:val="28"/>
        </w:rPr>
        <w:t>近年来，辽宁省市场监督管理局对学生校服产品进行了多次的省</w:t>
      </w:r>
      <w:r>
        <w:rPr>
          <w:rFonts w:hint="eastAsia" w:ascii="仿宋_GB2312" w:eastAsia="仿宋_GB2312" w:cs="仿宋_GB2312"/>
          <w:color w:val="000000"/>
          <w:sz w:val="28"/>
          <w:szCs w:val="28"/>
        </w:rPr>
        <w:t>级监督抽查，近</w:t>
      </w:r>
      <w:r>
        <w:rPr>
          <w:rFonts w:ascii="仿宋_GB2312" w:eastAsia="仿宋_GB2312" w:cs="仿宋_GB2312"/>
          <w:color w:val="000000"/>
          <w:sz w:val="28"/>
          <w:szCs w:val="28"/>
        </w:rPr>
        <w:t>5</w:t>
      </w:r>
      <w:r>
        <w:rPr>
          <w:rFonts w:hint="eastAsia" w:ascii="仿宋_GB2312" w:eastAsia="仿宋_GB2312" w:cs="仿宋_GB2312"/>
          <w:color w:val="000000"/>
          <w:sz w:val="28"/>
          <w:szCs w:val="28"/>
        </w:rPr>
        <w:t>年的抽查情况详见表</w:t>
      </w:r>
      <w:r>
        <w:rPr>
          <w:rFonts w:ascii="仿宋_GB2312" w:eastAsia="仿宋_GB2312" w:cs="仿宋_GB2312"/>
          <w:color w:val="000000"/>
          <w:sz w:val="28"/>
          <w:szCs w:val="28"/>
        </w:rPr>
        <w:t>1</w:t>
      </w:r>
      <w:r>
        <w:rPr>
          <w:rFonts w:hint="eastAsia" w:ascii="仿宋_GB2312" w:eastAsia="仿宋_GB2312" w:cs="仿宋_GB2312"/>
          <w:color w:val="000000"/>
          <w:sz w:val="28"/>
          <w:szCs w:val="28"/>
        </w:rPr>
        <w:t>。抽查数据</w:t>
      </w:r>
      <w:r>
        <w:rPr>
          <w:rFonts w:hint="eastAsia" w:ascii="仿宋_GB2312" w:eastAsia="仿宋_GB2312" w:cs="仿宋_GB2312"/>
          <w:color w:val="000000"/>
          <w:sz w:val="28"/>
          <w:szCs w:val="28"/>
          <w:lang w:eastAsia="zh-CN"/>
        </w:rPr>
        <w:t>反映出</w:t>
      </w:r>
      <w:r>
        <w:rPr>
          <w:rFonts w:hint="eastAsia" w:ascii="仿宋_GB2312" w:eastAsia="仿宋_GB2312" w:cs="仿宋_GB2312"/>
          <w:color w:val="000000"/>
          <w:sz w:val="28"/>
          <w:szCs w:val="28"/>
        </w:rPr>
        <w:t>我省</w:t>
      </w:r>
      <w:r>
        <w:rPr>
          <w:rFonts w:hint="eastAsia" w:ascii="仿宋_GB2312" w:eastAsia="仿宋_GB2312" w:cs="仿宋_GB2312"/>
          <w:color w:val="000000"/>
          <w:sz w:val="28"/>
          <w:szCs w:val="28"/>
          <w:lang w:val="en-US" w:eastAsia="zh-CN"/>
        </w:rPr>
        <w:t>学生校服</w:t>
      </w:r>
      <w:r>
        <w:rPr>
          <w:rFonts w:hint="eastAsia" w:ascii="仿宋_GB2312" w:eastAsia="仿宋_GB2312" w:cs="仿宋_GB2312"/>
          <w:color w:val="000000"/>
          <w:sz w:val="28"/>
          <w:szCs w:val="28"/>
        </w:rPr>
        <w:t>的整体产品质量长期稳定在较高水平。</w:t>
      </w:r>
    </w:p>
    <w:p w14:paraId="522078D6">
      <w:pPr>
        <w:spacing w:line="580" w:lineRule="exact"/>
        <w:ind w:firstLine="960" w:firstLineChars="40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 xml:space="preserve">表1 </w:t>
      </w:r>
      <w:r>
        <w:rPr>
          <w:rFonts w:hint="eastAsia" w:ascii="仿宋_GB2312" w:hAnsi="仿宋_GB2312" w:eastAsia="仿宋_GB2312" w:cs="仿宋_GB2312"/>
          <w:color w:val="000000"/>
          <w:sz w:val="24"/>
          <w:szCs w:val="24"/>
          <w:lang w:val="en-US" w:eastAsia="zh-CN"/>
        </w:rPr>
        <w:t xml:space="preserve">  近5</w:t>
      </w:r>
      <w:r>
        <w:rPr>
          <w:rFonts w:hint="eastAsia" w:ascii="仿宋_GB2312" w:hAnsi="仿宋_GB2312" w:eastAsia="仿宋_GB2312" w:cs="仿宋_GB2312"/>
          <w:color w:val="000000"/>
          <w:sz w:val="24"/>
          <w:szCs w:val="24"/>
        </w:rPr>
        <w:t>年辽宁省学生服装产品质量监督抽查情况统计表</w:t>
      </w:r>
    </w:p>
    <w:tbl>
      <w:tblPr>
        <w:tblStyle w:val="19"/>
        <w:tblW w:w="892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64"/>
        <w:gridCol w:w="1110"/>
        <w:gridCol w:w="1080"/>
        <w:gridCol w:w="1155"/>
        <w:gridCol w:w="3825"/>
      </w:tblGrid>
      <w:tr w14:paraId="35C0F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tcPr>
          <w:p w14:paraId="0C541B47">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年份</w:t>
            </w:r>
          </w:p>
        </w:tc>
        <w:tc>
          <w:tcPr>
            <w:tcW w:w="964" w:type="dxa"/>
          </w:tcPr>
          <w:p w14:paraId="650C6E80">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抽查企业数</w:t>
            </w:r>
          </w:p>
        </w:tc>
        <w:tc>
          <w:tcPr>
            <w:tcW w:w="1110" w:type="dxa"/>
          </w:tcPr>
          <w:p w14:paraId="2D59AF7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抽查批次数</w:t>
            </w:r>
          </w:p>
        </w:tc>
        <w:tc>
          <w:tcPr>
            <w:tcW w:w="1080" w:type="dxa"/>
          </w:tcPr>
          <w:p w14:paraId="3BA898FF">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合格批次数</w:t>
            </w:r>
          </w:p>
        </w:tc>
        <w:tc>
          <w:tcPr>
            <w:tcW w:w="1155" w:type="dxa"/>
          </w:tcPr>
          <w:p w14:paraId="256F3816">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产品合格品率</w:t>
            </w:r>
          </w:p>
        </w:tc>
        <w:tc>
          <w:tcPr>
            <w:tcW w:w="3825" w:type="dxa"/>
          </w:tcPr>
          <w:p w14:paraId="1453DB4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不合格项目</w:t>
            </w:r>
          </w:p>
        </w:tc>
      </w:tr>
      <w:tr w14:paraId="79986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1D234BD0">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2019</w:t>
            </w:r>
          </w:p>
        </w:tc>
        <w:tc>
          <w:tcPr>
            <w:tcW w:w="964" w:type="dxa"/>
            <w:vAlign w:val="center"/>
          </w:tcPr>
          <w:p w14:paraId="48617840">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110" w:type="dxa"/>
            <w:vAlign w:val="center"/>
          </w:tcPr>
          <w:p w14:paraId="270669B4">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w:t>
            </w:r>
          </w:p>
        </w:tc>
        <w:tc>
          <w:tcPr>
            <w:tcW w:w="1080" w:type="dxa"/>
            <w:vAlign w:val="center"/>
          </w:tcPr>
          <w:p w14:paraId="668A51D8">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w:t>
            </w:r>
          </w:p>
        </w:tc>
        <w:tc>
          <w:tcPr>
            <w:tcW w:w="1155" w:type="dxa"/>
            <w:vAlign w:val="center"/>
          </w:tcPr>
          <w:p w14:paraId="6A99058E">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69.2</w:t>
            </w:r>
          </w:p>
        </w:tc>
        <w:tc>
          <w:tcPr>
            <w:tcW w:w="3825" w:type="dxa"/>
          </w:tcPr>
          <w:p w14:paraId="36CB65B0">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纤维含量、绳带、ph值、可分解致癌芳香胺染料、耐湿摩擦色牢度</w:t>
            </w:r>
          </w:p>
        </w:tc>
      </w:tr>
      <w:tr w14:paraId="6610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3C3596B1">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2020</w:t>
            </w:r>
          </w:p>
        </w:tc>
        <w:tc>
          <w:tcPr>
            <w:tcW w:w="964" w:type="dxa"/>
            <w:vAlign w:val="center"/>
          </w:tcPr>
          <w:p w14:paraId="5071D808">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w:t>
            </w:r>
          </w:p>
        </w:tc>
        <w:tc>
          <w:tcPr>
            <w:tcW w:w="1110" w:type="dxa"/>
            <w:vAlign w:val="center"/>
          </w:tcPr>
          <w:p w14:paraId="287D606D">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w:t>
            </w:r>
          </w:p>
        </w:tc>
        <w:tc>
          <w:tcPr>
            <w:tcW w:w="1080" w:type="dxa"/>
            <w:vAlign w:val="center"/>
          </w:tcPr>
          <w:p w14:paraId="7A5423BB">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w:t>
            </w:r>
          </w:p>
        </w:tc>
        <w:tc>
          <w:tcPr>
            <w:tcW w:w="1155" w:type="dxa"/>
            <w:vAlign w:val="center"/>
          </w:tcPr>
          <w:p w14:paraId="389A492A">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82.5</w:t>
            </w:r>
          </w:p>
        </w:tc>
        <w:tc>
          <w:tcPr>
            <w:tcW w:w="3825" w:type="dxa"/>
          </w:tcPr>
          <w:p w14:paraId="1B958C03">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纤维含量、pH值、耐湿摩擦色牢度、耐光色牢度、绳带、接缝强力、可分解致癌芳香胺染料</w:t>
            </w:r>
          </w:p>
        </w:tc>
      </w:tr>
      <w:tr w14:paraId="3F3C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43417E91">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2021</w:t>
            </w:r>
          </w:p>
        </w:tc>
        <w:tc>
          <w:tcPr>
            <w:tcW w:w="964" w:type="dxa"/>
            <w:vAlign w:val="center"/>
          </w:tcPr>
          <w:p w14:paraId="7B6CC979">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w:t>
            </w:r>
          </w:p>
        </w:tc>
        <w:tc>
          <w:tcPr>
            <w:tcW w:w="1110" w:type="dxa"/>
            <w:vAlign w:val="center"/>
          </w:tcPr>
          <w:p w14:paraId="4A434C2E">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58</w:t>
            </w:r>
          </w:p>
        </w:tc>
        <w:tc>
          <w:tcPr>
            <w:tcW w:w="1080" w:type="dxa"/>
            <w:vAlign w:val="center"/>
          </w:tcPr>
          <w:p w14:paraId="2D425B6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53</w:t>
            </w:r>
          </w:p>
        </w:tc>
        <w:tc>
          <w:tcPr>
            <w:tcW w:w="1155" w:type="dxa"/>
            <w:vAlign w:val="center"/>
          </w:tcPr>
          <w:p w14:paraId="47A4EAD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91.4</w:t>
            </w:r>
          </w:p>
        </w:tc>
        <w:tc>
          <w:tcPr>
            <w:tcW w:w="3825" w:type="dxa"/>
          </w:tcPr>
          <w:p w14:paraId="32F13A5D">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纤维含量、pH值、接缝强力</w:t>
            </w:r>
          </w:p>
        </w:tc>
      </w:tr>
      <w:tr w14:paraId="4A92A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7F2A5C60">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2022</w:t>
            </w:r>
          </w:p>
        </w:tc>
        <w:tc>
          <w:tcPr>
            <w:tcW w:w="964" w:type="dxa"/>
            <w:vAlign w:val="center"/>
          </w:tcPr>
          <w:p w14:paraId="5A7B862F">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1110" w:type="dxa"/>
            <w:vAlign w:val="center"/>
          </w:tcPr>
          <w:p w14:paraId="147B45FD">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1080" w:type="dxa"/>
            <w:vAlign w:val="center"/>
          </w:tcPr>
          <w:p w14:paraId="741D2C1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w:t>
            </w:r>
          </w:p>
        </w:tc>
        <w:tc>
          <w:tcPr>
            <w:tcW w:w="1155" w:type="dxa"/>
            <w:vAlign w:val="center"/>
          </w:tcPr>
          <w:p w14:paraId="77B5AE72">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92.0</w:t>
            </w:r>
          </w:p>
        </w:tc>
        <w:tc>
          <w:tcPr>
            <w:tcW w:w="3825" w:type="dxa"/>
          </w:tcPr>
          <w:p w14:paraId="61EE7B69">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纤维含量、pH值</w:t>
            </w:r>
          </w:p>
        </w:tc>
      </w:tr>
      <w:tr w14:paraId="0C11C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vAlign w:val="center"/>
          </w:tcPr>
          <w:p w14:paraId="58343B2C">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w:t>
            </w:r>
          </w:p>
        </w:tc>
        <w:tc>
          <w:tcPr>
            <w:tcW w:w="964" w:type="dxa"/>
            <w:vAlign w:val="center"/>
          </w:tcPr>
          <w:p w14:paraId="3D8B9F9A">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110" w:type="dxa"/>
            <w:vAlign w:val="center"/>
          </w:tcPr>
          <w:p w14:paraId="77A3BB56">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080" w:type="dxa"/>
            <w:vAlign w:val="center"/>
          </w:tcPr>
          <w:p w14:paraId="11708580">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1155" w:type="dxa"/>
            <w:vAlign w:val="center"/>
          </w:tcPr>
          <w:p w14:paraId="25C621BB">
            <w:pPr>
              <w:snapToGrid w:val="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85.0</w:t>
            </w:r>
          </w:p>
        </w:tc>
        <w:tc>
          <w:tcPr>
            <w:tcW w:w="3825" w:type="dxa"/>
          </w:tcPr>
          <w:p w14:paraId="49A9B22C">
            <w:pPr>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产品使用说明、接缝强力、绳带</w:t>
            </w:r>
          </w:p>
        </w:tc>
      </w:tr>
    </w:tbl>
    <w:p w14:paraId="6D1DA775">
      <w:pPr>
        <w:pStyle w:val="15"/>
        <w:spacing w:after="0" w:line="240" w:lineRule="auto"/>
        <w:ind w:left="0" w:leftChars="0" w:firstLine="560" w:firstLineChars="200"/>
        <w:jc w:val="left"/>
        <w:rPr>
          <w:rFonts w:hint="eastAsia" w:ascii="仿宋_GB2312" w:hAnsi="仿宋" w:eastAsia="仿宋_GB2312" w:cs="仿宋"/>
          <w:kern w:val="0"/>
          <w:sz w:val="28"/>
          <w:szCs w:val="28"/>
        </w:rPr>
      </w:pPr>
      <w:r>
        <w:rPr>
          <w:rFonts w:hint="eastAsia" w:ascii="仿宋_GB2312" w:hAnsi="仿宋" w:eastAsia="仿宋_GB2312" w:cs="仿宋"/>
          <w:kern w:val="0"/>
          <w:sz w:val="28"/>
          <w:szCs w:val="28"/>
          <w:lang w:val="en-US" w:eastAsia="zh-CN"/>
        </w:rPr>
        <w:t>2鞍山市</w:t>
      </w:r>
      <w:r>
        <w:rPr>
          <w:rFonts w:hint="eastAsia" w:ascii="仿宋_GB2312" w:hAnsi="仿宋" w:eastAsia="仿宋_GB2312" w:cs="仿宋"/>
          <w:kern w:val="0"/>
          <w:sz w:val="28"/>
          <w:szCs w:val="28"/>
        </w:rPr>
        <w:t>监督抽查质量情况</w:t>
      </w:r>
    </w:p>
    <w:p w14:paraId="10457C59">
      <w:pPr>
        <w:ind w:left="140" w:firstLine="560" w:firstLineChars="200"/>
        <w:rPr>
          <w:rFonts w:hint="eastAsia" w:ascii="仿宋_GB2312" w:hAnsi="仿宋" w:eastAsia="仿宋_GB2312" w:cs="仿宋"/>
          <w:kern w:val="0"/>
          <w:sz w:val="28"/>
          <w:szCs w:val="28"/>
        </w:rPr>
      </w:pPr>
      <w:r>
        <w:rPr>
          <w:rFonts w:hint="eastAsia" w:ascii="仿宋_GB2312" w:eastAsia="仿宋_GB2312" w:cs="仿宋_GB2312"/>
          <w:color w:val="000000"/>
          <w:sz w:val="28"/>
          <w:szCs w:val="28"/>
          <w:lang w:val="en-US" w:eastAsia="zh-CN"/>
        </w:rPr>
        <w:t>鞍山市近2</w:t>
      </w:r>
      <w:r>
        <w:rPr>
          <w:rFonts w:hint="eastAsia" w:ascii="仿宋_GB2312" w:eastAsia="仿宋_GB2312" w:cs="仿宋_GB2312"/>
          <w:color w:val="000000"/>
          <w:sz w:val="28"/>
          <w:szCs w:val="28"/>
        </w:rPr>
        <w:t>年对</w:t>
      </w:r>
      <w:r>
        <w:rPr>
          <w:rFonts w:hint="eastAsia" w:ascii="仿宋_GB2312" w:eastAsia="仿宋_GB2312" w:cs="仿宋_GB2312"/>
          <w:color w:val="000000"/>
          <w:sz w:val="28"/>
          <w:szCs w:val="28"/>
          <w:lang w:val="en-US" w:eastAsia="zh-CN"/>
        </w:rPr>
        <w:t>本市流通领域</w:t>
      </w:r>
      <w:r>
        <w:rPr>
          <w:rFonts w:hint="eastAsia" w:ascii="仿宋_GB2312" w:eastAsia="仿宋_GB2312" w:cs="仿宋_GB2312"/>
          <w:color w:val="000000"/>
          <w:sz w:val="28"/>
          <w:szCs w:val="28"/>
        </w:rPr>
        <w:t>的</w:t>
      </w:r>
      <w:r>
        <w:rPr>
          <w:rFonts w:hint="eastAsia" w:ascii="仿宋_GB2312" w:eastAsia="仿宋_GB2312" w:cs="仿宋_GB2312"/>
          <w:color w:val="000000"/>
          <w:sz w:val="28"/>
          <w:szCs w:val="28"/>
          <w:lang w:val="en-US" w:eastAsia="zh-CN"/>
        </w:rPr>
        <w:t>学生校服</w:t>
      </w:r>
      <w:r>
        <w:rPr>
          <w:rFonts w:hint="eastAsia" w:ascii="仿宋_GB2312" w:eastAsia="仿宋_GB2312" w:cs="仿宋_GB2312"/>
          <w:color w:val="000000"/>
          <w:sz w:val="28"/>
          <w:szCs w:val="28"/>
        </w:rPr>
        <w:t>产品进行了产品质量监督抽查，</w:t>
      </w:r>
      <w:r>
        <w:rPr>
          <w:rFonts w:hint="eastAsia" w:ascii="仿宋_GB2312" w:eastAsia="仿宋_GB2312" w:cs="仿宋_GB2312"/>
          <w:color w:val="000000"/>
          <w:sz w:val="28"/>
          <w:szCs w:val="28"/>
          <w:lang w:val="en-US" w:eastAsia="zh-CN"/>
        </w:rPr>
        <w:t>抽查结果</w:t>
      </w:r>
      <w:r>
        <w:rPr>
          <w:rFonts w:hint="eastAsia" w:ascii="仿宋_GB2312" w:eastAsia="仿宋_GB2312" w:cs="仿宋_GB2312"/>
          <w:color w:val="000000"/>
          <w:sz w:val="28"/>
          <w:szCs w:val="28"/>
        </w:rPr>
        <w:t>详见表</w:t>
      </w:r>
      <w:r>
        <w:rPr>
          <w:rFonts w:hint="eastAsia" w:ascii="仿宋_GB2312" w:eastAsia="仿宋_GB2312" w:cs="仿宋_GB2312"/>
          <w:color w:val="000000"/>
          <w:sz w:val="28"/>
          <w:szCs w:val="28"/>
          <w:lang w:val="en-US" w:eastAsia="zh-CN"/>
        </w:rPr>
        <w:t>2</w:t>
      </w:r>
      <w:r>
        <w:rPr>
          <w:rFonts w:hint="eastAsia" w:ascii="仿宋_GB2312" w:eastAsia="仿宋_GB2312" w:cs="仿宋_GB2312"/>
          <w:color w:val="000000"/>
          <w:sz w:val="28"/>
          <w:szCs w:val="28"/>
        </w:rPr>
        <w:t>。</w:t>
      </w:r>
    </w:p>
    <w:p w14:paraId="303D493D">
      <w:pPr>
        <w:spacing w:line="594"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表</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近</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年</w:t>
      </w:r>
      <w:r>
        <w:rPr>
          <w:rFonts w:hint="eastAsia" w:ascii="仿宋_GB2312" w:hAnsi="仿宋_GB2312" w:eastAsia="仿宋_GB2312" w:cs="仿宋_GB2312"/>
          <w:color w:val="000000"/>
          <w:sz w:val="24"/>
          <w:szCs w:val="24"/>
          <w:lang w:eastAsia="zh-CN"/>
        </w:rPr>
        <w:t>鞍山</w:t>
      </w:r>
      <w:r>
        <w:rPr>
          <w:rFonts w:hint="eastAsia" w:ascii="仿宋_GB2312" w:hAnsi="仿宋_GB2312" w:eastAsia="仿宋_GB2312" w:cs="仿宋_GB2312"/>
          <w:color w:val="000000"/>
          <w:sz w:val="24"/>
          <w:szCs w:val="24"/>
        </w:rPr>
        <w:t>市</w:t>
      </w:r>
      <w:r>
        <w:rPr>
          <w:rFonts w:hint="eastAsia" w:ascii="仿宋_GB2312" w:hAnsi="仿宋_GB2312" w:eastAsia="仿宋_GB2312" w:cs="仿宋_GB2312"/>
          <w:color w:val="000000"/>
          <w:sz w:val="24"/>
          <w:szCs w:val="24"/>
          <w:lang w:val="en-US" w:eastAsia="zh-CN"/>
        </w:rPr>
        <w:t>学生校服</w:t>
      </w:r>
      <w:r>
        <w:rPr>
          <w:rFonts w:hint="eastAsia" w:ascii="仿宋_GB2312" w:hAnsi="仿宋_GB2312" w:eastAsia="仿宋_GB2312" w:cs="仿宋_GB2312"/>
          <w:color w:val="000000"/>
          <w:sz w:val="24"/>
          <w:szCs w:val="24"/>
        </w:rPr>
        <w:t>产品质量监督抽查情况</w:t>
      </w:r>
    </w:p>
    <w:tbl>
      <w:tblPr>
        <w:tblStyle w:val="19"/>
        <w:tblW w:w="7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134"/>
        <w:gridCol w:w="1134"/>
        <w:gridCol w:w="1134"/>
        <w:gridCol w:w="1134"/>
        <w:gridCol w:w="1134"/>
        <w:gridCol w:w="1150"/>
      </w:tblGrid>
      <w:tr w14:paraId="4542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5" w:type="dxa"/>
            <w:vAlign w:val="center"/>
          </w:tcPr>
          <w:p w14:paraId="670C0A12">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年份</w:t>
            </w:r>
          </w:p>
        </w:tc>
        <w:tc>
          <w:tcPr>
            <w:tcW w:w="1134" w:type="dxa"/>
            <w:vAlign w:val="center"/>
          </w:tcPr>
          <w:p w14:paraId="7E16AB28">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抽查企业数（家）</w:t>
            </w:r>
          </w:p>
        </w:tc>
        <w:tc>
          <w:tcPr>
            <w:tcW w:w="1134" w:type="dxa"/>
            <w:vAlign w:val="center"/>
          </w:tcPr>
          <w:p w14:paraId="59CEACD0">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合格企业数（家）</w:t>
            </w:r>
          </w:p>
        </w:tc>
        <w:tc>
          <w:tcPr>
            <w:tcW w:w="1134" w:type="dxa"/>
            <w:tcBorders>
              <w:right w:val="single" w:color="auto" w:sz="4" w:space="0"/>
            </w:tcBorders>
            <w:vAlign w:val="center"/>
          </w:tcPr>
          <w:p w14:paraId="675E14F6">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企业合格率（％）</w:t>
            </w:r>
          </w:p>
        </w:tc>
        <w:tc>
          <w:tcPr>
            <w:tcW w:w="1134" w:type="dxa"/>
            <w:tcBorders>
              <w:left w:val="single" w:color="auto" w:sz="4" w:space="0"/>
            </w:tcBorders>
            <w:vAlign w:val="center"/>
          </w:tcPr>
          <w:p w14:paraId="432155C7">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抽查产品数（批）</w:t>
            </w:r>
          </w:p>
        </w:tc>
        <w:tc>
          <w:tcPr>
            <w:tcW w:w="1134" w:type="dxa"/>
            <w:vAlign w:val="center"/>
          </w:tcPr>
          <w:p w14:paraId="4202C281">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合格产品数（批）</w:t>
            </w:r>
          </w:p>
        </w:tc>
        <w:tc>
          <w:tcPr>
            <w:tcW w:w="1150" w:type="dxa"/>
            <w:vAlign w:val="center"/>
          </w:tcPr>
          <w:p w14:paraId="70245B8F">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产品合格率（％）</w:t>
            </w:r>
          </w:p>
        </w:tc>
      </w:tr>
      <w:tr w14:paraId="5EA8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5" w:type="dxa"/>
            <w:vAlign w:val="center"/>
          </w:tcPr>
          <w:p w14:paraId="41B44BB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2022</w:t>
            </w:r>
          </w:p>
        </w:tc>
        <w:tc>
          <w:tcPr>
            <w:tcW w:w="1134" w:type="dxa"/>
            <w:vAlign w:val="center"/>
          </w:tcPr>
          <w:p w14:paraId="4A82698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134" w:type="dxa"/>
            <w:vAlign w:val="center"/>
          </w:tcPr>
          <w:p w14:paraId="0A3CEED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34" w:type="dxa"/>
            <w:tcBorders>
              <w:right w:val="single" w:color="auto" w:sz="4" w:space="0"/>
            </w:tcBorders>
            <w:vAlign w:val="center"/>
          </w:tcPr>
          <w:p w14:paraId="5DF7D4F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25</w:t>
            </w:r>
          </w:p>
        </w:tc>
        <w:tc>
          <w:tcPr>
            <w:tcW w:w="1134" w:type="dxa"/>
            <w:tcBorders>
              <w:left w:val="single" w:color="auto" w:sz="4" w:space="0"/>
            </w:tcBorders>
            <w:vAlign w:val="center"/>
          </w:tcPr>
          <w:p w14:paraId="43119F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134" w:type="dxa"/>
            <w:vAlign w:val="center"/>
          </w:tcPr>
          <w:p w14:paraId="66C8E94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50" w:type="dxa"/>
            <w:vAlign w:val="center"/>
          </w:tcPr>
          <w:p w14:paraId="18C4004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25</w:t>
            </w:r>
          </w:p>
        </w:tc>
      </w:tr>
      <w:tr w14:paraId="43B78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5" w:type="dxa"/>
            <w:vAlign w:val="center"/>
          </w:tcPr>
          <w:p w14:paraId="78CC161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w:t>
            </w:r>
          </w:p>
        </w:tc>
        <w:tc>
          <w:tcPr>
            <w:tcW w:w="1134" w:type="dxa"/>
            <w:vAlign w:val="center"/>
          </w:tcPr>
          <w:p w14:paraId="7C484A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134" w:type="dxa"/>
            <w:vAlign w:val="center"/>
          </w:tcPr>
          <w:p w14:paraId="5740F6B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134" w:type="dxa"/>
            <w:tcBorders>
              <w:right w:val="single" w:color="auto" w:sz="4" w:space="0"/>
            </w:tcBorders>
            <w:vAlign w:val="center"/>
          </w:tcPr>
          <w:p w14:paraId="085EBEC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c>
          <w:tcPr>
            <w:tcW w:w="1134" w:type="dxa"/>
            <w:tcBorders>
              <w:left w:val="single" w:color="auto" w:sz="4" w:space="0"/>
            </w:tcBorders>
            <w:vAlign w:val="center"/>
          </w:tcPr>
          <w:p w14:paraId="3737817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134" w:type="dxa"/>
            <w:vAlign w:val="center"/>
          </w:tcPr>
          <w:p w14:paraId="7DBAAEC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150" w:type="dxa"/>
            <w:vAlign w:val="center"/>
          </w:tcPr>
          <w:p w14:paraId="62B8964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100</w:t>
            </w:r>
          </w:p>
        </w:tc>
      </w:tr>
    </w:tbl>
    <w:p w14:paraId="65E7BDA2">
      <w:pPr>
        <w:pStyle w:val="7"/>
        <w:spacing w:after="0" w:line="360" w:lineRule="auto"/>
        <w:ind w:left="0" w:leftChars="0" w:firstLine="560" w:firstLineChars="200"/>
        <w:rPr>
          <w:rFonts w:hint="eastAsia" w:ascii="仿宋_GB2312" w:hAnsi="仿宋" w:eastAsia="仿宋_GB2312" w:cs="仿宋"/>
          <w:kern w:val="0"/>
          <w:sz w:val="28"/>
          <w:szCs w:val="28"/>
        </w:rPr>
      </w:pPr>
      <w:r>
        <w:rPr>
          <w:rFonts w:hint="eastAsia" w:ascii="仿宋_GB2312" w:eastAsia="仿宋_GB2312" w:cs="仿宋_GB2312"/>
          <w:color w:val="000000"/>
          <w:sz w:val="28"/>
          <w:szCs w:val="28"/>
          <w:lang w:val="en-US" w:eastAsia="zh-CN"/>
        </w:rPr>
        <w:t>学生校服</w:t>
      </w:r>
      <w:r>
        <w:rPr>
          <w:rFonts w:hint="eastAsia" w:ascii="仿宋_GB2312" w:eastAsia="仿宋_GB2312" w:cs="仿宋_GB2312"/>
          <w:color w:val="000000"/>
          <w:sz w:val="28"/>
          <w:szCs w:val="28"/>
        </w:rPr>
        <w:t>产品存在质量隐患主要原因是市场竞争激烈，生产企业为了生存千方百计压缩成本而忽略了产品质量的控制。产品的质量问题很难通过普通消费者肉眼发现，只能通过专业检测机构进行验证。</w:t>
      </w:r>
    </w:p>
    <w:p w14:paraId="79534CC9">
      <w:pPr>
        <w:widowControl/>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三、抽查产品的标准体系状况</w:t>
      </w:r>
    </w:p>
    <w:p w14:paraId="64180B87">
      <w:pPr>
        <w:adjustRightInd w:val="0"/>
        <w:snapToGrid w:val="0"/>
        <w:spacing w:line="360" w:lineRule="auto"/>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我国</w:t>
      </w:r>
      <w:r>
        <w:rPr>
          <w:rFonts w:hint="eastAsia" w:ascii="仿宋_GB2312" w:eastAsia="仿宋_GB2312" w:cs="仿宋_GB2312"/>
          <w:sz w:val="28"/>
          <w:szCs w:val="28"/>
        </w:rPr>
        <w:t>学生校服</w:t>
      </w:r>
      <w:r>
        <w:rPr>
          <w:rFonts w:hint="eastAsia" w:ascii="仿宋_GB2312" w:hAnsi="仿宋" w:eastAsia="仿宋_GB2312" w:cs="仿宋_GB2312"/>
          <w:kern w:val="0"/>
          <w:sz w:val="28"/>
          <w:szCs w:val="28"/>
        </w:rPr>
        <w:t>产品的标准体系根据标准的性质分为安全标准、产品标准、通用基础标准、检测方法标准。相关标准如表3所示。</w:t>
      </w:r>
    </w:p>
    <w:p w14:paraId="0036B4A4">
      <w:pPr>
        <w:pStyle w:val="4"/>
      </w:pPr>
    </w:p>
    <w:p w14:paraId="26E8F5D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表3 标准一览表</w:t>
      </w:r>
    </w:p>
    <w:tbl>
      <w:tblPr>
        <w:tblStyle w:val="19"/>
        <w:tblW w:w="8917"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5"/>
        <w:gridCol w:w="6932"/>
      </w:tblGrid>
      <w:tr w14:paraId="4064E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985" w:type="dxa"/>
            <w:vAlign w:val="center"/>
          </w:tcPr>
          <w:p w14:paraId="6A4E02CB">
            <w:pPr>
              <w:adjustRightInd w:val="0"/>
              <w:snapToGrid w:val="0"/>
              <w:spacing w:line="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安全标准</w:t>
            </w:r>
          </w:p>
        </w:tc>
        <w:tc>
          <w:tcPr>
            <w:tcW w:w="6932" w:type="dxa"/>
            <w:vAlign w:val="center"/>
          </w:tcPr>
          <w:p w14:paraId="7F0D91D7">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 31701-2015《婴幼儿及儿童纺织产品安全技术规范》</w:t>
            </w:r>
          </w:p>
        </w:tc>
      </w:tr>
      <w:tr w14:paraId="0C3C5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restart"/>
            <w:vAlign w:val="center"/>
          </w:tcPr>
          <w:p w14:paraId="2D30BBEF">
            <w:pPr>
              <w:adjustRightInd w:val="0"/>
              <w:snapToGrid w:val="0"/>
              <w:spacing w:line="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产品标准</w:t>
            </w:r>
          </w:p>
        </w:tc>
        <w:tc>
          <w:tcPr>
            <w:tcW w:w="6932" w:type="dxa"/>
            <w:vAlign w:val="center"/>
          </w:tcPr>
          <w:p w14:paraId="41C8009C">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sz w:val="24"/>
                <w:szCs w:val="24"/>
              </w:rPr>
              <w:t>GB/T 31888-2015</w:t>
            </w:r>
            <w:r>
              <w:rPr>
                <w:rFonts w:hint="eastAsia" w:ascii="仿宋_GB2312" w:hAnsi="仿宋_GB2312" w:eastAsia="仿宋_GB2312" w:cs="仿宋_GB2312"/>
                <w:kern w:val="0"/>
                <w:sz w:val="24"/>
                <w:szCs w:val="24"/>
              </w:rPr>
              <w:t>《</w:t>
            </w:r>
            <w:r>
              <w:rPr>
                <w:rFonts w:hint="eastAsia" w:ascii="仿宋_GB2312" w:hAnsi="仿宋_GB2312" w:eastAsia="仿宋_GB2312" w:cs="仿宋_GB2312"/>
                <w:color w:val="000000"/>
                <w:sz w:val="24"/>
                <w:szCs w:val="24"/>
              </w:rPr>
              <w:t xml:space="preserve"> 中小学生校服技术要求</w:t>
            </w:r>
            <w:r>
              <w:rPr>
                <w:rFonts w:hint="eastAsia" w:ascii="仿宋_GB2312" w:hAnsi="仿宋_GB2312" w:eastAsia="仿宋_GB2312" w:cs="仿宋_GB2312"/>
                <w:kern w:val="0"/>
                <w:sz w:val="24"/>
                <w:szCs w:val="24"/>
              </w:rPr>
              <w:t>》</w:t>
            </w:r>
          </w:p>
        </w:tc>
      </w:tr>
      <w:tr w14:paraId="33E83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149541AA">
            <w:pPr>
              <w:adjustRightInd w:val="0"/>
              <w:snapToGrid w:val="0"/>
              <w:spacing w:line="0" w:lineRule="atLeast"/>
              <w:rPr>
                <w:rFonts w:hint="eastAsia" w:ascii="仿宋_GB2312" w:hAnsi="仿宋_GB2312" w:eastAsia="仿宋_GB2312" w:cs="仿宋_GB2312"/>
                <w:kern w:val="0"/>
                <w:sz w:val="24"/>
                <w:szCs w:val="24"/>
              </w:rPr>
            </w:pPr>
          </w:p>
        </w:tc>
        <w:tc>
          <w:tcPr>
            <w:tcW w:w="6932" w:type="dxa"/>
            <w:vAlign w:val="center"/>
          </w:tcPr>
          <w:p w14:paraId="24F946CB">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 xml:space="preserve">GB/T 22854-2009 </w:t>
            </w:r>
            <w:r>
              <w:rPr>
                <w:rFonts w:hint="eastAsia" w:ascii="仿宋_GB2312" w:hAnsi="仿宋_GB2312" w:eastAsia="仿宋_GB2312" w:cs="仿宋_GB2312"/>
                <w:kern w:val="0"/>
                <w:sz w:val="24"/>
                <w:szCs w:val="24"/>
              </w:rPr>
              <w:t>《</w:t>
            </w:r>
            <w:r>
              <w:rPr>
                <w:rFonts w:hint="eastAsia" w:ascii="仿宋_GB2312" w:hAnsi="仿宋_GB2312" w:eastAsia="仿宋_GB2312" w:cs="仿宋_GB2312"/>
                <w:sz w:val="24"/>
                <w:szCs w:val="24"/>
              </w:rPr>
              <w:t>针织学生服</w:t>
            </w:r>
            <w:r>
              <w:rPr>
                <w:rFonts w:hint="eastAsia" w:ascii="仿宋_GB2312" w:hAnsi="仿宋_GB2312" w:eastAsia="仿宋_GB2312" w:cs="仿宋_GB2312"/>
                <w:kern w:val="0"/>
                <w:sz w:val="24"/>
                <w:szCs w:val="24"/>
              </w:rPr>
              <w:t>》</w:t>
            </w:r>
          </w:p>
        </w:tc>
      </w:tr>
      <w:tr w14:paraId="4D103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continue"/>
            <w:vAlign w:val="center"/>
          </w:tcPr>
          <w:p w14:paraId="0E764C94">
            <w:pPr>
              <w:adjustRightInd w:val="0"/>
              <w:snapToGrid w:val="0"/>
              <w:spacing w:line="0" w:lineRule="atLeast"/>
              <w:rPr>
                <w:rFonts w:hint="eastAsia" w:ascii="仿宋_GB2312" w:hAnsi="仿宋_GB2312" w:eastAsia="仿宋_GB2312" w:cs="仿宋_GB2312"/>
                <w:kern w:val="0"/>
                <w:sz w:val="24"/>
                <w:szCs w:val="24"/>
              </w:rPr>
            </w:pPr>
          </w:p>
        </w:tc>
        <w:tc>
          <w:tcPr>
            <w:tcW w:w="6932" w:type="dxa"/>
            <w:vAlign w:val="center"/>
          </w:tcPr>
          <w:p w14:paraId="6D423774">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 xml:space="preserve">GB/T 23328-2009 </w:t>
            </w:r>
            <w:r>
              <w:rPr>
                <w:rFonts w:hint="eastAsia" w:ascii="仿宋_GB2312" w:hAnsi="仿宋_GB2312" w:eastAsia="仿宋_GB2312" w:cs="仿宋_GB2312"/>
                <w:kern w:val="0"/>
                <w:sz w:val="24"/>
                <w:szCs w:val="24"/>
              </w:rPr>
              <w:t>《</w:t>
            </w:r>
            <w:r>
              <w:rPr>
                <w:rFonts w:hint="eastAsia" w:ascii="仿宋_GB2312" w:hAnsi="仿宋_GB2312" w:eastAsia="仿宋_GB2312" w:cs="仿宋_GB2312"/>
                <w:sz w:val="24"/>
                <w:szCs w:val="24"/>
              </w:rPr>
              <w:t>机织学生服</w:t>
            </w:r>
            <w:r>
              <w:rPr>
                <w:rFonts w:hint="eastAsia" w:ascii="仿宋_GB2312" w:hAnsi="仿宋_GB2312" w:eastAsia="仿宋_GB2312" w:cs="仿宋_GB2312"/>
                <w:kern w:val="0"/>
                <w:sz w:val="24"/>
                <w:szCs w:val="24"/>
              </w:rPr>
              <w:t>》</w:t>
            </w:r>
          </w:p>
        </w:tc>
      </w:tr>
      <w:tr w14:paraId="7E76D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985" w:type="dxa"/>
            <w:vMerge w:val="restart"/>
            <w:vAlign w:val="center"/>
          </w:tcPr>
          <w:p w14:paraId="582C1A58">
            <w:pPr>
              <w:adjustRightInd w:val="0"/>
              <w:snapToGrid w:val="0"/>
              <w:spacing w:line="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通用基础标准</w:t>
            </w:r>
          </w:p>
        </w:tc>
        <w:tc>
          <w:tcPr>
            <w:tcW w:w="6932" w:type="dxa"/>
            <w:vAlign w:val="center"/>
          </w:tcPr>
          <w:p w14:paraId="485F05A3">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29862-2013 《纺织品 纤维含量的标识》</w:t>
            </w:r>
          </w:p>
        </w:tc>
      </w:tr>
      <w:tr w14:paraId="22496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85" w:type="dxa"/>
            <w:vMerge w:val="continue"/>
            <w:tcBorders>
              <w:top w:val="nil"/>
            </w:tcBorders>
            <w:vAlign w:val="center"/>
          </w:tcPr>
          <w:p w14:paraId="307BFF08">
            <w:pPr>
              <w:adjustRightInd w:val="0"/>
              <w:snapToGrid w:val="0"/>
              <w:spacing w:line="0" w:lineRule="atLeast"/>
              <w:ind w:firstLine="480" w:firstLineChars="200"/>
              <w:rPr>
                <w:rFonts w:hint="eastAsia" w:ascii="仿宋_GB2312" w:hAnsi="仿宋_GB2312" w:eastAsia="仿宋_GB2312" w:cs="仿宋_GB2312"/>
                <w:kern w:val="0"/>
                <w:sz w:val="24"/>
                <w:szCs w:val="24"/>
              </w:rPr>
            </w:pPr>
          </w:p>
        </w:tc>
        <w:tc>
          <w:tcPr>
            <w:tcW w:w="6932" w:type="dxa"/>
            <w:vAlign w:val="center"/>
          </w:tcPr>
          <w:p w14:paraId="085B92B7">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5296.4-2012《消费品使用说明 第4部分：纺织品和服装》</w:t>
            </w:r>
          </w:p>
        </w:tc>
      </w:tr>
      <w:tr w14:paraId="5F95B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restart"/>
            <w:vAlign w:val="center"/>
          </w:tcPr>
          <w:p w14:paraId="139E7222">
            <w:pPr>
              <w:adjustRightInd w:val="0"/>
              <w:snapToGrid w:val="0"/>
              <w:spacing w:line="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检测方法标</w:t>
            </w:r>
          </w:p>
          <w:p w14:paraId="5A59F5BD">
            <w:pPr>
              <w:adjustRightInd w:val="0"/>
              <w:snapToGrid w:val="0"/>
              <w:spacing w:line="0" w:lineRule="atLeas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（包括但不限于）</w:t>
            </w:r>
          </w:p>
        </w:tc>
        <w:tc>
          <w:tcPr>
            <w:tcW w:w="6932" w:type="dxa"/>
            <w:vAlign w:val="center"/>
          </w:tcPr>
          <w:p w14:paraId="5A6B5A17">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FZ/T 01057-2007（系列标准）</w:t>
            </w:r>
            <w:r>
              <w:rPr>
                <w:rFonts w:hint="eastAsia" w:ascii="仿宋_GB2312" w:hAnsi="仿宋_GB2312" w:eastAsia="仿宋_GB2312" w:cs="仿宋_GB2312"/>
                <w:kern w:val="0"/>
                <w:sz w:val="24"/>
                <w:szCs w:val="24"/>
              </w:rPr>
              <w:t>《</w:t>
            </w:r>
            <w:r>
              <w:rPr>
                <w:rFonts w:hint="eastAsia" w:ascii="仿宋_GB2312" w:hAnsi="仿宋_GB2312" w:eastAsia="仿宋_GB2312" w:cs="仿宋_GB2312"/>
                <w:color w:val="000000"/>
                <w:sz w:val="24"/>
                <w:szCs w:val="24"/>
              </w:rPr>
              <w:t>纺织纤维鉴别试验方法</w:t>
            </w:r>
            <w:r>
              <w:rPr>
                <w:rFonts w:hint="eastAsia" w:ascii="仿宋_GB2312" w:hAnsi="仿宋_GB2312" w:eastAsia="仿宋_GB2312" w:cs="仿宋_GB2312"/>
                <w:kern w:val="0"/>
                <w:sz w:val="24"/>
                <w:szCs w:val="24"/>
              </w:rPr>
              <w:t>》</w:t>
            </w:r>
          </w:p>
        </w:tc>
      </w:tr>
      <w:tr w14:paraId="1D6D5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54A5A76A">
            <w:pPr>
              <w:adjustRightInd w:val="0"/>
              <w:snapToGrid w:val="0"/>
              <w:spacing w:line="360" w:lineRule="auto"/>
              <w:rPr>
                <w:rFonts w:hint="eastAsia" w:ascii="仿宋_GB2312" w:hAnsi="仿宋_GB2312" w:eastAsia="仿宋_GB2312" w:cs="仿宋_GB2312"/>
                <w:kern w:val="0"/>
                <w:sz w:val="24"/>
                <w:szCs w:val="24"/>
              </w:rPr>
            </w:pPr>
          </w:p>
        </w:tc>
        <w:tc>
          <w:tcPr>
            <w:tcW w:w="6932" w:type="dxa"/>
            <w:vAlign w:val="center"/>
          </w:tcPr>
          <w:p w14:paraId="2DEF9230">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FZ/T 01095-2002</w:t>
            </w:r>
            <w:r>
              <w:rPr>
                <w:rFonts w:hint="eastAsia" w:ascii="仿宋_GB2312" w:hAnsi="仿宋_GB2312" w:eastAsia="仿宋_GB2312" w:cs="仿宋_GB2312"/>
                <w:kern w:val="0"/>
                <w:sz w:val="24"/>
                <w:szCs w:val="24"/>
              </w:rPr>
              <w:t>《</w:t>
            </w:r>
            <w:r>
              <w:rPr>
                <w:rFonts w:hint="eastAsia" w:ascii="仿宋_GB2312" w:hAnsi="仿宋_GB2312" w:eastAsia="仿宋_GB2312" w:cs="仿宋_GB2312"/>
                <w:color w:val="000000"/>
                <w:sz w:val="24"/>
                <w:szCs w:val="24"/>
              </w:rPr>
              <w:t>纺织品 氨纶产品纤维含量的试验方法</w:t>
            </w:r>
            <w:r>
              <w:rPr>
                <w:rFonts w:hint="eastAsia" w:ascii="仿宋_GB2312" w:hAnsi="仿宋_GB2312" w:eastAsia="仿宋_GB2312" w:cs="仿宋_GB2312"/>
                <w:kern w:val="0"/>
                <w:sz w:val="24"/>
                <w:szCs w:val="24"/>
              </w:rPr>
              <w:t>》</w:t>
            </w:r>
          </w:p>
        </w:tc>
      </w:tr>
      <w:tr w14:paraId="32EBCE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3BA44781">
            <w:pPr>
              <w:adjustRightInd w:val="0"/>
              <w:snapToGrid w:val="0"/>
              <w:spacing w:line="360" w:lineRule="auto"/>
              <w:rPr>
                <w:rFonts w:hint="eastAsia" w:ascii="仿宋_GB2312" w:hAnsi="仿宋_GB2312" w:eastAsia="仿宋_GB2312" w:cs="仿宋_GB2312"/>
                <w:kern w:val="0"/>
                <w:sz w:val="24"/>
                <w:szCs w:val="24"/>
              </w:rPr>
            </w:pPr>
          </w:p>
        </w:tc>
        <w:tc>
          <w:tcPr>
            <w:tcW w:w="6932" w:type="dxa"/>
            <w:vAlign w:val="center"/>
          </w:tcPr>
          <w:p w14:paraId="6661C2BA">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2912.1-2009《纺织品  甲醛的测定第1部分：游离和水解的甲醛（水萃取法）》</w:t>
            </w:r>
          </w:p>
        </w:tc>
      </w:tr>
      <w:tr w14:paraId="06673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0250E386">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0094AC30">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7573-2009  《纺织品 水萃取液pH值的测定》</w:t>
            </w:r>
          </w:p>
        </w:tc>
      </w:tr>
      <w:tr w14:paraId="34A99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72B67565">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3CE3AD86">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5713-2013  《纺织品色牢度试验  耐水色牢度》</w:t>
            </w:r>
          </w:p>
        </w:tc>
      </w:tr>
      <w:tr w14:paraId="75D4A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1189DED1">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3E1FB64A">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3922-2013  《纺织品色牢度试验  耐汗渍色牢度》</w:t>
            </w:r>
          </w:p>
        </w:tc>
      </w:tr>
      <w:tr w14:paraId="4B74B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40A7F037">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4C73F8D0">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3920-2008  《纺织品色牢度试验  耐摩擦色牢度》</w:t>
            </w:r>
          </w:p>
        </w:tc>
      </w:tr>
      <w:tr w14:paraId="21DEC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36C0DB2C">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10ADA87C">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3921-2008  《纺织品色牢度试验  耐皂洗色牢度》</w:t>
            </w:r>
          </w:p>
        </w:tc>
      </w:tr>
      <w:tr w14:paraId="4504A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6E589FE5">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45BD7EF7">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14576-2009 《纺织品色牢度试验  耐光、汗复合色牢度》</w:t>
            </w:r>
          </w:p>
        </w:tc>
      </w:tr>
      <w:tr w14:paraId="5DBBAF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985" w:type="dxa"/>
            <w:vMerge w:val="continue"/>
            <w:vAlign w:val="center"/>
          </w:tcPr>
          <w:p w14:paraId="692A63DE">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20770BB4">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8427-2008  《纺织品 色牢度试验 耐人造光色牢度：氙弧</w:t>
            </w:r>
            <w:r>
              <w:rPr>
                <w:rFonts w:hint="eastAsia" w:ascii="仿宋_GB2312" w:hAnsi="仿宋_GB2312" w:eastAsia="仿宋_GB2312" w:cs="仿宋_GB2312"/>
                <w:kern w:val="0"/>
                <w:sz w:val="24"/>
                <w:szCs w:val="24"/>
              </w:rPr>
              <w:t>》</w:t>
            </w:r>
          </w:p>
        </w:tc>
      </w:tr>
      <w:tr w14:paraId="46674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1985" w:type="dxa"/>
            <w:vMerge w:val="continue"/>
            <w:vAlign w:val="center"/>
          </w:tcPr>
          <w:p w14:paraId="0E88D1C1">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6932" w:type="dxa"/>
            <w:vAlign w:val="center"/>
          </w:tcPr>
          <w:p w14:paraId="2821B105">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8427-2019 《纺织品 色牢度试验 耐人造光色牢度：氙弧</w:t>
            </w:r>
            <w:r>
              <w:rPr>
                <w:rFonts w:hint="eastAsia" w:ascii="仿宋_GB2312" w:hAnsi="仿宋_GB2312" w:eastAsia="仿宋_GB2312" w:cs="仿宋_GB2312"/>
                <w:kern w:val="0"/>
                <w:sz w:val="24"/>
                <w:szCs w:val="24"/>
              </w:rPr>
              <w:t>》</w:t>
            </w:r>
          </w:p>
        </w:tc>
      </w:tr>
    </w:tbl>
    <w:p w14:paraId="39DDC5FB">
      <w:pPr>
        <w:spacing w:line="360" w:lineRule="auto"/>
        <w:outlineLvl w:val="0"/>
        <w:rPr>
          <w:rFonts w:ascii="黑体" w:hAnsi="黑体" w:eastAsia="黑体" w:cs="黑体"/>
          <w:sz w:val="32"/>
          <w:szCs w:val="32"/>
        </w:rPr>
      </w:pPr>
      <w:r>
        <w:rPr>
          <w:rFonts w:hint="eastAsia" w:ascii="仿宋_GB2312" w:hAnsi="仿宋" w:eastAsia="仿宋_GB2312" w:cs="仿宋"/>
          <w:b/>
          <w:bCs/>
          <w:kern w:val="0"/>
          <w:sz w:val="28"/>
          <w:szCs w:val="28"/>
        </w:rPr>
        <w:t>四、</w:t>
      </w:r>
      <w:r>
        <w:rPr>
          <w:rFonts w:hint="eastAsia" w:ascii="仿宋_GB2312" w:hAnsi="黑体" w:eastAsia="仿宋_GB2312" w:cs="黑体"/>
          <w:b/>
          <w:sz w:val="28"/>
          <w:szCs w:val="28"/>
        </w:rPr>
        <w:t>抽查产品质量监督抽查实施细则</w:t>
      </w:r>
    </w:p>
    <w:p w14:paraId="33C5E5AE">
      <w:pPr>
        <w:pStyle w:val="16"/>
        <w:spacing w:line="360" w:lineRule="auto"/>
        <w:rPr>
          <w:highlight w:val="none"/>
        </w:rPr>
      </w:pPr>
      <w:r>
        <w:rPr>
          <w:rFonts w:hint="eastAsia"/>
          <w:highlight w:val="none"/>
        </w:rPr>
        <w:t>依据</w:t>
      </w:r>
      <w:r>
        <w:rPr>
          <w:rFonts w:hint="eastAsia"/>
          <w:highlight w:val="none"/>
          <w:lang w:val="en-US" w:eastAsia="zh-CN"/>
        </w:rPr>
        <w:t>鞍山市</w:t>
      </w:r>
      <w:r>
        <w:rPr>
          <w:rFonts w:hint="eastAsia" w:ascii="仿宋_GB2312" w:hAnsi="仿宋" w:eastAsia="仿宋_GB2312" w:cs="仿宋"/>
          <w:kern w:val="0"/>
          <w:sz w:val="28"/>
          <w:szCs w:val="28"/>
          <w:highlight w:val="none"/>
        </w:rPr>
        <w:t>市场监督管理局</w:t>
      </w:r>
      <w:r>
        <w:rPr>
          <w:rFonts w:hint="eastAsia"/>
          <w:highlight w:val="none"/>
        </w:rPr>
        <w:t>发布的</w:t>
      </w:r>
      <w:r>
        <w:rPr>
          <w:rFonts w:hint="eastAsia"/>
          <w:highlight w:val="none"/>
          <w:lang w:val="en-US" w:eastAsia="zh-CN"/>
        </w:rPr>
        <w:t>《鞍山市校服产品质量监督抽查实施细则》。</w:t>
      </w:r>
    </w:p>
    <w:p w14:paraId="1D9732AF">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五、抽查产品范围及抽样方式</w:t>
      </w:r>
    </w:p>
    <w:p w14:paraId="7326FFC7">
      <w:pPr>
        <w:pStyle w:val="7"/>
        <w:spacing w:after="0" w:line="360" w:lineRule="auto"/>
        <w:ind w:left="0" w:leftChars="0" w:firstLine="560" w:firstLineChars="200"/>
        <w:outlineLvl w:val="1"/>
        <w:rPr>
          <w:rFonts w:hint="eastAsia"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（一）拟抽查产品范围</w:t>
      </w:r>
    </w:p>
    <w:p w14:paraId="7080654A">
      <w:pPr>
        <w:pStyle w:val="7"/>
        <w:spacing w:after="0" w:line="360" w:lineRule="auto"/>
        <w:ind w:left="0" w:leftChars="0" w:firstLine="560" w:firstLineChars="200"/>
        <w:outlineLvl w:val="1"/>
        <w:rPr>
          <w:rFonts w:hint="eastAsia"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（二）抽样方式</w:t>
      </w:r>
    </w:p>
    <w:p w14:paraId="5702AA48">
      <w:pPr>
        <w:adjustRightInd w:val="0"/>
        <w:snapToGrid w:val="0"/>
        <w:spacing w:line="360" w:lineRule="auto"/>
        <w:ind w:firstLine="560" w:firstLineChars="200"/>
        <w:rPr>
          <w:rFonts w:ascii="仿宋_GB2312" w:hAnsi="仿宋" w:eastAsia="仿宋_GB2312" w:cs="仿宋"/>
          <w:sz w:val="28"/>
          <w:szCs w:val="28"/>
          <w:highlight w:val="none"/>
        </w:rPr>
      </w:pPr>
      <w:r>
        <w:rPr>
          <w:rFonts w:hint="eastAsia" w:ascii="仿宋_GB2312" w:hAnsi="仿宋" w:eastAsia="仿宋_GB2312" w:cs="仿宋"/>
          <w:sz w:val="28"/>
          <w:szCs w:val="28"/>
          <w:highlight w:val="none"/>
        </w:rPr>
        <w:t>1.抽样领域</w:t>
      </w:r>
    </w:p>
    <w:p w14:paraId="486EBD49">
      <w:pPr>
        <w:spacing w:line="360" w:lineRule="auto"/>
        <w:ind w:firstLine="560" w:firstLineChars="200"/>
        <w:rPr>
          <w:rFonts w:ascii="仿宋_GB2312" w:hAnsi="仿宋" w:eastAsia="仿宋_GB2312" w:cs="仿宋"/>
          <w:sz w:val="28"/>
          <w:szCs w:val="28"/>
          <w:highlight w:val="none"/>
        </w:rPr>
      </w:pPr>
      <w:r>
        <w:rPr>
          <w:rFonts w:hint="eastAsia" w:ascii="仿宋_GB2312" w:hAnsi="仿宋_GB2312" w:eastAsia="仿宋_GB2312" w:cs="仿宋_GB2312"/>
          <w:sz w:val="28"/>
          <w:szCs w:val="28"/>
          <w:highlight w:val="none"/>
          <w:lang w:val="en-US" w:eastAsia="zh-CN"/>
        </w:rPr>
        <w:t>流通领域。</w:t>
      </w:r>
    </w:p>
    <w:p w14:paraId="4416804F">
      <w:pPr>
        <w:adjustRightInd w:val="0"/>
        <w:snapToGrid w:val="0"/>
        <w:spacing w:after="120" w:line="360" w:lineRule="auto"/>
        <w:ind w:firstLine="560" w:firstLineChars="200"/>
        <w:rPr>
          <w:rFonts w:ascii="仿宋_GB2312" w:hAnsi="仿宋" w:eastAsia="仿宋_GB2312" w:cs="仿宋"/>
          <w:sz w:val="28"/>
          <w:szCs w:val="28"/>
          <w:highlight w:val="none"/>
        </w:rPr>
      </w:pPr>
      <w:r>
        <w:rPr>
          <w:rFonts w:hint="eastAsia" w:ascii="仿宋_GB2312" w:hAnsi="仿宋" w:eastAsia="仿宋_GB2312" w:cs="仿宋"/>
          <w:sz w:val="28"/>
          <w:szCs w:val="28"/>
          <w:highlight w:val="none"/>
        </w:rPr>
        <w:t>2.样品型号或规格</w:t>
      </w:r>
    </w:p>
    <w:p w14:paraId="326401F2">
      <w:pPr>
        <w:adjustRightInd w:val="0"/>
        <w:snapToGrid w:val="0"/>
        <w:spacing w:after="120" w:line="360" w:lineRule="auto"/>
        <w:ind w:firstLine="560" w:firstLineChars="200"/>
        <w:rPr>
          <w:rFonts w:ascii="仿宋_GB2312" w:hAnsi="仿宋" w:eastAsia="仿宋_GB2312" w:cs="仿宋"/>
          <w:sz w:val="28"/>
          <w:szCs w:val="28"/>
          <w:highlight w:val="none"/>
        </w:rPr>
      </w:pPr>
      <w:r>
        <w:rPr>
          <w:rFonts w:hint="eastAsia" w:ascii="仿宋_GB2312" w:hAnsi="宋体" w:eastAsia="仿宋_GB2312"/>
          <w:sz w:val="28"/>
          <w:szCs w:val="28"/>
          <w:highlight w:val="none"/>
        </w:rPr>
        <w:t>抽取样品应为同一</w:t>
      </w:r>
      <w:r>
        <w:rPr>
          <w:rFonts w:hint="eastAsia" w:ascii="仿宋_GB2312" w:hAnsi="宋体" w:eastAsia="仿宋_GB2312"/>
          <w:sz w:val="28"/>
          <w:szCs w:val="28"/>
          <w:highlight w:val="none"/>
          <w:lang w:val="en-US" w:eastAsia="zh-CN"/>
        </w:rPr>
        <w:t>颜色</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同一批号/款号/货号的</w:t>
      </w:r>
      <w:r>
        <w:rPr>
          <w:rFonts w:hint="eastAsia" w:ascii="仿宋_GB2312" w:hAnsi="宋体" w:eastAsia="仿宋_GB2312"/>
          <w:sz w:val="28"/>
          <w:szCs w:val="28"/>
          <w:highlight w:val="none"/>
        </w:rPr>
        <w:t>产品。</w:t>
      </w:r>
    </w:p>
    <w:p w14:paraId="2C4AE86B">
      <w:pPr>
        <w:adjustRightInd w:val="0"/>
        <w:snapToGrid w:val="0"/>
        <w:spacing w:after="120" w:line="360" w:lineRule="auto"/>
        <w:ind w:firstLine="560" w:firstLineChars="200"/>
        <w:rPr>
          <w:rFonts w:ascii="仿宋_GB2312" w:hAnsi="仿宋" w:eastAsia="仿宋_GB2312" w:cs="仿宋"/>
          <w:sz w:val="28"/>
          <w:szCs w:val="28"/>
          <w:highlight w:val="none"/>
        </w:rPr>
      </w:pPr>
      <w:r>
        <w:rPr>
          <w:rFonts w:hint="eastAsia" w:ascii="仿宋_GB2312" w:hAnsi="仿宋" w:eastAsia="仿宋_GB2312" w:cs="仿宋"/>
          <w:sz w:val="28"/>
          <w:szCs w:val="28"/>
          <w:highlight w:val="none"/>
        </w:rPr>
        <w:t>3.</w:t>
      </w:r>
      <w:r>
        <w:rPr>
          <w:rFonts w:ascii="仿宋_GB2312" w:hAnsi="仿宋" w:eastAsia="仿宋_GB2312" w:cs="仿宋"/>
          <w:sz w:val="28"/>
          <w:szCs w:val="28"/>
          <w:highlight w:val="none"/>
        </w:rPr>
        <w:t>抽样方法和数量</w:t>
      </w:r>
    </w:p>
    <w:p w14:paraId="6523A9A9">
      <w:pPr>
        <w:adjustRightInd w:val="0"/>
        <w:snapToGrid w:val="0"/>
        <w:spacing w:after="120" w:line="360" w:lineRule="auto"/>
        <w:ind w:firstLine="560" w:firstLineChars="200"/>
        <w:rPr>
          <w:rFonts w:ascii="仿宋_GB2312" w:hAnsi="仿宋" w:eastAsia="仿宋_GB2312" w:cs="仿宋"/>
          <w:sz w:val="28"/>
          <w:szCs w:val="28"/>
          <w:highlight w:val="none"/>
        </w:rPr>
      </w:pPr>
      <w:r>
        <w:rPr>
          <w:rFonts w:ascii="仿宋_GB2312" w:hAnsi="仿宋" w:eastAsia="仿宋_GB2312" w:cs="仿宋"/>
          <w:sz w:val="28"/>
          <w:szCs w:val="28"/>
          <w:highlight w:val="none"/>
        </w:rPr>
        <w:t>随机抽取有产品质量检验合格证明或者以其他形式表明合格的、近期生产的产品。</w:t>
      </w:r>
    </w:p>
    <w:p w14:paraId="61558CE9">
      <w:pPr>
        <w:adjustRightInd w:val="0"/>
        <w:snapToGrid w:val="0"/>
        <w:spacing w:after="120" w:line="360" w:lineRule="auto"/>
        <w:ind w:firstLine="560" w:firstLineChars="200"/>
        <w:rPr>
          <w:rFonts w:ascii="仿宋_GB2312" w:hAnsi="仿宋" w:eastAsia="仿宋_GB2312" w:cs="仿宋"/>
          <w:sz w:val="28"/>
          <w:szCs w:val="28"/>
          <w:highlight w:val="none"/>
        </w:rPr>
      </w:pPr>
      <w:r>
        <w:rPr>
          <w:rFonts w:ascii="仿宋_GB2312" w:hAnsi="仿宋" w:eastAsia="仿宋_GB2312" w:cs="仿宋"/>
          <w:sz w:val="28"/>
          <w:szCs w:val="28"/>
          <w:highlight w:val="none"/>
        </w:rPr>
        <w:t>抽样基数满足抽样数量即可。</w:t>
      </w:r>
    </w:p>
    <w:p w14:paraId="4175D9B7">
      <w:pPr>
        <w:adjustRightInd w:val="0"/>
        <w:snapToGrid w:val="0"/>
        <w:spacing w:after="120" w:line="360" w:lineRule="auto"/>
        <w:ind w:firstLine="560" w:firstLineChars="200"/>
        <w:rPr>
          <w:rFonts w:hint="eastAsia"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学生校服</w:t>
      </w:r>
      <w:r>
        <w:rPr>
          <w:rFonts w:hint="eastAsia" w:ascii="仿宋_GB2312" w:hAnsi="宋体" w:eastAsia="仿宋_GB2312"/>
          <w:sz w:val="28"/>
          <w:szCs w:val="28"/>
          <w:highlight w:val="none"/>
        </w:rPr>
        <w:t>产品抽取的样品数量</w:t>
      </w:r>
      <w:r>
        <w:rPr>
          <w:rFonts w:hint="eastAsia" w:ascii="仿宋_GB2312" w:hAnsi="宋体" w:eastAsia="仿宋_GB2312"/>
          <w:sz w:val="28"/>
          <w:szCs w:val="28"/>
          <w:highlight w:val="none"/>
          <w:lang w:val="en-US" w:eastAsia="zh-CN"/>
        </w:rPr>
        <w:t>为3件/条/套，其中2件/条/套为检验样品，1件/条/套为备用样品。</w:t>
      </w:r>
    </w:p>
    <w:p w14:paraId="1647A56B">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六、跟踪抽查情况</w:t>
      </w:r>
    </w:p>
    <w:p w14:paraId="416FBE2E">
      <w:pPr>
        <w:spacing w:line="360" w:lineRule="auto"/>
        <w:ind w:firstLine="560" w:firstLineChars="200"/>
        <w:outlineLvl w:val="0"/>
        <w:rPr>
          <w:rFonts w:hint="eastAsia" w:ascii="仿宋_GB2312" w:hAnsi="宋体" w:eastAsia="仿宋_GB2312"/>
          <w:kern w:val="0"/>
          <w:sz w:val="28"/>
          <w:szCs w:val="28"/>
          <w:highlight w:val="none"/>
          <w:lang w:val="en-US" w:eastAsia="zh-CN"/>
        </w:rPr>
      </w:pPr>
      <w:r>
        <w:rPr>
          <w:rFonts w:hint="eastAsia" w:ascii="仿宋_GB2312" w:hAnsi="宋体" w:eastAsia="仿宋_GB2312"/>
          <w:kern w:val="0"/>
          <w:sz w:val="28"/>
          <w:szCs w:val="28"/>
          <w:highlight w:val="none"/>
          <w:lang w:val="en-US" w:eastAsia="zh-CN"/>
        </w:rPr>
        <w:t>无。</w:t>
      </w:r>
    </w:p>
    <w:p w14:paraId="4C2EF74A">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七、抽查工作分工和进度安排</w:t>
      </w:r>
    </w:p>
    <w:p w14:paraId="09ACB8A2">
      <w:pPr>
        <w:pStyle w:val="7"/>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（一）抽查地区、抽样批次、抽样分工</w:t>
      </w:r>
    </w:p>
    <w:p w14:paraId="36F0D88A">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抽样地区：全市范围内。涵盖市内各区及周边区市县城等地区的学生校服</w:t>
      </w:r>
      <w:r>
        <w:rPr>
          <w:rFonts w:hint="eastAsia" w:ascii="仿宋" w:hAnsi="仿宋" w:eastAsia="仿宋" w:cs="仿宋"/>
          <w:kern w:val="0"/>
          <w:sz w:val="28"/>
          <w:szCs w:val="28"/>
          <w:highlight w:val="none"/>
        </w:rPr>
        <w:t>流</w:t>
      </w:r>
      <w:r>
        <w:rPr>
          <w:rFonts w:hint="eastAsia" w:ascii="仿宋_GB2312" w:hAnsi="仿宋" w:eastAsia="仿宋_GB2312" w:cs="仿宋"/>
          <w:kern w:val="0"/>
          <w:sz w:val="28"/>
          <w:szCs w:val="28"/>
          <w:highlight w:val="none"/>
          <w:lang w:val="en-US" w:eastAsia="zh-CN" w:bidi="ar-SA"/>
        </w:rPr>
        <w:t>通领域经销点，抽查兼顾大、中、小型企业，能够真实反映鞍山市流通领域目前学生校服产品的总体质量状况。</w:t>
      </w:r>
    </w:p>
    <w:p w14:paraId="320D1B94">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 xml:space="preserve">抽样批次：本次拟抽查10批次样品，全部流通领域采样。 </w:t>
      </w:r>
    </w:p>
    <w:p w14:paraId="70D81C0F">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抽样分工：按照“抽检分离”原则，机构内抽样人员与检验人员分离。合理规划抽样人员，每组抽样人员不少于2人，抽样人员从抽样单位在备案的名录库中随机产生。</w:t>
      </w:r>
    </w:p>
    <w:p w14:paraId="3B9C5FBF">
      <w:pPr>
        <w:pStyle w:val="7"/>
        <w:spacing w:after="0" w:line="360" w:lineRule="auto"/>
        <w:ind w:left="0" w:leftChars="0" w:firstLine="560" w:firstLineChars="200"/>
        <w:outlineLvl w:val="1"/>
        <w:rPr>
          <w:rFonts w:hint="eastAsia" w:ascii="仿宋_GB2312" w:hAnsi="仿宋" w:eastAsia="仿宋_GB2312" w:cs="仿宋_GB2312"/>
          <w:kern w:val="0"/>
          <w:sz w:val="28"/>
          <w:szCs w:val="28"/>
        </w:rPr>
      </w:pPr>
      <w:r>
        <w:rPr>
          <w:rFonts w:hint="eastAsia" w:ascii="仿宋_GB2312" w:hAnsi="仿宋" w:eastAsia="仿宋_GB2312" w:cs="仿宋_GB2312"/>
          <w:kern w:val="0"/>
          <w:sz w:val="28"/>
          <w:szCs w:val="28"/>
        </w:rPr>
        <w:t>（二）抽查进度安排</w:t>
      </w:r>
    </w:p>
    <w:p w14:paraId="0BD7D2C1">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总体时间安排：接到市局任务</w:t>
      </w:r>
      <w:bookmarkStart w:id="0" w:name="_GoBack"/>
      <w:bookmarkEnd w:id="0"/>
      <w:r>
        <w:rPr>
          <w:rFonts w:hint="eastAsia" w:ascii="仿宋_GB2312" w:hAnsi="仿宋" w:eastAsia="仿宋_GB2312" w:cs="仿宋"/>
          <w:color w:val="auto"/>
          <w:kern w:val="0"/>
          <w:sz w:val="28"/>
          <w:szCs w:val="28"/>
          <w:highlight w:val="none"/>
          <w:lang w:val="en-US" w:eastAsia="zh-CN" w:bidi="ar-SA"/>
        </w:rPr>
        <w:t>起60日内</w:t>
      </w:r>
    </w:p>
    <w:p w14:paraId="6A01A213">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具体时间安排：</w:t>
      </w:r>
    </w:p>
    <w:p w14:paraId="3A078936">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1、抽样阶段：接到市局任务起15日内；</w:t>
      </w:r>
    </w:p>
    <w:p w14:paraId="6E2DA8B7">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2、检验阶段：到样日起～30日内；</w:t>
      </w:r>
    </w:p>
    <w:p w14:paraId="3D3C9602">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3、异议处理：报告发出后15日内完成异议处理工作；</w:t>
      </w:r>
    </w:p>
    <w:p w14:paraId="386B6586">
      <w:pPr>
        <w:pStyle w:val="7"/>
        <w:spacing w:after="0" w:line="360" w:lineRule="auto"/>
        <w:ind w:left="0" w:leftChars="0" w:firstLine="560" w:firstLineChars="200"/>
        <w:outlineLvl w:val="0"/>
        <w:rPr>
          <w:rFonts w:ascii="仿宋_GB2312" w:hAnsi="仿宋" w:eastAsia="仿宋_GB2312" w:cs="仿宋"/>
          <w:b/>
          <w:kern w:val="0"/>
          <w:sz w:val="28"/>
          <w:szCs w:val="28"/>
        </w:rPr>
      </w:pPr>
      <w:r>
        <w:rPr>
          <w:rFonts w:hint="eastAsia" w:ascii="仿宋_GB2312" w:hAnsi="仿宋" w:eastAsia="仿宋_GB2312" w:cs="仿宋"/>
          <w:color w:val="auto"/>
          <w:kern w:val="0"/>
          <w:sz w:val="28"/>
          <w:szCs w:val="28"/>
          <w:highlight w:val="none"/>
          <w:lang w:val="en-US" w:eastAsia="zh-CN" w:bidi="ar-SA"/>
        </w:rPr>
        <w:t>4、按市局时间节点要求将所有材料上报鞍山市市场监督管理局。</w:t>
      </w:r>
      <w:r>
        <w:rPr>
          <w:rFonts w:hint="eastAsia" w:ascii="仿宋_GB2312" w:hAnsi="仿宋" w:eastAsia="仿宋_GB2312" w:cs="仿宋"/>
          <w:b/>
          <w:kern w:val="0"/>
          <w:sz w:val="28"/>
          <w:szCs w:val="28"/>
        </w:rPr>
        <w:t>八、承检机构联系方式</w:t>
      </w:r>
    </w:p>
    <w:p w14:paraId="0F5DC118">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承检机构：大连产品质量检验检测研究院有限公司</w:t>
      </w:r>
    </w:p>
    <w:p w14:paraId="18F6AFAE">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单位地址：大连市沙河口区万岁街68-2号</w:t>
      </w:r>
    </w:p>
    <w:p w14:paraId="6841CF1B">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业务联系人：王宁</w:t>
      </w:r>
    </w:p>
    <w:p w14:paraId="1E4293C6">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电话/邮箱：</w:t>
      </w:r>
      <w:r>
        <w:rPr>
          <w:rFonts w:ascii="仿宋_GB2312" w:hAnsi="仿宋" w:eastAsia="仿宋_GB2312" w:cs="仿宋"/>
          <w:kern w:val="0"/>
          <w:sz w:val="28"/>
          <w:szCs w:val="28"/>
        </w:rPr>
        <w:t>15942621521/ning1164@qq.com</w:t>
      </w:r>
    </w:p>
    <w:p w14:paraId="122E4362">
      <w:pPr>
        <w:pStyle w:val="7"/>
        <w:spacing w:after="0" w:line="360" w:lineRule="auto"/>
        <w:ind w:left="0" w:leftChars="0"/>
        <w:outlineLvl w:val="0"/>
        <w:rPr>
          <w:rFonts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1EA1C614">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承检机构资质认定情况统计</w:t>
      </w:r>
    </w:p>
    <w:tbl>
      <w:tblPr>
        <w:tblStyle w:val="19"/>
        <w:tblW w:w="4717" w:type="pct"/>
        <w:jc w:val="center"/>
        <w:tblLayout w:type="autofit"/>
        <w:tblCellMar>
          <w:top w:w="0" w:type="dxa"/>
          <w:left w:w="108" w:type="dxa"/>
          <w:bottom w:w="0" w:type="dxa"/>
          <w:right w:w="108" w:type="dxa"/>
        </w:tblCellMar>
      </w:tblPr>
      <w:tblGrid>
        <w:gridCol w:w="772"/>
        <w:gridCol w:w="3270"/>
        <w:gridCol w:w="4003"/>
      </w:tblGrid>
      <w:tr w14:paraId="6214FD1A">
        <w:trPr>
          <w:trHeight w:val="695" w:hRule="atLeast"/>
          <w:tblHeader/>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04A84F5B">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序号</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2D55FE27">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7DEF20F5">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CMA证书编号及有效期限</w:t>
            </w:r>
          </w:p>
        </w:tc>
      </w:tr>
      <w:tr w14:paraId="7EC279DA">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0C147DF1">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4B7F8242">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39D9A1F2">
            <w:pPr>
              <w:pStyle w:val="4"/>
              <w:spacing w:line="360" w:lineRule="auto"/>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编号：18060011B027</w:t>
            </w:r>
          </w:p>
          <w:p w14:paraId="5D8345FE">
            <w:pPr>
              <w:pStyle w:val="4"/>
              <w:spacing w:line="360" w:lineRule="auto"/>
              <w:ind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有效期：20</w:t>
            </w:r>
            <w:r>
              <w:rPr>
                <w:rFonts w:hint="eastAsia" w:ascii="仿宋_GB2312" w:hAnsi="仿宋_GB2312" w:eastAsia="仿宋_GB2312" w:cs="仿宋_GB2312"/>
                <w:sz w:val="24"/>
                <w:lang w:val="en-US" w:eastAsia="zh-CN"/>
              </w:rPr>
              <w:t>30</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6.</w:t>
            </w:r>
            <w:r>
              <w:rPr>
                <w:rFonts w:hint="eastAsia" w:ascii="仿宋_GB2312" w:hAnsi="仿宋_GB2312" w:eastAsia="仿宋_GB2312" w:cs="仿宋_GB2312"/>
                <w:sz w:val="24"/>
                <w:lang w:val="en-US" w:eastAsia="zh-CN"/>
              </w:rPr>
              <w:t>04</w:t>
            </w:r>
          </w:p>
        </w:tc>
      </w:tr>
    </w:tbl>
    <w:p w14:paraId="03A6CABD">
      <w:pPr>
        <w:pStyle w:val="4"/>
        <w:ind w:left="0" w:leftChars="0" w:firstLine="0" w:firstLineChars="0"/>
      </w:pPr>
    </w:p>
    <w:sectPr>
      <w:footerReference r:id="rId3"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华光小标宋_CNKI">
    <w:altName w:val="宋体"/>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4906B">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57F261">
                          <w:pPr>
                            <w:pStyle w:val="12"/>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1FEEsEBAACN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R1FEEsEBAACNAwAADgAAAAAAAAABACAAAAAeAQAAZHJzL2Uyb0RvYy54bWxQSwUG&#10;AAAAAAYABgBZAQAAUQUAAAAA&#10;">
              <v:fill on="f" focussize="0,0"/>
              <v:stroke on="f"/>
              <v:imagedata o:title=""/>
              <o:lock v:ext="edit" aspectratio="f"/>
              <v:textbox inset="0mm,0mm,0mm,0mm" style="mso-fit-shape-to-text:t;">
                <w:txbxContent>
                  <w:p w14:paraId="6157F261">
                    <w:pPr>
                      <w:pStyle w:val="12"/>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16851"/>
    <w:multiLevelType w:val="singleLevel"/>
    <w:tmpl w:val="02016851"/>
    <w:lvl w:ilvl="0" w:tentative="0">
      <w:start w:val="1"/>
      <w:numFmt w:val="chineseCounting"/>
      <w:suff w:val="nothing"/>
      <w:lvlText w:val="%1、"/>
      <w:lvlJc w:val="left"/>
      <w:rPr>
        <w:rFonts w:hint="eastAsia"/>
      </w:rPr>
    </w:lvl>
  </w:abstractNum>
  <w:abstractNum w:abstractNumId="1">
    <w:nsid w:val="28FE44F8"/>
    <w:multiLevelType w:val="multilevel"/>
    <w:tmpl w:val="28FE44F8"/>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s>
  <w:rsids>
    <w:rsidRoot w:val="00BA7B67"/>
    <w:rsid w:val="0002122F"/>
    <w:rsid w:val="00027B0F"/>
    <w:rsid w:val="00052A7F"/>
    <w:rsid w:val="0006158F"/>
    <w:rsid w:val="000641BE"/>
    <w:rsid w:val="000830D4"/>
    <w:rsid w:val="00093070"/>
    <w:rsid w:val="00094ECA"/>
    <w:rsid w:val="00095C25"/>
    <w:rsid w:val="000A46DD"/>
    <w:rsid w:val="000B4941"/>
    <w:rsid w:val="000B66DA"/>
    <w:rsid w:val="000C5291"/>
    <w:rsid w:val="000D15CF"/>
    <w:rsid w:val="000D220E"/>
    <w:rsid w:val="000D3F38"/>
    <w:rsid w:val="000D3FBE"/>
    <w:rsid w:val="000D682D"/>
    <w:rsid w:val="000E6C4D"/>
    <w:rsid w:val="000E7D89"/>
    <w:rsid w:val="000F1DBF"/>
    <w:rsid w:val="001071E5"/>
    <w:rsid w:val="00112960"/>
    <w:rsid w:val="001266C1"/>
    <w:rsid w:val="00131527"/>
    <w:rsid w:val="001459B0"/>
    <w:rsid w:val="001537D2"/>
    <w:rsid w:val="0015414C"/>
    <w:rsid w:val="00156794"/>
    <w:rsid w:val="00161AD3"/>
    <w:rsid w:val="00167E0E"/>
    <w:rsid w:val="0017492E"/>
    <w:rsid w:val="00175756"/>
    <w:rsid w:val="00175C4F"/>
    <w:rsid w:val="0019111F"/>
    <w:rsid w:val="001A52FF"/>
    <w:rsid w:val="001A7992"/>
    <w:rsid w:val="001B0786"/>
    <w:rsid w:val="001B67B2"/>
    <w:rsid w:val="001C7FAB"/>
    <w:rsid w:val="001D49C2"/>
    <w:rsid w:val="001E143E"/>
    <w:rsid w:val="001E49DB"/>
    <w:rsid w:val="001E6500"/>
    <w:rsid w:val="001F184A"/>
    <w:rsid w:val="001F39CF"/>
    <w:rsid w:val="0021486D"/>
    <w:rsid w:val="00215CFB"/>
    <w:rsid w:val="00224656"/>
    <w:rsid w:val="002254F0"/>
    <w:rsid w:val="00236001"/>
    <w:rsid w:val="002441C5"/>
    <w:rsid w:val="00260593"/>
    <w:rsid w:val="00261DD5"/>
    <w:rsid w:val="002643DF"/>
    <w:rsid w:val="00274558"/>
    <w:rsid w:val="0027688D"/>
    <w:rsid w:val="00287F97"/>
    <w:rsid w:val="00293263"/>
    <w:rsid w:val="002960E7"/>
    <w:rsid w:val="00296473"/>
    <w:rsid w:val="002A3B60"/>
    <w:rsid w:val="002B03A6"/>
    <w:rsid w:val="002B0D38"/>
    <w:rsid w:val="002B6142"/>
    <w:rsid w:val="002B6EE6"/>
    <w:rsid w:val="002B7B97"/>
    <w:rsid w:val="002C3B49"/>
    <w:rsid w:val="002C70ED"/>
    <w:rsid w:val="002D5F85"/>
    <w:rsid w:val="002E7683"/>
    <w:rsid w:val="002F2966"/>
    <w:rsid w:val="002F3B86"/>
    <w:rsid w:val="00307310"/>
    <w:rsid w:val="003214F0"/>
    <w:rsid w:val="00335059"/>
    <w:rsid w:val="00337E64"/>
    <w:rsid w:val="00340BB3"/>
    <w:rsid w:val="003465DF"/>
    <w:rsid w:val="003524CD"/>
    <w:rsid w:val="0036261C"/>
    <w:rsid w:val="00362D37"/>
    <w:rsid w:val="0036428A"/>
    <w:rsid w:val="003803C4"/>
    <w:rsid w:val="0038164F"/>
    <w:rsid w:val="003859D0"/>
    <w:rsid w:val="003A3174"/>
    <w:rsid w:val="003A4A78"/>
    <w:rsid w:val="003C4BBC"/>
    <w:rsid w:val="003D27E9"/>
    <w:rsid w:val="003E1998"/>
    <w:rsid w:val="003E2ABF"/>
    <w:rsid w:val="003E4C90"/>
    <w:rsid w:val="003E74E9"/>
    <w:rsid w:val="003F1FD1"/>
    <w:rsid w:val="003F3221"/>
    <w:rsid w:val="004036A7"/>
    <w:rsid w:val="00424722"/>
    <w:rsid w:val="00425841"/>
    <w:rsid w:val="00430BED"/>
    <w:rsid w:val="00435CD4"/>
    <w:rsid w:val="00437290"/>
    <w:rsid w:val="00437C5A"/>
    <w:rsid w:val="0044337C"/>
    <w:rsid w:val="00443DE1"/>
    <w:rsid w:val="00463EEC"/>
    <w:rsid w:val="00465BCF"/>
    <w:rsid w:val="004677EA"/>
    <w:rsid w:val="00473C35"/>
    <w:rsid w:val="00484989"/>
    <w:rsid w:val="004908E4"/>
    <w:rsid w:val="004922AD"/>
    <w:rsid w:val="004962D2"/>
    <w:rsid w:val="004A0CC7"/>
    <w:rsid w:val="004A1ADE"/>
    <w:rsid w:val="004A48B1"/>
    <w:rsid w:val="004B45E3"/>
    <w:rsid w:val="004C3CC1"/>
    <w:rsid w:val="004D7A77"/>
    <w:rsid w:val="004E6686"/>
    <w:rsid w:val="004F07A7"/>
    <w:rsid w:val="004F3C5C"/>
    <w:rsid w:val="004F3F4F"/>
    <w:rsid w:val="00504A03"/>
    <w:rsid w:val="005228C7"/>
    <w:rsid w:val="005305B3"/>
    <w:rsid w:val="005346A6"/>
    <w:rsid w:val="00536980"/>
    <w:rsid w:val="00541479"/>
    <w:rsid w:val="00541556"/>
    <w:rsid w:val="00543766"/>
    <w:rsid w:val="00546C2C"/>
    <w:rsid w:val="00551B2E"/>
    <w:rsid w:val="00553751"/>
    <w:rsid w:val="00561F4C"/>
    <w:rsid w:val="005744C9"/>
    <w:rsid w:val="005757E9"/>
    <w:rsid w:val="00575D98"/>
    <w:rsid w:val="0059339D"/>
    <w:rsid w:val="00595C44"/>
    <w:rsid w:val="005970DE"/>
    <w:rsid w:val="005A41B1"/>
    <w:rsid w:val="005A72C7"/>
    <w:rsid w:val="005A75C7"/>
    <w:rsid w:val="005B6F97"/>
    <w:rsid w:val="005C0960"/>
    <w:rsid w:val="005C0EE9"/>
    <w:rsid w:val="005D1D04"/>
    <w:rsid w:val="005E57C9"/>
    <w:rsid w:val="005E6750"/>
    <w:rsid w:val="005F3456"/>
    <w:rsid w:val="0060129E"/>
    <w:rsid w:val="00604E56"/>
    <w:rsid w:val="006068B2"/>
    <w:rsid w:val="0061183A"/>
    <w:rsid w:val="00621FC0"/>
    <w:rsid w:val="00632245"/>
    <w:rsid w:val="006349B9"/>
    <w:rsid w:val="00644FD4"/>
    <w:rsid w:val="006463BB"/>
    <w:rsid w:val="006465ED"/>
    <w:rsid w:val="00662182"/>
    <w:rsid w:val="006621D7"/>
    <w:rsid w:val="00672492"/>
    <w:rsid w:val="006819D9"/>
    <w:rsid w:val="0068425B"/>
    <w:rsid w:val="00693B7A"/>
    <w:rsid w:val="00694016"/>
    <w:rsid w:val="00695AE8"/>
    <w:rsid w:val="006A10C1"/>
    <w:rsid w:val="006A401F"/>
    <w:rsid w:val="006B2D49"/>
    <w:rsid w:val="006B394C"/>
    <w:rsid w:val="006C264E"/>
    <w:rsid w:val="006C2F7C"/>
    <w:rsid w:val="006C3F7E"/>
    <w:rsid w:val="006C51F8"/>
    <w:rsid w:val="006C6973"/>
    <w:rsid w:val="006E233B"/>
    <w:rsid w:val="006E51BD"/>
    <w:rsid w:val="006E6320"/>
    <w:rsid w:val="006E70A2"/>
    <w:rsid w:val="006F3E1A"/>
    <w:rsid w:val="00702E75"/>
    <w:rsid w:val="00705F06"/>
    <w:rsid w:val="00706B4D"/>
    <w:rsid w:val="00716A7B"/>
    <w:rsid w:val="00732367"/>
    <w:rsid w:val="00733C1C"/>
    <w:rsid w:val="0074022D"/>
    <w:rsid w:val="007553BD"/>
    <w:rsid w:val="00757514"/>
    <w:rsid w:val="00771FB1"/>
    <w:rsid w:val="00781F31"/>
    <w:rsid w:val="0078651C"/>
    <w:rsid w:val="0079470B"/>
    <w:rsid w:val="0079610A"/>
    <w:rsid w:val="00797CC1"/>
    <w:rsid w:val="007A57E1"/>
    <w:rsid w:val="007A624A"/>
    <w:rsid w:val="007B144C"/>
    <w:rsid w:val="007B2837"/>
    <w:rsid w:val="007B4697"/>
    <w:rsid w:val="007C4565"/>
    <w:rsid w:val="007C4607"/>
    <w:rsid w:val="007C6EE5"/>
    <w:rsid w:val="007D52EF"/>
    <w:rsid w:val="007F2688"/>
    <w:rsid w:val="007F32D1"/>
    <w:rsid w:val="007F57DF"/>
    <w:rsid w:val="0081003B"/>
    <w:rsid w:val="008223DD"/>
    <w:rsid w:val="00826057"/>
    <w:rsid w:val="00832E79"/>
    <w:rsid w:val="00834CB2"/>
    <w:rsid w:val="00836A9E"/>
    <w:rsid w:val="00851930"/>
    <w:rsid w:val="00855476"/>
    <w:rsid w:val="00861A58"/>
    <w:rsid w:val="008750F1"/>
    <w:rsid w:val="00876B6E"/>
    <w:rsid w:val="00880157"/>
    <w:rsid w:val="00880762"/>
    <w:rsid w:val="00882206"/>
    <w:rsid w:val="0088534F"/>
    <w:rsid w:val="008965EA"/>
    <w:rsid w:val="008A5320"/>
    <w:rsid w:val="008B1B34"/>
    <w:rsid w:val="008B622B"/>
    <w:rsid w:val="008D44E1"/>
    <w:rsid w:val="008D644D"/>
    <w:rsid w:val="008D680F"/>
    <w:rsid w:val="008E0F8A"/>
    <w:rsid w:val="009043C9"/>
    <w:rsid w:val="00914258"/>
    <w:rsid w:val="00921FD0"/>
    <w:rsid w:val="0093236C"/>
    <w:rsid w:val="00933B35"/>
    <w:rsid w:val="00951D22"/>
    <w:rsid w:val="009524D2"/>
    <w:rsid w:val="00960242"/>
    <w:rsid w:val="00965290"/>
    <w:rsid w:val="009759FA"/>
    <w:rsid w:val="00976648"/>
    <w:rsid w:val="009768A4"/>
    <w:rsid w:val="00977A8F"/>
    <w:rsid w:val="0098200E"/>
    <w:rsid w:val="009A4B42"/>
    <w:rsid w:val="009A6EC6"/>
    <w:rsid w:val="009C11B0"/>
    <w:rsid w:val="009C1F41"/>
    <w:rsid w:val="009C686D"/>
    <w:rsid w:val="009D0C34"/>
    <w:rsid w:val="009D2D7B"/>
    <w:rsid w:val="009D52DC"/>
    <w:rsid w:val="009E0052"/>
    <w:rsid w:val="009E0AAF"/>
    <w:rsid w:val="009E68B3"/>
    <w:rsid w:val="00A11041"/>
    <w:rsid w:val="00A11A33"/>
    <w:rsid w:val="00A1286F"/>
    <w:rsid w:val="00A17225"/>
    <w:rsid w:val="00A21F8C"/>
    <w:rsid w:val="00A26169"/>
    <w:rsid w:val="00A33A7A"/>
    <w:rsid w:val="00A36A98"/>
    <w:rsid w:val="00A4135F"/>
    <w:rsid w:val="00A54915"/>
    <w:rsid w:val="00A55E69"/>
    <w:rsid w:val="00A56DBA"/>
    <w:rsid w:val="00A6705E"/>
    <w:rsid w:val="00A93D1E"/>
    <w:rsid w:val="00AA19B9"/>
    <w:rsid w:val="00AA28D1"/>
    <w:rsid w:val="00AB6A1C"/>
    <w:rsid w:val="00AE6BCE"/>
    <w:rsid w:val="00AE7143"/>
    <w:rsid w:val="00AF041F"/>
    <w:rsid w:val="00B02E71"/>
    <w:rsid w:val="00B04A9D"/>
    <w:rsid w:val="00B0637B"/>
    <w:rsid w:val="00B14D80"/>
    <w:rsid w:val="00B16CC5"/>
    <w:rsid w:val="00B314E2"/>
    <w:rsid w:val="00B36D05"/>
    <w:rsid w:val="00B37CD0"/>
    <w:rsid w:val="00B509BF"/>
    <w:rsid w:val="00B57AE0"/>
    <w:rsid w:val="00B6461B"/>
    <w:rsid w:val="00B7660F"/>
    <w:rsid w:val="00B813BA"/>
    <w:rsid w:val="00B8587F"/>
    <w:rsid w:val="00B91480"/>
    <w:rsid w:val="00B934D3"/>
    <w:rsid w:val="00B96B63"/>
    <w:rsid w:val="00BA2876"/>
    <w:rsid w:val="00BA7B67"/>
    <w:rsid w:val="00BB33B9"/>
    <w:rsid w:val="00BD27F4"/>
    <w:rsid w:val="00BD2C49"/>
    <w:rsid w:val="00BD5BD5"/>
    <w:rsid w:val="00BE366D"/>
    <w:rsid w:val="00BF45F1"/>
    <w:rsid w:val="00C00ED4"/>
    <w:rsid w:val="00C04C7E"/>
    <w:rsid w:val="00C04CF3"/>
    <w:rsid w:val="00C12F59"/>
    <w:rsid w:val="00C14C9E"/>
    <w:rsid w:val="00C165AC"/>
    <w:rsid w:val="00C207A7"/>
    <w:rsid w:val="00C20A44"/>
    <w:rsid w:val="00C24D6D"/>
    <w:rsid w:val="00C338FD"/>
    <w:rsid w:val="00C413A2"/>
    <w:rsid w:val="00C46C64"/>
    <w:rsid w:val="00C61E91"/>
    <w:rsid w:val="00C64FB5"/>
    <w:rsid w:val="00C82649"/>
    <w:rsid w:val="00C85927"/>
    <w:rsid w:val="00C85D9D"/>
    <w:rsid w:val="00C86E05"/>
    <w:rsid w:val="00C86EE1"/>
    <w:rsid w:val="00C90A67"/>
    <w:rsid w:val="00C90CCD"/>
    <w:rsid w:val="00C95503"/>
    <w:rsid w:val="00CA2239"/>
    <w:rsid w:val="00CA4EDC"/>
    <w:rsid w:val="00CA5B61"/>
    <w:rsid w:val="00CB6EF6"/>
    <w:rsid w:val="00CC040C"/>
    <w:rsid w:val="00CC0A73"/>
    <w:rsid w:val="00CC0E1E"/>
    <w:rsid w:val="00CF1CA5"/>
    <w:rsid w:val="00CF3FC1"/>
    <w:rsid w:val="00D022FE"/>
    <w:rsid w:val="00D11201"/>
    <w:rsid w:val="00D123F9"/>
    <w:rsid w:val="00D13B78"/>
    <w:rsid w:val="00D15BFB"/>
    <w:rsid w:val="00D22481"/>
    <w:rsid w:val="00D2790E"/>
    <w:rsid w:val="00D27DEF"/>
    <w:rsid w:val="00D308B4"/>
    <w:rsid w:val="00D35586"/>
    <w:rsid w:val="00D47141"/>
    <w:rsid w:val="00D77991"/>
    <w:rsid w:val="00D83A3E"/>
    <w:rsid w:val="00DB043C"/>
    <w:rsid w:val="00DB0AA4"/>
    <w:rsid w:val="00DB0FCD"/>
    <w:rsid w:val="00DB2749"/>
    <w:rsid w:val="00DB74DB"/>
    <w:rsid w:val="00DC18EB"/>
    <w:rsid w:val="00DC524D"/>
    <w:rsid w:val="00DC7864"/>
    <w:rsid w:val="00DD2C39"/>
    <w:rsid w:val="00DE3103"/>
    <w:rsid w:val="00DF038C"/>
    <w:rsid w:val="00DF327B"/>
    <w:rsid w:val="00E07250"/>
    <w:rsid w:val="00E1595D"/>
    <w:rsid w:val="00E20A24"/>
    <w:rsid w:val="00E42688"/>
    <w:rsid w:val="00E44686"/>
    <w:rsid w:val="00E44D60"/>
    <w:rsid w:val="00E51889"/>
    <w:rsid w:val="00E53945"/>
    <w:rsid w:val="00E5644F"/>
    <w:rsid w:val="00E62DC1"/>
    <w:rsid w:val="00E70371"/>
    <w:rsid w:val="00E74A50"/>
    <w:rsid w:val="00E767BB"/>
    <w:rsid w:val="00E776B0"/>
    <w:rsid w:val="00E836BF"/>
    <w:rsid w:val="00E874BC"/>
    <w:rsid w:val="00E87A21"/>
    <w:rsid w:val="00E90037"/>
    <w:rsid w:val="00E92F2E"/>
    <w:rsid w:val="00E934B2"/>
    <w:rsid w:val="00E93B0B"/>
    <w:rsid w:val="00E9669B"/>
    <w:rsid w:val="00EA5F5D"/>
    <w:rsid w:val="00EB5388"/>
    <w:rsid w:val="00EC1593"/>
    <w:rsid w:val="00EC4737"/>
    <w:rsid w:val="00EC7642"/>
    <w:rsid w:val="00ED06AC"/>
    <w:rsid w:val="00ED2D98"/>
    <w:rsid w:val="00ED3FC0"/>
    <w:rsid w:val="00EE3D43"/>
    <w:rsid w:val="00EF39C4"/>
    <w:rsid w:val="00EF6DB5"/>
    <w:rsid w:val="00F1178D"/>
    <w:rsid w:val="00F14418"/>
    <w:rsid w:val="00F1663C"/>
    <w:rsid w:val="00F226C2"/>
    <w:rsid w:val="00F240C4"/>
    <w:rsid w:val="00F249AB"/>
    <w:rsid w:val="00F3566F"/>
    <w:rsid w:val="00F4125B"/>
    <w:rsid w:val="00F42003"/>
    <w:rsid w:val="00F42FBC"/>
    <w:rsid w:val="00F5461C"/>
    <w:rsid w:val="00F57C26"/>
    <w:rsid w:val="00F6465C"/>
    <w:rsid w:val="00F80BD4"/>
    <w:rsid w:val="00F8301E"/>
    <w:rsid w:val="00F871B5"/>
    <w:rsid w:val="00F87725"/>
    <w:rsid w:val="00F91118"/>
    <w:rsid w:val="00F91EB6"/>
    <w:rsid w:val="00F93C61"/>
    <w:rsid w:val="00F941D3"/>
    <w:rsid w:val="00F95B88"/>
    <w:rsid w:val="00FA28A9"/>
    <w:rsid w:val="00FA55DA"/>
    <w:rsid w:val="00FA5EAB"/>
    <w:rsid w:val="00FB0870"/>
    <w:rsid w:val="00FC5571"/>
    <w:rsid w:val="00FC6F40"/>
    <w:rsid w:val="00FD19AB"/>
    <w:rsid w:val="00FD3DB6"/>
    <w:rsid w:val="00FE0AEB"/>
    <w:rsid w:val="00FF770D"/>
    <w:rsid w:val="019F18FD"/>
    <w:rsid w:val="020C020B"/>
    <w:rsid w:val="027C2D94"/>
    <w:rsid w:val="02A55A5A"/>
    <w:rsid w:val="0303212C"/>
    <w:rsid w:val="031D0A3A"/>
    <w:rsid w:val="041D0F92"/>
    <w:rsid w:val="07013260"/>
    <w:rsid w:val="07030B80"/>
    <w:rsid w:val="09D24B43"/>
    <w:rsid w:val="0B0F6881"/>
    <w:rsid w:val="0C95022C"/>
    <w:rsid w:val="0DBF7858"/>
    <w:rsid w:val="0F107CB1"/>
    <w:rsid w:val="0F4D7588"/>
    <w:rsid w:val="10952579"/>
    <w:rsid w:val="11206B14"/>
    <w:rsid w:val="11B861B1"/>
    <w:rsid w:val="11E421F6"/>
    <w:rsid w:val="11E71AB0"/>
    <w:rsid w:val="1217524D"/>
    <w:rsid w:val="121D36B6"/>
    <w:rsid w:val="1449686E"/>
    <w:rsid w:val="17165BF5"/>
    <w:rsid w:val="185176BD"/>
    <w:rsid w:val="19AA1086"/>
    <w:rsid w:val="1B5F35E4"/>
    <w:rsid w:val="1C04386C"/>
    <w:rsid w:val="1D0E1080"/>
    <w:rsid w:val="1D5C34E4"/>
    <w:rsid w:val="1DDE7A63"/>
    <w:rsid w:val="1E0110BE"/>
    <w:rsid w:val="1ED13CF0"/>
    <w:rsid w:val="20CB441F"/>
    <w:rsid w:val="21483853"/>
    <w:rsid w:val="2269696C"/>
    <w:rsid w:val="26D90A83"/>
    <w:rsid w:val="27032CF2"/>
    <w:rsid w:val="27C6004C"/>
    <w:rsid w:val="29D82DC8"/>
    <w:rsid w:val="2A530770"/>
    <w:rsid w:val="2AA51AAC"/>
    <w:rsid w:val="2B956629"/>
    <w:rsid w:val="2C4A2BE6"/>
    <w:rsid w:val="2CB32DAC"/>
    <w:rsid w:val="2E424D17"/>
    <w:rsid w:val="2F470AC7"/>
    <w:rsid w:val="2F6D3B02"/>
    <w:rsid w:val="318555E4"/>
    <w:rsid w:val="32076C07"/>
    <w:rsid w:val="33F97016"/>
    <w:rsid w:val="34651250"/>
    <w:rsid w:val="36582C80"/>
    <w:rsid w:val="3B7F30A4"/>
    <w:rsid w:val="3B9F2BAD"/>
    <w:rsid w:val="3BAA5C47"/>
    <w:rsid w:val="3CFC2731"/>
    <w:rsid w:val="3EFC3D3F"/>
    <w:rsid w:val="3F4F0075"/>
    <w:rsid w:val="3FCB7133"/>
    <w:rsid w:val="4104630A"/>
    <w:rsid w:val="42441DE5"/>
    <w:rsid w:val="43A72A8A"/>
    <w:rsid w:val="45D50F53"/>
    <w:rsid w:val="473B608C"/>
    <w:rsid w:val="487C445C"/>
    <w:rsid w:val="4A605CEC"/>
    <w:rsid w:val="4CC34E8C"/>
    <w:rsid w:val="4D3D2220"/>
    <w:rsid w:val="4D7020FE"/>
    <w:rsid w:val="4E063D1B"/>
    <w:rsid w:val="4E0E60AD"/>
    <w:rsid w:val="4F624FE5"/>
    <w:rsid w:val="4F6D13D6"/>
    <w:rsid w:val="4F720D06"/>
    <w:rsid w:val="4F9B31A5"/>
    <w:rsid w:val="519E35E8"/>
    <w:rsid w:val="52E066C6"/>
    <w:rsid w:val="53B82032"/>
    <w:rsid w:val="544E765F"/>
    <w:rsid w:val="54830A25"/>
    <w:rsid w:val="548A7CBF"/>
    <w:rsid w:val="54A510BD"/>
    <w:rsid w:val="55B75D6F"/>
    <w:rsid w:val="576713FA"/>
    <w:rsid w:val="5B13285C"/>
    <w:rsid w:val="5D8916AF"/>
    <w:rsid w:val="5DD34534"/>
    <w:rsid w:val="5F015BE2"/>
    <w:rsid w:val="60CD7023"/>
    <w:rsid w:val="60F42721"/>
    <w:rsid w:val="617A7CE6"/>
    <w:rsid w:val="619340A8"/>
    <w:rsid w:val="634A51CB"/>
    <w:rsid w:val="63C018B9"/>
    <w:rsid w:val="648C1029"/>
    <w:rsid w:val="65177543"/>
    <w:rsid w:val="65366DE0"/>
    <w:rsid w:val="65C0101B"/>
    <w:rsid w:val="65C0662F"/>
    <w:rsid w:val="65E3353F"/>
    <w:rsid w:val="66434AED"/>
    <w:rsid w:val="664C5B56"/>
    <w:rsid w:val="684F74FD"/>
    <w:rsid w:val="6CC41366"/>
    <w:rsid w:val="6CD11A33"/>
    <w:rsid w:val="6D0F57B1"/>
    <w:rsid w:val="6FA76120"/>
    <w:rsid w:val="6FE40A61"/>
    <w:rsid w:val="701972AD"/>
    <w:rsid w:val="7067487C"/>
    <w:rsid w:val="71E1140D"/>
    <w:rsid w:val="75D762A9"/>
    <w:rsid w:val="76FB0A8D"/>
    <w:rsid w:val="7722234A"/>
    <w:rsid w:val="7B863280"/>
    <w:rsid w:val="7F96284A"/>
    <w:rsid w:val="B5FF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2">
    <w:name w:val="heading 1"/>
    <w:basedOn w:val="1"/>
    <w:next w:val="1"/>
    <w:link w:val="50"/>
    <w:autoRedefine/>
    <w:qFormat/>
    <w:uiPriority w:val="1"/>
    <w:pPr>
      <w:autoSpaceDE w:val="0"/>
      <w:autoSpaceDN w:val="0"/>
      <w:adjustRightInd w:val="0"/>
      <w:spacing w:before="73"/>
      <w:ind w:left="132"/>
      <w:jc w:val="left"/>
      <w:outlineLvl w:val="0"/>
    </w:pPr>
    <w:rPr>
      <w:rFonts w:ascii="Arial Unicode MS" w:eastAsia="Arial Unicode MS" w:cs="Arial Unicode MS"/>
      <w:kern w:val="0"/>
      <w:sz w:val="28"/>
      <w:szCs w:val="28"/>
    </w:rPr>
  </w:style>
  <w:style w:type="paragraph" w:styleId="3">
    <w:name w:val="heading 2"/>
    <w:basedOn w:val="1"/>
    <w:next w:val="1"/>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1"/>
    <w:autoRedefine/>
    <w:qFormat/>
    <w:uiPriority w:val="99"/>
    <w:pPr>
      <w:ind w:firstLine="420" w:firstLineChars="200"/>
    </w:pPr>
  </w:style>
  <w:style w:type="paragraph" w:styleId="5">
    <w:name w:val="annotation text"/>
    <w:basedOn w:val="1"/>
    <w:link w:val="26"/>
    <w:autoRedefine/>
    <w:qFormat/>
    <w:uiPriority w:val="0"/>
    <w:pPr>
      <w:jc w:val="left"/>
    </w:pPr>
  </w:style>
  <w:style w:type="paragraph" w:styleId="6">
    <w:name w:val="Body Text"/>
    <w:basedOn w:val="1"/>
    <w:link w:val="27"/>
    <w:autoRedefine/>
    <w:qFormat/>
    <w:uiPriority w:val="0"/>
    <w:pPr>
      <w:spacing w:after="120"/>
    </w:pPr>
  </w:style>
  <w:style w:type="paragraph" w:styleId="7">
    <w:name w:val="Body Text Indent"/>
    <w:basedOn w:val="1"/>
    <w:link w:val="28"/>
    <w:autoRedefine/>
    <w:qFormat/>
    <w:uiPriority w:val="0"/>
    <w:pPr>
      <w:spacing w:after="120"/>
      <w:ind w:left="420" w:leftChars="200"/>
    </w:pPr>
  </w:style>
  <w:style w:type="paragraph" w:styleId="8">
    <w:name w:val="List 2"/>
    <w:basedOn w:val="1"/>
    <w:qFormat/>
    <w:uiPriority w:val="0"/>
    <w:pPr>
      <w:ind w:left="100" w:leftChars="200" w:hanging="200" w:hangingChars="200"/>
    </w:pPr>
  </w:style>
  <w:style w:type="paragraph" w:styleId="9">
    <w:name w:val="Plain Text"/>
    <w:basedOn w:val="1"/>
    <w:qFormat/>
    <w:uiPriority w:val="99"/>
    <w:rPr>
      <w:rFonts w:ascii="宋体" w:hAnsi="Courier New" w:cs="宋体"/>
      <w:kern w:val="0"/>
      <w:sz w:val="20"/>
      <w:szCs w:val="20"/>
    </w:rPr>
  </w:style>
  <w:style w:type="paragraph" w:styleId="10">
    <w:name w:val="Date"/>
    <w:basedOn w:val="1"/>
    <w:next w:val="1"/>
    <w:link w:val="49"/>
    <w:autoRedefine/>
    <w:unhideWhenUsed/>
    <w:qFormat/>
    <w:uiPriority w:val="99"/>
    <w:pPr>
      <w:ind w:left="100" w:leftChars="2500"/>
    </w:pPr>
    <w:rPr>
      <w:rFonts w:eastAsia="宋体"/>
      <w:sz w:val="24"/>
    </w:rPr>
  </w:style>
  <w:style w:type="paragraph" w:styleId="11">
    <w:name w:val="Balloon Text"/>
    <w:basedOn w:val="1"/>
    <w:link w:val="29"/>
    <w:autoRedefine/>
    <w:qFormat/>
    <w:uiPriority w:val="0"/>
    <w:rPr>
      <w:sz w:val="18"/>
      <w:szCs w:val="18"/>
    </w:rPr>
  </w:style>
  <w:style w:type="paragraph" w:styleId="12">
    <w:name w:val="footer"/>
    <w:basedOn w:val="1"/>
    <w:link w:val="30"/>
    <w:qFormat/>
    <w:uiPriority w:val="99"/>
    <w:pPr>
      <w:tabs>
        <w:tab w:val="center" w:pos="4153"/>
        <w:tab w:val="right" w:pos="8306"/>
      </w:tabs>
      <w:snapToGrid w:val="0"/>
      <w:jc w:val="left"/>
    </w:pPr>
    <w:rPr>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3"/>
    <w:next w:val="1"/>
    <w:qFormat/>
    <w:uiPriority w:val="0"/>
    <w:pPr>
      <w:keepNext w:val="0"/>
      <w:keepLines w:val="0"/>
      <w:autoSpaceDE w:val="0"/>
      <w:autoSpaceDN w:val="0"/>
      <w:spacing w:before="60" w:after="60" w:line="240" w:lineRule="auto"/>
      <w:ind w:left="1057" w:right="1293"/>
      <w:jc w:val="center"/>
    </w:pPr>
    <w:rPr>
      <w:rFonts w:ascii="华光小标宋_CNKI" w:hAnsi="华光小标宋_CNKI" w:eastAsia="仿宋_GB2312" w:cs="华光小标宋_CNKI"/>
      <w:b w:val="0"/>
      <w:bCs w:val="0"/>
      <w:kern w:val="28"/>
      <w:sz w:val="24"/>
      <w:lang w:eastAsia="en-US"/>
    </w:rPr>
  </w:style>
  <w:style w:type="paragraph" w:styleId="15">
    <w:name w:val="Body Text Indent 3"/>
    <w:basedOn w:val="1"/>
    <w:link w:val="32"/>
    <w:autoRedefine/>
    <w:qFormat/>
    <w:uiPriority w:val="0"/>
    <w:pPr>
      <w:spacing w:after="120"/>
      <w:ind w:left="420" w:leftChars="200"/>
    </w:pPr>
    <w:rPr>
      <w:sz w:val="16"/>
      <w:szCs w:val="16"/>
    </w:rPr>
  </w:style>
  <w:style w:type="paragraph" w:styleId="16">
    <w:name w:val="Normal (Web)"/>
    <w:basedOn w:val="1"/>
    <w:unhideWhenUsed/>
    <w:qFormat/>
    <w:uiPriority w:val="0"/>
    <w:pPr>
      <w:widowControl/>
      <w:shd w:val="clear" w:color="auto" w:fill="FFFFFF"/>
      <w:spacing w:line="580" w:lineRule="atLeast"/>
      <w:ind w:firstLine="560" w:firstLineChars="200"/>
      <w:jc w:val="left"/>
    </w:pPr>
    <w:rPr>
      <w:rFonts w:ascii="仿宋_GB2312" w:hAnsi="仿宋" w:eastAsia="仿宋_GB2312" w:cs="Arial"/>
      <w:sz w:val="28"/>
      <w:szCs w:val="28"/>
    </w:rPr>
  </w:style>
  <w:style w:type="paragraph" w:styleId="17">
    <w:name w:val="annotation subject"/>
    <w:basedOn w:val="5"/>
    <w:next w:val="5"/>
    <w:link w:val="33"/>
    <w:qFormat/>
    <w:uiPriority w:val="0"/>
    <w:rPr>
      <w:b/>
      <w:bCs/>
    </w:rPr>
  </w:style>
  <w:style w:type="paragraph" w:styleId="18">
    <w:name w:val="Body Text First Indent"/>
    <w:basedOn w:val="6"/>
    <w:link w:val="34"/>
    <w:autoRedefine/>
    <w:unhideWhenUsed/>
    <w:qFormat/>
    <w:uiPriority w:val="0"/>
    <w:pPr>
      <w:ind w:firstLine="420" w:firstLineChars="100"/>
    </w:p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2">
    <w:name w:val="FollowedHyperlink"/>
    <w:unhideWhenUsed/>
    <w:qFormat/>
    <w:uiPriority w:val="99"/>
    <w:rPr>
      <w:color w:val="954F72"/>
      <w:u w:val="single"/>
    </w:rPr>
  </w:style>
  <w:style w:type="character" w:styleId="23">
    <w:name w:val="Emphasis"/>
    <w:qFormat/>
    <w:uiPriority w:val="20"/>
    <w:rPr>
      <w:i/>
      <w:iCs/>
    </w:rPr>
  </w:style>
  <w:style w:type="character" w:styleId="24">
    <w:name w:val="Hyperlink"/>
    <w:autoRedefine/>
    <w:qFormat/>
    <w:uiPriority w:val="99"/>
    <w:rPr>
      <w:color w:val="0563C1"/>
      <w:u w:val="single"/>
    </w:rPr>
  </w:style>
  <w:style w:type="character" w:styleId="25">
    <w:name w:val="annotation reference"/>
    <w:qFormat/>
    <w:uiPriority w:val="0"/>
    <w:rPr>
      <w:sz w:val="21"/>
      <w:szCs w:val="21"/>
    </w:rPr>
  </w:style>
  <w:style w:type="character" w:customStyle="1" w:styleId="26">
    <w:name w:val="批注文字 Char"/>
    <w:link w:val="5"/>
    <w:qFormat/>
    <w:uiPriority w:val="0"/>
    <w:rPr>
      <w:rFonts w:eastAsia="仿宋"/>
      <w:kern w:val="2"/>
      <w:sz w:val="21"/>
      <w:szCs w:val="24"/>
    </w:rPr>
  </w:style>
  <w:style w:type="character" w:customStyle="1" w:styleId="27">
    <w:name w:val="正文文本 Char"/>
    <w:link w:val="6"/>
    <w:qFormat/>
    <w:uiPriority w:val="0"/>
    <w:rPr>
      <w:rFonts w:eastAsia="仿宋"/>
      <w:kern w:val="2"/>
      <w:sz w:val="21"/>
      <w:szCs w:val="24"/>
    </w:rPr>
  </w:style>
  <w:style w:type="character" w:customStyle="1" w:styleId="28">
    <w:name w:val="正文文本缩进 Char"/>
    <w:link w:val="7"/>
    <w:qFormat/>
    <w:uiPriority w:val="0"/>
    <w:rPr>
      <w:rFonts w:eastAsia="仿宋"/>
      <w:kern w:val="2"/>
      <w:sz w:val="21"/>
      <w:szCs w:val="24"/>
    </w:rPr>
  </w:style>
  <w:style w:type="character" w:customStyle="1" w:styleId="29">
    <w:name w:val="批注框文本 Char"/>
    <w:link w:val="11"/>
    <w:qFormat/>
    <w:uiPriority w:val="0"/>
    <w:rPr>
      <w:rFonts w:eastAsia="仿宋"/>
      <w:kern w:val="2"/>
      <w:sz w:val="18"/>
      <w:szCs w:val="18"/>
    </w:rPr>
  </w:style>
  <w:style w:type="character" w:customStyle="1" w:styleId="30">
    <w:name w:val="页脚 Char"/>
    <w:link w:val="12"/>
    <w:autoRedefine/>
    <w:qFormat/>
    <w:uiPriority w:val="0"/>
    <w:rPr>
      <w:rFonts w:eastAsia="仿宋"/>
      <w:kern w:val="2"/>
      <w:sz w:val="18"/>
      <w:szCs w:val="18"/>
    </w:rPr>
  </w:style>
  <w:style w:type="character" w:customStyle="1" w:styleId="31">
    <w:name w:val="页眉 Char"/>
    <w:link w:val="13"/>
    <w:qFormat/>
    <w:uiPriority w:val="0"/>
    <w:rPr>
      <w:rFonts w:eastAsia="仿宋"/>
      <w:kern w:val="2"/>
      <w:sz w:val="18"/>
      <w:szCs w:val="18"/>
    </w:rPr>
  </w:style>
  <w:style w:type="character" w:customStyle="1" w:styleId="32">
    <w:name w:val="正文文本缩进 3 Char"/>
    <w:link w:val="15"/>
    <w:autoRedefine/>
    <w:qFormat/>
    <w:uiPriority w:val="0"/>
    <w:rPr>
      <w:rFonts w:eastAsia="仿宋"/>
      <w:kern w:val="2"/>
      <w:sz w:val="16"/>
      <w:szCs w:val="16"/>
    </w:rPr>
  </w:style>
  <w:style w:type="character" w:customStyle="1" w:styleId="33">
    <w:name w:val="批注主题 Char"/>
    <w:link w:val="17"/>
    <w:qFormat/>
    <w:uiPriority w:val="0"/>
    <w:rPr>
      <w:rFonts w:eastAsia="仿宋"/>
      <w:b/>
      <w:bCs/>
      <w:kern w:val="2"/>
      <w:sz w:val="21"/>
      <w:szCs w:val="24"/>
    </w:rPr>
  </w:style>
  <w:style w:type="character" w:customStyle="1" w:styleId="34">
    <w:name w:val="正文首行缩进 Char"/>
    <w:basedOn w:val="27"/>
    <w:link w:val="18"/>
    <w:autoRedefine/>
    <w:qFormat/>
    <w:uiPriority w:val="0"/>
    <w:rPr>
      <w:rFonts w:eastAsia="仿宋"/>
      <w:kern w:val="2"/>
      <w:sz w:val="21"/>
      <w:szCs w:val="24"/>
    </w:rPr>
  </w:style>
  <w:style w:type="character" w:customStyle="1" w:styleId="35">
    <w:name w:val="font81"/>
    <w:autoRedefine/>
    <w:qFormat/>
    <w:uiPriority w:val="0"/>
    <w:rPr>
      <w:rFonts w:hint="eastAsia" w:ascii="宋体" w:hAnsi="宋体" w:eastAsia="宋体" w:cs="宋体"/>
      <w:color w:val="000000"/>
      <w:sz w:val="22"/>
      <w:szCs w:val="22"/>
      <w:u w:val="none"/>
    </w:rPr>
  </w:style>
  <w:style w:type="character" w:styleId="36">
    <w:name w:val="Placeholder Text"/>
    <w:unhideWhenUsed/>
    <w:qFormat/>
    <w:uiPriority w:val="99"/>
    <w:rPr>
      <w:color w:val="808080"/>
    </w:rPr>
  </w:style>
  <w:style w:type="character" w:customStyle="1" w:styleId="37">
    <w:name w:val="font01"/>
    <w:autoRedefine/>
    <w:qFormat/>
    <w:uiPriority w:val="0"/>
    <w:rPr>
      <w:rFonts w:hint="eastAsia" w:ascii="宋体" w:hAnsi="宋体" w:eastAsia="宋体" w:cs="宋体"/>
      <w:color w:val="000000"/>
      <w:sz w:val="18"/>
      <w:szCs w:val="18"/>
      <w:u w:val="none"/>
    </w:rPr>
  </w:style>
  <w:style w:type="character" w:customStyle="1" w:styleId="38">
    <w:name w:val="font71"/>
    <w:autoRedefine/>
    <w:qFormat/>
    <w:uiPriority w:val="0"/>
    <w:rPr>
      <w:rFonts w:hint="eastAsia" w:ascii="宋体" w:hAnsi="宋体" w:eastAsia="宋体" w:cs="宋体"/>
      <w:color w:val="000000"/>
      <w:sz w:val="24"/>
      <w:szCs w:val="24"/>
      <w:u w:val="none"/>
    </w:rPr>
  </w:style>
  <w:style w:type="character" w:customStyle="1" w:styleId="39">
    <w:name w:val="font21"/>
    <w:qFormat/>
    <w:uiPriority w:val="0"/>
    <w:rPr>
      <w:rFonts w:hint="eastAsia" w:ascii="宋体" w:hAnsi="宋体" w:eastAsia="宋体" w:cs="宋体"/>
      <w:color w:val="000000"/>
      <w:sz w:val="20"/>
      <w:szCs w:val="20"/>
      <w:u w:val="none"/>
    </w:rPr>
  </w:style>
  <w:style w:type="paragraph" w:customStyle="1" w:styleId="40">
    <w:name w:val="肥料正文"/>
    <w:basedOn w:val="1"/>
    <w:autoRedefine/>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41">
    <w:name w:val="一级条标题"/>
    <w:basedOn w:val="1"/>
    <w:next w:val="1"/>
    <w:qFormat/>
    <w:uiPriority w:val="0"/>
    <w:pPr>
      <w:widowControl/>
      <w:spacing w:line="300" w:lineRule="auto"/>
      <w:outlineLvl w:val="2"/>
    </w:pPr>
    <w:rPr>
      <w:rFonts w:ascii="宋体" w:eastAsia="宋体"/>
      <w:kern w:val="0"/>
      <w:sz w:val="24"/>
      <w:szCs w:val="20"/>
    </w:rPr>
  </w:style>
  <w:style w:type="paragraph" w:customStyle="1" w:styleId="42">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4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4">
    <w:name w:val="List Paragraph"/>
    <w:basedOn w:val="1"/>
    <w:autoRedefine/>
    <w:qFormat/>
    <w:uiPriority w:val="34"/>
    <w:pPr>
      <w:ind w:firstLine="420" w:firstLineChars="200"/>
    </w:pPr>
  </w:style>
  <w:style w:type="character" w:customStyle="1" w:styleId="45">
    <w:name w:val="页眉 字符"/>
    <w:qFormat/>
    <w:uiPriority w:val="99"/>
    <w:rPr>
      <w:sz w:val="18"/>
      <w:szCs w:val="18"/>
    </w:rPr>
  </w:style>
  <w:style w:type="character" w:customStyle="1" w:styleId="46">
    <w:name w:val="页脚 字符"/>
    <w:qFormat/>
    <w:uiPriority w:val="99"/>
    <w:rPr>
      <w:sz w:val="18"/>
      <w:szCs w:val="18"/>
    </w:rPr>
  </w:style>
  <w:style w:type="character" w:customStyle="1" w:styleId="47">
    <w:name w:val="val"/>
    <w:basedOn w:val="21"/>
    <w:qFormat/>
    <w:uiPriority w:val="0"/>
  </w:style>
  <w:style w:type="paragraph" w:customStyle="1" w:styleId="48">
    <w:name w:val="_Style 41"/>
    <w:autoRedefine/>
    <w:unhideWhenUsed/>
    <w:qFormat/>
    <w:uiPriority w:val="99"/>
    <w:rPr>
      <w:rFonts w:ascii="Times New Roman" w:hAnsi="Times New Roman" w:eastAsia="仿宋" w:cs="Times New Roman"/>
      <w:kern w:val="2"/>
      <w:sz w:val="21"/>
      <w:szCs w:val="24"/>
      <w:lang w:val="en-US" w:eastAsia="zh-CN" w:bidi="ar-SA"/>
    </w:rPr>
  </w:style>
  <w:style w:type="character" w:customStyle="1" w:styleId="49">
    <w:name w:val="日期 Char"/>
    <w:basedOn w:val="21"/>
    <w:link w:val="10"/>
    <w:qFormat/>
    <w:uiPriority w:val="99"/>
    <w:rPr>
      <w:kern w:val="2"/>
      <w:sz w:val="24"/>
      <w:szCs w:val="24"/>
    </w:rPr>
  </w:style>
  <w:style w:type="character" w:customStyle="1" w:styleId="50">
    <w:name w:val="标题 1 Char"/>
    <w:basedOn w:val="21"/>
    <w:link w:val="2"/>
    <w:qFormat/>
    <w:uiPriority w:val="1"/>
    <w:rPr>
      <w:rFonts w:ascii="Arial Unicode MS" w:eastAsia="Arial Unicode MS" w:cs="Arial Unicode M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3645</Words>
  <Characters>3977</Characters>
  <Lines>33</Lines>
  <Paragraphs>9</Paragraphs>
  <TotalTime>24</TotalTime>
  <ScaleCrop>false</ScaleCrop>
  <LinksUpToDate>false</LinksUpToDate>
  <CharactersWithSpaces>4041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2021-06-10T21:21:00Z</dcterms:created>
  <dc:creator>Administrator</dc:creator>
  <cp:lastModifiedBy>zm</cp:lastModifiedBy>
  <cp:lastPrinted>2019-12-19T18:43:00Z</cp:lastPrinted>
  <dcterms:modified xsi:type="dcterms:W3CDTF">2024-08-13T01:15:05Z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09DADCE2649F4611952CE71B4A342693_13</vt:lpwstr>
  </property>
</Properties>
</file>