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DD3CA">
      <w:pPr>
        <w:spacing w:line="596" w:lineRule="exact"/>
        <w:jc w:val="center"/>
        <w:rPr>
          <w:rFonts w:hint="eastAsia" w:ascii="仿宋" w:hAnsi="仿宋" w:eastAsia="仿宋" w:cs="仿宋"/>
          <w:b/>
          <w:bCs w:val="0"/>
          <w:sz w:val="48"/>
          <w:szCs w:val="48"/>
        </w:rPr>
      </w:pPr>
      <w:r>
        <w:rPr>
          <w:rFonts w:hint="eastAsia" w:ascii="仿宋" w:hAnsi="仿宋" w:eastAsia="仿宋" w:cs="仿宋"/>
          <w:b/>
          <w:bCs w:val="0"/>
          <w:sz w:val="48"/>
          <w:szCs w:val="48"/>
        </w:rPr>
        <w:t>202</w:t>
      </w:r>
      <w:r>
        <w:rPr>
          <w:rFonts w:hint="eastAsia" w:ascii="仿宋" w:hAnsi="仿宋" w:eastAsia="仿宋" w:cs="仿宋"/>
          <w:b/>
          <w:bCs w:val="0"/>
          <w:sz w:val="48"/>
          <w:szCs w:val="48"/>
          <w:lang w:val="en-US" w:eastAsia="zh-CN"/>
        </w:rPr>
        <w:t>4</w:t>
      </w:r>
      <w:r>
        <w:rPr>
          <w:rFonts w:hint="eastAsia" w:ascii="仿宋" w:hAnsi="仿宋" w:eastAsia="仿宋" w:cs="仿宋"/>
          <w:b/>
          <w:bCs w:val="0"/>
          <w:sz w:val="48"/>
          <w:szCs w:val="48"/>
        </w:rPr>
        <w:t>年</w:t>
      </w:r>
      <w:r>
        <w:rPr>
          <w:rFonts w:hint="eastAsia" w:ascii="仿宋" w:hAnsi="仿宋" w:eastAsia="仿宋" w:cs="仿宋"/>
          <w:b/>
          <w:bCs w:val="0"/>
          <w:sz w:val="48"/>
          <w:szCs w:val="48"/>
          <w:lang w:val="en-US" w:eastAsia="zh-CN"/>
        </w:rPr>
        <w:t>度鞍山市地膜</w:t>
      </w:r>
      <w:r>
        <w:rPr>
          <w:rFonts w:hint="eastAsia" w:ascii="仿宋" w:hAnsi="仿宋" w:eastAsia="仿宋" w:cs="仿宋"/>
          <w:b/>
          <w:bCs w:val="0"/>
          <w:sz w:val="48"/>
          <w:szCs w:val="48"/>
        </w:rPr>
        <w:t>产品质量监督抽查实施方案</w:t>
      </w:r>
    </w:p>
    <w:p w14:paraId="200AE27E">
      <w:pPr>
        <w:spacing w:line="596" w:lineRule="exac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一、产品行业状况</w:t>
      </w:r>
    </w:p>
    <w:p w14:paraId="797DAEF1">
      <w:pPr>
        <w:spacing w:line="594" w:lineRule="exact"/>
        <w:ind w:firstLine="560" w:firstLineChars="200"/>
        <w:rPr>
          <w:rFonts w:hint="eastAsia" w:ascii="仿宋_GB2312" w:hAnsi="仿宋" w:eastAsia="仿宋_GB2312" w:cs="Times New Roman"/>
          <w:color w:val="000000"/>
          <w:sz w:val="28"/>
          <w:szCs w:val="28"/>
        </w:rPr>
      </w:pPr>
      <w:r>
        <w:rPr>
          <w:rFonts w:hint="eastAsia" w:ascii="仿宋_GB2312" w:hAnsi="仿宋" w:eastAsia="仿宋_GB2312" w:cs="Times New Roman"/>
          <w:color w:val="000000"/>
          <w:sz w:val="28"/>
          <w:szCs w:val="28"/>
        </w:rPr>
        <w:t>农用</w:t>
      </w:r>
      <w:r>
        <w:rPr>
          <w:rFonts w:hint="eastAsia" w:ascii="仿宋_GB2312" w:hAnsi="仿宋" w:eastAsia="仿宋_GB2312" w:cs="Times New Roman"/>
          <w:color w:val="000000"/>
          <w:sz w:val="28"/>
          <w:szCs w:val="28"/>
          <w:lang w:val="en-US" w:eastAsia="zh-CN"/>
        </w:rPr>
        <w:t>薄膜</w:t>
      </w:r>
      <w:r>
        <w:rPr>
          <w:rFonts w:hint="eastAsia" w:ascii="仿宋_GB2312" w:hAnsi="仿宋" w:eastAsia="仿宋_GB2312" w:cs="Times New Roman"/>
          <w:color w:val="000000"/>
          <w:sz w:val="28"/>
          <w:szCs w:val="28"/>
        </w:rPr>
        <w:t>是应用于农业生产的塑料薄膜的总称，它是继种子、化肥、</w:t>
      </w:r>
      <w:r>
        <w:rPr>
          <w:rFonts w:hint="eastAsia" w:ascii="仿宋_GB2312" w:hAnsi="仿宋" w:eastAsia="仿宋_GB2312" w:cs="Times New Roman"/>
          <w:color w:val="000000"/>
          <w:sz w:val="28"/>
          <w:szCs w:val="28"/>
        </w:rPr>
        <w:fldChar w:fldCharType="begin"/>
      </w:r>
      <w:r>
        <w:rPr>
          <w:rFonts w:hint="eastAsia" w:ascii="仿宋_GB2312" w:hAnsi="仿宋" w:eastAsia="仿宋_GB2312" w:cs="Times New Roman"/>
          <w:color w:val="000000"/>
          <w:sz w:val="28"/>
          <w:szCs w:val="28"/>
        </w:rPr>
        <w:instrText xml:space="preserve"> HYPERLINK "http://www.cir.cn/R_2011-12/nongyaoshichangdiaoyanfenxi2012_2016.html" \t "http://www.cir.cn/7/20/_blank" \o "农药行业资讯报告§农药前景预测报告" </w:instrText>
      </w:r>
      <w:r>
        <w:rPr>
          <w:rFonts w:hint="eastAsia" w:ascii="仿宋_GB2312" w:hAnsi="仿宋" w:eastAsia="仿宋_GB2312" w:cs="Times New Roman"/>
          <w:color w:val="000000"/>
          <w:sz w:val="28"/>
          <w:szCs w:val="28"/>
        </w:rPr>
        <w:fldChar w:fldCharType="separate"/>
      </w:r>
      <w:r>
        <w:rPr>
          <w:rFonts w:hint="eastAsia" w:ascii="仿宋_GB2312" w:hAnsi="仿宋" w:eastAsia="仿宋_GB2312" w:cs="Times New Roman"/>
          <w:color w:val="000000"/>
          <w:sz w:val="28"/>
          <w:szCs w:val="28"/>
        </w:rPr>
        <w:t>农药</w:t>
      </w:r>
      <w:r>
        <w:rPr>
          <w:rFonts w:hint="eastAsia" w:ascii="仿宋_GB2312" w:hAnsi="仿宋" w:eastAsia="仿宋_GB2312" w:cs="Times New Roman"/>
          <w:color w:val="000000"/>
          <w:sz w:val="28"/>
          <w:szCs w:val="28"/>
        </w:rPr>
        <w:fldChar w:fldCharType="end"/>
      </w:r>
      <w:r>
        <w:rPr>
          <w:rFonts w:hint="eastAsia" w:ascii="仿宋_GB2312" w:hAnsi="仿宋" w:eastAsia="仿宋_GB2312" w:cs="Times New Roman"/>
          <w:color w:val="000000"/>
          <w:sz w:val="28"/>
          <w:szCs w:val="28"/>
        </w:rPr>
        <w:t>之后的农业重要生产资料，它的应用为我国农业生产带来了一场革命，对农业起着增产、增收、防灾、减灾、节水的作用，从而促进农业的持续发展，保证农产品的有效供应，增加农民收入。常使用的薄膜为普通聚氯乙烯薄膜、聚氯乙烯无滴膜、普通聚乙烯薄膜、聚乙烯无滴膜、聚乙烯多功能复合膜以及EVA多功能复合膜等。</w:t>
      </w:r>
    </w:p>
    <w:p w14:paraId="61930A5C">
      <w:pPr>
        <w:spacing w:line="594" w:lineRule="exact"/>
        <w:ind w:firstLine="560" w:firstLineChars="200"/>
        <w:rPr>
          <w:rFonts w:hint="eastAsia" w:ascii="仿宋_GB2312" w:hAnsi="仿宋" w:eastAsia="仿宋_GB2312" w:cs="Times New Roman"/>
          <w:color w:val="000000"/>
          <w:sz w:val="28"/>
          <w:szCs w:val="28"/>
        </w:rPr>
      </w:pPr>
      <w:r>
        <w:rPr>
          <w:rFonts w:hint="eastAsia" w:ascii="仿宋_GB2312" w:hAnsi="仿宋" w:eastAsia="仿宋_GB2312" w:cs="Times New Roman"/>
          <w:color w:val="000000"/>
          <w:sz w:val="28"/>
          <w:szCs w:val="28"/>
        </w:rPr>
        <w:t>中国自生产农用塑料薄膜至今，取得了两个世界第一，即产量第一和覆盖面积第一，大致相当于世界其他国家总和的1.6倍。农用塑料薄膜主要是棚膜和地膜，另外还包括遮阳网、防虫网、饲草用膜等现代农用覆盖材料。</w:t>
      </w:r>
    </w:p>
    <w:p w14:paraId="6E8BE96D">
      <w:pPr>
        <w:spacing w:line="594" w:lineRule="exact"/>
        <w:ind w:firstLine="560" w:firstLineChars="200"/>
        <w:rPr>
          <w:rFonts w:hint="eastAsia" w:ascii="仿宋_GB2312" w:hAnsi="仿宋" w:eastAsia="仿宋_GB2312" w:cs="Times New Roman"/>
          <w:color w:val="000000"/>
          <w:sz w:val="28"/>
          <w:szCs w:val="28"/>
        </w:rPr>
      </w:pPr>
      <w:r>
        <w:rPr>
          <w:rFonts w:hint="eastAsia" w:ascii="仿宋_GB2312" w:hAnsi="仿宋" w:eastAsia="仿宋_GB2312" w:cs="Times New Roman"/>
          <w:color w:val="000000"/>
          <w:sz w:val="28"/>
          <w:szCs w:val="28"/>
        </w:rPr>
        <w:t>塑料地膜能起到保温护根、防冻、保墒、调节光照、节水、除草，以及控制土壤盐碱度的作用，进而促进作物早熟，提高作物产量和质量。地膜按照功能分有：普通无色透明膜（又称有滴膜）、无滴膜（又称流滴膜）、光效膜（包括有色膜和转光膜）、除草膜、保温膜、可降解膜、耐老化膜、渗水膜（包括小孔膜和微孔膜）等。我国目前地膜材料以聚乙烯(PE)为主，另有部分聚氯乙烯（PVC）。虽然乙烯/乙酸乙烯(EVA)膜与 PE 膜相比，保温性、透明性好，与无滴剂有较好的相容性，拉伸性好而易成膜，且耐老化、耐冲击，但由于价格较贵，用量较少。若其成本降低，预计用量会逐步增加。</w:t>
      </w:r>
    </w:p>
    <w:p w14:paraId="4478758E">
      <w:pPr>
        <w:spacing w:line="594" w:lineRule="exact"/>
        <w:ind w:firstLine="560" w:firstLineChars="200"/>
        <w:rPr>
          <w:rFonts w:ascii="仿宋_GB2312" w:hAnsi="仿宋" w:eastAsia="仿宋_GB2312" w:cs="Times New Roman"/>
          <w:color w:val="000000"/>
          <w:sz w:val="28"/>
          <w:szCs w:val="28"/>
        </w:rPr>
      </w:pPr>
      <w:r>
        <w:rPr>
          <w:rFonts w:hint="eastAsia" w:ascii="仿宋_GB2312" w:hAnsi="仿宋" w:eastAsia="仿宋_GB2312" w:cs="Times New Roman"/>
          <w:color w:val="000000"/>
          <w:sz w:val="28"/>
          <w:szCs w:val="28"/>
        </w:rPr>
        <w:t>全国</w:t>
      </w:r>
      <w:r>
        <w:rPr>
          <w:rFonts w:ascii="仿宋_GB2312" w:hAnsi="仿宋" w:eastAsia="仿宋_GB2312" w:cs="Times New Roman"/>
          <w:color w:val="000000"/>
          <w:sz w:val="28"/>
          <w:szCs w:val="28"/>
        </w:rPr>
        <w:t>农膜行业中产能依然主要集中在华北地区，占比高达60%左右，以京津冀鲁地区为主，山东地区最为集中。华中地区产能占比在10%左右，主要集中在河南地区，</w:t>
      </w:r>
      <w:r>
        <w:rPr>
          <w:rFonts w:hint="eastAsia" w:ascii="仿宋_GB2312" w:hAnsi="仿宋" w:eastAsia="仿宋_GB2312" w:cs="Times New Roman"/>
          <w:color w:val="000000"/>
          <w:sz w:val="28"/>
          <w:szCs w:val="28"/>
          <w:lang w:eastAsia="zh-CN"/>
        </w:rPr>
        <w:t>安徽</w:t>
      </w:r>
      <w:r>
        <w:rPr>
          <w:rFonts w:ascii="仿宋_GB2312" w:hAnsi="仿宋" w:eastAsia="仿宋_GB2312" w:cs="Times New Roman"/>
          <w:color w:val="000000"/>
          <w:sz w:val="28"/>
          <w:szCs w:val="28"/>
        </w:rPr>
        <w:t>、陕西地区产能较少。东北地区近几年产能变化不大，占比在8%左右，西北、西南、华东、华南地区农膜产能占比相对较少，占比分别在7%、6%、5%、4%。其中西北、西南地区地膜产能为主，棚膜产能较少。</w:t>
      </w:r>
    </w:p>
    <w:p w14:paraId="4C9C08E1">
      <w:pPr>
        <w:pStyle w:val="4"/>
        <w:ind w:left="840" w:hanging="420"/>
        <w:jc w:val="center"/>
      </w:pPr>
      <w:r>
        <w:drawing>
          <wp:inline distT="0" distB="0" distL="114300" distR="114300">
            <wp:extent cx="4286250" cy="2286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4286250" cy="2286000"/>
                    </a:xfrm>
                    <a:prstGeom prst="rect">
                      <a:avLst/>
                    </a:prstGeom>
                    <a:noFill/>
                    <a:ln>
                      <a:noFill/>
                    </a:ln>
                  </pic:spPr>
                </pic:pic>
              </a:graphicData>
            </a:graphic>
          </wp:inline>
        </w:drawing>
      </w:r>
    </w:p>
    <w:p w14:paraId="67C7E373">
      <w:pPr>
        <w:spacing w:line="594" w:lineRule="exact"/>
        <w:ind w:firstLine="560" w:firstLineChars="200"/>
        <w:rPr>
          <w:rFonts w:ascii="仿宋_GB2312" w:hAnsi="仿宋" w:eastAsia="仿宋_GB2312" w:cs="Times New Roman"/>
          <w:color w:val="000000"/>
          <w:sz w:val="28"/>
          <w:szCs w:val="28"/>
        </w:rPr>
      </w:pPr>
      <w:r>
        <w:rPr>
          <w:rFonts w:ascii="仿宋_GB2312" w:hAnsi="仿宋" w:eastAsia="仿宋_GB2312" w:cs="Times New Roman"/>
          <w:color w:val="000000"/>
          <w:sz w:val="28"/>
          <w:szCs w:val="28"/>
        </w:rPr>
        <w:t>华北地区：本地区是国内农膜行业生产集中地，大型规模企业占全国规模企业的一半，保守计算在25个以上，产量均在万吨/年以上，中型企业占比更多，产量在3000-10000吨。本地区农膜企业一般订单范围广，生产周期相对较长，棚膜可生产周期一般在6-10个月。山东地区大棚膜设备产能主要集中在淄博、聊城、青州、寿光等地，地膜设备产能主要集中在临沂莒南县、济宁唐口周边、青岛平度、济南等地，临沂兰山区、菏泽郓城周边、德州夏津等地亦有不少农膜企业，生产中低档农膜为主。</w:t>
      </w:r>
    </w:p>
    <w:p w14:paraId="001AFA37">
      <w:pPr>
        <w:spacing w:line="594" w:lineRule="exact"/>
        <w:ind w:firstLine="560" w:firstLineChars="200"/>
        <w:rPr>
          <w:rFonts w:ascii="仿宋_GB2312" w:hAnsi="仿宋" w:eastAsia="仿宋_GB2312" w:cs="Times New Roman"/>
          <w:color w:val="000000"/>
          <w:sz w:val="28"/>
          <w:szCs w:val="28"/>
        </w:rPr>
      </w:pPr>
      <w:r>
        <w:rPr>
          <w:rFonts w:ascii="仿宋_GB2312" w:hAnsi="仿宋" w:eastAsia="仿宋_GB2312" w:cs="Times New Roman"/>
          <w:color w:val="000000"/>
          <w:sz w:val="28"/>
          <w:szCs w:val="28"/>
        </w:rPr>
        <w:t>华中地区：本地区农膜生产区域以河南地区为主，安阳、焦作、淮阳、濮阳、南阳等地居多，厂家较为分散，产量万吨/年以上的企业有4个左右，其他以中小型企业为主。白膜、地膜、功能膜等均有生产。安徽农膜生产企业较少，规模偏小。</w:t>
      </w:r>
    </w:p>
    <w:p w14:paraId="0B06B83A">
      <w:pPr>
        <w:spacing w:line="594" w:lineRule="exact"/>
        <w:ind w:firstLine="560" w:firstLineChars="200"/>
        <w:rPr>
          <w:rFonts w:ascii="仿宋_GB2312" w:hAnsi="仿宋" w:eastAsia="仿宋_GB2312" w:cs="Times New Roman"/>
          <w:color w:val="000000"/>
          <w:sz w:val="28"/>
          <w:szCs w:val="28"/>
        </w:rPr>
      </w:pPr>
      <w:r>
        <w:rPr>
          <w:rFonts w:ascii="仿宋_GB2312" w:hAnsi="仿宋" w:eastAsia="仿宋_GB2312" w:cs="Times New Roman"/>
          <w:color w:val="000000"/>
          <w:sz w:val="28"/>
          <w:szCs w:val="28"/>
        </w:rPr>
        <w:t>东北地区：本地区农膜生产企业主要集中在吉林地区，规模企业在4个左右，黑龙江地区企业小而散，辽宁地区生产稳定性不强。此地区农膜企业主要以生产茂金属膜为主，由于东北地区天气寒冷，雨雪大风等恶劣天气较多，茂金属原料占比相对较大，可增加农膜的抗拉力性能。</w:t>
      </w:r>
    </w:p>
    <w:p w14:paraId="43AC103D">
      <w:pPr>
        <w:spacing w:line="594" w:lineRule="exact"/>
        <w:ind w:firstLine="560" w:firstLineChars="200"/>
        <w:rPr>
          <w:rFonts w:ascii="仿宋_GB2312" w:hAnsi="仿宋" w:eastAsia="仿宋_GB2312" w:cs="Times New Roman"/>
          <w:color w:val="000000"/>
          <w:sz w:val="28"/>
          <w:szCs w:val="28"/>
        </w:rPr>
      </w:pPr>
      <w:r>
        <w:rPr>
          <w:rFonts w:ascii="仿宋_GB2312" w:hAnsi="仿宋" w:eastAsia="仿宋_GB2312" w:cs="Times New Roman"/>
          <w:color w:val="000000"/>
          <w:sz w:val="28"/>
          <w:szCs w:val="28"/>
        </w:rPr>
        <w:t>西北地区：本地区地膜需求量较大，近几年滋生了不少地膜厂家，设备产能不断增加，规模企业在7家左右，棚膜生产极少。甘肃地区以兰州、天水、庆阳等地为主，新疆地区部分兵团有地膜厂，昌吉周边有部分小型地膜企业，新疆地区面积广，人烟稀少，地膜企业更是少而分散，陕西、内蒙地区企业不多。</w:t>
      </w:r>
    </w:p>
    <w:p w14:paraId="601EADF5">
      <w:pPr>
        <w:spacing w:line="594" w:lineRule="exact"/>
        <w:ind w:firstLine="560" w:firstLineChars="200"/>
        <w:rPr>
          <w:rFonts w:ascii="仿宋_GB2312" w:hAnsi="仿宋" w:eastAsia="仿宋_GB2312" w:cs="Times New Roman"/>
          <w:color w:val="000000"/>
          <w:sz w:val="28"/>
          <w:szCs w:val="28"/>
        </w:rPr>
      </w:pPr>
      <w:r>
        <w:rPr>
          <w:rFonts w:ascii="仿宋_GB2312" w:hAnsi="仿宋" w:eastAsia="仿宋_GB2312" w:cs="Times New Roman"/>
          <w:color w:val="000000"/>
          <w:sz w:val="28"/>
          <w:szCs w:val="28"/>
        </w:rPr>
        <w:t>西南地区：本地区农膜生产企业主要集中在云南玉溪、曲靖，四川达州、绵阳、乐山等地，规模企业在5家左右，主要生产地膜，个别大厂生产一定量的棚膜。贵州贵阳、广西南宁等地亦有不少微小型企业，产区较为分散。</w:t>
      </w:r>
    </w:p>
    <w:p w14:paraId="34B816A6">
      <w:pPr>
        <w:keepNext w:val="0"/>
        <w:keepLines w:val="0"/>
        <w:pageBreakBefore w:val="0"/>
        <w:widowControl/>
        <w:kinsoku/>
        <w:wordWrap/>
        <w:overflowPunct/>
        <w:topLinePunct w:val="0"/>
        <w:autoSpaceDE/>
        <w:autoSpaceDN/>
        <w:bidi w:val="0"/>
        <w:adjustRightInd w:val="0"/>
        <w:snapToGrid w:val="0"/>
        <w:spacing w:line="596" w:lineRule="exact"/>
        <w:ind w:firstLine="560" w:firstLineChars="200"/>
        <w:jc w:val="left"/>
        <w:textAlignment w:val="auto"/>
        <w:rPr>
          <w:rFonts w:hint="default" w:ascii="仿宋_GB2312" w:hAnsi="Times New Roman" w:eastAsia="仿宋_GB2312" w:cs="Times New Roman"/>
          <w:kern w:val="2"/>
          <w:sz w:val="28"/>
          <w:szCs w:val="28"/>
          <w:highlight w:val="none"/>
          <w:lang w:val="en-US" w:eastAsia="zh-CN" w:bidi="ar-SA"/>
        </w:rPr>
      </w:pPr>
      <w:r>
        <w:rPr>
          <w:rFonts w:hint="eastAsia" w:ascii="仿宋_GB2312" w:hAnsi="Times New Roman" w:eastAsia="仿宋_GB2312" w:cs="Times New Roman"/>
          <w:kern w:val="2"/>
          <w:sz w:val="28"/>
          <w:szCs w:val="28"/>
          <w:highlight w:val="none"/>
          <w:lang w:val="en-US" w:eastAsia="zh-CN" w:bidi="ar-SA"/>
        </w:rPr>
        <w:t>我省农用薄膜生产企业约有50家，基本以</w:t>
      </w:r>
      <w:r>
        <w:rPr>
          <w:rFonts w:hint="eastAsia" w:ascii="仿宋_GB2312" w:eastAsia="仿宋_GB2312" w:cs="Times New Roman"/>
          <w:kern w:val="2"/>
          <w:sz w:val="28"/>
          <w:szCs w:val="28"/>
          <w:highlight w:val="none"/>
          <w:lang w:val="en-US" w:eastAsia="zh-CN" w:bidi="ar-SA"/>
        </w:rPr>
        <w:t>小微</w:t>
      </w:r>
      <w:r>
        <w:rPr>
          <w:rFonts w:hint="eastAsia" w:ascii="仿宋_GB2312" w:hAnsi="Times New Roman" w:eastAsia="仿宋_GB2312" w:cs="Times New Roman"/>
          <w:kern w:val="2"/>
          <w:sz w:val="28"/>
          <w:szCs w:val="28"/>
          <w:highlight w:val="none"/>
          <w:lang w:val="en-US" w:eastAsia="zh-CN" w:bidi="ar-SA"/>
        </w:rPr>
        <w:t>型企业为主，主要集中分布于沈阳、大连、铁岭、盘锦、阜新等地区</w:t>
      </w:r>
      <w:r>
        <w:rPr>
          <w:rFonts w:hint="eastAsia" w:ascii="仿宋_GB2312" w:eastAsia="仿宋_GB2312" w:cs="Times New Roman"/>
          <w:kern w:val="2"/>
          <w:sz w:val="28"/>
          <w:szCs w:val="28"/>
          <w:highlight w:val="none"/>
          <w:lang w:val="en-US" w:eastAsia="zh-CN" w:bidi="ar-SA"/>
        </w:rPr>
        <w:t>，鞍山无地膜生产企业。</w:t>
      </w:r>
    </w:p>
    <w:p w14:paraId="61AB34FC">
      <w:pPr>
        <w:spacing w:line="594" w:lineRule="exact"/>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二、抽查产品的质量状况</w:t>
      </w:r>
    </w:p>
    <w:p w14:paraId="2B9E0AFD">
      <w:pPr>
        <w:widowControl/>
        <w:adjustRightInd w:val="0"/>
        <w:snapToGrid w:val="0"/>
        <w:spacing w:line="596"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抽查产品存在的主要质量问题</w:t>
      </w:r>
    </w:p>
    <w:p w14:paraId="7DCACFB9">
      <w:pPr>
        <w:widowControl/>
        <w:adjustRightInd w:val="0"/>
        <w:snapToGrid w:val="0"/>
        <w:spacing w:line="596"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历年来国家及各省、市市场监督管理部门公示的抽查结果显示，</w:t>
      </w:r>
      <w:r>
        <w:rPr>
          <w:rFonts w:hint="eastAsia" w:ascii="仿宋_GB2312" w:hAnsi="仿宋_GB2312" w:eastAsia="仿宋_GB2312" w:cs="仿宋_GB2312"/>
          <w:sz w:val="28"/>
          <w:szCs w:val="28"/>
          <w:lang w:eastAsia="zh-CN"/>
        </w:rPr>
        <w:t>农用薄膜</w:t>
      </w:r>
      <w:r>
        <w:rPr>
          <w:rFonts w:hint="eastAsia" w:ascii="仿宋_GB2312" w:hAnsi="仿宋_GB2312" w:eastAsia="仿宋_GB2312" w:cs="仿宋_GB2312"/>
          <w:sz w:val="28"/>
          <w:szCs w:val="28"/>
        </w:rPr>
        <w:t>产品存在的主要问题有</w:t>
      </w:r>
      <w:r>
        <w:rPr>
          <w:rFonts w:hint="eastAsia" w:ascii="仿宋_GB2312" w:hAnsi="仿宋_GB2312" w:eastAsia="仿宋_GB2312" w:cs="仿宋_GB2312"/>
          <w:color w:val="000000"/>
          <w:sz w:val="28"/>
          <w:szCs w:val="28"/>
        </w:rPr>
        <w:t>厚度和厚度偏差</w:t>
      </w: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拉伸负荷</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断裂标称应变</w:t>
      </w:r>
      <w:r>
        <w:rPr>
          <w:rFonts w:hint="eastAsia" w:ascii="仿宋_GB2312" w:hAnsi="仿宋_GB2312" w:eastAsia="仿宋_GB2312" w:cs="仿宋_GB2312"/>
          <w:sz w:val="28"/>
          <w:szCs w:val="28"/>
        </w:rPr>
        <w:t>、</w:t>
      </w:r>
      <w:r>
        <w:rPr>
          <w:rFonts w:hint="eastAsia" w:ascii="仿宋_GB2312" w:hAnsi="仿宋_GB2312" w:eastAsia="仿宋_GB2312" w:cs="仿宋_GB2312"/>
          <w:color w:val="000000"/>
          <w:sz w:val="28"/>
          <w:szCs w:val="28"/>
        </w:rPr>
        <w:t>直角撕裂负荷</w:t>
      </w:r>
      <w:r>
        <w:rPr>
          <w:rFonts w:hint="eastAsia" w:ascii="仿宋_GB2312" w:hAnsi="仿宋_GB2312" w:eastAsia="仿宋_GB2312" w:cs="仿宋_GB2312"/>
          <w:sz w:val="28"/>
          <w:szCs w:val="28"/>
        </w:rPr>
        <w:t>等项目。</w:t>
      </w:r>
    </w:p>
    <w:p w14:paraId="6B039559">
      <w:pPr>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color w:val="000000"/>
          <w:sz w:val="28"/>
          <w:szCs w:val="28"/>
        </w:rPr>
        <w:t>厚度和厚度偏差</w:t>
      </w:r>
    </w:p>
    <w:p w14:paraId="4F8C30FE">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厚度是一个常见的、重要的物理性能指标,由厚度测量和计算延伸出来的厚度极限偏差、平均厚度偏差等概念,则直接或间接的反映出薄膜厚度质量水平，地膜标称厚度最小应不小于0.01毫米。</w:t>
      </w:r>
      <w:r>
        <w:rPr>
          <w:rFonts w:hint="eastAsia" w:ascii="仿宋_GB2312" w:hAnsi="仿宋_GB2312" w:eastAsia="仿宋_GB2312" w:cs="仿宋_GB2312"/>
          <w:sz w:val="28"/>
          <w:szCs w:val="28"/>
        </w:rPr>
        <w:t xml:space="preserve"> </w:t>
      </w:r>
    </w:p>
    <w:p w14:paraId="62377000">
      <w:pPr>
        <w:snapToGrid w:val="0"/>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color w:val="000000"/>
          <w:sz w:val="28"/>
          <w:szCs w:val="28"/>
        </w:rPr>
        <w:t>直角撕裂负荷</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拉伸负荷和断裂标称应变</w:t>
      </w:r>
    </w:p>
    <w:p w14:paraId="7B0A37B9">
      <w:pPr>
        <w:spacing w:line="594"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拉伸负荷是指单位截面薄膜在拉伸断裂时的拉力，表示抵抗拉伸的能力。断裂标称应变是指当进行断裂</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"http://www.so.com/s?q=%E6%8B%89%E4%BC%B8%E8%AF%95%E9%AA%8C&amp;ie=utf-8&amp;src=wenda_link" \t "http://wenda.so.com/q/_blank"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拉伸试验</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时，薄膜样品断裂时薄膜长度增加的</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"http://www.so.com/s?q=%E7%99%BE%E5%88%86%E7%8E%87&amp;ie=utf-8&amp;src=wenda_link" \t "http://wenda.so.com/q/_blank"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color w:val="000000"/>
          <w:sz w:val="28"/>
          <w:szCs w:val="28"/>
        </w:rPr>
        <w:t>百分率</w:t>
      </w:r>
      <w:r>
        <w:rPr>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。该值</w:t>
      </w:r>
      <w:r>
        <w:rPr>
          <w:rFonts w:hint="eastAsia" w:ascii="仿宋_GB2312" w:hAnsi="仿宋_GB2312" w:eastAsia="仿宋_GB2312" w:cs="仿宋_GB2312"/>
          <w:color w:val="000000"/>
          <w:sz w:val="28"/>
          <w:szCs w:val="28"/>
          <w:lang w:eastAsia="zh-CN"/>
        </w:rPr>
        <w:t>用来</w:t>
      </w:r>
      <w:r>
        <w:rPr>
          <w:rFonts w:hint="eastAsia" w:ascii="仿宋_GB2312" w:hAnsi="仿宋_GB2312" w:eastAsia="仿宋_GB2312" w:cs="仿宋_GB2312"/>
          <w:color w:val="000000"/>
          <w:sz w:val="28"/>
          <w:szCs w:val="28"/>
        </w:rPr>
        <w:t>衡量薄膜在未断裂时的延伸能力。</w:t>
      </w:r>
    </w:p>
    <w:p w14:paraId="5DEA1A7E">
      <w:pPr>
        <w:spacing w:line="594"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拉伸负荷和断裂标称应变反映了农用薄膜在外力作用下的能承受的最大力和变形量。若拉伸负荷和断裂标称应变不达标，薄膜在外力作用下容易断裂，产生裂缝，失去保护作用。</w:t>
      </w:r>
    </w:p>
    <w:p w14:paraId="2FDD96C7">
      <w:pPr>
        <w:widowControl/>
        <w:adjustRightInd w:val="0"/>
        <w:snapToGrid w:val="0"/>
        <w:spacing w:line="596"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抽查产品的行政许可管理</w:t>
      </w:r>
    </w:p>
    <w:p w14:paraId="5D66D41B">
      <w:pPr>
        <w:snapToGrid w:val="0"/>
        <w:spacing w:line="594"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sz w:val="28"/>
          <w:szCs w:val="28"/>
          <w:lang w:val="en-US" w:eastAsia="zh-CN"/>
        </w:rPr>
        <w:t>地膜</w:t>
      </w:r>
      <w:r>
        <w:rPr>
          <w:rFonts w:hint="eastAsia" w:ascii="仿宋_GB2312" w:hAnsi="仿宋_GB2312" w:eastAsia="仿宋_GB2312" w:cs="仿宋_GB2312"/>
          <w:color w:val="000000"/>
          <w:sz w:val="28"/>
          <w:szCs w:val="28"/>
        </w:rPr>
        <w:t>产品不属于工业产品生产许可证产品</w:t>
      </w:r>
      <w:r>
        <w:rPr>
          <w:rFonts w:hint="eastAsia" w:ascii="仿宋_GB2312" w:hAnsi="仿宋_GB2312" w:eastAsia="仿宋_GB2312" w:cs="仿宋_GB2312"/>
          <w:color w:val="000000"/>
          <w:sz w:val="28"/>
          <w:szCs w:val="28"/>
          <w:lang w:eastAsia="zh-CN"/>
        </w:rPr>
        <w:t>。</w:t>
      </w:r>
    </w:p>
    <w:p w14:paraId="1EB7CB0F">
      <w:pPr>
        <w:widowControl/>
        <w:adjustRightInd w:val="0"/>
        <w:snapToGrid w:val="0"/>
        <w:spacing w:line="596"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历次产品质量监督抽查情况</w:t>
      </w:r>
    </w:p>
    <w:p w14:paraId="07C8CF71">
      <w:pPr>
        <w:widowControl/>
        <w:adjustRightInd w:val="0"/>
        <w:snapToGrid w:val="0"/>
        <w:spacing w:line="596" w:lineRule="exact"/>
        <w:ind w:firstLine="560" w:firstLineChars="20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kern w:val="0"/>
          <w:sz w:val="28"/>
          <w:szCs w:val="28"/>
          <w:lang w:val="en-US" w:eastAsia="zh-CN"/>
        </w:rPr>
        <w:t>1.</w:t>
      </w:r>
      <w:r>
        <w:rPr>
          <w:rFonts w:hint="eastAsia" w:ascii="仿宋_GB2312" w:hAnsi="仿宋_GB2312" w:eastAsia="仿宋_GB2312" w:cs="仿宋_GB2312"/>
          <w:color w:val="000000"/>
          <w:sz w:val="28"/>
          <w:szCs w:val="28"/>
        </w:rPr>
        <w:t>国家监督抽查质量情况</w:t>
      </w:r>
    </w:p>
    <w:p w14:paraId="5402D5CA">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近三年国家市场监督管理总局对农用薄膜产品均开展监督抽查工作。2020年农用薄膜产品国家监督抽查不合格率为8.4%；2021年农用薄膜产品国家监督抽查不合格为7.5%；2022年农用薄膜产品国家监督抽查未发现不合格。</w:t>
      </w:r>
    </w:p>
    <w:p w14:paraId="28912CFC">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2.辽宁省局监督抽查质量情况</w:t>
      </w:r>
    </w:p>
    <w:p w14:paraId="696BF799">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2020年一季度，辽宁省质量技术监督局对本省生产的农用薄膜产品质量进行了监督抽查，共抽查生产领域21家企业、25批次产品，流通领域21家企业、26批次产品，覆盖本省主要生产企业。经检验，无不合格批次。</w:t>
      </w:r>
    </w:p>
    <w:p w14:paraId="151331F6">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2021年一季度，辽宁省质量技术监督局对本省生产的农用薄膜产品质量进行了监督抽查，抽查生产领域21批次，流通领域29批次，共50批次，生产企业基本覆盖全省，流通领域覆盖全省。经检验，有2批次产品不合格，企业合格率为95.5%，产品合格率为96%。涉及的不合格项目有：拉伸负荷、厚度偏差。</w:t>
      </w:r>
    </w:p>
    <w:p w14:paraId="3777A630">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2022年一季度，辽宁省质量技术监督局对本省生产的农用薄膜产品质量进行了监督抽查，抽查生产领域25批次，流通领域25批次，共50批次，生产企业基本覆盖全省，流通领域覆盖全省。对产品的拉伸负荷、断裂标称应变、直角撕裂负荷、厚度和厚度偏差、透光率、雾度、初滴时间等项目进行了检验。本次抽查未发现有产品不符合标准规定。</w:t>
      </w:r>
    </w:p>
    <w:p w14:paraId="0ECD5AAF">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2023年一季度，辽宁省质量技术监督局对本省生产的农用薄膜产品质量进行了监督抽查，</w:t>
      </w:r>
      <w:bookmarkStart w:id="0" w:name="_GoBack"/>
      <w:bookmarkEnd w:id="0"/>
      <w:r>
        <w:rPr>
          <w:rFonts w:hint="eastAsia" w:ascii="仿宋_GB2312" w:hAnsi="仿宋_GB2312" w:eastAsia="仿宋_GB2312" w:cs="仿宋_GB2312"/>
          <w:kern w:val="0"/>
          <w:sz w:val="28"/>
          <w:szCs w:val="28"/>
          <w:lang w:val="en-US" w:eastAsia="zh-CN"/>
        </w:rPr>
        <w:t>抽查生产领域25批次，流通领域25批次，共50批次，生产企业基本覆盖全省，流通领域覆盖全省。对产品的拉伸负荷、断裂标称应变、直角撕裂负荷、厚度和厚度偏差、透光率、雾度、初滴时间等项目进行了检验。经检验，有6批次产品不合格，企业合格率为87.5%，产品合格率为88%。涉及的不合格项目为：厚度和厚度偏差。</w:t>
      </w:r>
    </w:p>
    <w:p w14:paraId="0D4A5FB1">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3.鞍山市监督抽查质量情况</w:t>
      </w:r>
    </w:p>
    <w:p w14:paraId="7165189D">
      <w:pPr>
        <w:widowControl/>
        <w:adjustRightInd w:val="0"/>
        <w:snapToGrid w:val="0"/>
        <w:spacing w:line="596" w:lineRule="exact"/>
        <w:ind w:firstLine="560" w:firstLineChars="200"/>
        <w:jc w:val="left"/>
        <w:rPr>
          <w:rFonts w:hint="default" w:ascii="仿宋_GB2312" w:hAnsi="仿宋_GB2312" w:eastAsia="仿宋_GB2312" w:cs="仿宋_GB2312"/>
          <w:kern w:val="0"/>
          <w:sz w:val="28"/>
          <w:szCs w:val="28"/>
          <w:highlight w:val="none"/>
          <w:lang w:val="en-US" w:eastAsia="zh-CN"/>
        </w:rPr>
      </w:pPr>
      <w:r>
        <w:rPr>
          <w:rFonts w:hint="default" w:ascii="仿宋_GB2312" w:hAnsi="仿宋_GB2312" w:eastAsia="仿宋_GB2312" w:cs="仿宋_GB2312"/>
          <w:kern w:val="0"/>
          <w:sz w:val="28"/>
          <w:szCs w:val="28"/>
          <w:highlight w:val="none"/>
          <w:lang w:val="en-US" w:eastAsia="zh-CN"/>
        </w:rPr>
        <w:t>鞍山</w:t>
      </w:r>
      <w:r>
        <w:rPr>
          <w:rFonts w:hint="eastAsia" w:ascii="仿宋_GB2312" w:hAnsi="仿宋_GB2312" w:eastAsia="仿宋_GB2312" w:cs="仿宋_GB2312"/>
          <w:kern w:val="0"/>
          <w:sz w:val="28"/>
          <w:szCs w:val="28"/>
          <w:highlight w:val="none"/>
          <w:lang w:val="en-US" w:eastAsia="zh-CN"/>
        </w:rPr>
        <w:t>市</w:t>
      </w:r>
      <w:r>
        <w:rPr>
          <w:rFonts w:hint="default" w:ascii="仿宋_GB2312" w:hAnsi="仿宋_GB2312" w:eastAsia="仿宋_GB2312" w:cs="仿宋_GB2312"/>
          <w:kern w:val="0"/>
          <w:sz w:val="28"/>
          <w:szCs w:val="28"/>
          <w:highlight w:val="none"/>
          <w:lang w:val="en-US" w:eastAsia="zh-CN"/>
        </w:rPr>
        <w:t>近五年</w:t>
      </w:r>
      <w:r>
        <w:rPr>
          <w:rFonts w:hint="eastAsia" w:ascii="仿宋_GB2312" w:hAnsi="仿宋_GB2312" w:eastAsia="仿宋_GB2312" w:cs="仿宋_GB2312"/>
          <w:kern w:val="0"/>
          <w:sz w:val="28"/>
          <w:szCs w:val="28"/>
          <w:highlight w:val="none"/>
          <w:lang w:val="en-US" w:eastAsia="zh-CN"/>
        </w:rPr>
        <w:t>未</w:t>
      </w:r>
      <w:r>
        <w:rPr>
          <w:rFonts w:hint="default" w:ascii="仿宋_GB2312" w:hAnsi="仿宋_GB2312" w:eastAsia="仿宋_GB2312" w:cs="仿宋_GB2312"/>
          <w:kern w:val="0"/>
          <w:sz w:val="28"/>
          <w:szCs w:val="28"/>
          <w:highlight w:val="none"/>
          <w:lang w:val="en-US" w:eastAsia="zh-CN"/>
        </w:rPr>
        <w:t>进行地膜</w:t>
      </w:r>
      <w:r>
        <w:rPr>
          <w:rFonts w:hint="eastAsia" w:ascii="仿宋_GB2312" w:hAnsi="仿宋_GB2312" w:eastAsia="仿宋_GB2312" w:cs="仿宋_GB2312"/>
          <w:kern w:val="0"/>
          <w:sz w:val="28"/>
          <w:szCs w:val="28"/>
          <w:highlight w:val="none"/>
          <w:lang w:val="en-US" w:eastAsia="zh-CN"/>
        </w:rPr>
        <w:t>产品</w:t>
      </w:r>
      <w:r>
        <w:rPr>
          <w:rFonts w:hint="default" w:ascii="仿宋_GB2312" w:hAnsi="仿宋_GB2312" w:eastAsia="仿宋_GB2312" w:cs="仿宋_GB2312"/>
          <w:kern w:val="0"/>
          <w:sz w:val="28"/>
          <w:szCs w:val="28"/>
          <w:highlight w:val="none"/>
          <w:lang w:val="en-US" w:eastAsia="zh-CN"/>
        </w:rPr>
        <w:t>监督抽查</w:t>
      </w:r>
      <w:r>
        <w:rPr>
          <w:rFonts w:hint="eastAsia" w:ascii="仿宋_GB2312" w:hAnsi="仿宋_GB2312" w:eastAsia="仿宋_GB2312" w:cs="仿宋_GB2312"/>
          <w:kern w:val="0"/>
          <w:sz w:val="28"/>
          <w:szCs w:val="28"/>
          <w:highlight w:val="none"/>
          <w:lang w:val="en-US" w:eastAsia="zh-CN"/>
        </w:rPr>
        <w:t>。</w:t>
      </w:r>
    </w:p>
    <w:p w14:paraId="6524DB20">
      <w:pPr>
        <w:widowControl/>
        <w:adjustRightInd w:val="0"/>
        <w:snapToGrid w:val="0"/>
        <w:spacing w:line="596"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三、抽查产品的标准状况</w:t>
      </w:r>
    </w:p>
    <w:p w14:paraId="51E10FD1">
      <w:pPr>
        <w:widowControl/>
        <w:adjustRightInd w:val="0"/>
        <w:snapToGrid w:val="0"/>
        <w:spacing w:line="596" w:lineRule="exact"/>
        <w:ind w:firstLine="560" w:firstLineChars="200"/>
        <w:jc w:val="left"/>
        <w:rPr>
          <w:rFonts w:hint="eastAsia" w:ascii="仿宋_GB2312" w:hAnsi="仿宋" w:eastAsia="仿宋_GB2312" w:cs="仿宋"/>
          <w:kern w:val="0"/>
          <w:sz w:val="28"/>
          <w:szCs w:val="28"/>
          <w:lang w:val="en-US" w:eastAsia="zh-CN"/>
        </w:rPr>
      </w:pPr>
      <w:r>
        <w:rPr>
          <w:rFonts w:hint="eastAsia" w:ascii="仿宋_GB2312" w:hAnsi="仿宋" w:eastAsia="仿宋_GB2312" w:cs="仿宋"/>
          <w:kern w:val="0"/>
          <w:sz w:val="28"/>
          <w:szCs w:val="28"/>
          <w:lang w:val="en-US" w:eastAsia="zh-CN"/>
        </w:rPr>
        <w:t>1.抽查产品的标准体系概况</w:t>
      </w:r>
    </w:p>
    <w:p w14:paraId="7FFF34D0">
      <w:pPr>
        <w:widowControl/>
        <w:adjustRightInd w:val="0"/>
        <w:snapToGrid w:val="0"/>
        <w:spacing w:line="596" w:lineRule="exact"/>
        <w:ind w:firstLine="560" w:firstLineChars="200"/>
        <w:jc w:val="left"/>
        <w:rPr>
          <w:rFonts w:hint="eastAsia" w:ascii="仿宋_GB2312" w:hAnsi="仿宋" w:eastAsia="仿宋_GB2312" w:cs="仿宋"/>
          <w:kern w:val="0"/>
          <w:sz w:val="28"/>
          <w:szCs w:val="28"/>
          <w:lang w:val="en-US" w:eastAsia="zh-CN"/>
        </w:rPr>
      </w:pPr>
      <w:r>
        <w:rPr>
          <w:rFonts w:hint="eastAsia" w:ascii="仿宋_GB2312" w:hAnsi="仿宋" w:eastAsia="仿宋_GB2312" w:cs="仿宋"/>
          <w:kern w:val="0"/>
          <w:sz w:val="28"/>
          <w:szCs w:val="28"/>
          <w:lang w:val="en-US" w:eastAsia="zh-CN"/>
        </w:rPr>
        <w:t>我国目前地膜产品涉及标准GB 13735《聚乙烯吹塑农用地面覆盖薄膜》，方法标准有GB/T6672《塑料薄膜和薄片厚度的测定机械测量法》、GB/T6673《塑料薄膜和片材长度和宽度的测定》、QB/T 1130《塑料直角撕裂性能试验方法》等标准，部分标准长时间未进行修订，部分理化指标与方法标准已经不符合当前我国农用薄膜发展的需要。</w:t>
      </w:r>
    </w:p>
    <w:p w14:paraId="7F931345">
      <w:pPr>
        <w:widowControl/>
        <w:shd w:val="clear" w:color="auto" w:fill="FFFFFF"/>
        <w:spacing w:line="360" w:lineRule="auto"/>
        <w:ind w:firstLine="482"/>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标准规定的主要内容</w:t>
      </w:r>
    </w:p>
    <w:p w14:paraId="57A16F57">
      <w:pPr>
        <w:widowControl/>
        <w:shd w:val="clear" w:color="auto" w:fill="FFFFFF"/>
        <w:spacing w:line="360" w:lineRule="auto"/>
        <w:ind w:firstLine="482"/>
        <w:jc w:val="left"/>
        <w:rPr>
          <w:rFonts w:ascii="仿宋_GB2312" w:hAnsi="仿宋_GB2312" w:cs="仿宋_GB2312"/>
        </w:rPr>
      </w:pPr>
      <w:r>
        <w:rPr>
          <w:rFonts w:hint="eastAsia" w:ascii="仿宋_GB2312" w:hAnsi="仿宋_GB2312" w:eastAsia="仿宋_GB2312" w:cs="仿宋_GB2312"/>
          <w:color w:val="000000"/>
          <w:sz w:val="28"/>
          <w:szCs w:val="28"/>
          <w:lang w:val="en-US" w:eastAsia="zh-CN"/>
        </w:rPr>
        <w:t>地膜</w:t>
      </w:r>
      <w:r>
        <w:rPr>
          <w:rFonts w:hint="eastAsia" w:ascii="仿宋_GB2312" w:hAnsi="仿宋_GB2312" w:eastAsia="仿宋_GB2312" w:cs="仿宋_GB2312"/>
          <w:color w:val="000000"/>
          <w:sz w:val="28"/>
          <w:szCs w:val="28"/>
          <w:lang w:eastAsia="zh-CN"/>
        </w:rPr>
        <w:t>产品</w:t>
      </w:r>
      <w:r>
        <w:rPr>
          <w:rFonts w:hint="eastAsia" w:ascii="仿宋_GB2312" w:hAnsi="仿宋_GB2312" w:eastAsia="仿宋_GB2312" w:cs="仿宋_GB2312"/>
          <w:color w:val="000000"/>
          <w:sz w:val="28"/>
          <w:szCs w:val="28"/>
        </w:rPr>
        <w:t>标准主要规定了该类产品使用性能指标，包括：</w:t>
      </w:r>
      <w:r>
        <w:rPr>
          <w:rFonts w:hint="eastAsia" w:ascii="仿宋_GB2312" w:hAnsi="仿宋" w:eastAsia="仿宋_GB2312" w:cs="Times New Roman"/>
          <w:color w:val="000000"/>
          <w:sz w:val="28"/>
          <w:szCs w:val="28"/>
        </w:rPr>
        <w:t>厚度和厚度偏差</w:t>
      </w:r>
      <w:r>
        <w:rPr>
          <w:rFonts w:hint="eastAsia" w:ascii="仿宋_GB2312" w:hAnsi="仿宋_GB2312" w:eastAsia="仿宋_GB2312" w:cs="仿宋_GB2312"/>
          <w:color w:val="000000"/>
          <w:sz w:val="28"/>
          <w:szCs w:val="28"/>
        </w:rPr>
        <w:t>、</w:t>
      </w:r>
      <w:r>
        <w:rPr>
          <w:rFonts w:hint="eastAsia" w:ascii="仿宋_GB2312" w:hAnsi="仿宋" w:eastAsia="仿宋_GB2312" w:cs="Times New Roman"/>
          <w:color w:val="000000"/>
          <w:sz w:val="28"/>
          <w:szCs w:val="28"/>
        </w:rPr>
        <w:t>拉伸负荷和断裂标称应变</w:t>
      </w:r>
      <w:r>
        <w:rPr>
          <w:rFonts w:hint="eastAsia" w:ascii="仿宋_GB2312" w:hAnsi="仿宋_GB2312" w:eastAsia="仿宋_GB2312" w:cs="仿宋_GB2312"/>
          <w:color w:val="000000"/>
          <w:sz w:val="28"/>
          <w:szCs w:val="28"/>
        </w:rPr>
        <w:t>、</w:t>
      </w:r>
      <w:r>
        <w:rPr>
          <w:rFonts w:hint="eastAsia" w:ascii="仿宋_GB2312" w:hAnsi="仿宋" w:eastAsia="仿宋_GB2312" w:cs="Times New Roman"/>
          <w:color w:val="000000"/>
          <w:sz w:val="28"/>
          <w:szCs w:val="28"/>
        </w:rPr>
        <w:t>直角撕裂负荷</w:t>
      </w:r>
      <w:r>
        <w:rPr>
          <w:rFonts w:hint="eastAsia" w:ascii="仿宋_GB2312" w:hAnsi="仿宋_GB2312" w:eastAsia="仿宋_GB2312" w:cs="仿宋_GB2312"/>
          <w:color w:val="000000"/>
          <w:sz w:val="28"/>
          <w:szCs w:val="28"/>
        </w:rPr>
        <w:t>等指标。</w:t>
      </w:r>
    </w:p>
    <w:p w14:paraId="24F7E325">
      <w:pPr>
        <w:spacing w:line="596" w:lineRule="exact"/>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四、抽查产品质量监督抽查实施细则</w:t>
      </w:r>
    </w:p>
    <w:p w14:paraId="2368B2B8">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依据</w:t>
      </w:r>
      <w:r>
        <w:rPr>
          <w:rFonts w:hint="eastAsia" w:ascii="仿宋_GB2312" w:hAnsi="仿宋_GB2312" w:eastAsia="仿宋_GB2312" w:cs="仿宋_GB2312"/>
          <w:kern w:val="0"/>
          <w:sz w:val="28"/>
          <w:szCs w:val="28"/>
          <w:lang w:val="en-US" w:eastAsia="zh-CN"/>
        </w:rPr>
        <w:t>鞍山市</w:t>
      </w:r>
      <w:r>
        <w:rPr>
          <w:rFonts w:hint="eastAsia" w:ascii="仿宋_GB2312" w:hAnsi="仿宋_GB2312" w:eastAsia="仿宋_GB2312" w:cs="仿宋_GB2312"/>
          <w:kern w:val="0"/>
          <w:sz w:val="28"/>
          <w:szCs w:val="28"/>
        </w:rPr>
        <w:t>市场监督管理局公布的</w:t>
      </w:r>
      <w:r>
        <w:rPr>
          <w:rFonts w:hint="eastAsia" w:ascii="仿宋_GB2312" w:hAnsi="仿宋_GB2312" w:eastAsia="仿宋_GB2312" w:cs="仿宋_GB2312"/>
          <w:kern w:val="0"/>
          <w:sz w:val="28"/>
          <w:szCs w:val="28"/>
          <w:lang w:eastAsia="zh-CN"/>
        </w:rPr>
        <w:t>《鞍山市地膜产品质量监督抽查实施细则》</w:t>
      </w:r>
      <w:r>
        <w:rPr>
          <w:rFonts w:hint="eastAsia" w:ascii="仿宋_GB2312" w:hAnsi="仿宋_GB2312" w:eastAsia="仿宋_GB2312" w:cs="仿宋_GB2312"/>
          <w:kern w:val="0"/>
          <w:sz w:val="28"/>
          <w:szCs w:val="28"/>
        </w:rPr>
        <w:t>。</w:t>
      </w:r>
    </w:p>
    <w:p w14:paraId="4584E109">
      <w:pPr>
        <w:numPr>
          <w:ilvl w:val="0"/>
          <w:numId w:val="0"/>
        </w:numPr>
        <w:spacing w:line="596" w:lineRule="exact"/>
        <w:outlineLvl w:val="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抽查产品范围</w:t>
      </w:r>
    </w:p>
    <w:p w14:paraId="52EF0E69">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（一）拟抽查产品范围</w:t>
      </w:r>
    </w:p>
    <w:p w14:paraId="5F7A3428">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本次抽查产品包括：聚乙烯吹塑农用地面覆盖薄膜。</w:t>
      </w:r>
    </w:p>
    <w:p w14:paraId="112674ED">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（二）抽样方式</w:t>
      </w:r>
    </w:p>
    <w:p w14:paraId="74FB5655">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1.抽样领域</w:t>
      </w:r>
    </w:p>
    <w:p w14:paraId="55CAF508">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抽样领域：流通领域。</w:t>
      </w:r>
    </w:p>
    <w:p w14:paraId="65DDA466">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2.样品型号或规格</w:t>
      </w:r>
    </w:p>
    <w:p w14:paraId="0053FDBF">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抽取样品应为同一型号规格、同一批次的产品。</w:t>
      </w:r>
    </w:p>
    <w:p w14:paraId="4CB7A0BE">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3.抽样方法和数量</w:t>
      </w:r>
    </w:p>
    <w:p w14:paraId="6E71C397">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随机抽取有产品质量检验合格证明或者以其他形式表明合格的、近期生产的产品。</w:t>
      </w:r>
    </w:p>
    <w:p w14:paraId="6F61CFAE">
      <w:pPr>
        <w:widowControl/>
        <w:adjustRightInd w:val="0"/>
        <w:snapToGrid w:val="0"/>
        <w:spacing w:line="596" w:lineRule="exact"/>
        <w:ind w:firstLine="560" w:firstLineChars="200"/>
        <w:jc w:val="left"/>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抽样基数满足抽样数量即可。</w:t>
      </w:r>
    </w:p>
    <w:p w14:paraId="3DACEF19">
      <w:pPr>
        <w:spacing w:line="594" w:lineRule="exact"/>
        <w:outlineLvl w:val="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六、</w:t>
      </w:r>
      <w:r>
        <w:rPr>
          <w:rFonts w:hint="eastAsia" w:ascii="仿宋_GB2312" w:hAnsi="仿宋_GB2312" w:eastAsia="仿宋_GB2312" w:cs="仿宋_GB2312"/>
          <w:b/>
          <w:bCs/>
          <w:sz w:val="28"/>
          <w:szCs w:val="28"/>
          <w:lang w:val="en-US" w:eastAsia="zh-CN"/>
        </w:rPr>
        <w:t>跟踪抽查情况</w:t>
      </w:r>
    </w:p>
    <w:p w14:paraId="4821ED24">
      <w:pPr>
        <w:pStyle w:val="2"/>
        <w:keepNext w:val="0"/>
        <w:keepLines w:val="0"/>
        <w:pageBreakBefore w:val="0"/>
        <w:numPr>
          <w:ilvl w:val="0"/>
          <w:numId w:val="0"/>
        </w:numPr>
        <w:kinsoku/>
        <w:wordWrap/>
        <w:overflowPunct/>
        <w:topLinePunct w:val="0"/>
        <w:autoSpaceDE/>
        <w:autoSpaceDN/>
        <w:bidi w:val="0"/>
        <w:spacing w:line="596"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本次抽查产品</w:t>
      </w:r>
      <w:r>
        <w:rPr>
          <w:rFonts w:hint="eastAsia" w:ascii="仿宋_GB2312" w:hAnsi="仿宋_GB2312" w:eastAsia="仿宋_GB2312" w:cs="仿宋_GB2312"/>
          <w:sz w:val="28"/>
          <w:szCs w:val="28"/>
          <w:highlight w:val="none"/>
          <w:lang w:val="en-US" w:eastAsia="zh-CN"/>
        </w:rPr>
        <w:t>2023年无不合格情况，无需跟踪。</w:t>
      </w:r>
    </w:p>
    <w:p w14:paraId="352BE684">
      <w:pPr>
        <w:pStyle w:val="3"/>
        <w:adjustRightInd w:val="0"/>
        <w:snapToGrid w:val="0"/>
        <w:spacing w:line="596" w:lineRule="exact"/>
        <w:ind w:left="0" w:leftChars="0" w:firstLine="0" w:firstLineChars="0"/>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sz w:val="28"/>
          <w:szCs w:val="28"/>
          <w:lang w:val="en-US" w:eastAsia="zh-CN"/>
        </w:rPr>
        <w:t>七、</w:t>
      </w:r>
      <w:r>
        <w:rPr>
          <w:rFonts w:hint="eastAsia" w:ascii="仿宋_GB2312" w:hAnsi="仿宋_GB2312" w:eastAsia="仿宋_GB2312" w:cs="仿宋_GB2312"/>
          <w:b/>
          <w:bCs/>
          <w:sz w:val="28"/>
          <w:szCs w:val="28"/>
        </w:rPr>
        <w:t>抽查工作分工和进度安排</w:t>
      </w:r>
    </w:p>
    <w:p w14:paraId="32E40447">
      <w:pPr>
        <w:pStyle w:val="3"/>
        <w:spacing w:after="0" w:line="360" w:lineRule="auto"/>
        <w:ind w:left="0" w:leftChars="0" w:firstLine="560" w:firstLineChars="200"/>
        <w:outlineLvl w:val="1"/>
        <w:rPr>
          <w:rFonts w:ascii="仿宋_GB2312" w:hAnsi="仿宋" w:eastAsia="仿宋_GB2312" w:cs="仿宋"/>
          <w:kern w:val="0"/>
          <w:sz w:val="28"/>
          <w:szCs w:val="28"/>
        </w:rPr>
      </w:pPr>
      <w:r>
        <w:rPr>
          <w:rFonts w:hint="eastAsia" w:ascii="仿宋_GB2312" w:hAnsi="仿宋" w:eastAsia="仿宋_GB2312" w:cs="仿宋"/>
          <w:kern w:val="0"/>
          <w:sz w:val="28"/>
          <w:szCs w:val="28"/>
        </w:rPr>
        <w:t>（一）抽查地区、抽样批次、抽样分工</w:t>
      </w:r>
    </w:p>
    <w:p w14:paraId="3B6E5EE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抽样地区：全市范围内。涵盖市内各区及周边区市县城等地区流通领域地膜经销点，能够真实反映鞍山市目前地膜产品的总体质量状况。</w:t>
      </w:r>
    </w:p>
    <w:p w14:paraId="3103DB50">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 xml:space="preserve">抽样批次：本次拟抽查5批次样品，全部在流通领域完成，每个受检单位抽查产品不超过2批次 。 </w:t>
      </w:r>
    </w:p>
    <w:p w14:paraId="1ED2756F">
      <w:pPr>
        <w:widowControl/>
        <w:spacing w:line="360" w:lineRule="auto"/>
        <w:ind w:firstLine="560" w:firstLineChars="200"/>
        <w:jc w:val="left"/>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抽样分工：按照“抽检分离”原则，机构内抽样人员与检验人员分离。合理规划抽样人员，每组抽样人员不少于2人，抽样人员随机产生。</w:t>
      </w:r>
    </w:p>
    <w:p w14:paraId="116C7512">
      <w:pPr>
        <w:pStyle w:val="3"/>
        <w:spacing w:after="0" w:line="360" w:lineRule="auto"/>
        <w:ind w:left="0" w:leftChars="0" w:firstLine="560" w:firstLineChars="200"/>
        <w:outlineLvl w:val="1"/>
        <w:rPr>
          <w:rFonts w:hint="eastAsia" w:ascii="仿宋_GB2312" w:hAnsi="仿宋" w:eastAsia="仿宋_GB2312" w:cs="仿宋_GB2312"/>
          <w:kern w:val="0"/>
          <w:sz w:val="28"/>
          <w:szCs w:val="28"/>
        </w:rPr>
      </w:pPr>
      <w:r>
        <w:rPr>
          <w:rFonts w:hint="eastAsia" w:ascii="仿宋_GB2312" w:hAnsi="仿宋" w:eastAsia="仿宋_GB2312" w:cs="仿宋_GB2312"/>
          <w:kern w:val="0"/>
          <w:sz w:val="28"/>
          <w:szCs w:val="28"/>
        </w:rPr>
        <w:t>（二）抽查进度安排</w:t>
      </w:r>
    </w:p>
    <w:p w14:paraId="12CD1203">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总体时间安排：接到市局任务起60日内</w:t>
      </w:r>
    </w:p>
    <w:p w14:paraId="30855D57">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具体时间安排：</w:t>
      </w:r>
    </w:p>
    <w:p w14:paraId="6323E19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1、抽样阶段：接到市局任务起15日内；</w:t>
      </w:r>
    </w:p>
    <w:p w14:paraId="56AE7DA4">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2、检验阶段：到样日起～30日内；</w:t>
      </w:r>
    </w:p>
    <w:p w14:paraId="3A2A6262">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3、异议处理：报告发出后15日内完成异议处理工作；</w:t>
      </w:r>
    </w:p>
    <w:p w14:paraId="3F4E91D1">
      <w:pPr>
        <w:pStyle w:val="3"/>
        <w:spacing w:after="0" w:line="360" w:lineRule="auto"/>
        <w:ind w:left="0" w:leftChars="0" w:firstLine="560" w:firstLineChars="200"/>
        <w:outlineLvl w:val="1"/>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color w:val="auto"/>
          <w:kern w:val="0"/>
          <w:sz w:val="28"/>
          <w:szCs w:val="28"/>
          <w:highlight w:val="none"/>
          <w:lang w:val="en-US" w:eastAsia="zh-CN" w:bidi="ar-SA"/>
        </w:rPr>
        <w:t>4、按市局时间节点要求将所有材料上报鞍山市市场监督管理局。</w:t>
      </w:r>
    </w:p>
    <w:p w14:paraId="2A1F5821">
      <w:pPr>
        <w:spacing w:line="360" w:lineRule="auto"/>
        <w:ind w:firstLine="560" w:firstLineChars="200"/>
        <w:rPr>
          <w:rFonts w:hint="eastAsia" w:ascii="仿宋_GB2312" w:hAnsi="仿宋" w:eastAsia="仿宋_GB2312" w:cs="仿宋"/>
          <w:color w:val="auto"/>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遇到特殊情况，经市局同意后时间顺延。</w:t>
      </w:r>
    </w:p>
    <w:p w14:paraId="13765A5E">
      <w:pPr>
        <w:pStyle w:val="3"/>
        <w:spacing w:after="0" w:line="360" w:lineRule="auto"/>
        <w:ind w:left="0" w:leftChars="0" w:firstLine="0" w:firstLine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680CAE54">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承检机构：大连产品质量检验检测研究院有限公司</w:t>
      </w:r>
    </w:p>
    <w:p w14:paraId="3902E728">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单位地址：大连市沙河口区万岁街68-2号</w:t>
      </w:r>
    </w:p>
    <w:p w14:paraId="17496D15">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业务联系人：王宁</w:t>
      </w:r>
    </w:p>
    <w:p w14:paraId="7E866AB0">
      <w:pPr>
        <w:tabs>
          <w:tab w:val="left" w:pos="465"/>
          <w:tab w:val="right" w:pos="8313"/>
        </w:tabs>
        <w:spacing w:line="360" w:lineRule="auto"/>
        <w:ind w:firstLine="560" w:firstLineChars="200"/>
        <w:rPr>
          <w:rFonts w:ascii="仿宋_GB2312" w:hAnsi="仿宋" w:eastAsia="仿宋_GB2312" w:cs="仿宋"/>
          <w:kern w:val="0"/>
          <w:sz w:val="28"/>
          <w:szCs w:val="28"/>
        </w:rPr>
      </w:pPr>
      <w:r>
        <w:rPr>
          <w:rFonts w:hint="eastAsia" w:ascii="仿宋_GB2312" w:hAnsi="仿宋" w:eastAsia="仿宋_GB2312" w:cs="仿宋"/>
          <w:kern w:val="0"/>
          <w:sz w:val="28"/>
          <w:szCs w:val="28"/>
        </w:rPr>
        <w:t>电话/邮箱：</w:t>
      </w:r>
      <w:r>
        <w:rPr>
          <w:rFonts w:ascii="仿宋_GB2312" w:hAnsi="仿宋" w:eastAsia="仿宋_GB2312" w:cs="仿宋"/>
          <w:kern w:val="0"/>
          <w:sz w:val="28"/>
          <w:szCs w:val="28"/>
        </w:rPr>
        <w:t>15942621521/ning1164@qq.com</w:t>
      </w:r>
    </w:p>
    <w:p w14:paraId="6952C75A">
      <w:pPr>
        <w:pStyle w:val="3"/>
        <w:spacing w:after="0" w:line="360" w:lineRule="auto"/>
        <w:ind w:left="0" w:leftChars="0" w:firstLine="0" w:firstLineChars="0"/>
        <w:outlineLvl w:val="0"/>
        <w:rPr>
          <w:rFonts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382109D0">
      <w:pPr>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承检机构资质认定情况统计</w:t>
      </w:r>
    </w:p>
    <w:tbl>
      <w:tblPr>
        <w:tblStyle w:val="11"/>
        <w:tblW w:w="4717" w:type="pct"/>
        <w:jc w:val="center"/>
        <w:tblLayout w:type="autofit"/>
        <w:tblCellMar>
          <w:top w:w="0" w:type="dxa"/>
          <w:left w:w="108" w:type="dxa"/>
          <w:bottom w:w="0" w:type="dxa"/>
          <w:right w:w="108" w:type="dxa"/>
        </w:tblCellMar>
      </w:tblPr>
      <w:tblGrid>
        <w:gridCol w:w="810"/>
        <w:gridCol w:w="3431"/>
        <w:gridCol w:w="4199"/>
      </w:tblGrid>
      <w:tr w14:paraId="7BFF6C71">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061F8D45">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6FCDB313">
            <w:pPr>
              <w:jc w:val="center"/>
              <w:rPr>
                <w:rFonts w:hint="eastAsia" w:ascii="宋体" w:hAnsi="宋体" w:eastAsia="宋体" w:cs="宋体"/>
                <w:color w:val="000000"/>
                <w:sz w:val="24"/>
              </w:rPr>
            </w:pPr>
            <w:r>
              <w:rPr>
                <w:rFonts w:hint="eastAsia" w:ascii="宋体" w:hAnsi="宋体" w:eastAsia="宋体" w:cs="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2DF9C86D">
            <w:pPr>
              <w:jc w:val="center"/>
              <w:rPr>
                <w:rFonts w:hint="eastAsia" w:ascii="宋体" w:hAnsi="宋体" w:eastAsia="宋体" w:cs="宋体"/>
                <w:color w:val="000000"/>
                <w:sz w:val="24"/>
              </w:rPr>
            </w:pPr>
            <w:r>
              <w:rPr>
                <w:rFonts w:hint="eastAsia" w:ascii="宋体" w:hAnsi="宋体" w:eastAsia="宋体" w:cs="宋体"/>
                <w:color w:val="000000"/>
                <w:sz w:val="24"/>
              </w:rPr>
              <w:t>CMA证书编号及有效期限</w:t>
            </w:r>
          </w:p>
        </w:tc>
      </w:tr>
      <w:tr w14:paraId="6F25F301">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noWrap w:val="0"/>
            <w:vAlign w:val="center"/>
          </w:tcPr>
          <w:p w14:paraId="5FE21864">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noWrap w:val="0"/>
            <w:vAlign w:val="center"/>
          </w:tcPr>
          <w:p w14:paraId="2718EB19">
            <w:pPr>
              <w:jc w:val="center"/>
              <w:rPr>
                <w:rFonts w:hint="eastAsia" w:ascii="宋体" w:hAnsi="宋体" w:eastAsia="宋体" w:cs="宋体"/>
                <w:sz w:val="24"/>
              </w:rPr>
            </w:pPr>
            <w:r>
              <w:rPr>
                <w:rFonts w:hint="eastAsia" w:ascii="宋体" w:hAnsi="宋体" w:eastAsia="宋体" w:cs="宋体"/>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noWrap w:val="0"/>
            <w:vAlign w:val="center"/>
          </w:tcPr>
          <w:p w14:paraId="5CB7D32E">
            <w:pPr>
              <w:pStyle w:val="2"/>
              <w:ind w:firstLine="0" w:firstLineChars="0"/>
              <w:jc w:val="center"/>
              <w:rPr>
                <w:rFonts w:hint="eastAsia" w:ascii="宋体" w:hAnsi="宋体" w:eastAsia="宋体" w:cs="宋体"/>
                <w:sz w:val="24"/>
              </w:rPr>
            </w:pPr>
            <w:r>
              <w:rPr>
                <w:rFonts w:hint="eastAsia" w:ascii="宋体" w:hAnsi="宋体" w:eastAsia="宋体" w:cs="宋体"/>
                <w:sz w:val="24"/>
              </w:rPr>
              <w:t>编号：18060011B027</w:t>
            </w:r>
          </w:p>
          <w:p w14:paraId="7FAEA304">
            <w:pPr>
              <w:pStyle w:val="2"/>
              <w:ind w:firstLine="0" w:firstLineChars="0"/>
              <w:jc w:val="center"/>
              <w:rPr>
                <w:rFonts w:hint="eastAsia" w:ascii="宋体" w:hAnsi="宋体" w:eastAsia="宋体" w:cs="宋体"/>
                <w:sz w:val="24"/>
              </w:rPr>
            </w:pPr>
            <w:r>
              <w:rPr>
                <w:rFonts w:hint="eastAsia" w:ascii="宋体" w:hAnsi="宋体" w:eastAsia="宋体" w:cs="宋体"/>
                <w:sz w:val="24"/>
              </w:rPr>
              <w:t>有效期：20</w:t>
            </w:r>
            <w:r>
              <w:rPr>
                <w:rFonts w:hint="eastAsia" w:ascii="宋体" w:hAnsi="宋体" w:eastAsia="宋体" w:cs="宋体"/>
                <w:sz w:val="24"/>
                <w:lang w:val="en-US" w:eastAsia="zh-CN"/>
              </w:rPr>
              <w:t>30</w:t>
            </w:r>
            <w:r>
              <w:rPr>
                <w:rFonts w:hint="eastAsia" w:ascii="宋体" w:hAnsi="宋体" w:eastAsia="宋体" w:cs="宋体"/>
                <w:sz w:val="24"/>
              </w:rPr>
              <w:t>.6.</w:t>
            </w:r>
            <w:r>
              <w:rPr>
                <w:rFonts w:hint="eastAsia" w:ascii="宋体" w:hAnsi="宋体" w:eastAsia="宋体" w:cs="宋体"/>
                <w:sz w:val="24"/>
                <w:lang w:val="en-US" w:eastAsia="zh-CN"/>
              </w:rPr>
              <w:t>4</w:t>
            </w:r>
          </w:p>
        </w:tc>
      </w:tr>
    </w:tbl>
    <w:p w14:paraId="32C4F019">
      <w:pPr>
        <w:pStyle w:val="2"/>
        <w:rPr>
          <w:rFonts w:hint="eastAsia"/>
        </w:rPr>
      </w:pPr>
    </w:p>
    <w:p w14:paraId="1C2884AC">
      <w:pPr>
        <w:pStyle w:val="2"/>
        <w:rPr>
          <w:rFonts w:hint="eastAsia"/>
        </w:rPr>
      </w:pPr>
    </w:p>
    <w:p w14:paraId="1CA67C6F">
      <w:pPr>
        <w:pStyle w:val="2"/>
        <w:rPr>
          <w:rFonts w:hint="eastAsia"/>
        </w:rPr>
      </w:pPr>
    </w:p>
    <w:p w14:paraId="024D1A5F">
      <w:pPr>
        <w:pStyle w:val="2"/>
        <w:rPr>
          <w:rFonts w:hint="eastAsia"/>
        </w:rPr>
      </w:pPr>
    </w:p>
    <w:p w14:paraId="063F2991"/>
    <w:sectPr>
      <w:headerReference r:id="rId3" w:type="default"/>
      <w:footerReference r:id="rId4" w:type="default"/>
      <w:pgSz w:w="11906" w:h="16838"/>
      <w:pgMar w:top="1418" w:right="1588" w:bottom="1418" w:left="1588" w:header="851" w:footer="79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3BD86">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809E52">
                          <w:pPr>
                            <w:pStyle w:val="6"/>
                            <w:jc w:val="center"/>
                          </w:pPr>
                          <w:r>
                            <w:fldChar w:fldCharType="begin"/>
                          </w:r>
                          <w:r>
                            <w:instrText xml:space="preserve"> PAGE   \* MERGEFORMAT </w:instrText>
                          </w:r>
                          <w:r>
                            <w:fldChar w:fldCharType="separate"/>
                          </w:r>
                          <w:r>
                            <w:rPr>
                              <w:lang w:val="zh-CN"/>
                            </w:rPr>
                            <w:t>1</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D809E52">
                    <w:pPr>
                      <w:pStyle w:val="6"/>
                      <w:jc w:val="center"/>
                    </w:pPr>
                    <w:r>
                      <w:fldChar w:fldCharType="begin"/>
                    </w:r>
                    <w:r>
                      <w:instrText xml:space="preserve"> PAGE   \* MERGEFORMAT </w:instrText>
                    </w:r>
                    <w:r>
                      <w:fldChar w:fldCharType="separate"/>
                    </w:r>
                    <w:r>
                      <w:rPr>
                        <w:lang w:val="zh-CN"/>
                      </w:rPr>
                      <w:t>1</w:t>
                    </w:r>
                    <w:r>
                      <w:rPr>
                        <w:lang w:val="zh-CN"/>
                      </w:rPr>
                      <w:fldChar w:fldCharType="end"/>
                    </w:r>
                  </w:p>
                </w:txbxContent>
              </v:textbox>
            </v:shape>
          </w:pict>
        </mc:Fallback>
      </mc:AlternateContent>
    </w:r>
  </w:p>
  <w:p w14:paraId="147BDA7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BA834">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000000"/>
    <w:rsid w:val="003A17B7"/>
    <w:rsid w:val="047A4BAF"/>
    <w:rsid w:val="06A44D39"/>
    <w:rsid w:val="07034156"/>
    <w:rsid w:val="0AF354FA"/>
    <w:rsid w:val="0B50723E"/>
    <w:rsid w:val="0B974E6D"/>
    <w:rsid w:val="0C3C00DF"/>
    <w:rsid w:val="0DA135D9"/>
    <w:rsid w:val="11FB00E1"/>
    <w:rsid w:val="127D3852"/>
    <w:rsid w:val="1347361C"/>
    <w:rsid w:val="1559294C"/>
    <w:rsid w:val="15BE1AC7"/>
    <w:rsid w:val="15E71487"/>
    <w:rsid w:val="17D8403A"/>
    <w:rsid w:val="191561AB"/>
    <w:rsid w:val="251A476C"/>
    <w:rsid w:val="2CB459CD"/>
    <w:rsid w:val="3A897B7B"/>
    <w:rsid w:val="3B404794"/>
    <w:rsid w:val="3B56451F"/>
    <w:rsid w:val="3E76385B"/>
    <w:rsid w:val="412F0DC7"/>
    <w:rsid w:val="43004CF9"/>
    <w:rsid w:val="430E13FE"/>
    <w:rsid w:val="4654462A"/>
    <w:rsid w:val="46615745"/>
    <w:rsid w:val="497D5147"/>
    <w:rsid w:val="4BE55C00"/>
    <w:rsid w:val="4C13326B"/>
    <w:rsid w:val="4C1B5C67"/>
    <w:rsid w:val="4C3B6D6B"/>
    <w:rsid w:val="527C6180"/>
    <w:rsid w:val="538E7E65"/>
    <w:rsid w:val="55F46582"/>
    <w:rsid w:val="56E27F2F"/>
    <w:rsid w:val="59E75344"/>
    <w:rsid w:val="600767BA"/>
    <w:rsid w:val="69B1309A"/>
    <w:rsid w:val="6A84708C"/>
    <w:rsid w:val="6AFB3CEC"/>
    <w:rsid w:val="6BE9213C"/>
    <w:rsid w:val="6FFA13C1"/>
    <w:rsid w:val="75092429"/>
    <w:rsid w:val="774249AA"/>
    <w:rsid w:val="77E95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semiHidden="0" w:name="Body Text Indent 3"/>
    <w:lsdException w:unhideWhenUsed="0" w:uiPriority="0" w:semiHidden="0" w:name="Block Text"/>
    <w:lsdException w:qFormat="1" w:uiPriority="99"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Body Text Indent"/>
    <w:basedOn w:val="1"/>
    <w:qFormat/>
    <w:uiPriority w:val="0"/>
    <w:pPr>
      <w:spacing w:line="360" w:lineRule="auto"/>
      <w:ind w:firstLine="480" w:firstLineChars="200"/>
    </w:pPr>
    <w:rPr>
      <w:rFonts w:ascii="宋体" w:hAnsi="宋体"/>
      <w:szCs w:val="20"/>
    </w:rPr>
  </w:style>
  <w:style w:type="paragraph" w:styleId="4">
    <w:name w:val="List 2"/>
    <w:basedOn w:val="1"/>
    <w:qFormat/>
    <w:uiPriority w:val="0"/>
    <w:pPr>
      <w:ind w:left="100" w:leftChars="200" w:hanging="200" w:hangingChars="200"/>
    </w:pPr>
    <w:rPr>
      <w:rFonts w:eastAsia="仿宋"/>
      <w:sz w:val="21"/>
    </w:rPr>
  </w:style>
  <w:style w:type="paragraph" w:styleId="5">
    <w:name w:val="Plain Text"/>
    <w:basedOn w:val="1"/>
    <w:qFormat/>
    <w:uiPriority w:val="0"/>
    <w:rPr>
      <w:rFonts w:ascii="宋体" w:hAnsi="Courier New"/>
      <w:sz w:val="21"/>
      <w:szCs w:val="21"/>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unhideWhenUsed/>
    <w:qFormat/>
    <w:uiPriority w:val="99"/>
    <w:pPr>
      <w:spacing w:after="120"/>
      <w:ind w:left="420" w:leftChars="200"/>
    </w:pPr>
    <w:rPr>
      <w:rFonts w:ascii="Calibri" w:hAnsi="Calibri"/>
      <w:sz w:val="16"/>
      <w:szCs w:val="16"/>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0">
    <w:name w:val="Body Text First Indent 2"/>
    <w:basedOn w:val="3"/>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qFormat/>
    <w:uiPriority w:val="0"/>
    <w:rPr>
      <w:color w:val="800080"/>
      <w:u w:val="none"/>
    </w:rPr>
  </w:style>
  <w:style w:type="character" w:styleId="15">
    <w:name w:val="Emphasis"/>
    <w:basedOn w:val="13"/>
    <w:qFormat/>
    <w:uiPriority w:val="0"/>
  </w:style>
  <w:style w:type="character" w:styleId="16">
    <w:name w:val="Hyperlink"/>
    <w:basedOn w:val="13"/>
    <w:semiHidden/>
    <w:unhideWhenUsed/>
    <w:qFormat/>
    <w:uiPriority w:val="99"/>
    <w:rPr>
      <w:color w:val="000000"/>
      <w:u w:val="none"/>
    </w:rPr>
  </w:style>
  <w:style w:type="paragraph" w:styleId="17">
    <w:name w:val="List Paragraph"/>
    <w:basedOn w:val="1"/>
    <w:unhideWhenUsed/>
    <w:qFormat/>
    <w:uiPriority w:val="99"/>
    <w:pPr>
      <w:ind w:firstLine="420" w:firstLineChars="200"/>
    </w:pPr>
  </w:style>
  <w:style w:type="paragraph" w:customStyle="1" w:styleId="18">
    <w:name w:val="正文缩进2"/>
    <w:basedOn w:val="1"/>
    <w:qFormat/>
    <w:uiPriority w:val="0"/>
    <w:pPr>
      <w:ind w:firstLine="420" w:firstLineChars="200"/>
    </w:pPr>
  </w:style>
  <w:style w:type="paragraph" w:customStyle="1" w:styleId="1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20">
    <w:name w:val="hover"/>
    <w:basedOn w:val="13"/>
    <w:qFormat/>
    <w:uiPriority w:val="0"/>
    <w:rPr>
      <w:color w:val="315EFB"/>
    </w:rPr>
  </w:style>
  <w:style w:type="character" w:customStyle="1" w:styleId="21">
    <w:name w:val="hover4"/>
    <w:basedOn w:val="13"/>
    <w:qFormat/>
    <w:uiPriority w:val="0"/>
    <w:rPr>
      <w:color w:val="315EF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3679</Words>
  <Characters>3887</Characters>
  <Lines>0</Lines>
  <Paragraphs>0</Paragraphs>
  <TotalTime>3</TotalTime>
  <ScaleCrop>false</ScaleCrop>
  <LinksUpToDate>false</LinksUpToDate>
  <CharactersWithSpaces>3894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2023-11-08T05:40:00Z</dcterms:created>
  <dc:creator>fgh</dc:creator>
  <cp:lastModifiedBy>申雅楠</cp:lastModifiedBy>
  <dcterms:modified xsi:type="dcterms:W3CDTF">2024-08-12T07:55:42Z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A4ECC1E3303E41CD9F34F92964EF94A5_12</vt:lpwstr>
  </property>
</Properties>
</file>