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仿宋_GB2312" w:hAnsi="仿宋_GB2312" w:eastAsia="仿宋_GB2312" w:cs="仿宋_GB2312"/>
          <w:b/>
          <w:bCs/>
          <w:sz w:val="36"/>
          <w:szCs w:val="36"/>
        </w:rPr>
      </w:pPr>
      <w:r>
        <w:rPr>
          <w:rFonts w:hint="eastAsia" w:ascii="仿宋_GB2312" w:hAnsi="仿宋_GB2312" w:eastAsia="仿宋_GB2312" w:cs="仿宋_GB2312"/>
          <w:b/>
          <w:bCs/>
          <w:sz w:val="36"/>
          <w:szCs w:val="36"/>
          <w:lang w:eastAsia="zh-CN"/>
        </w:rPr>
        <w:t>鞍山市塑料编织袋</w:t>
      </w:r>
      <w:r>
        <w:rPr>
          <w:rFonts w:hint="eastAsia" w:ascii="仿宋_GB2312" w:hAnsi="仿宋_GB2312" w:eastAsia="仿宋_GB2312" w:cs="仿宋_GB2312"/>
          <w:b/>
          <w:bCs/>
          <w:sz w:val="36"/>
          <w:szCs w:val="36"/>
        </w:rPr>
        <w:t>产品质量监督抽查实施细则</w:t>
      </w:r>
    </w:p>
    <w:p>
      <w:pPr>
        <w:keepNext w:val="0"/>
        <w:keepLines w:val="0"/>
        <w:pageBreakBefore w:val="0"/>
        <w:widowControl w:val="0"/>
        <w:kinsoku/>
        <w:wordWrap/>
        <w:overflowPunct/>
        <w:topLinePunct w:val="0"/>
        <w:autoSpaceDE/>
        <w:autoSpaceDN/>
        <w:bidi w:val="0"/>
        <w:adjustRightInd w:val="0"/>
        <w:snapToGrid w:val="0"/>
        <w:spacing w:line="594" w:lineRule="exact"/>
        <w:ind w:firstLine="551" w:firstLineChars="196"/>
        <w:textAlignment w:val="auto"/>
        <w:rPr>
          <w:rFonts w:ascii="仿宋_GB2312" w:eastAsia="仿宋_GB2312"/>
          <w:sz w:val="28"/>
          <w:szCs w:val="28"/>
        </w:rPr>
      </w:pPr>
      <w:r>
        <w:rPr>
          <w:rFonts w:hint="eastAsia" w:ascii="仿宋_GB2312" w:eastAsia="仿宋_GB2312"/>
          <w:b/>
          <w:bCs/>
          <w:sz w:val="28"/>
          <w:szCs w:val="28"/>
        </w:rPr>
        <w:t>1适用</w:t>
      </w:r>
      <w:r>
        <w:rPr>
          <w:rFonts w:hint="eastAsia" w:ascii="仿宋_GB2312" w:hAnsi="宋体" w:eastAsia="仿宋_GB2312"/>
          <w:b/>
          <w:bCs/>
          <w:sz w:val="28"/>
          <w:szCs w:val="28"/>
        </w:rPr>
        <w:t>范围</w:t>
      </w:r>
    </w:p>
    <w:p>
      <w:pPr>
        <w:keepNext w:val="0"/>
        <w:keepLines w:val="0"/>
        <w:pageBreakBefore w:val="0"/>
        <w:widowControl w:val="0"/>
        <w:kinsoku/>
        <w:wordWrap/>
        <w:overflowPunct/>
        <w:topLinePunct w:val="0"/>
        <w:autoSpaceDE/>
        <w:autoSpaceDN/>
        <w:bidi w:val="0"/>
        <w:adjustRightInd w:val="0"/>
        <w:snapToGrid w:val="0"/>
        <w:spacing w:line="594" w:lineRule="exact"/>
        <w:ind w:firstLine="560" w:firstLineChars="200"/>
        <w:textAlignment w:val="auto"/>
        <w:rPr>
          <w:rFonts w:hint="eastAsia" w:ascii="仿宋_GB2312" w:eastAsia="仿宋_GB2312"/>
          <w:kern w:val="0"/>
          <w:sz w:val="28"/>
          <w:szCs w:val="28"/>
          <w:lang w:eastAsia="zh-CN"/>
        </w:rPr>
      </w:pPr>
      <w:r>
        <w:rPr>
          <w:rFonts w:hint="eastAsia" w:ascii="仿宋_GB2312" w:hAnsi="宋体" w:eastAsia="仿宋_GB2312"/>
          <w:sz w:val="28"/>
          <w:szCs w:val="28"/>
        </w:rPr>
        <w:t>本细则适用于</w:t>
      </w:r>
      <w:r>
        <w:rPr>
          <w:rFonts w:hint="eastAsia" w:ascii="仿宋_GB2312" w:hAnsi="宋体" w:eastAsia="仿宋_GB2312"/>
          <w:sz w:val="28"/>
          <w:szCs w:val="28"/>
          <w:lang w:eastAsia="zh-CN"/>
        </w:rPr>
        <w:t>鞍山市</w:t>
      </w:r>
      <w:r>
        <w:rPr>
          <w:rFonts w:hint="eastAsia" w:ascii="仿宋_GB2312" w:hAnsi="宋体" w:eastAsia="仿宋_GB2312"/>
          <w:color w:val="000000"/>
          <w:sz w:val="28"/>
          <w:szCs w:val="28"/>
          <w:lang w:eastAsia="zh-CN"/>
        </w:rPr>
        <w:t>塑料编织袋</w:t>
      </w:r>
      <w:r>
        <w:rPr>
          <w:rFonts w:hint="eastAsia" w:ascii="仿宋_GB2312" w:hAnsi="宋体" w:eastAsia="仿宋_GB2312"/>
          <w:sz w:val="28"/>
          <w:szCs w:val="28"/>
        </w:rPr>
        <w:t>产品质量监督抽查</w:t>
      </w:r>
      <w:r>
        <w:rPr>
          <w:rFonts w:hint="eastAsia" w:ascii="仿宋" w:hAnsi="仿宋" w:eastAsia="仿宋" w:cs="仿宋"/>
          <w:sz w:val="28"/>
          <w:szCs w:val="28"/>
        </w:rPr>
        <w:t>。</w:t>
      </w:r>
      <w:r>
        <w:rPr>
          <w:rFonts w:hint="eastAsia" w:ascii="仿宋_GB2312" w:hAnsi="宋体" w:eastAsia="仿宋_GB2312"/>
          <w:kern w:val="0"/>
          <w:sz w:val="28"/>
          <w:szCs w:val="28"/>
        </w:rPr>
        <w:t>本细则内容包括产品分类、术语和定义、企业产品生产规模划分、检验依据、抽样、检验要求、判定原则、异议处理</w:t>
      </w:r>
      <w:r>
        <w:rPr>
          <w:rFonts w:hint="eastAsia" w:ascii="仿宋_GB2312" w:hAnsi="宋体" w:eastAsia="仿宋_GB2312"/>
          <w:kern w:val="0"/>
          <w:sz w:val="28"/>
          <w:szCs w:val="28"/>
          <w:lang w:eastAsia="zh-CN"/>
        </w:rPr>
        <w:t>。</w:t>
      </w:r>
    </w:p>
    <w:p>
      <w:pPr>
        <w:adjustRightInd w:val="0"/>
        <w:snapToGrid w:val="0"/>
        <w:spacing w:line="596" w:lineRule="exact"/>
        <w:ind w:firstLine="551" w:firstLineChars="196"/>
        <w:rPr>
          <w:rFonts w:hint="eastAsia" w:ascii="仿宋_GB2312" w:eastAsia="仿宋_GB2312"/>
          <w:b/>
          <w:bCs/>
          <w:sz w:val="28"/>
          <w:szCs w:val="28"/>
        </w:rPr>
      </w:pPr>
      <w:r>
        <w:rPr>
          <w:rFonts w:hint="eastAsia" w:ascii="仿宋_GB2312" w:eastAsia="仿宋_GB2312"/>
          <w:b/>
          <w:bCs/>
          <w:sz w:val="28"/>
          <w:szCs w:val="28"/>
        </w:rPr>
        <w:t>2产品分类、术语和定义</w:t>
      </w:r>
    </w:p>
    <w:p>
      <w:pPr>
        <w:keepNext w:val="0"/>
        <w:keepLines w:val="0"/>
        <w:pageBreakBefore w:val="0"/>
        <w:widowControl w:val="0"/>
        <w:kinsoku/>
        <w:wordWrap/>
        <w:overflowPunct/>
        <w:topLinePunct w:val="0"/>
        <w:autoSpaceDE/>
        <w:autoSpaceDN/>
        <w:bidi w:val="0"/>
        <w:adjustRightInd w:val="0"/>
        <w:snapToGrid w:val="0"/>
        <w:spacing w:line="594" w:lineRule="exact"/>
        <w:ind w:firstLine="560" w:firstLineChars="200"/>
        <w:jc w:val="both"/>
        <w:textAlignment w:val="auto"/>
        <w:rPr>
          <w:rFonts w:hint="eastAsia" w:ascii="仿宋_GB2312" w:hAnsi="宋体" w:eastAsia="仿宋_GB2312"/>
          <w:sz w:val="28"/>
          <w:szCs w:val="28"/>
        </w:rPr>
      </w:pPr>
      <w:r>
        <w:rPr>
          <w:rFonts w:hint="eastAsia" w:ascii="仿宋_GB2312" w:hAnsi="宋体" w:eastAsia="仿宋_GB2312"/>
          <w:sz w:val="28"/>
          <w:szCs w:val="28"/>
        </w:rPr>
        <w:t>2.1产品分类及代码见表1。</w:t>
      </w:r>
    </w:p>
    <w:p>
      <w:pPr>
        <w:keepNext w:val="0"/>
        <w:keepLines w:val="0"/>
        <w:pageBreakBefore w:val="0"/>
        <w:widowControl w:val="0"/>
        <w:kinsoku/>
        <w:wordWrap/>
        <w:overflowPunct/>
        <w:topLinePunct w:val="0"/>
        <w:autoSpaceDE/>
        <w:autoSpaceDN/>
        <w:bidi w:val="0"/>
        <w:adjustRightInd w:val="0"/>
        <w:snapToGrid w:val="0"/>
        <w:spacing w:line="594" w:lineRule="exact"/>
        <w:ind w:firstLine="420"/>
        <w:jc w:val="center"/>
        <w:textAlignment w:val="auto"/>
        <w:rPr>
          <w:rFonts w:ascii="仿宋_GB2312" w:hAnsi="仿宋_GB2312" w:eastAsia="仿宋_GB2312" w:cs="仿宋_GB2312"/>
          <w:color w:val="000000"/>
          <w:kern w:val="0"/>
        </w:rPr>
      </w:pPr>
      <w:r>
        <w:rPr>
          <w:rFonts w:hint="eastAsia" w:ascii="黑体" w:hAnsi="黑体" w:eastAsia="黑体" w:cs="黑体"/>
          <w:sz w:val="20"/>
          <w:szCs w:val="20"/>
        </w:rPr>
        <w:t>表1  产品分类及代码</w:t>
      </w:r>
    </w:p>
    <w:tbl>
      <w:tblPr>
        <w:tblStyle w:val="9"/>
        <w:tblW w:w="70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1"/>
        <w:gridCol w:w="1697"/>
        <w:gridCol w:w="2193"/>
        <w:gridCol w:w="1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8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产品分类</w:t>
            </w:r>
          </w:p>
        </w:tc>
        <w:tc>
          <w:tcPr>
            <w:tcW w:w="16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一级分类</w:t>
            </w:r>
          </w:p>
        </w:tc>
        <w:tc>
          <w:tcPr>
            <w:tcW w:w="219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二级分类</w:t>
            </w:r>
          </w:p>
        </w:tc>
        <w:tc>
          <w:tcPr>
            <w:tcW w:w="175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8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分类代码</w:t>
            </w:r>
          </w:p>
        </w:tc>
        <w:tc>
          <w:tcPr>
            <w:tcW w:w="16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highlight w:val="yellow"/>
              </w:rPr>
            </w:pPr>
            <w:r>
              <w:rPr>
                <w:rFonts w:hint="eastAsia" w:asciiTheme="majorEastAsia" w:hAnsiTheme="majorEastAsia" w:eastAsiaTheme="majorEastAsia" w:cstheme="majorEastAsia"/>
                <w:sz w:val="18"/>
                <w:szCs w:val="18"/>
              </w:rPr>
              <w:t>3</w:t>
            </w:r>
          </w:p>
        </w:tc>
        <w:tc>
          <w:tcPr>
            <w:tcW w:w="219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highlight w:val="yellow"/>
              </w:rPr>
            </w:pPr>
            <w:r>
              <w:rPr>
                <w:rFonts w:hint="eastAsia" w:asciiTheme="majorEastAsia" w:hAnsiTheme="majorEastAsia" w:eastAsiaTheme="majorEastAsia" w:cstheme="majorEastAsia"/>
                <w:sz w:val="18"/>
                <w:szCs w:val="18"/>
              </w:rPr>
              <w:t>306</w:t>
            </w:r>
          </w:p>
        </w:tc>
        <w:tc>
          <w:tcPr>
            <w:tcW w:w="175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highlight w:val="yellow"/>
              </w:rPr>
            </w:pPr>
            <w:r>
              <w:rPr>
                <w:rFonts w:hint="eastAsia" w:asciiTheme="majorEastAsia" w:hAnsiTheme="majorEastAsia" w:eastAsiaTheme="majorEastAsia" w:cstheme="maj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8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分类名称</w:t>
            </w:r>
          </w:p>
        </w:tc>
        <w:tc>
          <w:tcPr>
            <w:tcW w:w="169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highlight w:val="yellow"/>
              </w:rPr>
            </w:pPr>
            <w:r>
              <w:rPr>
                <w:rFonts w:hint="eastAsia" w:asciiTheme="majorEastAsia" w:hAnsiTheme="majorEastAsia" w:eastAsiaTheme="majorEastAsia" w:cstheme="majorEastAsia"/>
                <w:sz w:val="18"/>
                <w:szCs w:val="18"/>
              </w:rPr>
              <w:t>轻工产品</w:t>
            </w:r>
          </w:p>
        </w:tc>
        <w:tc>
          <w:tcPr>
            <w:tcW w:w="219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highlight w:val="yellow"/>
              </w:rPr>
            </w:pPr>
            <w:r>
              <w:rPr>
                <w:rFonts w:hint="eastAsia" w:asciiTheme="majorEastAsia" w:hAnsiTheme="majorEastAsia" w:eastAsiaTheme="majorEastAsia" w:cstheme="majorEastAsia"/>
                <w:sz w:val="18"/>
                <w:szCs w:val="18"/>
              </w:rPr>
              <w:t>其他日用消费品</w:t>
            </w:r>
          </w:p>
        </w:tc>
        <w:tc>
          <w:tcPr>
            <w:tcW w:w="175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highlight w:val="yellow"/>
              </w:rPr>
            </w:pPr>
            <w:r>
              <w:rPr>
                <w:rFonts w:hint="eastAsia" w:asciiTheme="majorEastAsia" w:hAnsiTheme="majorEastAsia" w:eastAsiaTheme="majorEastAsia" w:cstheme="majorEastAsia"/>
                <w:sz w:val="18"/>
                <w:szCs w:val="18"/>
              </w:rPr>
              <w:t>——</w:t>
            </w:r>
          </w:p>
        </w:tc>
      </w:tr>
    </w:tbl>
    <w:p>
      <w:pPr>
        <w:keepNext w:val="0"/>
        <w:keepLines w:val="0"/>
        <w:pageBreakBefore w:val="0"/>
        <w:widowControl w:val="0"/>
        <w:kinsoku/>
        <w:wordWrap/>
        <w:overflowPunct/>
        <w:topLinePunct w:val="0"/>
        <w:autoSpaceDE/>
        <w:autoSpaceDN/>
        <w:bidi w:val="0"/>
        <w:adjustRightInd w:val="0"/>
        <w:snapToGrid w:val="0"/>
        <w:spacing w:beforeLines="100" w:line="594" w:lineRule="exact"/>
        <w:ind w:firstLine="548" w:firstLineChars="196"/>
        <w:textAlignment w:val="auto"/>
        <w:rPr>
          <w:rFonts w:ascii="仿宋_GB2312" w:eastAsia="仿宋_GB2312"/>
          <w:sz w:val="28"/>
          <w:szCs w:val="28"/>
        </w:rPr>
      </w:pPr>
      <w:r>
        <w:rPr>
          <w:rFonts w:hint="eastAsia" w:ascii="仿宋_GB2312" w:eastAsia="仿宋_GB2312"/>
          <w:sz w:val="28"/>
          <w:szCs w:val="28"/>
        </w:rPr>
        <w:t>2.2产品种类</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hint="eastAsia" w:ascii="仿宋_GB2312" w:eastAsia="仿宋_GB2312"/>
          <w:kern w:val="0"/>
          <w:sz w:val="28"/>
          <w:szCs w:val="28"/>
          <w:lang w:eastAsia="zh-CN"/>
        </w:rPr>
      </w:pPr>
      <w:r>
        <w:rPr>
          <w:rFonts w:hint="eastAsia" w:ascii="仿宋_GB2312" w:eastAsia="仿宋_GB2312"/>
          <w:kern w:val="0"/>
          <w:sz w:val="28"/>
          <w:szCs w:val="28"/>
        </w:rPr>
        <w:t>产品一般标注执行标准为</w:t>
      </w:r>
      <w:r>
        <w:rPr>
          <w:rFonts w:hint="eastAsia" w:ascii="仿宋_GB2312" w:hAnsi="仿宋" w:eastAsia="仿宋_GB2312" w:cs="方正仿宋简体"/>
          <w:color w:val="000000"/>
          <w:kern w:val="0"/>
          <w:sz w:val="28"/>
          <w:szCs w:val="28"/>
        </w:rPr>
        <w:t xml:space="preserve">GB/T </w:t>
      </w:r>
      <w:r>
        <w:rPr>
          <w:rFonts w:hint="eastAsia" w:ascii="仿宋_GB2312" w:hAnsi="仿宋" w:eastAsia="仿宋_GB2312" w:cs="方正仿宋简体"/>
          <w:color w:val="000000"/>
          <w:kern w:val="0"/>
          <w:sz w:val="28"/>
          <w:szCs w:val="28"/>
          <w:lang w:val="en-US" w:eastAsia="zh-CN"/>
        </w:rPr>
        <w:t>8946-2013的</w:t>
      </w:r>
      <w:r>
        <w:rPr>
          <w:rFonts w:hint="eastAsia" w:ascii="仿宋_GB2312" w:hAnsi="仿宋" w:eastAsia="仿宋_GB2312" w:cs="方正仿宋简体"/>
          <w:color w:val="000000"/>
          <w:kern w:val="0"/>
          <w:sz w:val="28"/>
          <w:szCs w:val="28"/>
          <w:lang w:eastAsia="zh-CN"/>
        </w:rPr>
        <w:t>塑料编织袋</w:t>
      </w:r>
      <w:r>
        <w:rPr>
          <w:rFonts w:hint="eastAsia" w:ascii="仿宋_GB2312" w:eastAsia="仿宋_GB2312"/>
          <w:kern w:val="0"/>
          <w:sz w:val="28"/>
          <w:szCs w:val="28"/>
        </w:rPr>
        <w:t>。</w:t>
      </w:r>
      <w:r>
        <w:rPr>
          <w:rFonts w:hint="eastAsia" w:ascii="仿宋_GB2312" w:eastAsia="仿宋_GB2312"/>
          <w:kern w:val="0"/>
          <w:sz w:val="28"/>
          <w:szCs w:val="28"/>
          <w:lang w:eastAsia="zh-CN"/>
        </w:rPr>
        <w:t>产品种类按袋的层间结构分为单层袋、多层袋、涂膜袋、复膜袋。</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hint="eastAsia" w:ascii="仿宋_GB2312" w:hAnsi="仿宋" w:eastAsia="仿宋_GB2312" w:cs="方正仿宋简体"/>
          <w:color w:val="000000"/>
          <w:sz w:val="28"/>
          <w:szCs w:val="28"/>
          <w:highlight w:val="none"/>
          <w:lang w:eastAsia="zh-CN"/>
        </w:rPr>
      </w:pPr>
      <w:r>
        <w:rPr>
          <w:rFonts w:hint="eastAsia" w:ascii="仿宋_GB2312" w:eastAsia="仿宋_GB2312"/>
          <w:sz w:val="28"/>
          <w:szCs w:val="28"/>
        </w:rPr>
        <w:t>2.3术语和</w:t>
      </w:r>
      <w:r>
        <w:rPr>
          <w:rFonts w:hint="eastAsia" w:ascii="仿宋_GB2312" w:hAnsi="仿宋" w:eastAsia="仿宋_GB2312" w:cs="方正仿宋简体"/>
          <w:color w:val="000000"/>
          <w:sz w:val="28"/>
          <w:szCs w:val="28"/>
          <w:highlight w:val="none"/>
          <w:lang w:eastAsia="zh-CN"/>
        </w:rPr>
        <w:t>定义</w:t>
      </w:r>
    </w:p>
    <w:p>
      <w:pPr>
        <w:adjustRightInd w:val="0"/>
        <w:snapToGrid w:val="0"/>
        <w:spacing w:line="594" w:lineRule="exact"/>
        <w:ind w:firstLine="560" w:firstLineChars="200"/>
        <w:rPr>
          <w:rFonts w:hint="eastAsia" w:ascii="仿宋_GB2312" w:eastAsia="仿宋_GB2312"/>
          <w:sz w:val="28"/>
          <w:szCs w:val="28"/>
          <w:lang w:eastAsia="zh-CN"/>
        </w:rPr>
      </w:pPr>
      <w:r>
        <w:rPr>
          <w:rFonts w:hint="eastAsia" w:ascii="仿宋_GB2312" w:hAnsi="宋体" w:eastAsia="仿宋_GB2312"/>
          <w:bCs/>
          <w:color w:val="000000"/>
          <w:sz w:val="28"/>
          <w:szCs w:val="28"/>
        </w:rPr>
        <w:t>本细则出现的</w:t>
      </w:r>
      <w:r>
        <w:rPr>
          <w:rFonts w:hint="eastAsia" w:ascii="仿宋_GB2312" w:eastAsia="仿宋_GB2312"/>
          <w:bCs/>
          <w:sz w:val="28"/>
          <w:szCs w:val="28"/>
        </w:rPr>
        <w:t>术语和定义见相应产品标准规定。</w:t>
      </w:r>
    </w:p>
    <w:p>
      <w:pPr>
        <w:keepNext w:val="0"/>
        <w:keepLines w:val="0"/>
        <w:pageBreakBefore w:val="0"/>
        <w:widowControl w:val="0"/>
        <w:kinsoku/>
        <w:wordWrap/>
        <w:overflowPunct/>
        <w:topLinePunct w:val="0"/>
        <w:autoSpaceDE/>
        <w:autoSpaceDN/>
        <w:bidi w:val="0"/>
        <w:adjustRightInd w:val="0"/>
        <w:snapToGrid w:val="0"/>
        <w:spacing w:line="594" w:lineRule="exact"/>
        <w:ind w:firstLine="551" w:firstLineChars="196"/>
        <w:textAlignment w:val="auto"/>
        <w:rPr>
          <w:rFonts w:ascii="仿宋_GB2312" w:eastAsia="仿宋_GB2312"/>
          <w:sz w:val="28"/>
          <w:szCs w:val="28"/>
        </w:rPr>
      </w:pPr>
      <w:r>
        <w:rPr>
          <w:rFonts w:hint="eastAsia" w:ascii="仿宋_GB2312" w:eastAsia="仿宋_GB2312"/>
          <w:b/>
          <w:bCs/>
          <w:sz w:val="28"/>
          <w:szCs w:val="28"/>
        </w:rPr>
        <w:t>3</w:t>
      </w:r>
      <w:r>
        <w:rPr>
          <w:rFonts w:hint="eastAsia" w:ascii="仿宋_GB2312" w:eastAsia="仿宋_GB2312"/>
          <w:b/>
          <w:bCs/>
          <w:sz w:val="28"/>
          <w:szCs w:val="28"/>
          <w:lang w:eastAsia="zh-CN"/>
        </w:rPr>
        <w:t>塑料编织袋</w:t>
      </w:r>
      <w:r>
        <w:rPr>
          <w:rFonts w:hint="eastAsia" w:ascii="仿宋_GB2312" w:eastAsia="仿宋_GB2312"/>
          <w:b/>
          <w:bCs/>
          <w:sz w:val="28"/>
          <w:szCs w:val="28"/>
        </w:rPr>
        <w:t>产品生产企业规模划分</w:t>
      </w:r>
      <w:bookmarkStart w:id="1" w:name="_GoBack"/>
      <w:bookmarkEnd w:id="1"/>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rPr>
      </w:pPr>
      <w:r>
        <w:rPr>
          <w:rFonts w:hint="eastAsia" w:ascii="仿宋_GB2312" w:eastAsia="仿宋_GB2312"/>
          <w:sz w:val="28"/>
          <w:szCs w:val="28"/>
        </w:rPr>
        <w:t>根据国家统计局印发的相关管理办法，确定企业规模。</w:t>
      </w:r>
    </w:p>
    <w:p>
      <w:pPr>
        <w:keepNext w:val="0"/>
        <w:keepLines w:val="0"/>
        <w:pageBreakBefore w:val="0"/>
        <w:widowControl w:val="0"/>
        <w:kinsoku/>
        <w:wordWrap/>
        <w:overflowPunct/>
        <w:topLinePunct w:val="0"/>
        <w:autoSpaceDE/>
        <w:autoSpaceDN/>
        <w:bidi w:val="0"/>
        <w:adjustRightInd w:val="0"/>
        <w:snapToGrid w:val="0"/>
        <w:spacing w:line="594" w:lineRule="exact"/>
        <w:ind w:firstLine="551" w:firstLineChars="196"/>
        <w:textAlignment w:val="auto"/>
        <w:rPr>
          <w:rFonts w:ascii="仿宋_GB2312" w:eastAsia="仿宋_GB2312"/>
          <w:sz w:val="28"/>
          <w:szCs w:val="28"/>
        </w:rPr>
      </w:pPr>
      <w:r>
        <w:rPr>
          <w:rFonts w:hint="eastAsia" w:ascii="仿宋_GB2312" w:eastAsia="仿宋_GB2312"/>
          <w:b/>
          <w:bCs/>
          <w:sz w:val="28"/>
          <w:szCs w:val="28"/>
        </w:rPr>
        <w:t>4检验依据</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rPr>
      </w:pPr>
      <w:r>
        <w:rPr>
          <w:rFonts w:hint="eastAsia" w:ascii="仿宋_GB2312" w:eastAsia="仿宋_GB2312"/>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594" w:lineRule="exact"/>
        <w:ind w:firstLine="478" w:firstLineChars="171"/>
        <w:textAlignment w:val="auto"/>
        <w:rPr>
          <w:rFonts w:hint="default" w:ascii="仿宋_GB2312" w:hAnsi="宋体" w:eastAsia="仿宋_GB2312"/>
          <w:color w:val="000000"/>
          <w:sz w:val="28"/>
          <w:szCs w:val="28"/>
          <w:lang w:val="en-US" w:eastAsia="zh-CN"/>
        </w:rPr>
      </w:pPr>
      <w:r>
        <w:rPr>
          <w:rFonts w:hint="eastAsia" w:ascii="仿宋_GB2312" w:hAnsi="宋体" w:eastAsia="仿宋_GB2312"/>
          <w:color w:val="000000"/>
          <w:sz w:val="28"/>
          <w:szCs w:val="28"/>
        </w:rPr>
        <w:t xml:space="preserve">GB/T </w:t>
      </w:r>
      <w:r>
        <w:rPr>
          <w:rFonts w:hint="eastAsia" w:ascii="仿宋_GB2312" w:hAnsi="宋体" w:eastAsia="仿宋_GB2312"/>
          <w:color w:val="000000"/>
          <w:sz w:val="28"/>
          <w:szCs w:val="28"/>
          <w:lang w:val="en-US" w:eastAsia="zh-CN"/>
        </w:rPr>
        <w:t>8946-2013 塑料编织袋通用技术要求</w:t>
      </w:r>
    </w:p>
    <w:p>
      <w:pPr>
        <w:keepNext w:val="0"/>
        <w:keepLines w:val="0"/>
        <w:pageBreakBefore w:val="0"/>
        <w:widowControl w:val="0"/>
        <w:kinsoku/>
        <w:wordWrap/>
        <w:overflowPunct/>
        <w:topLinePunct w:val="0"/>
        <w:autoSpaceDE/>
        <w:autoSpaceDN/>
        <w:bidi w:val="0"/>
        <w:snapToGrid w:val="0"/>
        <w:spacing w:line="594" w:lineRule="exact"/>
        <w:ind w:firstLine="478" w:firstLineChars="171"/>
        <w:textAlignment w:val="auto"/>
        <w:rPr>
          <w:rFonts w:ascii="仿宋_GB2312" w:hAnsi="宋体" w:eastAsia="仿宋_GB2312"/>
          <w:color w:val="000000"/>
          <w:sz w:val="28"/>
          <w:szCs w:val="28"/>
        </w:rPr>
      </w:pPr>
      <w:r>
        <w:rPr>
          <w:rFonts w:hint="eastAsia" w:ascii="仿宋_GB2312" w:hAnsi="宋体" w:eastAsia="仿宋_GB2312"/>
          <w:color w:val="000000"/>
          <w:sz w:val="28"/>
          <w:szCs w:val="28"/>
        </w:rPr>
        <w:t>相关的法律法规、部门规章和规范。</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rPr>
      </w:pPr>
      <w:r>
        <w:rPr>
          <w:rFonts w:hint="eastAsia" w:ascii="仿宋_GB2312" w:hAnsi="宋体" w:eastAsia="仿宋_GB2312"/>
          <w:color w:val="000000"/>
          <w:sz w:val="28"/>
          <w:szCs w:val="28"/>
        </w:rPr>
        <w:t>现行有效的企业标准、地方标准、团体标准及产品明示质量要求。</w:t>
      </w:r>
    </w:p>
    <w:p>
      <w:pPr>
        <w:keepNext w:val="0"/>
        <w:keepLines w:val="0"/>
        <w:pageBreakBefore w:val="0"/>
        <w:widowControl w:val="0"/>
        <w:kinsoku/>
        <w:wordWrap/>
        <w:overflowPunct/>
        <w:topLinePunct w:val="0"/>
        <w:autoSpaceDE/>
        <w:autoSpaceDN/>
        <w:bidi w:val="0"/>
        <w:adjustRightInd w:val="0"/>
        <w:snapToGrid w:val="0"/>
        <w:spacing w:line="594" w:lineRule="exact"/>
        <w:ind w:firstLine="551" w:firstLineChars="196"/>
        <w:textAlignment w:val="auto"/>
        <w:rPr>
          <w:rFonts w:ascii="仿宋_GB2312" w:eastAsia="仿宋_GB2312"/>
          <w:sz w:val="28"/>
          <w:szCs w:val="28"/>
        </w:rPr>
      </w:pPr>
      <w:r>
        <w:rPr>
          <w:rFonts w:hint="eastAsia" w:ascii="仿宋_GB2312" w:eastAsia="仿宋_GB2312"/>
          <w:b/>
          <w:bCs/>
          <w:sz w:val="28"/>
          <w:szCs w:val="28"/>
        </w:rPr>
        <w:t>5抽样</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kern w:val="0"/>
          <w:sz w:val="28"/>
          <w:szCs w:val="28"/>
        </w:rPr>
      </w:pPr>
      <w:r>
        <w:rPr>
          <w:rFonts w:hint="eastAsia" w:ascii="仿宋_GB2312" w:eastAsia="仿宋_GB2312"/>
          <w:sz w:val="28"/>
          <w:szCs w:val="28"/>
        </w:rPr>
        <w:t xml:space="preserve">5.1 </w:t>
      </w:r>
      <w:r>
        <w:rPr>
          <w:rFonts w:hint="eastAsia" w:ascii="仿宋_GB2312" w:eastAsia="仿宋_GB2312"/>
          <w:kern w:val="0"/>
          <w:sz w:val="28"/>
          <w:szCs w:val="28"/>
        </w:rPr>
        <w:t>抽样型号或规格</w:t>
      </w:r>
    </w:p>
    <w:p>
      <w:pPr>
        <w:keepNext w:val="0"/>
        <w:keepLines w:val="0"/>
        <w:pageBreakBefore w:val="0"/>
        <w:widowControl w:val="0"/>
        <w:kinsoku/>
        <w:wordWrap/>
        <w:overflowPunct/>
        <w:topLinePunct w:val="0"/>
        <w:autoSpaceDE/>
        <w:autoSpaceDN/>
        <w:bidi w:val="0"/>
        <w:adjustRightInd w:val="0"/>
        <w:snapToGrid w:val="0"/>
        <w:spacing w:line="594" w:lineRule="exact"/>
        <w:ind w:firstLine="560" w:firstLineChars="200"/>
        <w:textAlignment w:val="auto"/>
        <w:rPr>
          <w:rFonts w:ascii="宋体" w:hAnsi="宋体"/>
          <w:color w:val="000000"/>
          <w:kern w:val="0"/>
          <w:szCs w:val="21"/>
          <w:highlight w:val="none"/>
        </w:rPr>
      </w:pPr>
      <w:r>
        <w:rPr>
          <w:rFonts w:hint="eastAsia" w:ascii="仿宋_GB2312" w:eastAsia="仿宋_GB2312"/>
          <w:sz w:val="28"/>
          <w:szCs w:val="28"/>
        </w:rPr>
        <w:t>应根据产品的销售单元（个）抽取相同规格、相同款式（货/款号）、相同花型</w:t>
      </w:r>
      <w:r>
        <w:rPr>
          <w:rFonts w:hint="eastAsia" w:ascii="仿宋_GB2312" w:eastAsia="仿宋_GB2312"/>
          <w:sz w:val="28"/>
          <w:szCs w:val="28"/>
          <w:highlight w:val="none"/>
        </w:rPr>
        <w:t>和相同颜色的同一批次的产品。</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highlight w:val="none"/>
        </w:rPr>
      </w:pPr>
      <w:r>
        <w:rPr>
          <w:rFonts w:hint="eastAsia" w:ascii="仿宋_GB2312" w:eastAsia="仿宋_GB2312"/>
          <w:sz w:val="28"/>
          <w:szCs w:val="28"/>
          <w:highlight w:val="none"/>
        </w:rPr>
        <w:t>5.2抽样基数、抽样数量</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rPr>
      </w:pPr>
      <w:r>
        <w:rPr>
          <w:rFonts w:hint="eastAsia" w:ascii="仿宋_GB2312" w:eastAsia="仿宋_GB2312"/>
          <w:sz w:val="28"/>
          <w:szCs w:val="28"/>
          <w:highlight w:val="none"/>
        </w:rPr>
        <w:t>5.2.1在生产企业的成品库内随机抽取有产品质量检验</w:t>
      </w:r>
      <w:r>
        <w:rPr>
          <w:rFonts w:hint="eastAsia" w:ascii="仿宋_GB2312" w:eastAsia="仿宋_GB2312"/>
          <w:sz w:val="28"/>
          <w:szCs w:val="28"/>
        </w:rPr>
        <w:t>合格证明或者以其他形式表明合格的、近期生产的产品。随机抽样工具选择扑克牌或骰子，随机数一般可使用随机数表、骰子或扑克牌等方法产生。</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rPr>
      </w:pPr>
      <w:r>
        <w:rPr>
          <w:rFonts w:hint="eastAsia" w:ascii="仿宋_GB2312" w:eastAsia="仿宋_GB2312"/>
          <w:sz w:val="28"/>
          <w:szCs w:val="28"/>
        </w:rPr>
        <w:t>5.2.2抽样基数</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rPr>
      </w:pPr>
      <w:r>
        <w:rPr>
          <w:rFonts w:hint="eastAsia" w:ascii="仿宋_GB2312" w:eastAsia="仿宋_GB2312"/>
          <w:sz w:val="28"/>
          <w:szCs w:val="28"/>
        </w:rPr>
        <w:t>抽样基数满足抽样数量即可。</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rPr>
      </w:pPr>
      <w:r>
        <w:rPr>
          <w:rFonts w:hint="eastAsia" w:ascii="仿宋_GB2312" w:eastAsia="仿宋_GB2312"/>
          <w:sz w:val="28"/>
          <w:szCs w:val="28"/>
        </w:rPr>
        <w:t>5.2.3抽样数量</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32"/>
          <w:szCs w:val="32"/>
        </w:rPr>
      </w:pPr>
      <w:r>
        <w:rPr>
          <w:rFonts w:hint="eastAsia" w:ascii="仿宋_GB2312" w:eastAsia="仿宋_GB2312"/>
          <w:sz w:val="28"/>
          <w:szCs w:val="28"/>
        </w:rPr>
        <w:t>结合</w:t>
      </w:r>
      <w:r>
        <w:rPr>
          <w:rFonts w:hint="eastAsia" w:ascii="仿宋_GB2312" w:eastAsia="仿宋_GB2312"/>
          <w:sz w:val="28"/>
          <w:szCs w:val="28"/>
          <w:lang w:eastAsia="zh-CN"/>
        </w:rPr>
        <w:t>塑料编织袋</w:t>
      </w:r>
      <w:r>
        <w:rPr>
          <w:rFonts w:hint="eastAsia" w:ascii="仿宋_GB2312" w:eastAsia="仿宋_GB2312"/>
          <w:sz w:val="28"/>
          <w:szCs w:val="28"/>
        </w:rPr>
        <w:t>产品特点和检测项目测试需求，抽样数量详见表2。</w:t>
      </w:r>
    </w:p>
    <w:p>
      <w:pPr>
        <w:keepNext w:val="0"/>
        <w:keepLines w:val="0"/>
        <w:pageBreakBefore w:val="0"/>
        <w:widowControl w:val="0"/>
        <w:kinsoku/>
        <w:wordWrap/>
        <w:overflowPunct/>
        <w:topLinePunct w:val="0"/>
        <w:autoSpaceDE/>
        <w:autoSpaceDN/>
        <w:bidi w:val="0"/>
        <w:adjustRightInd w:val="0"/>
        <w:snapToGrid w:val="0"/>
        <w:spacing w:line="594" w:lineRule="exact"/>
        <w:ind w:firstLine="420"/>
        <w:jc w:val="center"/>
        <w:textAlignment w:val="auto"/>
        <w:rPr>
          <w:rFonts w:hint="eastAsia" w:ascii="黑体" w:hAnsi="黑体" w:eastAsia="黑体" w:cs="黑体"/>
          <w:color w:val="000000"/>
          <w:kern w:val="0"/>
          <w:sz w:val="20"/>
          <w:szCs w:val="20"/>
        </w:rPr>
      </w:pPr>
      <w:r>
        <w:rPr>
          <w:rFonts w:hint="eastAsia" w:ascii="黑体" w:hAnsi="黑体" w:eastAsia="黑体" w:cs="黑体"/>
          <w:color w:val="000000"/>
          <w:kern w:val="0"/>
          <w:sz w:val="20"/>
          <w:szCs w:val="20"/>
        </w:rPr>
        <w:t>表2 抽样数量</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9"/>
        <w:gridCol w:w="4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2599" w:type="dxa"/>
            <w:tcBorders>
              <w:top w:val="single" w:color="auto" w:sz="4" w:space="0"/>
              <w:left w:val="single" w:color="auto" w:sz="4" w:space="0"/>
              <w:bottom w:val="single" w:color="auto" w:sz="4" w:space="0"/>
              <w:right w:val="single" w:color="auto" w:sz="4" w:space="0"/>
            </w:tcBorders>
            <w:vAlign w:val="center"/>
          </w:tcPr>
          <w:p>
            <w:pPr>
              <w:pStyle w:val="28"/>
              <w:spacing w:before="100" w:beforeAutospacing="1" w:after="100" w:afterAutospacing="1" w:line="240" w:lineRule="auto"/>
              <w:jc w:val="center"/>
              <w:rPr>
                <w:rFonts w:hint="eastAsia" w:asciiTheme="majorEastAsia" w:hAnsiTheme="majorEastAsia" w:eastAsiaTheme="majorEastAsia" w:cstheme="majorEastAsia"/>
                <w:sz w:val="18"/>
                <w:szCs w:val="18"/>
                <w:lang w:val="en-US" w:bidi="ar-SA"/>
              </w:rPr>
            </w:pPr>
            <w:r>
              <w:rPr>
                <w:rFonts w:hint="eastAsia" w:asciiTheme="majorEastAsia" w:hAnsiTheme="majorEastAsia" w:eastAsiaTheme="majorEastAsia" w:cstheme="majorEastAsia"/>
                <w:sz w:val="18"/>
                <w:szCs w:val="18"/>
                <w:lang w:val="en-US" w:bidi="ar-SA"/>
              </w:rPr>
              <w:t>产品种类</w:t>
            </w:r>
          </w:p>
        </w:tc>
        <w:tc>
          <w:tcPr>
            <w:tcW w:w="406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2599" w:type="dxa"/>
            <w:tcBorders>
              <w:top w:val="single" w:color="auto" w:sz="4" w:space="0"/>
              <w:left w:val="single" w:color="auto" w:sz="4" w:space="0"/>
              <w:bottom w:val="single" w:color="auto" w:sz="4" w:space="0"/>
              <w:right w:val="single" w:color="auto" w:sz="4" w:space="0"/>
            </w:tcBorders>
            <w:vAlign w:val="center"/>
          </w:tcPr>
          <w:p>
            <w:pPr>
              <w:pStyle w:val="28"/>
              <w:spacing w:before="100" w:beforeAutospacing="1" w:after="100" w:afterAutospacing="1" w:line="360" w:lineRule="auto"/>
              <w:jc w:val="center"/>
              <w:rPr>
                <w:rFonts w:hint="eastAsia" w:asciiTheme="majorEastAsia" w:hAnsiTheme="majorEastAsia" w:eastAsiaTheme="majorEastAsia" w:cstheme="majorEastAsia"/>
                <w:sz w:val="18"/>
                <w:szCs w:val="18"/>
                <w:lang w:val="en-US" w:eastAsia="zh-CN" w:bidi="ar-SA"/>
              </w:rPr>
            </w:pPr>
            <w:r>
              <w:rPr>
                <w:rFonts w:hint="eastAsia" w:asciiTheme="majorEastAsia" w:hAnsiTheme="majorEastAsia" w:eastAsiaTheme="majorEastAsia" w:cstheme="majorEastAsia"/>
                <w:sz w:val="18"/>
                <w:szCs w:val="18"/>
                <w:lang w:val="en-US" w:eastAsia="zh-CN" w:bidi="ar-SA"/>
              </w:rPr>
              <w:t>塑料编织袋</w:t>
            </w:r>
          </w:p>
        </w:tc>
        <w:tc>
          <w:tcPr>
            <w:tcW w:w="4063" w:type="dxa"/>
            <w:tcBorders>
              <w:top w:val="single" w:color="auto" w:sz="4" w:space="0"/>
              <w:left w:val="single" w:color="auto" w:sz="4" w:space="0"/>
              <w:right w:val="single" w:color="auto" w:sz="4" w:space="0"/>
            </w:tcBorders>
            <w:vAlign w:val="center"/>
          </w:tcPr>
          <w:p>
            <w:pPr>
              <w:spacing w:line="360" w:lineRule="auto"/>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highlight w:val="none"/>
                <w:lang w:val="en-US" w:eastAsia="zh-CN"/>
              </w:rPr>
              <w:t>60</w:t>
            </w:r>
            <w:r>
              <w:rPr>
                <w:rFonts w:hint="eastAsia" w:asciiTheme="majorEastAsia" w:hAnsiTheme="majorEastAsia" w:eastAsiaTheme="majorEastAsia" w:cstheme="majorEastAsia"/>
                <w:sz w:val="18"/>
                <w:szCs w:val="18"/>
                <w:highlight w:val="none"/>
              </w:rPr>
              <w:t>个（其中备样</w:t>
            </w:r>
            <w:r>
              <w:rPr>
                <w:rFonts w:hint="eastAsia" w:asciiTheme="majorEastAsia" w:hAnsiTheme="majorEastAsia" w:eastAsiaTheme="majorEastAsia" w:cstheme="majorEastAsia"/>
                <w:sz w:val="18"/>
                <w:szCs w:val="18"/>
                <w:highlight w:val="none"/>
                <w:lang w:val="en-US" w:eastAsia="zh-CN"/>
              </w:rPr>
              <w:t>3</w:t>
            </w:r>
            <w:r>
              <w:rPr>
                <w:rFonts w:hint="eastAsia" w:asciiTheme="majorEastAsia" w:hAnsiTheme="majorEastAsia" w:eastAsiaTheme="majorEastAsia" w:cstheme="majorEastAsia"/>
                <w:sz w:val="18"/>
                <w:szCs w:val="18"/>
                <w:highlight w:val="none"/>
              </w:rPr>
              <w:t>0个）</w:t>
            </w:r>
          </w:p>
        </w:tc>
      </w:tr>
    </w:tbl>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rPr>
      </w:pPr>
      <w:r>
        <w:rPr>
          <w:rFonts w:hint="eastAsia" w:ascii="仿宋_GB2312" w:eastAsia="仿宋_GB2312"/>
          <w:sz w:val="28"/>
          <w:szCs w:val="28"/>
        </w:rPr>
        <w:t>5.3样品处置</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5.3.1封样</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抽取的样品应包装好，将封样单展开粘贴于已包装样品的封口处，由抽样人员和被抽查企业有关人员在封样单上签名。为防拆封，可使用多张封样单。</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5.3.2样品保存</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样品必须保存在室温的环境下，不得使</w:t>
      </w:r>
      <w:r>
        <w:rPr>
          <w:rFonts w:hint="eastAsia" w:ascii="仿宋_GB2312" w:eastAsia="仿宋_GB2312"/>
          <w:sz w:val="28"/>
          <w:szCs w:val="28"/>
          <w:lang w:eastAsia="zh-CN"/>
        </w:rPr>
        <w:t>塑料编织袋</w:t>
      </w:r>
      <w:r>
        <w:rPr>
          <w:rFonts w:hint="eastAsia" w:ascii="仿宋_GB2312" w:eastAsia="仿宋_GB2312"/>
          <w:sz w:val="28"/>
          <w:szCs w:val="28"/>
        </w:rPr>
        <w:t>挤压变形或损伤。</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hint="eastAsia" w:ascii="仿宋_GB2312" w:eastAsia="仿宋_GB2312"/>
          <w:sz w:val="28"/>
          <w:szCs w:val="28"/>
        </w:rPr>
      </w:pPr>
      <w:r>
        <w:rPr>
          <w:rFonts w:hint="eastAsia" w:ascii="仿宋_GB2312" w:eastAsia="仿宋_GB2312"/>
          <w:sz w:val="28"/>
          <w:szCs w:val="28"/>
        </w:rPr>
        <w:t>5.3.3运送时应防止剧烈碰撞损坏样品。</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rPr>
      </w:pPr>
      <w:r>
        <w:rPr>
          <w:rFonts w:hint="eastAsia" w:ascii="仿宋_GB2312" w:eastAsia="仿宋_GB2312"/>
          <w:sz w:val="28"/>
          <w:szCs w:val="28"/>
        </w:rPr>
        <w:t>5.4抽样单</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highlight w:val="none"/>
        </w:rPr>
      </w:pPr>
      <w:r>
        <w:rPr>
          <w:rFonts w:hint="eastAsia" w:ascii="仿宋_GB2312" w:eastAsia="仿宋_GB2312"/>
          <w:sz w:val="28"/>
          <w:szCs w:val="28"/>
        </w:rPr>
        <w:t>应按</w:t>
      </w:r>
      <w:r>
        <w:rPr>
          <w:rFonts w:hint="eastAsia" w:ascii="仿宋_GB2312" w:eastAsia="仿宋_GB2312"/>
          <w:sz w:val="28"/>
          <w:szCs w:val="28"/>
          <w:lang w:eastAsia="zh-CN"/>
        </w:rPr>
        <w:t>鞍山市</w:t>
      </w:r>
      <w:r>
        <w:rPr>
          <w:rFonts w:hint="eastAsia" w:ascii="仿宋_GB2312" w:eastAsia="仿宋_GB2312"/>
          <w:sz w:val="28"/>
          <w:szCs w:val="28"/>
        </w:rPr>
        <w:t>市场监督管理局统一制定的抽样单填写，并记录被抽查产品及企业相关信息。同时记录被抽查企业上一年度生产的产品销售总额，以万元计；若企业上一年度未生产，则记录本年度实际销售额，并加以</w:t>
      </w:r>
      <w:r>
        <w:rPr>
          <w:rFonts w:hint="eastAsia" w:ascii="仿宋_GB2312" w:eastAsia="仿宋_GB2312"/>
          <w:sz w:val="28"/>
          <w:szCs w:val="28"/>
          <w:highlight w:val="none"/>
        </w:rPr>
        <w:t>注明。</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5.5样品获取方式</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hint="eastAsia" w:ascii="仿宋_GB2312" w:eastAsia="仿宋_GB2312"/>
          <w:sz w:val="28"/>
          <w:szCs w:val="28"/>
        </w:rPr>
      </w:pPr>
      <w:r>
        <w:rPr>
          <w:rFonts w:hint="eastAsia" w:ascii="仿宋_GB2312" w:eastAsia="仿宋_GB2312"/>
          <w:sz w:val="28"/>
          <w:szCs w:val="28"/>
        </w:rPr>
        <w:t>监督抽查所需的样品要在受检单位以购买方式获取。</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5.6抽样注意事项</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 xml:space="preserve">抽样时，抽样人员应当认真核实营业执照等被抽查企业的相关信息，确认企业不存在不得抽样的情形。遇有下列情况之一且能提供有效证明的，不得抽样： </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（1）被抽查企业无监督抽查通知书或者相关文件复印件所列产品的；</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（2）有充分证据证明拟抽查的产品是不用于销售的；</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（3）产品不涉及强制性标准要求，仅按双方约定的技术要求加工生产，且未执行任何标准的；</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（4）有充分证据证明拟抽查的产品为企业用于出口，并且出口合同对产品质量另有规定的；</w:t>
      </w:r>
    </w:p>
    <w:p>
      <w:pPr>
        <w:adjustRightInd w:val="0"/>
        <w:snapToGrid w:val="0"/>
        <w:spacing w:line="596" w:lineRule="exact"/>
        <w:ind w:firstLine="548" w:firstLineChars="196"/>
        <w:rPr>
          <w:rFonts w:hint="eastAsia" w:ascii="仿宋_GB2312" w:eastAsia="仿宋_GB2312"/>
          <w:sz w:val="28"/>
          <w:szCs w:val="28"/>
        </w:rPr>
      </w:pPr>
      <w:r>
        <w:rPr>
          <w:rFonts w:hint="eastAsia" w:ascii="仿宋_GB2312" w:eastAsia="仿宋_GB2312"/>
          <w:sz w:val="28"/>
          <w:szCs w:val="28"/>
        </w:rPr>
        <w:t>（5）产品或者标签、包装、说明书标有“试制”、“处理”或者“样品”等字样的；</w:t>
      </w:r>
    </w:p>
    <w:p>
      <w:pPr>
        <w:keepNext w:val="0"/>
        <w:keepLines w:val="0"/>
        <w:pageBreakBefore w:val="0"/>
        <w:widowControl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kern w:val="0"/>
          <w:sz w:val="28"/>
          <w:szCs w:val="28"/>
        </w:rPr>
      </w:pPr>
      <w:r>
        <w:rPr>
          <w:rFonts w:hint="eastAsia" w:ascii="仿宋_GB2312" w:eastAsia="仿宋_GB2312"/>
          <w:sz w:val="28"/>
          <w:szCs w:val="28"/>
        </w:rPr>
        <w:t>（6）企业提供上级市场监管部门6个月内该种产品的监督抽查抽样单或者合格检验报告的。</w:t>
      </w:r>
    </w:p>
    <w:p>
      <w:pPr>
        <w:keepNext w:val="0"/>
        <w:keepLines w:val="0"/>
        <w:pageBreakBefore w:val="0"/>
        <w:widowControl w:val="0"/>
        <w:kinsoku/>
        <w:wordWrap/>
        <w:overflowPunct/>
        <w:topLinePunct w:val="0"/>
        <w:autoSpaceDE/>
        <w:autoSpaceDN/>
        <w:bidi w:val="0"/>
        <w:adjustRightInd w:val="0"/>
        <w:snapToGrid w:val="0"/>
        <w:spacing w:line="594" w:lineRule="exact"/>
        <w:ind w:firstLine="551" w:firstLineChars="196"/>
        <w:textAlignment w:val="auto"/>
        <w:rPr>
          <w:rFonts w:ascii="仿宋_GB2312" w:eastAsia="仿宋_GB2312"/>
          <w:b/>
          <w:bCs/>
          <w:sz w:val="28"/>
          <w:szCs w:val="28"/>
        </w:rPr>
      </w:pPr>
      <w:r>
        <w:rPr>
          <w:rFonts w:hint="eastAsia" w:ascii="仿宋_GB2312" w:eastAsia="仿宋_GB2312"/>
          <w:b/>
          <w:bCs/>
          <w:sz w:val="28"/>
          <w:szCs w:val="28"/>
        </w:rPr>
        <w:t>6检验要求</w:t>
      </w:r>
    </w:p>
    <w:p>
      <w:pPr>
        <w:keepNext w:val="0"/>
        <w:keepLines w:val="0"/>
        <w:pageBreakBefore w:val="0"/>
        <w:widowControl w:val="0"/>
        <w:kinsoku/>
        <w:wordWrap/>
        <w:overflowPunct/>
        <w:topLinePunct w:val="0"/>
        <w:autoSpaceDE/>
        <w:autoSpaceDN/>
        <w:bidi w:val="0"/>
        <w:snapToGrid w:val="0"/>
        <w:spacing w:line="594" w:lineRule="exact"/>
        <w:ind w:firstLine="560" w:firstLineChars="200"/>
        <w:textAlignment w:val="auto"/>
        <w:rPr>
          <w:rFonts w:ascii="仿宋_GB2312" w:hAnsi="宋体" w:eastAsia="仿宋_GB2312"/>
          <w:color w:val="000000"/>
          <w:sz w:val="28"/>
          <w:szCs w:val="28"/>
        </w:rPr>
      </w:pPr>
      <w:r>
        <w:rPr>
          <w:rFonts w:hint="eastAsia" w:ascii="仿宋_GB2312" w:eastAsia="仿宋_GB2312"/>
          <w:sz w:val="28"/>
          <w:szCs w:val="28"/>
        </w:rPr>
        <w:t>6.1检验项目</w:t>
      </w:r>
    </w:p>
    <w:p>
      <w:pPr>
        <w:keepNext w:val="0"/>
        <w:keepLines w:val="0"/>
        <w:pageBreakBefore w:val="0"/>
        <w:widowControl w:val="0"/>
        <w:kinsoku/>
        <w:wordWrap/>
        <w:overflowPunct/>
        <w:topLinePunct w:val="0"/>
        <w:autoSpaceDE/>
        <w:autoSpaceDN/>
        <w:bidi w:val="0"/>
        <w:snapToGrid w:val="0"/>
        <w:spacing w:line="594" w:lineRule="exact"/>
        <w:jc w:val="center"/>
        <w:textAlignment w:val="auto"/>
        <w:rPr>
          <w:rFonts w:hint="eastAsia" w:ascii="黑体" w:hAnsi="黑体" w:eastAsia="黑体" w:cs="黑体"/>
          <w:color w:val="000000"/>
          <w:sz w:val="20"/>
          <w:szCs w:val="20"/>
        </w:rPr>
      </w:pPr>
      <w:r>
        <w:rPr>
          <w:rFonts w:hint="eastAsia" w:ascii="黑体" w:hAnsi="黑体" w:eastAsia="黑体" w:cs="黑体"/>
          <w:color w:val="000000"/>
          <w:sz w:val="20"/>
          <w:szCs w:val="20"/>
        </w:rPr>
        <w:t xml:space="preserve">表3 </w:t>
      </w:r>
      <w:r>
        <w:rPr>
          <w:rFonts w:hint="eastAsia" w:ascii="黑体" w:hAnsi="黑体" w:eastAsia="黑体" w:cs="黑体"/>
          <w:color w:val="000000"/>
          <w:sz w:val="20"/>
          <w:szCs w:val="20"/>
          <w:lang w:eastAsia="zh-CN"/>
        </w:rPr>
        <w:t>塑料编织袋</w:t>
      </w:r>
      <w:r>
        <w:rPr>
          <w:rFonts w:hint="eastAsia" w:ascii="黑体" w:hAnsi="黑体" w:eastAsia="黑体" w:cs="黑体"/>
          <w:color w:val="000000"/>
          <w:sz w:val="20"/>
          <w:szCs w:val="20"/>
        </w:rPr>
        <w:t>产品检验项目</w:t>
      </w:r>
    </w:p>
    <w:tbl>
      <w:tblPr>
        <w:tblStyle w:val="9"/>
        <w:tblW w:w="7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2433"/>
        <w:gridCol w:w="1755"/>
        <w:gridCol w:w="2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 w:type="dxa"/>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序号</w:t>
            </w:r>
          </w:p>
        </w:tc>
        <w:tc>
          <w:tcPr>
            <w:tcW w:w="2433" w:type="dxa"/>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检验项目</w:t>
            </w:r>
          </w:p>
        </w:tc>
        <w:tc>
          <w:tcPr>
            <w:tcW w:w="1755" w:type="dxa"/>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依据标准</w:t>
            </w:r>
          </w:p>
        </w:tc>
        <w:tc>
          <w:tcPr>
            <w:tcW w:w="2166" w:type="dxa"/>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w:t>
            </w:r>
          </w:p>
        </w:tc>
        <w:tc>
          <w:tcPr>
            <w:tcW w:w="243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highlight w:val="none"/>
                <w:lang w:eastAsia="zh-CN"/>
              </w:rPr>
            </w:pPr>
            <w:r>
              <w:rPr>
                <w:rFonts w:hint="eastAsia" w:asciiTheme="majorEastAsia" w:hAnsiTheme="majorEastAsia" w:eastAsiaTheme="majorEastAsia" w:cstheme="majorEastAsia"/>
                <w:sz w:val="18"/>
                <w:szCs w:val="18"/>
                <w:highlight w:val="none"/>
                <w:lang w:eastAsia="zh-CN"/>
              </w:rPr>
              <w:t>拉伸负荷（经向）</w:t>
            </w:r>
          </w:p>
        </w:tc>
        <w:tc>
          <w:tcPr>
            <w:tcW w:w="175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rPr>
              <w:t>GB/T</w:t>
            </w:r>
            <w:r>
              <w:rPr>
                <w:rFonts w:hint="eastAsia" w:asciiTheme="majorEastAsia" w:hAnsiTheme="majorEastAsia" w:eastAsiaTheme="majorEastAsia" w:cstheme="majorEastAsia"/>
                <w:sz w:val="18"/>
                <w:szCs w:val="18"/>
                <w:lang w:val="en-US" w:eastAsia="zh-CN"/>
              </w:rPr>
              <w:t xml:space="preserve"> 8946-2013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明示执行标准</w:t>
            </w:r>
          </w:p>
        </w:tc>
        <w:tc>
          <w:tcPr>
            <w:tcW w:w="21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GB/T</w:t>
            </w:r>
            <w:r>
              <w:rPr>
                <w:rFonts w:hint="eastAsia" w:asciiTheme="majorEastAsia" w:hAnsiTheme="majorEastAsia" w:eastAsiaTheme="majorEastAsia" w:cstheme="majorEastAsia"/>
                <w:sz w:val="18"/>
                <w:szCs w:val="18"/>
                <w:lang w:val="en-US" w:eastAsia="zh-CN"/>
              </w:rPr>
              <w:t xml:space="preserve">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rPr>
              <w:t>2</w:t>
            </w:r>
          </w:p>
        </w:tc>
        <w:tc>
          <w:tcPr>
            <w:tcW w:w="243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highlight w:val="none"/>
              </w:rPr>
            </w:pPr>
            <w:r>
              <w:rPr>
                <w:rFonts w:hint="eastAsia" w:asciiTheme="majorEastAsia" w:hAnsiTheme="majorEastAsia" w:eastAsiaTheme="majorEastAsia" w:cstheme="majorEastAsia"/>
                <w:sz w:val="18"/>
                <w:szCs w:val="18"/>
                <w:highlight w:val="none"/>
                <w:lang w:eastAsia="zh-CN"/>
              </w:rPr>
              <w:t>拉伸负荷（纬向）</w:t>
            </w:r>
          </w:p>
        </w:tc>
        <w:tc>
          <w:tcPr>
            <w:tcW w:w="175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p>
        </w:tc>
        <w:tc>
          <w:tcPr>
            <w:tcW w:w="21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rPr>
              <w:t>GB/T</w:t>
            </w:r>
            <w:r>
              <w:rPr>
                <w:rFonts w:hint="eastAsia" w:asciiTheme="majorEastAsia" w:hAnsiTheme="majorEastAsia" w:eastAsiaTheme="majorEastAsia" w:cstheme="majorEastAsia"/>
                <w:sz w:val="18"/>
                <w:szCs w:val="18"/>
                <w:lang w:val="en-US" w:eastAsia="zh-CN"/>
              </w:rPr>
              <w:t xml:space="preserve">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rPr>
              <w:t>3</w:t>
            </w:r>
          </w:p>
        </w:tc>
        <w:tc>
          <w:tcPr>
            <w:tcW w:w="243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highlight w:val="none"/>
              </w:rPr>
            </w:pPr>
            <w:r>
              <w:rPr>
                <w:rFonts w:hint="eastAsia" w:asciiTheme="majorEastAsia" w:hAnsiTheme="majorEastAsia" w:eastAsiaTheme="majorEastAsia" w:cstheme="majorEastAsia"/>
                <w:sz w:val="18"/>
                <w:szCs w:val="18"/>
                <w:highlight w:val="none"/>
                <w:lang w:eastAsia="zh-CN"/>
              </w:rPr>
              <w:t>拉伸负荷（缝底向）</w:t>
            </w:r>
          </w:p>
        </w:tc>
        <w:tc>
          <w:tcPr>
            <w:tcW w:w="175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p>
        </w:tc>
        <w:tc>
          <w:tcPr>
            <w:tcW w:w="21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GB/T</w:t>
            </w:r>
            <w:r>
              <w:rPr>
                <w:rFonts w:hint="eastAsia" w:asciiTheme="majorEastAsia" w:hAnsiTheme="majorEastAsia" w:eastAsiaTheme="majorEastAsia" w:cstheme="majorEastAsia"/>
                <w:sz w:val="18"/>
                <w:szCs w:val="18"/>
                <w:lang w:val="en-US" w:eastAsia="zh-CN"/>
              </w:rPr>
              <w:t xml:space="preserve">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rPr>
              <w:t>4</w:t>
            </w:r>
          </w:p>
        </w:tc>
        <w:tc>
          <w:tcPr>
            <w:tcW w:w="243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heme="majorEastAsia" w:hAnsiTheme="majorEastAsia" w:eastAsiaTheme="majorEastAsia" w:cstheme="majorEastAsia"/>
                <w:sz w:val="18"/>
                <w:szCs w:val="18"/>
                <w:highlight w:val="none"/>
                <w:lang w:val="en-US" w:eastAsia="zh-CN"/>
              </w:rPr>
            </w:pPr>
            <w:r>
              <w:rPr>
                <w:rFonts w:hint="eastAsia" w:asciiTheme="majorEastAsia" w:hAnsiTheme="majorEastAsia" w:eastAsiaTheme="majorEastAsia" w:cstheme="majorEastAsia"/>
                <w:sz w:val="18"/>
                <w:szCs w:val="18"/>
                <w:highlight w:val="none"/>
                <w:lang w:eastAsia="zh-CN"/>
              </w:rPr>
              <w:t>涂膜袋和复膜袋的剥离力</w:t>
            </w:r>
            <w:r>
              <w:rPr>
                <w:rFonts w:hint="eastAsia" w:asciiTheme="majorEastAsia" w:hAnsiTheme="majorEastAsia" w:eastAsiaTheme="majorEastAsia" w:cstheme="majorEastAsia"/>
                <w:sz w:val="18"/>
                <w:szCs w:val="18"/>
                <w:highlight w:val="none"/>
                <w:vertAlign w:val="superscript"/>
                <w:lang w:val="en-US" w:eastAsia="zh-CN"/>
              </w:rPr>
              <w:t>a</w:t>
            </w:r>
          </w:p>
        </w:tc>
        <w:tc>
          <w:tcPr>
            <w:tcW w:w="175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p>
        </w:tc>
        <w:tc>
          <w:tcPr>
            <w:tcW w:w="21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GB/T</w:t>
            </w:r>
            <w:r>
              <w:rPr>
                <w:rFonts w:hint="eastAsia" w:asciiTheme="majorEastAsia" w:hAnsiTheme="majorEastAsia" w:eastAsiaTheme="majorEastAsia" w:cstheme="majorEastAsia"/>
                <w:sz w:val="18"/>
                <w:szCs w:val="18"/>
                <w:lang w:val="en-US" w:eastAsia="zh-CN"/>
              </w:rPr>
              <w:t xml:space="preserve">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rPr>
              <w:t>5</w:t>
            </w:r>
          </w:p>
        </w:tc>
        <w:tc>
          <w:tcPr>
            <w:tcW w:w="243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highlight w:val="none"/>
                <w:lang w:eastAsia="zh-CN"/>
              </w:rPr>
            </w:pPr>
            <w:r>
              <w:rPr>
                <w:rFonts w:hint="eastAsia" w:asciiTheme="majorEastAsia" w:hAnsiTheme="majorEastAsia" w:eastAsiaTheme="majorEastAsia" w:cstheme="majorEastAsia"/>
                <w:sz w:val="18"/>
                <w:szCs w:val="18"/>
                <w:highlight w:val="none"/>
                <w:lang w:eastAsia="zh-CN"/>
              </w:rPr>
              <w:t>耐热性能</w:t>
            </w:r>
          </w:p>
        </w:tc>
        <w:tc>
          <w:tcPr>
            <w:tcW w:w="175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p>
        </w:tc>
        <w:tc>
          <w:tcPr>
            <w:tcW w:w="21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GB/T</w:t>
            </w:r>
            <w:r>
              <w:rPr>
                <w:rFonts w:hint="eastAsia" w:asciiTheme="majorEastAsia" w:hAnsiTheme="majorEastAsia" w:eastAsiaTheme="majorEastAsia" w:cstheme="majorEastAsia"/>
                <w:sz w:val="18"/>
                <w:szCs w:val="18"/>
                <w:lang w:val="en-US" w:eastAsia="zh-CN"/>
              </w:rPr>
              <w:t xml:space="preserve">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rPr>
              <w:t>6</w:t>
            </w:r>
          </w:p>
        </w:tc>
        <w:tc>
          <w:tcPr>
            <w:tcW w:w="243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highlight w:val="none"/>
                <w:lang w:eastAsia="zh-CN"/>
              </w:rPr>
            </w:pPr>
            <w:r>
              <w:rPr>
                <w:rFonts w:hint="eastAsia" w:asciiTheme="majorEastAsia" w:hAnsiTheme="majorEastAsia" w:eastAsiaTheme="majorEastAsia" w:cstheme="majorEastAsia"/>
                <w:sz w:val="18"/>
                <w:szCs w:val="18"/>
                <w:highlight w:val="none"/>
                <w:lang w:eastAsia="zh-CN"/>
              </w:rPr>
              <w:t>外观质量</w:t>
            </w:r>
          </w:p>
        </w:tc>
        <w:tc>
          <w:tcPr>
            <w:tcW w:w="175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p>
        </w:tc>
        <w:tc>
          <w:tcPr>
            <w:tcW w:w="216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GB/T</w:t>
            </w:r>
            <w:r>
              <w:rPr>
                <w:rFonts w:hint="eastAsia" w:asciiTheme="majorEastAsia" w:hAnsiTheme="majorEastAsia" w:eastAsiaTheme="majorEastAsia" w:cstheme="majorEastAsia"/>
                <w:sz w:val="18"/>
                <w:szCs w:val="18"/>
                <w:lang w:val="en-US" w:eastAsia="zh-CN"/>
              </w:rPr>
              <w:t xml:space="preserve"> 8946-2013</w:t>
            </w:r>
          </w:p>
        </w:tc>
      </w:tr>
    </w:tbl>
    <w:p>
      <w:pPr>
        <w:pStyle w:val="2"/>
        <w:rPr>
          <w:rFonts w:hint="eastAsia"/>
        </w:rPr>
      </w:pPr>
    </w:p>
    <w:p>
      <w:pPr>
        <w:keepNext w:val="0"/>
        <w:keepLines w:val="0"/>
        <w:pageBreakBefore w:val="0"/>
        <w:widowControl/>
        <w:kinsoku/>
        <w:wordWrap/>
        <w:overflowPunct/>
        <w:topLinePunct w:val="0"/>
        <w:autoSpaceDE/>
        <w:autoSpaceDN/>
        <w:bidi w:val="0"/>
        <w:adjustRightInd w:val="0"/>
        <w:snapToGrid w:val="0"/>
        <w:spacing w:line="594"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6.2检验应注意的问题</w:t>
      </w:r>
    </w:p>
    <w:p>
      <w:pPr>
        <w:keepNext w:val="0"/>
        <w:keepLines w:val="0"/>
        <w:pageBreakBefore w:val="0"/>
        <w:kinsoku/>
        <w:wordWrap/>
        <w:overflowPunct/>
        <w:topLinePunct w:val="0"/>
        <w:autoSpaceDE/>
        <w:autoSpaceDN/>
        <w:bidi w:val="0"/>
        <w:adjustRightInd w:val="0"/>
        <w:snapToGrid w:val="0"/>
        <w:spacing w:line="594"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若被检产品明示的质量要求高于本细</w:t>
      </w:r>
      <w:r>
        <w:rPr>
          <w:rFonts w:hint="eastAsia" w:ascii="仿宋_GB2312" w:hAnsi="仿宋_GB2312" w:eastAsia="仿宋_GB2312" w:cs="仿宋_GB2312"/>
          <w:color w:val="000000"/>
          <w:sz w:val="28"/>
          <w:szCs w:val="28"/>
        </w:rPr>
        <w:t>则中检验项目依据的标准要求时，应按被检产品明示的质量要求判定。</w:t>
      </w:r>
    </w:p>
    <w:p>
      <w:pPr>
        <w:keepNext w:val="0"/>
        <w:keepLines w:val="0"/>
        <w:pageBreakBefore w:val="0"/>
        <w:kinsoku/>
        <w:wordWrap/>
        <w:overflowPunct/>
        <w:topLinePunct w:val="0"/>
        <w:autoSpaceDE/>
        <w:autoSpaceDN/>
        <w:bidi w:val="0"/>
        <w:snapToGrid w:val="0"/>
        <w:spacing w:line="594" w:lineRule="exact"/>
        <w:ind w:firstLine="557" w:firstLineChars="199"/>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snapToGrid w:val="0"/>
        <w:spacing w:line="594" w:lineRule="exact"/>
        <w:ind w:firstLine="557" w:firstLineChars="199"/>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snapToGrid w:val="0"/>
        <w:spacing w:line="594" w:lineRule="exact"/>
        <w:ind w:firstLine="557" w:firstLineChars="199"/>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594" w:lineRule="exact"/>
        <w:ind w:firstLine="548" w:firstLineChars="196"/>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若被检产品明示的质量要求缺少本细则中检验项目依据的推荐性标准要求时，该项目不参与判定，但应在检验报告备注中进行说明。</w:t>
      </w:r>
    </w:p>
    <w:p>
      <w:pPr>
        <w:keepNext w:val="0"/>
        <w:keepLines w:val="0"/>
        <w:pageBreakBefore w:val="0"/>
        <w:kinsoku/>
        <w:wordWrap/>
        <w:overflowPunct/>
        <w:topLinePunct w:val="0"/>
        <w:autoSpaceDE/>
        <w:autoSpaceDN/>
        <w:bidi w:val="0"/>
        <w:adjustRightInd w:val="0"/>
        <w:snapToGrid w:val="0"/>
        <w:spacing w:line="594" w:lineRule="exact"/>
        <w:ind w:firstLine="551" w:firstLineChars="196"/>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7判定原则</w:t>
      </w:r>
    </w:p>
    <w:p>
      <w:pPr>
        <w:keepNext w:val="0"/>
        <w:keepLines w:val="0"/>
        <w:pageBreakBefore w:val="0"/>
        <w:kinsoku/>
        <w:wordWrap/>
        <w:overflowPunct/>
        <w:topLinePunct w:val="0"/>
        <w:autoSpaceDE/>
        <w:autoSpaceDN/>
        <w:bidi w:val="0"/>
        <w:adjustRightInd w:val="0"/>
        <w:snapToGrid w:val="0"/>
        <w:spacing w:line="594" w:lineRule="exact"/>
        <w:ind w:firstLine="548" w:firstLineChars="19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line="594" w:lineRule="exact"/>
        <w:ind w:firstLine="551" w:firstLineChars="196"/>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8异议处理</w:t>
      </w:r>
    </w:p>
    <w:p>
      <w:pPr>
        <w:keepNext w:val="0"/>
        <w:keepLines w:val="0"/>
        <w:pageBreakBefore w:val="0"/>
        <w:kinsoku/>
        <w:wordWrap/>
        <w:overflowPunct/>
        <w:topLinePunct w:val="0"/>
        <w:autoSpaceDE/>
        <w:autoSpaceDN/>
        <w:bidi w:val="0"/>
        <w:adjustRightInd w:val="0"/>
        <w:snapToGrid w:val="0"/>
        <w:spacing w:line="594" w:lineRule="exact"/>
        <w:ind w:firstLine="548" w:firstLineChars="19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对被判定为不合格企业进行异议处理时，按以下方式进行：</w:t>
      </w:r>
    </w:p>
    <w:p>
      <w:pPr>
        <w:keepNext w:val="0"/>
        <w:keepLines w:val="0"/>
        <w:pageBreakBefore w:val="0"/>
        <w:kinsoku/>
        <w:wordWrap/>
        <w:overflowPunct/>
        <w:topLinePunct w:val="0"/>
        <w:autoSpaceDE/>
        <w:autoSpaceDN/>
        <w:bidi w:val="0"/>
        <w:adjustRightInd w:val="0"/>
        <w:snapToGrid w:val="0"/>
        <w:spacing w:line="594" w:lineRule="exact"/>
        <w:ind w:firstLine="548" w:firstLineChars="19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8.1核查不合格项目相关证据，能够以记录（纸质记录或电子记录或影像记录）或与不合格项目相关联的其它质量数据等检验证据证明。</w:t>
      </w:r>
    </w:p>
    <w:p>
      <w:pPr>
        <w:keepNext w:val="0"/>
        <w:keepLines w:val="0"/>
        <w:pageBreakBefore w:val="0"/>
        <w:kinsoku/>
        <w:wordWrap/>
        <w:overflowPunct/>
        <w:topLinePunct w:val="0"/>
        <w:autoSpaceDE/>
        <w:autoSpaceDN/>
        <w:bidi w:val="0"/>
        <w:adjustRightInd w:val="0"/>
        <w:snapToGrid w:val="0"/>
        <w:spacing w:line="594" w:lineRule="exact"/>
        <w:ind w:firstLine="548" w:firstLineChars="196"/>
        <w:textAlignment w:val="auto"/>
        <w:rPr>
          <w:rFonts w:ascii="仿宋_GB2312" w:eastAsia="仿宋_GB2312"/>
          <w:sz w:val="28"/>
          <w:szCs w:val="28"/>
        </w:rPr>
      </w:pPr>
      <w:r>
        <w:rPr>
          <w:rFonts w:hint="eastAsia" w:ascii="仿宋_GB2312" w:hAnsi="仿宋_GB2312" w:eastAsia="仿宋_GB2312" w:cs="仿宋_GB2312"/>
          <w:sz w:val="28"/>
          <w:szCs w:val="28"/>
        </w:rPr>
        <w:t>8.2对需要复检并具备检验条件的，处理企业异议的市场监督管理部门或者指定检验机构应当按原监督抽查</w:t>
      </w:r>
      <w:r>
        <w:rPr>
          <w:rFonts w:hint="eastAsia" w:ascii="仿宋_GB2312" w:hAnsi="仿宋_GB2312" w:eastAsia="仿宋_GB2312" w:cs="仿宋_GB2312"/>
          <w:sz w:val="28"/>
          <w:szCs w:val="28"/>
          <w:lang w:eastAsia="zh-CN"/>
        </w:rPr>
        <w:t>实施</w:t>
      </w:r>
      <w:r>
        <w:rPr>
          <w:rFonts w:hint="eastAsia" w:ascii="仿宋_GB2312" w:hAnsi="仿宋_GB2312" w:eastAsia="仿宋_GB2312" w:cs="仿宋_GB2312"/>
          <w:sz w:val="28"/>
          <w:szCs w:val="28"/>
        </w:rPr>
        <w:t>细则对留存的样品或抽取的备用样品组织复检，复检项目如有仲裁法需用仲裁法进行复检，并出具检验报告。复检结论为</w:t>
      </w:r>
      <w:r>
        <w:rPr>
          <w:rFonts w:hint="eastAsia" w:ascii="仿宋_GB2312" w:eastAsia="仿宋_GB2312"/>
          <w:sz w:val="28"/>
          <w:szCs w:val="28"/>
        </w:rPr>
        <w:t>最终结论。</w:t>
      </w:r>
    </w:p>
    <w:sectPr>
      <w:headerReference r:id="rId3" w:type="default"/>
      <w:footerReference r:id="rId4" w:type="default"/>
      <w:pgSz w:w="11906" w:h="16838"/>
      <w:pgMar w:top="1418" w:right="1418" w:bottom="1361" w:left="1701" w:header="851" w:footer="992" w:gutter="0"/>
      <w:pgNumType w:start="25"/>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黑体" w:hAnsi="宋体" w:eastAsia="黑体"/>
        <w:b/>
        <w:bCs/>
        <w:sz w:val="36"/>
      </w:rPr>
    </w:pPr>
    <w:bookmarkStart w:id="0" w:name="单位"/>
    <w:bookmarkEnd w:id="0"/>
  </w:p>
  <w:p>
    <w:pPr>
      <w:spacing w:line="200" w:lineRule="exact"/>
      <w:rPr>
        <w:rFonts w:ascii="宋体" w:hAnsi="宋体"/>
        <w:b/>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zMGUwZjQzNmU5NGU3YzMwMmYxYWYyNzllYWRiZWQifQ=="/>
  </w:docVars>
  <w:rsids>
    <w:rsidRoot w:val="00906F0C"/>
    <w:rsid w:val="000312AC"/>
    <w:rsid w:val="00037D34"/>
    <w:rsid w:val="0004197B"/>
    <w:rsid w:val="00043B95"/>
    <w:rsid w:val="00050A06"/>
    <w:rsid w:val="00051333"/>
    <w:rsid w:val="0007356C"/>
    <w:rsid w:val="000802DB"/>
    <w:rsid w:val="000813B7"/>
    <w:rsid w:val="00083F50"/>
    <w:rsid w:val="000C0737"/>
    <w:rsid w:val="000C2BC5"/>
    <w:rsid w:val="000D04DA"/>
    <w:rsid w:val="000D7879"/>
    <w:rsid w:val="000E28A4"/>
    <w:rsid w:val="000E439F"/>
    <w:rsid w:val="000F0AC9"/>
    <w:rsid w:val="000F2D87"/>
    <w:rsid w:val="001314E2"/>
    <w:rsid w:val="00173B61"/>
    <w:rsid w:val="00173C6E"/>
    <w:rsid w:val="001A32CB"/>
    <w:rsid w:val="001A4934"/>
    <w:rsid w:val="001A781A"/>
    <w:rsid w:val="001B4FB5"/>
    <w:rsid w:val="001C17BD"/>
    <w:rsid w:val="001C2B10"/>
    <w:rsid w:val="001C7DB2"/>
    <w:rsid w:val="001D00DE"/>
    <w:rsid w:val="001D4FCB"/>
    <w:rsid w:val="001E201F"/>
    <w:rsid w:val="001E4252"/>
    <w:rsid w:val="001F0C89"/>
    <w:rsid w:val="002208EE"/>
    <w:rsid w:val="0022465F"/>
    <w:rsid w:val="00232CCF"/>
    <w:rsid w:val="0023485C"/>
    <w:rsid w:val="0025039C"/>
    <w:rsid w:val="002702A5"/>
    <w:rsid w:val="00275F27"/>
    <w:rsid w:val="002876FB"/>
    <w:rsid w:val="002C1DCF"/>
    <w:rsid w:val="003019AF"/>
    <w:rsid w:val="00307151"/>
    <w:rsid w:val="00307562"/>
    <w:rsid w:val="003135FD"/>
    <w:rsid w:val="00340E4C"/>
    <w:rsid w:val="00345EA7"/>
    <w:rsid w:val="00352CAE"/>
    <w:rsid w:val="003602D0"/>
    <w:rsid w:val="003A2918"/>
    <w:rsid w:val="003B4B61"/>
    <w:rsid w:val="003B7ECA"/>
    <w:rsid w:val="003D4A31"/>
    <w:rsid w:val="003D4BD4"/>
    <w:rsid w:val="003E5D71"/>
    <w:rsid w:val="003F5DD4"/>
    <w:rsid w:val="00401964"/>
    <w:rsid w:val="00402DE8"/>
    <w:rsid w:val="00437996"/>
    <w:rsid w:val="0045778E"/>
    <w:rsid w:val="00477FAD"/>
    <w:rsid w:val="004C22E1"/>
    <w:rsid w:val="004D7F27"/>
    <w:rsid w:val="004E4669"/>
    <w:rsid w:val="004E5B59"/>
    <w:rsid w:val="004F23A5"/>
    <w:rsid w:val="004F2F67"/>
    <w:rsid w:val="00505F83"/>
    <w:rsid w:val="00513440"/>
    <w:rsid w:val="00520BC6"/>
    <w:rsid w:val="00525633"/>
    <w:rsid w:val="005302C3"/>
    <w:rsid w:val="0054288A"/>
    <w:rsid w:val="005475D3"/>
    <w:rsid w:val="00563F91"/>
    <w:rsid w:val="0056581D"/>
    <w:rsid w:val="005773F7"/>
    <w:rsid w:val="00581BFD"/>
    <w:rsid w:val="00593D86"/>
    <w:rsid w:val="005B6084"/>
    <w:rsid w:val="005C7C7D"/>
    <w:rsid w:val="00611203"/>
    <w:rsid w:val="006229B4"/>
    <w:rsid w:val="006308EB"/>
    <w:rsid w:val="0065724C"/>
    <w:rsid w:val="00657E8D"/>
    <w:rsid w:val="00672049"/>
    <w:rsid w:val="00681C69"/>
    <w:rsid w:val="006853FF"/>
    <w:rsid w:val="00691D6D"/>
    <w:rsid w:val="006B046D"/>
    <w:rsid w:val="006C31E0"/>
    <w:rsid w:val="006C3E17"/>
    <w:rsid w:val="006C619F"/>
    <w:rsid w:val="006D00E7"/>
    <w:rsid w:val="006D725B"/>
    <w:rsid w:val="006E2A3C"/>
    <w:rsid w:val="006E7C8F"/>
    <w:rsid w:val="0072302E"/>
    <w:rsid w:val="0072309A"/>
    <w:rsid w:val="00723C19"/>
    <w:rsid w:val="00737E9E"/>
    <w:rsid w:val="007553A6"/>
    <w:rsid w:val="00770259"/>
    <w:rsid w:val="00776986"/>
    <w:rsid w:val="007B10BB"/>
    <w:rsid w:val="007C3E23"/>
    <w:rsid w:val="007F3494"/>
    <w:rsid w:val="00802223"/>
    <w:rsid w:val="008147A4"/>
    <w:rsid w:val="00816BE3"/>
    <w:rsid w:val="00843264"/>
    <w:rsid w:val="00843B1D"/>
    <w:rsid w:val="00881DD4"/>
    <w:rsid w:val="008B2680"/>
    <w:rsid w:val="008B2C1F"/>
    <w:rsid w:val="008C2A4A"/>
    <w:rsid w:val="008D0A2B"/>
    <w:rsid w:val="008D0B60"/>
    <w:rsid w:val="008D68B1"/>
    <w:rsid w:val="008D7A84"/>
    <w:rsid w:val="008E4538"/>
    <w:rsid w:val="008F68BF"/>
    <w:rsid w:val="00906F0C"/>
    <w:rsid w:val="00907A76"/>
    <w:rsid w:val="00913DC1"/>
    <w:rsid w:val="00914F6A"/>
    <w:rsid w:val="009158BE"/>
    <w:rsid w:val="00926F50"/>
    <w:rsid w:val="00933822"/>
    <w:rsid w:val="00940111"/>
    <w:rsid w:val="00941E9D"/>
    <w:rsid w:val="00950FA2"/>
    <w:rsid w:val="00960E3B"/>
    <w:rsid w:val="0098488D"/>
    <w:rsid w:val="00993CC3"/>
    <w:rsid w:val="009962D5"/>
    <w:rsid w:val="009A7CFC"/>
    <w:rsid w:val="009B0119"/>
    <w:rsid w:val="00A14D97"/>
    <w:rsid w:val="00A2132F"/>
    <w:rsid w:val="00A24376"/>
    <w:rsid w:val="00A46456"/>
    <w:rsid w:val="00A623BE"/>
    <w:rsid w:val="00A75A01"/>
    <w:rsid w:val="00A824E7"/>
    <w:rsid w:val="00A86268"/>
    <w:rsid w:val="00A8634A"/>
    <w:rsid w:val="00A87C1B"/>
    <w:rsid w:val="00A94E36"/>
    <w:rsid w:val="00AA2AAC"/>
    <w:rsid w:val="00AA4C7D"/>
    <w:rsid w:val="00AB28B5"/>
    <w:rsid w:val="00AB578A"/>
    <w:rsid w:val="00AD710C"/>
    <w:rsid w:val="00AE4CCD"/>
    <w:rsid w:val="00AE7816"/>
    <w:rsid w:val="00B024BC"/>
    <w:rsid w:val="00B026F4"/>
    <w:rsid w:val="00B31E14"/>
    <w:rsid w:val="00B3539D"/>
    <w:rsid w:val="00B57D47"/>
    <w:rsid w:val="00B711D0"/>
    <w:rsid w:val="00B83032"/>
    <w:rsid w:val="00B948E9"/>
    <w:rsid w:val="00BC3A6D"/>
    <w:rsid w:val="00BE667A"/>
    <w:rsid w:val="00C01EBF"/>
    <w:rsid w:val="00C15C07"/>
    <w:rsid w:val="00C17CB7"/>
    <w:rsid w:val="00C218AE"/>
    <w:rsid w:val="00C4270C"/>
    <w:rsid w:val="00C46E93"/>
    <w:rsid w:val="00C71421"/>
    <w:rsid w:val="00C83545"/>
    <w:rsid w:val="00C93B7F"/>
    <w:rsid w:val="00CA0D52"/>
    <w:rsid w:val="00CA2E8D"/>
    <w:rsid w:val="00CA3381"/>
    <w:rsid w:val="00CB00D8"/>
    <w:rsid w:val="00CB2DF6"/>
    <w:rsid w:val="00CB674B"/>
    <w:rsid w:val="00CC2456"/>
    <w:rsid w:val="00CC3964"/>
    <w:rsid w:val="00CC5F84"/>
    <w:rsid w:val="00CC671E"/>
    <w:rsid w:val="00CD0318"/>
    <w:rsid w:val="00CE685D"/>
    <w:rsid w:val="00CF32A5"/>
    <w:rsid w:val="00D00C20"/>
    <w:rsid w:val="00D20C5A"/>
    <w:rsid w:val="00D25A2E"/>
    <w:rsid w:val="00D37294"/>
    <w:rsid w:val="00D46FC7"/>
    <w:rsid w:val="00D512FD"/>
    <w:rsid w:val="00D56506"/>
    <w:rsid w:val="00D707F0"/>
    <w:rsid w:val="00DA1917"/>
    <w:rsid w:val="00DA5C6A"/>
    <w:rsid w:val="00DA6627"/>
    <w:rsid w:val="00DB66B7"/>
    <w:rsid w:val="00DC6337"/>
    <w:rsid w:val="00DD14DD"/>
    <w:rsid w:val="00DF2A14"/>
    <w:rsid w:val="00DF7725"/>
    <w:rsid w:val="00E11EB8"/>
    <w:rsid w:val="00E149DD"/>
    <w:rsid w:val="00E163D3"/>
    <w:rsid w:val="00E55270"/>
    <w:rsid w:val="00E63454"/>
    <w:rsid w:val="00E816A7"/>
    <w:rsid w:val="00E90B26"/>
    <w:rsid w:val="00EA546D"/>
    <w:rsid w:val="00EA6979"/>
    <w:rsid w:val="00EB3FF1"/>
    <w:rsid w:val="00EB52A5"/>
    <w:rsid w:val="00EC274C"/>
    <w:rsid w:val="00F0154C"/>
    <w:rsid w:val="00F109CD"/>
    <w:rsid w:val="00F23338"/>
    <w:rsid w:val="00F2368C"/>
    <w:rsid w:val="00F25A90"/>
    <w:rsid w:val="00F501F2"/>
    <w:rsid w:val="00F578F0"/>
    <w:rsid w:val="00F600CC"/>
    <w:rsid w:val="00F65381"/>
    <w:rsid w:val="00F8246E"/>
    <w:rsid w:val="00F923A3"/>
    <w:rsid w:val="00F92945"/>
    <w:rsid w:val="00FA7C87"/>
    <w:rsid w:val="00FB75AC"/>
    <w:rsid w:val="00FD2307"/>
    <w:rsid w:val="00FD4958"/>
    <w:rsid w:val="00FF0F9F"/>
    <w:rsid w:val="02B97FF4"/>
    <w:rsid w:val="04CA6C60"/>
    <w:rsid w:val="07207D14"/>
    <w:rsid w:val="08B37C33"/>
    <w:rsid w:val="096B2CFF"/>
    <w:rsid w:val="0A472BA3"/>
    <w:rsid w:val="0B644C00"/>
    <w:rsid w:val="0BE635DD"/>
    <w:rsid w:val="0CA60B5F"/>
    <w:rsid w:val="0D2130D3"/>
    <w:rsid w:val="0E464DD1"/>
    <w:rsid w:val="0E9D2139"/>
    <w:rsid w:val="0F7E4093"/>
    <w:rsid w:val="0FB824D4"/>
    <w:rsid w:val="0FBD8C47"/>
    <w:rsid w:val="10D65192"/>
    <w:rsid w:val="1138445D"/>
    <w:rsid w:val="119F41DD"/>
    <w:rsid w:val="138E2E40"/>
    <w:rsid w:val="16D078B2"/>
    <w:rsid w:val="1A1803E7"/>
    <w:rsid w:val="1B835AAB"/>
    <w:rsid w:val="1B836169"/>
    <w:rsid w:val="1BED0175"/>
    <w:rsid w:val="1C2D76FB"/>
    <w:rsid w:val="1CFA77D0"/>
    <w:rsid w:val="1E7D727D"/>
    <w:rsid w:val="1FDB9372"/>
    <w:rsid w:val="20AB521F"/>
    <w:rsid w:val="23D16486"/>
    <w:rsid w:val="240577A1"/>
    <w:rsid w:val="240A4A30"/>
    <w:rsid w:val="24943134"/>
    <w:rsid w:val="2A7E0DAA"/>
    <w:rsid w:val="2C807FD7"/>
    <w:rsid w:val="2DBF520D"/>
    <w:rsid w:val="2DEA58C2"/>
    <w:rsid w:val="2E3B488F"/>
    <w:rsid w:val="2E4E08FD"/>
    <w:rsid w:val="31C65A06"/>
    <w:rsid w:val="33E64541"/>
    <w:rsid w:val="33F91CEB"/>
    <w:rsid w:val="34490E2E"/>
    <w:rsid w:val="34CE06DA"/>
    <w:rsid w:val="35793836"/>
    <w:rsid w:val="35B86126"/>
    <w:rsid w:val="36075E29"/>
    <w:rsid w:val="36511623"/>
    <w:rsid w:val="36F518F3"/>
    <w:rsid w:val="3C3A313C"/>
    <w:rsid w:val="3EBCDB19"/>
    <w:rsid w:val="3FF53E2D"/>
    <w:rsid w:val="401B12F0"/>
    <w:rsid w:val="41593CD4"/>
    <w:rsid w:val="42384A2E"/>
    <w:rsid w:val="42DE77A4"/>
    <w:rsid w:val="42F36534"/>
    <w:rsid w:val="43617819"/>
    <w:rsid w:val="45436DA3"/>
    <w:rsid w:val="46637E0C"/>
    <w:rsid w:val="46FC18F3"/>
    <w:rsid w:val="47020813"/>
    <w:rsid w:val="473A7522"/>
    <w:rsid w:val="4A5916D6"/>
    <w:rsid w:val="4B895FDD"/>
    <w:rsid w:val="4BF979BC"/>
    <w:rsid w:val="4C7C5AED"/>
    <w:rsid w:val="4D327EBC"/>
    <w:rsid w:val="4E3F6302"/>
    <w:rsid w:val="4E9C787F"/>
    <w:rsid w:val="4EB26385"/>
    <w:rsid w:val="4F9570BF"/>
    <w:rsid w:val="4FB12998"/>
    <w:rsid w:val="50827858"/>
    <w:rsid w:val="520C355E"/>
    <w:rsid w:val="56203D9C"/>
    <w:rsid w:val="57AB8DC4"/>
    <w:rsid w:val="58254F04"/>
    <w:rsid w:val="5A473B09"/>
    <w:rsid w:val="5AD51458"/>
    <w:rsid w:val="5CA54AB4"/>
    <w:rsid w:val="5CD26250"/>
    <w:rsid w:val="5D255E39"/>
    <w:rsid w:val="5F426713"/>
    <w:rsid w:val="601C70A9"/>
    <w:rsid w:val="63EA0E80"/>
    <w:rsid w:val="651C4702"/>
    <w:rsid w:val="65384A3C"/>
    <w:rsid w:val="656E721E"/>
    <w:rsid w:val="66B7687F"/>
    <w:rsid w:val="679E07EB"/>
    <w:rsid w:val="67BF4F22"/>
    <w:rsid w:val="6AF57671"/>
    <w:rsid w:val="71294BA0"/>
    <w:rsid w:val="74605C6F"/>
    <w:rsid w:val="77E702C0"/>
    <w:rsid w:val="799C6CAA"/>
    <w:rsid w:val="7B3D54D4"/>
    <w:rsid w:val="7BBC182A"/>
    <w:rsid w:val="7C8C4A63"/>
    <w:rsid w:val="7D967D1B"/>
    <w:rsid w:val="7DD6663F"/>
    <w:rsid w:val="7FA97241"/>
    <w:rsid w:val="7FBF3429"/>
    <w:rsid w:val="7FDF60E8"/>
    <w:rsid w:val="7FF32C8D"/>
    <w:rsid w:val="7FF6E434"/>
    <w:rsid w:val="7FF91C72"/>
    <w:rsid w:val="7FFE94F1"/>
    <w:rsid w:val="9D4B5CFF"/>
    <w:rsid w:val="AC9B32C8"/>
    <w:rsid w:val="B57F49B5"/>
    <w:rsid w:val="B7CB31B1"/>
    <w:rsid w:val="BA7B23C6"/>
    <w:rsid w:val="D4C5CB02"/>
    <w:rsid w:val="F45F1F01"/>
    <w:rsid w:val="F75F2CBE"/>
    <w:rsid w:val="FE734873"/>
    <w:rsid w:val="FEBBF3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List 2"/>
    <w:basedOn w:val="1"/>
    <w:qFormat/>
    <w:uiPriority w:val="99"/>
    <w:pPr>
      <w:ind w:left="100" w:leftChars="200" w:hanging="200" w:hangingChars="200"/>
    </w:pPr>
  </w:style>
  <w:style w:type="paragraph" w:styleId="3">
    <w:name w:val="Normal Indent"/>
    <w:basedOn w:val="1"/>
    <w:qFormat/>
    <w:uiPriority w:val="99"/>
    <w:pPr>
      <w:ind w:firstLine="420" w:firstLineChars="200"/>
    </w:pPr>
  </w:style>
  <w:style w:type="paragraph" w:styleId="4">
    <w:name w:val="Body Text Indent"/>
    <w:basedOn w:val="1"/>
    <w:link w:val="21"/>
    <w:qFormat/>
    <w:uiPriority w:val="0"/>
    <w:pPr>
      <w:spacing w:line="360" w:lineRule="auto"/>
      <w:ind w:firstLine="480" w:firstLineChars="200"/>
    </w:pPr>
    <w:rPr>
      <w:rFonts w:ascii="宋体" w:hAnsi="宋体"/>
      <w:szCs w:val="20"/>
    </w:rPr>
  </w:style>
  <w:style w:type="paragraph" w:styleId="5">
    <w:name w:val="Balloon Text"/>
    <w:basedOn w:val="1"/>
    <w:link w:val="22"/>
    <w:unhideWhenUsed/>
    <w:qFormat/>
    <w:uiPriority w:val="99"/>
    <w:rPr>
      <w:sz w:val="18"/>
      <w:szCs w:val="18"/>
    </w:rPr>
  </w:style>
  <w:style w:type="paragraph" w:styleId="6">
    <w:name w:val="footer"/>
    <w:basedOn w:val="1"/>
    <w:link w:val="23"/>
    <w:unhideWhenUsed/>
    <w:qFormat/>
    <w:uiPriority w:val="99"/>
    <w:pPr>
      <w:tabs>
        <w:tab w:val="center" w:pos="4153"/>
        <w:tab w:val="right" w:pos="8306"/>
      </w:tabs>
      <w:snapToGrid w:val="0"/>
      <w:jc w:val="left"/>
    </w:pPr>
    <w:rPr>
      <w:sz w:val="18"/>
      <w:szCs w:val="18"/>
    </w:rPr>
  </w:style>
  <w:style w:type="paragraph" w:styleId="7">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Autospacing="1" w:afterAutospacing="1"/>
      <w:jc w:val="left"/>
    </w:pPr>
    <w:rPr>
      <w:kern w:val="0"/>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22"/>
    <w:rPr>
      <w:b/>
    </w:rPr>
  </w:style>
  <w:style w:type="character" w:styleId="13">
    <w:name w:val="page number"/>
    <w:basedOn w:val="11"/>
    <w:qFormat/>
    <w:uiPriority w:val="0"/>
  </w:style>
  <w:style w:type="character" w:styleId="14">
    <w:name w:val="FollowedHyperlink"/>
    <w:basedOn w:val="11"/>
    <w:semiHidden/>
    <w:unhideWhenUsed/>
    <w:qFormat/>
    <w:uiPriority w:val="99"/>
    <w:rPr>
      <w:color w:val="333333"/>
      <w:u w:val="none"/>
    </w:rPr>
  </w:style>
  <w:style w:type="character" w:styleId="15">
    <w:name w:val="Emphasis"/>
    <w:basedOn w:val="11"/>
    <w:qFormat/>
    <w:uiPriority w:val="20"/>
  </w:style>
  <w:style w:type="character" w:styleId="16">
    <w:name w:val="HTML Definition"/>
    <w:basedOn w:val="11"/>
    <w:semiHidden/>
    <w:unhideWhenUsed/>
    <w:qFormat/>
    <w:uiPriority w:val="99"/>
  </w:style>
  <w:style w:type="character" w:styleId="17">
    <w:name w:val="HTML Variable"/>
    <w:basedOn w:val="11"/>
    <w:semiHidden/>
    <w:unhideWhenUsed/>
    <w:qFormat/>
    <w:uiPriority w:val="99"/>
  </w:style>
  <w:style w:type="character" w:styleId="18">
    <w:name w:val="Hyperlink"/>
    <w:basedOn w:val="11"/>
    <w:semiHidden/>
    <w:unhideWhenUsed/>
    <w:qFormat/>
    <w:uiPriority w:val="99"/>
    <w:rPr>
      <w:color w:val="333333"/>
      <w:u w:val="none"/>
    </w:rPr>
  </w:style>
  <w:style w:type="character" w:styleId="19">
    <w:name w:val="HTML Code"/>
    <w:basedOn w:val="11"/>
    <w:semiHidden/>
    <w:unhideWhenUsed/>
    <w:qFormat/>
    <w:uiPriority w:val="99"/>
    <w:rPr>
      <w:rFonts w:ascii="Courier New" w:hAnsi="Courier New"/>
      <w:sz w:val="20"/>
    </w:rPr>
  </w:style>
  <w:style w:type="character" w:styleId="20">
    <w:name w:val="HTML Cite"/>
    <w:basedOn w:val="11"/>
    <w:semiHidden/>
    <w:unhideWhenUsed/>
    <w:qFormat/>
    <w:uiPriority w:val="99"/>
  </w:style>
  <w:style w:type="character" w:customStyle="1" w:styleId="21">
    <w:name w:val="正文文本缩进 Char"/>
    <w:basedOn w:val="11"/>
    <w:link w:val="4"/>
    <w:qFormat/>
    <w:uiPriority w:val="0"/>
    <w:rPr>
      <w:rFonts w:ascii="宋体" w:hAnsi="宋体" w:eastAsia="宋体" w:cs="Times New Roman"/>
      <w:sz w:val="24"/>
      <w:szCs w:val="20"/>
    </w:rPr>
  </w:style>
  <w:style w:type="character" w:customStyle="1" w:styleId="22">
    <w:name w:val="批注框文本 Char"/>
    <w:basedOn w:val="11"/>
    <w:link w:val="5"/>
    <w:qFormat/>
    <w:uiPriority w:val="99"/>
    <w:rPr>
      <w:rFonts w:ascii="Times New Roman" w:hAnsi="Times New Roman" w:eastAsia="宋体" w:cs="Times New Roman"/>
      <w:sz w:val="18"/>
      <w:szCs w:val="18"/>
    </w:rPr>
  </w:style>
  <w:style w:type="character" w:customStyle="1" w:styleId="23">
    <w:name w:val="页脚 Char"/>
    <w:basedOn w:val="11"/>
    <w:link w:val="6"/>
    <w:qFormat/>
    <w:uiPriority w:val="99"/>
    <w:rPr>
      <w:rFonts w:ascii="Times New Roman" w:hAnsi="Times New Roman" w:eastAsia="宋体" w:cs="Times New Roman"/>
      <w:sz w:val="18"/>
      <w:szCs w:val="18"/>
    </w:rPr>
  </w:style>
  <w:style w:type="character" w:customStyle="1" w:styleId="24">
    <w:name w:val="页眉 Char"/>
    <w:basedOn w:val="11"/>
    <w:link w:val="7"/>
    <w:qFormat/>
    <w:uiPriority w:val="99"/>
    <w:rPr>
      <w:rFonts w:ascii="Times New Roman" w:hAnsi="Times New Roman" w:eastAsia="宋体" w:cs="Times New Roman"/>
      <w:sz w:val="18"/>
      <w:szCs w:val="18"/>
    </w:rPr>
  </w:style>
  <w:style w:type="paragraph" w:styleId="25">
    <w:name w:val="List Paragraph"/>
    <w:basedOn w:val="1"/>
    <w:unhideWhenUsed/>
    <w:qFormat/>
    <w:uiPriority w:val="99"/>
    <w:pPr>
      <w:ind w:firstLine="420" w:firstLineChars="200"/>
    </w:pPr>
  </w:style>
  <w:style w:type="paragraph" w:customStyle="1" w:styleId="26">
    <w:name w:val="正文+宋体"/>
    <w:basedOn w:val="1"/>
    <w:qFormat/>
    <w:uiPriority w:val="0"/>
    <w:rPr>
      <w:sz w:val="21"/>
    </w:rPr>
  </w:style>
  <w:style w:type="character" w:customStyle="1" w:styleId="27">
    <w:name w:val="curr"/>
    <w:basedOn w:val="11"/>
    <w:qFormat/>
    <w:uiPriority w:val="0"/>
    <w:rPr>
      <w:color w:val="FFFFFF"/>
      <w:bdr w:val="single" w:color="B6B6B6" w:sz="4" w:space="0"/>
      <w:shd w:val="clear" w:color="auto" w:fill="CF3729"/>
    </w:rPr>
  </w:style>
  <w:style w:type="paragraph" w:customStyle="1" w:styleId="28">
    <w:name w:val="Table Paragraph"/>
    <w:basedOn w:val="1"/>
    <w:qFormat/>
    <w:uiPriority w:val="1"/>
    <w:rPr>
      <w:rFonts w:ascii="宋体" w:hAnsi="宋体" w:cs="宋体"/>
      <w:sz w:val="21"/>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1846</Words>
  <Characters>1999</Characters>
  <Lines>21</Lines>
  <Paragraphs>6</Paragraphs>
  <TotalTime>2</TotalTime>
  <ScaleCrop>false</ScaleCrop>
  <LinksUpToDate>false</LinksUpToDate>
  <CharactersWithSpaces>2015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2020-05-21T15:56:00Z</dcterms:created>
  <dc:creator>微软用户</dc:creator>
  <cp:lastModifiedBy>冷峻</cp:lastModifiedBy>
  <cp:lastPrinted>2020-05-23T17:37:00Z</cp:lastPrinted>
  <dcterms:modified xsi:type="dcterms:W3CDTF">2023-07-19T05:32:30Z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ABA5081D6931461E84A57EA8938DF5B7</vt:lpwstr>
  </property>
</Properties>
</file>