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3" w:firstLineChars="200"/>
        <w:jc w:val="center"/>
        <w:rPr>
          <w:rFonts w:ascii="仿宋_GB2312" w:hAnsi="仿宋_GB2312" w:eastAsia="仿宋_GB2312" w:cs="仿宋_GB2312"/>
          <w:b/>
          <w:bCs/>
          <w:sz w:val="36"/>
          <w:szCs w:val="36"/>
        </w:rPr>
      </w:pPr>
      <w:r>
        <w:rPr>
          <w:rFonts w:hint="eastAsia" w:ascii="仿宋_GB2312" w:hAnsi="仿宋_GB2312" w:eastAsia="仿宋_GB2312" w:cs="仿宋_GB2312"/>
          <w:b/>
          <w:bCs/>
          <w:sz w:val="36"/>
          <w:szCs w:val="36"/>
        </w:rPr>
        <w:t>202</w:t>
      </w:r>
      <w:r>
        <w:rPr>
          <w:rFonts w:ascii="仿宋_GB2312" w:hAnsi="仿宋_GB2312" w:eastAsia="仿宋_GB2312" w:cs="仿宋_GB2312"/>
          <w:b/>
          <w:bCs/>
          <w:sz w:val="36"/>
          <w:szCs w:val="36"/>
        </w:rPr>
        <w:t>3</w:t>
      </w:r>
      <w:r>
        <w:rPr>
          <w:rFonts w:hint="eastAsia" w:ascii="仿宋_GB2312" w:hAnsi="仿宋_GB2312" w:eastAsia="仿宋_GB2312" w:cs="仿宋_GB2312"/>
          <w:b/>
          <w:bCs/>
          <w:sz w:val="36"/>
          <w:szCs w:val="36"/>
        </w:rPr>
        <w:t>年鞍山市泵产品质量监督抽查</w:t>
      </w:r>
    </w:p>
    <w:p>
      <w:pPr>
        <w:adjustRightInd w:val="0"/>
        <w:snapToGrid w:val="0"/>
        <w:spacing w:line="360" w:lineRule="auto"/>
        <w:ind w:firstLine="723" w:firstLineChars="200"/>
        <w:jc w:val="center"/>
        <w:rPr>
          <w:rFonts w:ascii="仿宋_GB2312" w:hAnsi="仿宋_GB2312" w:eastAsia="仿宋_GB2312" w:cs="仿宋_GB2312"/>
          <w:sz w:val="36"/>
          <w:szCs w:val="36"/>
        </w:rPr>
      </w:pPr>
      <w:r>
        <w:rPr>
          <w:rFonts w:hint="eastAsia" w:ascii="仿宋_GB2312" w:hAnsi="仿宋_GB2312" w:eastAsia="仿宋_GB2312" w:cs="仿宋_GB2312"/>
          <w:b/>
          <w:bCs/>
          <w:sz w:val="36"/>
          <w:szCs w:val="36"/>
        </w:rPr>
        <w:t>实施细则</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1适用范围</w:t>
      </w:r>
    </w:p>
    <w:p>
      <w:pPr>
        <w:pStyle w:val="7"/>
        <w:widowControl/>
        <w:spacing w:line="360" w:lineRule="auto"/>
        <w:ind w:left="0"/>
        <w:rPr>
          <w:rFonts w:hAnsi="仿宋_GB2312"/>
          <w:sz w:val="28"/>
          <w:szCs w:val="28"/>
        </w:rPr>
      </w:pPr>
      <w:r>
        <w:rPr>
          <w:rFonts w:hint="eastAsia" w:hAnsi="仿宋_GB2312"/>
          <w:sz w:val="28"/>
          <w:szCs w:val="28"/>
        </w:rPr>
        <w:t>本细则适用于</w:t>
      </w:r>
      <w:r>
        <w:rPr>
          <w:rFonts w:hint="eastAsia" w:hAnsi="仿宋_GB2312"/>
          <w:kern w:val="2"/>
          <w:sz w:val="28"/>
          <w:szCs w:val="28"/>
        </w:rPr>
        <w:t>鞍山市泵产品</w:t>
      </w:r>
      <w:r>
        <w:rPr>
          <w:rFonts w:hint="eastAsia" w:hAnsi="仿宋_GB2312"/>
          <w:sz w:val="28"/>
          <w:szCs w:val="28"/>
        </w:rPr>
        <w:t>质量监督抽查。本细则内容包括产品分类、术语和定义、</w:t>
      </w:r>
      <w:r>
        <w:rPr>
          <w:rFonts w:hint="eastAsia" w:hAnsi="仿宋_GB2312"/>
          <w:sz w:val="28"/>
          <w:szCs w:val="28"/>
          <w:lang w:val="en-US" w:eastAsia="zh-CN"/>
        </w:rPr>
        <w:t>生产</w:t>
      </w:r>
      <w:r>
        <w:rPr>
          <w:rFonts w:hint="eastAsia" w:hAnsi="仿宋_GB2312"/>
          <w:sz w:val="28"/>
          <w:szCs w:val="28"/>
        </w:rPr>
        <w:t>企业规模划分、检验依据、抽样、检验要求、判定原则、异议处理。</w:t>
      </w:r>
    </w:p>
    <w:p>
      <w:pPr>
        <w:adjustRightInd w:val="0"/>
        <w:snapToGrid w:val="0"/>
        <w:spacing w:before="156" w:beforeLines="50" w:line="360" w:lineRule="auto"/>
        <w:ind w:firstLine="562" w:firstLineChars="20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2产品分类</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术语和定义</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2.1产品分类及代码见表1。</w:t>
      </w:r>
    </w:p>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表1  产品分类及代码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2042"/>
        <w:gridCol w:w="2240"/>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503</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503.8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465"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042"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农业生产资料</w:t>
            </w:r>
          </w:p>
        </w:tc>
        <w:tc>
          <w:tcPr>
            <w:tcW w:w="2240"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农业机械</w:t>
            </w:r>
          </w:p>
        </w:tc>
        <w:tc>
          <w:tcPr>
            <w:tcW w:w="2551" w:type="dxa"/>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水泵</w:t>
            </w:r>
          </w:p>
        </w:tc>
      </w:tr>
    </w:tbl>
    <w:p>
      <w:pPr>
        <w:adjustRightInd w:val="0"/>
        <w:snapToGrid w:val="0"/>
        <w:spacing w:before="156" w:beforeLines="50"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pStyle w:val="7"/>
        <w:widowControl/>
        <w:spacing w:line="360" w:lineRule="auto"/>
        <w:ind w:left="0"/>
        <w:rPr>
          <w:rFonts w:hAnsi="仿宋_GB2312"/>
          <w:kern w:val="2"/>
          <w:sz w:val="28"/>
          <w:szCs w:val="28"/>
        </w:rPr>
      </w:pPr>
      <w:r>
        <w:rPr>
          <w:rFonts w:hint="eastAsia" w:hAnsi="仿宋_GB2312"/>
          <w:kern w:val="2"/>
          <w:sz w:val="28"/>
          <w:szCs w:val="28"/>
        </w:rPr>
        <w:t>本细则涉及产品种类分为小型潜水电泵、污水污物潜水电泵、井用潜水电泵。</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3术语和定义</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生产企业规模划分</w:t>
      </w:r>
    </w:p>
    <w:p>
      <w:pPr>
        <w:adjustRightInd w:val="0"/>
        <w:snapToGrid w:val="0"/>
        <w:spacing w:line="360" w:lineRule="auto"/>
        <w:ind w:firstLine="548" w:firstLineChars="196"/>
        <w:rPr>
          <w:rFonts w:ascii="仿宋_GB2312" w:hAnsi="仿宋_GB2312" w:eastAsia="仿宋_GB2312" w:cs="仿宋_GB2312"/>
          <w:shd w:val="clear" w:color="auto" w:fill="FFFFFF"/>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检验依据</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12785-2014 潜水电泵 试验方法</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25409-2010 小型潜水电泵</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24674-2021 污水污物潜水电泵</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2816-2014 井用潜水泵</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GB/T 2818-2014 井用潜水异步电动机</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 32029-2015 小型潜水电泵能效限定值及能效等级</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 32030-2015 井用潜水电泵能效限定值及能效等级</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 32031-2015 污水污物潜水电泵能效限定值及能效等级</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 10395.8-2006 农林拖拉机和机械安全技术要求第8部分：排灌泵和泵机组</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GB 10396-2006 农林拖拉机和机械、草坪和园艺动力机械安全标志和危险图形总则</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相关的法律、行政法规、部门规章、规范性文件</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现行有效的企业标准、团体标准、地方标准及产品明示质量要求</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5</w:t>
      </w:r>
      <w:r>
        <w:rPr>
          <w:rFonts w:hint="eastAsia" w:ascii="仿宋_GB2312" w:hAnsi="仿宋_GB2312" w:eastAsia="仿宋_GB2312" w:cs="仿宋_GB2312"/>
          <w:b/>
          <w:bCs/>
          <w:sz w:val="28"/>
          <w:szCs w:val="28"/>
        </w:rPr>
        <w:t>抽样</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1抽样型号或规格</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泵产品包括：小型潜水电泵、污水污物潜水电泵、井用潜水电泵。抽取样品应为同一型号规格、同一批次的产品。</w:t>
      </w:r>
    </w:p>
    <w:p>
      <w:pPr>
        <w:adjustRightInd w:val="0"/>
        <w:snapToGrid w:val="0"/>
        <w:spacing w:before="156" w:beforeLines="50" w:after="156" w:afterLines="50" w:line="360" w:lineRule="auto"/>
        <w:ind w:firstLine="548" w:firstLineChars="196"/>
        <w:rPr>
          <w:rFonts w:ascii="仿宋_GB2312" w:eastAsia="仿宋_GB2312"/>
          <w:sz w:val="28"/>
          <w:szCs w:val="28"/>
        </w:rPr>
      </w:pPr>
      <w:r>
        <w:rPr>
          <w:rFonts w:hint="eastAsia" w:ascii="仿宋_GB2312" w:eastAsia="仿宋_GB2312" w:cs="仿宋_GB2312"/>
          <w:sz w:val="28"/>
          <w:szCs w:val="28"/>
          <w:lang w:val="en-US" w:eastAsia="zh-CN"/>
        </w:rPr>
        <w:t>5</w:t>
      </w:r>
      <w:r>
        <w:rPr>
          <w:rFonts w:ascii="仿宋_GB2312" w:eastAsia="仿宋_GB2312" w:cs="仿宋_GB2312"/>
          <w:sz w:val="28"/>
          <w:szCs w:val="28"/>
        </w:rPr>
        <w:t>.2</w:t>
      </w:r>
      <w:r>
        <w:rPr>
          <w:rFonts w:hint="eastAsia" w:ascii="仿宋_GB2312" w:eastAsia="仿宋_GB2312" w:cs="仿宋_GB2312"/>
          <w:sz w:val="28"/>
          <w:szCs w:val="28"/>
        </w:rPr>
        <w:t>抽样方法、基数及数量</w:t>
      </w:r>
    </w:p>
    <w:p>
      <w:pPr>
        <w:adjustRightInd w:val="0"/>
        <w:snapToGrid w:val="0"/>
        <w:spacing w:line="360" w:lineRule="auto"/>
        <w:ind w:firstLine="548" w:firstLineChars="196"/>
        <w:rPr>
          <w:rFonts w:ascii="仿宋_GB2312" w:eastAsia="仿宋_GB2312" w:cs="仿宋_GB2312"/>
          <w:sz w:val="28"/>
          <w:szCs w:val="28"/>
        </w:rPr>
      </w:pPr>
      <w:r>
        <w:rPr>
          <w:rFonts w:hint="eastAsia" w:ascii="仿宋_GB2312" w:eastAsia="仿宋_GB2312" w:cs="仿宋_GB2312"/>
          <w:sz w:val="28"/>
          <w:szCs w:val="28"/>
          <w:lang w:val="en-US" w:eastAsia="zh-CN"/>
        </w:rPr>
        <w:t>5</w:t>
      </w:r>
      <w:r>
        <w:rPr>
          <w:rFonts w:ascii="仿宋_GB2312" w:eastAsia="仿宋_GB2312" w:cs="仿宋_GB2312"/>
          <w:sz w:val="28"/>
          <w:szCs w:val="28"/>
        </w:rPr>
        <w:t xml:space="preserve">.2.1 </w:t>
      </w:r>
      <w:r>
        <w:rPr>
          <w:rFonts w:hint="eastAsia" w:ascii="仿宋_GB2312" w:eastAsia="仿宋_GB2312" w:cs="仿宋_GB2312"/>
          <w:sz w:val="28"/>
          <w:szCs w:val="28"/>
        </w:rPr>
        <w:t>抽样方法</w:t>
      </w:r>
    </w:p>
    <w:p>
      <w:pPr>
        <w:adjustRightInd w:val="0"/>
        <w:snapToGrid w:val="0"/>
        <w:spacing w:line="360" w:lineRule="auto"/>
        <w:ind w:firstLine="548" w:firstLineChars="196"/>
        <w:rPr>
          <w:rFonts w:ascii="仿宋_GB2312" w:eastAsia="仿宋_GB2312"/>
          <w:sz w:val="28"/>
          <w:szCs w:val="28"/>
        </w:rPr>
      </w:pPr>
      <w:r>
        <w:rPr>
          <w:rFonts w:hint="eastAsia" w:ascii="仿宋_GB2312" w:hAnsi="仿宋_GB2312" w:eastAsia="仿宋_GB2312" w:cs="仿宋_GB2312"/>
          <w:sz w:val="28"/>
          <w:szCs w:val="28"/>
        </w:rPr>
        <w:t>在企业的成品库内或市场待销产品中随机抽取有产品质量检验合格证明或者以其他形式表明合格的、近期生产的产品。</w:t>
      </w:r>
      <w:r>
        <w:rPr>
          <w:rFonts w:hint="eastAsia" w:ascii="仿宋_GB2312" w:eastAsia="仿宋_GB2312"/>
          <w:sz w:val="28"/>
          <w:szCs w:val="28"/>
        </w:rPr>
        <w:t>随机抽样工具选择扑克牌或骰子，随机数一般可使用随机数表、骰子或扑克牌等方法产生。</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lang w:val="en-US" w:eastAsia="zh-CN"/>
        </w:rPr>
        <w:t>5</w:t>
      </w:r>
      <w:r>
        <w:rPr>
          <w:rFonts w:ascii="仿宋_GB2312" w:eastAsia="仿宋_GB2312" w:cs="仿宋_GB2312"/>
          <w:sz w:val="28"/>
          <w:szCs w:val="28"/>
        </w:rPr>
        <w:t>.2.2</w:t>
      </w:r>
      <w:r>
        <w:rPr>
          <w:rFonts w:hint="eastAsia" w:ascii="仿宋_GB2312" w:eastAsia="仿宋_GB2312" w:cs="仿宋_GB2312"/>
          <w:sz w:val="28"/>
          <w:szCs w:val="28"/>
        </w:rPr>
        <w:t>抽样基数</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抽样基数满足抽样数量即可。</w:t>
      </w:r>
    </w:p>
    <w:p>
      <w:pPr>
        <w:spacing w:line="360" w:lineRule="auto"/>
        <w:ind w:firstLine="560" w:firstLineChars="200"/>
        <w:jc w:val="left"/>
        <w:rPr>
          <w:rFonts w:ascii="仿宋_GB2312" w:eastAsia="仿宋_GB2312" w:cs="仿宋_GB2312"/>
          <w:sz w:val="28"/>
          <w:szCs w:val="28"/>
        </w:rPr>
      </w:pPr>
      <w:r>
        <w:rPr>
          <w:rFonts w:hint="eastAsia" w:ascii="仿宋_GB2312" w:eastAsia="仿宋_GB2312" w:cs="仿宋_GB2312"/>
          <w:sz w:val="28"/>
          <w:szCs w:val="28"/>
          <w:lang w:val="en-US" w:eastAsia="zh-CN"/>
        </w:rPr>
        <w:t>5</w:t>
      </w:r>
      <w:r>
        <w:rPr>
          <w:rFonts w:ascii="仿宋_GB2312" w:eastAsia="仿宋_GB2312" w:cs="仿宋_GB2312"/>
          <w:sz w:val="28"/>
          <w:szCs w:val="28"/>
        </w:rPr>
        <w:t>.2.3</w:t>
      </w:r>
      <w:r>
        <w:rPr>
          <w:rFonts w:hint="eastAsia" w:ascii="仿宋_GB2312" w:eastAsia="仿宋_GB2312" w:cs="仿宋_GB2312"/>
          <w:sz w:val="28"/>
          <w:szCs w:val="28"/>
        </w:rPr>
        <w:t>抽样数量</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每家被抽查企业每个单元抽取4台样品，2台检验，2台备样。</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若有多个单元的产品满足本次抽样要求，按随机抽样方法最多可以抽取2种单元的产品（2个批次）。如有满足抽样条件的多种型号产品，优先抽取证明销售量大的产品；如无法确认则先随机抽取型号；应确认抽样基数，如抽样基数较大可按先抽取堆、再抽取层、列、最后抽取样品的方式随机抽样，先抽检样，再抽备样。</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随机抽样工具选择扑克牌或骰子，随机数一般可使用随机数表、骰子或扑克牌等方法产生。</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.3样品处置</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.3.1封样</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抽取的样品应包装好，将封样单展开粘贴于已包装样品的封口处，由抽样人员和被抽查企业有关人员在封样单上签名。为防拆封，可使用多张封样单。</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.3.2样品保存</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样品必须保存在室温的环境下，必要时采用木箱封装。</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.3.3运送时应防止剧烈碰撞损坏样品。</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.4抽样单</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应按有关规定填写抽样单，并记录被抽查产品及企业相关信息。需要被抽企业提供的泵产品种类和型号信息在规格栏中注明，应在抽样现场获取，并经企业确认。</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.5样品获取方式</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按照国家市场监管总局相关管理办法执行。</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.6抽样注意事项</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抽样时，抽样人员应当认真核实营业执照等被抽查企业的相关信息，确认企业不存在不得抽样的情形。遇有下列情况之一且能提供有效证明的，不得抽样：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bookmarkStart w:id="1" w:name="_GoBack"/>
      <w:bookmarkEnd w:id="1"/>
      <w:r>
        <w:rPr>
          <w:rFonts w:hint="eastAsia" w:ascii="仿宋_GB2312" w:hAnsi="仿宋_GB2312" w:eastAsia="仿宋_GB2312" w:cs="仿宋_GB2312"/>
          <w:sz w:val="28"/>
          <w:szCs w:val="28"/>
        </w:rPr>
        <w:t>处理”或者“样品”等字样的；</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6</w:t>
      </w:r>
      <w:r>
        <w:rPr>
          <w:rFonts w:hint="eastAsia" w:ascii="仿宋_GB2312" w:hAnsi="仿宋_GB2312" w:eastAsia="仿宋_GB2312" w:cs="仿宋_GB2312"/>
          <w:b/>
          <w:bCs/>
          <w:sz w:val="28"/>
          <w:szCs w:val="28"/>
        </w:rPr>
        <w:t>检验要求</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w:t>
      </w:r>
      <w:bookmarkStart w:id="0" w:name="_Hlk45022275"/>
      <w:r>
        <w:rPr>
          <w:rFonts w:hint="eastAsia" w:ascii="仿宋_GB2312" w:hAnsi="仿宋_GB2312" w:eastAsia="仿宋_GB2312" w:cs="仿宋_GB2312"/>
          <w:sz w:val="28"/>
          <w:szCs w:val="28"/>
        </w:rPr>
        <w:t xml:space="preserve"> 检验项目</w:t>
      </w:r>
      <w:bookmarkEnd w:id="0"/>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表2 潜水电泵的检验项目</w:t>
      </w:r>
    </w:p>
    <w:tbl>
      <w:tblPr>
        <w:tblStyle w:val="8"/>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694"/>
        <w:gridCol w:w="2126"/>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restart"/>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694"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26"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808" w:type="dxa"/>
            <w:vMerge w:val="restart"/>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938" w:type="dxa"/>
            <w:vMerge w:val="continue"/>
            <w:vAlign w:val="center"/>
          </w:tcPr>
          <w:p>
            <w:pPr>
              <w:spacing w:line="360" w:lineRule="auto"/>
              <w:rPr>
                <w:rFonts w:hint="eastAsia" w:ascii="宋体" w:hAnsi="宋体" w:eastAsia="宋体" w:cs="宋体"/>
                <w:sz w:val="21"/>
                <w:szCs w:val="21"/>
              </w:rPr>
            </w:pPr>
          </w:p>
        </w:tc>
        <w:tc>
          <w:tcPr>
            <w:tcW w:w="2694" w:type="dxa"/>
            <w:vMerge w:val="continue"/>
            <w:tcBorders>
              <w:left w:val="nil"/>
            </w:tcBorders>
            <w:vAlign w:val="center"/>
          </w:tcPr>
          <w:p>
            <w:pPr>
              <w:spacing w:line="360" w:lineRule="auto"/>
              <w:rPr>
                <w:rFonts w:hint="eastAsia" w:ascii="宋体" w:hAnsi="宋体" w:eastAsia="宋体" w:cs="宋体"/>
                <w:sz w:val="21"/>
                <w:szCs w:val="21"/>
              </w:rPr>
            </w:pPr>
          </w:p>
        </w:tc>
        <w:tc>
          <w:tcPr>
            <w:tcW w:w="2126" w:type="dxa"/>
            <w:vMerge w:val="continue"/>
            <w:tcBorders>
              <w:left w:val="nil"/>
            </w:tcBorders>
            <w:vAlign w:val="center"/>
          </w:tcPr>
          <w:p>
            <w:pPr>
              <w:spacing w:line="360" w:lineRule="auto"/>
              <w:rPr>
                <w:rFonts w:hint="eastAsia" w:ascii="宋体" w:hAnsi="宋体" w:eastAsia="宋体" w:cs="宋体"/>
                <w:sz w:val="21"/>
                <w:szCs w:val="21"/>
              </w:rPr>
            </w:pPr>
          </w:p>
        </w:tc>
        <w:tc>
          <w:tcPr>
            <w:tcW w:w="2808" w:type="dxa"/>
            <w:vMerge w:val="continue"/>
            <w:tcBorders>
              <w:left w:val="nil"/>
            </w:tcBorders>
            <w:vAlign w:val="center"/>
          </w:tcPr>
          <w:p>
            <w:pPr>
              <w:spacing w:line="36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694"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过载保护</w:t>
            </w:r>
          </w:p>
        </w:tc>
        <w:tc>
          <w:tcPr>
            <w:tcW w:w="2126" w:type="dxa"/>
            <w:vMerge w:val="restart"/>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10395.8-2006</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10396-2006</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25409-2010</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24674-2021</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2816-2014</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2818-2014</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32029-2015</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GB 32030-2015 </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32031-2015</w:t>
            </w: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10395.8-2006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694" w:type="dxa"/>
            <w:tcBorders>
              <w:left w:val="nil"/>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接地装置</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10395.8-2006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694" w:type="dxa"/>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绝缘电阻</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694" w:type="dxa"/>
            <w:tcBorders>
              <w:left w:val="nil"/>
            </w:tcBorders>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电泵引出电缆</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25409-2010</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24674-2021</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2818-2014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694" w:type="dxa"/>
            <w:tcBorders>
              <w:left w:val="nil"/>
            </w:tcBorders>
            <w:vAlign w:val="center"/>
          </w:tcPr>
          <w:p>
            <w:pPr>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定子绕组耐电压</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25409-2010</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24674-2021</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2818-2014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694" w:type="dxa"/>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效率</w:t>
            </w:r>
          </w:p>
        </w:tc>
        <w:tc>
          <w:tcPr>
            <w:tcW w:w="2126" w:type="dxa"/>
            <w:vMerge w:val="continue"/>
            <w:tcBorders>
              <w:left w:val="nil"/>
            </w:tcBorders>
            <w:vAlign w:val="center"/>
          </w:tcPr>
          <w:p>
            <w:pPr>
              <w:spacing w:line="360" w:lineRule="auto"/>
              <w:jc w:val="center"/>
              <w:rPr>
                <w:rFonts w:hint="eastAsia" w:ascii="宋体" w:hAnsi="宋体" w:eastAsia="宋体" w:cs="宋体"/>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694" w:type="dxa"/>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安全标志</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10395.8-2006</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 10396-2006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694" w:type="dxa"/>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规定点流量与扬程</w:t>
            </w:r>
          </w:p>
        </w:tc>
        <w:tc>
          <w:tcPr>
            <w:tcW w:w="2126" w:type="dxa"/>
            <w:vMerge w:val="continue"/>
            <w:tcBorders>
              <w:left w:val="nil"/>
            </w:tcBorders>
            <w:vAlign w:val="center"/>
          </w:tcPr>
          <w:p>
            <w:pPr>
              <w:spacing w:line="360" w:lineRule="auto"/>
              <w:jc w:val="center"/>
              <w:rPr>
                <w:rFonts w:hint="eastAsia" w:ascii="宋体" w:hAnsi="宋体" w:eastAsia="宋体" w:cs="宋体"/>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2694" w:type="dxa"/>
            <w:tcBorders>
              <w:left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功率因数</w:t>
            </w:r>
          </w:p>
        </w:tc>
        <w:tc>
          <w:tcPr>
            <w:tcW w:w="2126" w:type="dxa"/>
            <w:vMerge w:val="continue"/>
            <w:tcBorders>
              <w:left w:val="nil"/>
            </w:tcBorders>
            <w:vAlign w:val="center"/>
          </w:tcPr>
          <w:p>
            <w:pPr>
              <w:spacing w:line="360" w:lineRule="auto"/>
              <w:jc w:val="center"/>
              <w:rPr>
                <w:rFonts w:hint="eastAsia" w:ascii="宋体" w:hAnsi="宋体" w:eastAsia="宋体" w:cs="宋体"/>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2694" w:type="dxa"/>
            <w:tcBorders>
              <w:left w:val="nil"/>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定子温升限值</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12785-2014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38"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2694" w:type="dxa"/>
            <w:tcBorders>
              <w:left w:val="nil"/>
            </w:tcBorders>
            <w:vAlign w:val="center"/>
          </w:tcPr>
          <w:p>
            <w:pPr>
              <w:widowControl/>
              <w:spacing w:line="36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电机内腔水（气）压试验</w:t>
            </w:r>
          </w:p>
        </w:tc>
        <w:tc>
          <w:tcPr>
            <w:tcW w:w="2126" w:type="dxa"/>
            <w:vMerge w:val="continue"/>
            <w:tcBorders>
              <w:left w:val="nil"/>
            </w:tcBorders>
            <w:vAlign w:val="center"/>
          </w:tcPr>
          <w:p>
            <w:pPr>
              <w:spacing w:line="360" w:lineRule="auto"/>
              <w:jc w:val="center"/>
              <w:rPr>
                <w:rFonts w:hint="eastAsia" w:ascii="宋体" w:hAnsi="宋体" w:eastAsia="宋体" w:cs="宋体"/>
                <w:color w:val="000000"/>
                <w:sz w:val="21"/>
                <w:szCs w:val="21"/>
              </w:rPr>
            </w:pPr>
          </w:p>
        </w:tc>
        <w:tc>
          <w:tcPr>
            <w:tcW w:w="2808" w:type="dxa"/>
            <w:tcBorders>
              <w:left w:val="nil"/>
            </w:tcBorders>
            <w:vAlign w:val="center"/>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25409-2010</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24674-2021</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GB/T 2818-2014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66" w:type="dxa"/>
            <w:gridSpan w:val="4"/>
            <w:vAlign w:val="center"/>
          </w:tcPr>
          <w:p>
            <w:pPr>
              <w:spacing w:line="360" w:lineRule="auto"/>
              <w:rPr>
                <w:rFonts w:hint="eastAsia" w:ascii="宋体" w:hAnsi="宋体" w:eastAsia="宋体" w:cs="宋体"/>
                <w:color w:val="000000"/>
                <w:sz w:val="21"/>
                <w:szCs w:val="21"/>
              </w:rPr>
            </w:pPr>
            <w:r>
              <w:rPr>
                <w:rFonts w:hint="eastAsia" w:ascii="宋体" w:hAnsi="宋体" w:eastAsia="宋体" w:cs="宋体"/>
                <w:sz w:val="21"/>
                <w:szCs w:val="21"/>
              </w:rPr>
              <w:t>注：潜水电泵配套干式或充油式电机不做“电机内腔水（气）压试验”项目，配套充水式电机做“电机内腔水（气）压试验”项目。</w:t>
            </w:r>
          </w:p>
        </w:tc>
      </w:tr>
    </w:tbl>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.2检验应注意的问题</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spacing w:line="360" w:lineRule="auto"/>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若被检产品明示的质量要求低于或包含细则中检验项目依据的推荐性标准要求时，应以被检产品明示的质量要求判定。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当企业明示的质量要求（含标牌、使用说明书、执行标准等）中规定的指标不一致时，优先级应按标牌、使用说明书、合同、执行标准的顺序判定。</w:t>
      </w:r>
    </w:p>
    <w:p>
      <w:pPr>
        <w:adjustRightInd w:val="0"/>
        <w:snapToGrid w:val="0"/>
        <w:spacing w:before="156" w:beforeLines="50"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7</w:t>
      </w:r>
      <w:r>
        <w:rPr>
          <w:rFonts w:hint="eastAsia" w:ascii="仿宋_GB2312" w:hAnsi="仿宋_GB2312" w:eastAsia="仿宋_GB2312" w:cs="仿宋_GB2312"/>
          <w:b/>
          <w:bCs/>
          <w:sz w:val="28"/>
          <w:szCs w:val="28"/>
        </w:rPr>
        <w:t xml:space="preserve"> 判定原则</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每台样机每个检验项目定义为1个项次。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经检验，“过载保护、接地装置、绝缘电阻、电泵引出电缆、定子绕组耐电压、效率、安全标志”项目全项次合格，并且“规定点流量与扬程、功率因数、定子温升限值、电机内腔水（气）压试验”项目不合格项次不多于2个，判定为未发现不合格；否则，判定为被抽查产品不合格。</w:t>
      </w:r>
    </w:p>
    <w:p>
      <w:pPr>
        <w:adjustRightInd w:val="0"/>
        <w:snapToGrid w:val="0"/>
        <w:spacing w:before="156" w:beforeLines="50" w:after="156" w:afterLines="50" w:line="360" w:lineRule="auto"/>
        <w:ind w:firstLine="551" w:firstLineChars="196"/>
        <w:rPr>
          <w:rFonts w:ascii="仿宋_GB2312" w:eastAsia="仿宋_GB2312"/>
          <w:b/>
          <w:bCs/>
          <w:sz w:val="28"/>
          <w:szCs w:val="28"/>
        </w:rPr>
      </w:pPr>
      <w:r>
        <w:rPr>
          <w:rFonts w:hint="eastAsia" w:ascii="仿宋_GB2312" w:eastAsia="仿宋_GB2312" w:cs="仿宋_GB2312"/>
          <w:b/>
          <w:bCs/>
          <w:sz w:val="28"/>
          <w:szCs w:val="28"/>
          <w:lang w:val="en-US" w:eastAsia="zh-CN"/>
        </w:rPr>
        <w:t>8</w:t>
      </w:r>
      <w:r>
        <w:rPr>
          <w:rFonts w:hint="eastAsia" w:ascii="仿宋_GB2312" w:eastAsia="仿宋_GB2312" w:cs="仿宋_GB2312"/>
          <w:b/>
          <w:bCs/>
          <w:sz w:val="28"/>
          <w:szCs w:val="28"/>
        </w:rPr>
        <w:t>异议处理</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ascii="仿宋_GB2312" w:eastAsia="仿宋_GB2312"/>
          <w:sz w:val="28"/>
          <w:szCs w:val="28"/>
        </w:rPr>
      </w:pPr>
      <w:r>
        <w:rPr>
          <w:rFonts w:hint="eastAsia" w:ascii="仿宋_GB2312" w:eastAsia="仿宋_GB2312" w:cs="仿宋_GB2312"/>
          <w:sz w:val="28"/>
          <w:szCs w:val="28"/>
          <w:lang w:val="en-US" w:eastAsia="zh-CN"/>
        </w:rPr>
        <w:t>8</w:t>
      </w:r>
      <w:r>
        <w:rPr>
          <w:rFonts w:ascii="仿宋_GB2312" w:eastAsia="仿宋_GB2312" w:cs="仿宋_GB2312"/>
          <w:sz w:val="28"/>
          <w:szCs w:val="28"/>
        </w:rPr>
        <w:t>.1</w:t>
      </w:r>
      <w:r>
        <w:rPr>
          <w:rFonts w:hint="eastAsia" w:ascii="仿宋_GB2312" w:eastAsia="仿宋_GB2312" w:cs="仿宋_GB2312"/>
          <w:sz w:val="28"/>
          <w:szCs w:val="28"/>
        </w:rPr>
        <w:t>核查不合格项目相关证据，能够以记录（纸质记录或电子记录或影像记录）或与不合格项目相关联的其他质量数据等检验证据证明。</w:t>
      </w:r>
    </w:p>
    <w:p>
      <w:pPr>
        <w:adjustRightInd w:val="0"/>
        <w:snapToGrid w:val="0"/>
        <w:spacing w:line="360" w:lineRule="auto"/>
        <w:ind w:firstLine="560" w:firstLineChars="200"/>
        <w:rPr>
          <w:rFonts w:ascii="黑体" w:eastAsia="黑体"/>
          <w:kern w:val="0"/>
          <w:sz w:val="32"/>
          <w:szCs w:val="32"/>
        </w:rPr>
      </w:pPr>
      <w:r>
        <w:rPr>
          <w:rFonts w:hint="eastAsia" w:ascii="仿宋_GB2312" w:eastAsia="仿宋_GB2312" w:cs="仿宋_GB2312"/>
          <w:sz w:val="28"/>
          <w:szCs w:val="28"/>
          <w:lang w:val="en-US" w:eastAsia="zh-CN"/>
        </w:rPr>
        <w:t>8</w:t>
      </w:r>
      <w:r>
        <w:rPr>
          <w:rFonts w:ascii="仿宋_GB2312" w:eastAsia="仿宋_GB2312" w:cs="仿宋_GB2312"/>
          <w:sz w:val="28"/>
          <w:szCs w:val="28"/>
        </w:rPr>
        <w:t>.2</w:t>
      </w:r>
      <w:r>
        <w:rPr>
          <w:rFonts w:hint="eastAsia" w:ascii="仿宋_GB2312" w:eastAsia="仿宋_GB2312" w:cs="仿宋_GB2312"/>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line="360" w:lineRule="auto"/>
        <w:ind w:firstLine="548" w:firstLineChars="196"/>
        <w:rPr>
          <w:rFonts w:ascii="仿宋_GB2312" w:hAnsi="仿宋_GB2312" w:eastAsia="仿宋_GB2312" w:cs="仿宋_GB2312"/>
          <w:sz w:val="28"/>
          <w:szCs w:val="28"/>
        </w:rPr>
      </w:pPr>
    </w:p>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宋?">
    <w:altName w:val="宋体"/>
    <w:panose1 w:val="00000000000000000000"/>
    <w:charset w:val="81"/>
    <w:family w:val="auto"/>
    <w:pitch w:val="default"/>
    <w:sig w:usb0="00000000" w:usb1="0000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RhOTA2YWY3NTA0YzVkYjFhOTViMzEyMWJkZWE3NGYifQ=="/>
  </w:docVars>
  <w:rsids>
    <w:rsidRoot w:val="00097B92"/>
    <w:rsid w:val="0000708C"/>
    <w:rsid w:val="000153A3"/>
    <w:rsid w:val="00030F4B"/>
    <w:rsid w:val="0003584C"/>
    <w:rsid w:val="00045D88"/>
    <w:rsid w:val="00056174"/>
    <w:rsid w:val="00083F4D"/>
    <w:rsid w:val="00084260"/>
    <w:rsid w:val="00084768"/>
    <w:rsid w:val="00097B92"/>
    <w:rsid w:val="000A47B8"/>
    <w:rsid w:val="000A4AE4"/>
    <w:rsid w:val="000C3149"/>
    <w:rsid w:val="000D437D"/>
    <w:rsid w:val="000D68B7"/>
    <w:rsid w:val="000E02A5"/>
    <w:rsid w:val="000E0B35"/>
    <w:rsid w:val="0010798C"/>
    <w:rsid w:val="00120059"/>
    <w:rsid w:val="00120583"/>
    <w:rsid w:val="00132468"/>
    <w:rsid w:val="00145E27"/>
    <w:rsid w:val="00146B26"/>
    <w:rsid w:val="00155A66"/>
    <w:rsid w:val="00160F23"/>
    <w:rsid w:val="00162CD2"/>
    <w:rsid w:val="001642F8"/>
    <w:rsid w:val="001870F3"/>
    <w:rsid w:val="00187F2E"/>
    <w:rsid w:val="001A5040"/>
    <w:rsid w:val="001C359D"/>
    <w:rsid w:val="001D3522"/>
    <w:rsid w:val="001D509E"/>
    <w:rsid w:val="001E0CAC"/>
    <w:rsid w:val="001F037D"/>
    <w:rsid w:val="001F1D1C"/>
    <w:rsid w:val="001F203A"/>
    <w:rsid w:val="00200422"/>
    <w:rsid w:val="00200890"/>
    <w:rsid w:val="00202823"/>
    <w:rsid w:val="00213C5C"/>
    <w:rsid w:val="00225897"/>
    <w:rsid w:val="00225D1A"/>
    <w:rsid w:val="00227C2B"/>
    <w:rsid w:val="0023718F"/>
    <w:rsid w:val="002429D7"/>
    <w:rsid w:val="00245F31"/>
    <w:rsid w:val="00261BE7"/>
    <w:rsid w:val="002628A6"/>
    <w:rsid w:val="00270785"/>
    <w:rsid w:val="00275EC5"/>
    <w:rsid w:val="002B5C3C"/>
    <w:rsid w:val="002C14D1"/>
    <w:rsid w:val="002C7FAC"/>
    <w:rsid w:val="002D2F01"/>
    <w:rsid w:val="002D51F7"/>
    <w:rsid w:val="002D7F8A"/>
    <w:rsid w:val="002F02C2"/>
    <w:rsid w:val="002F49C4"/>
    <w:rsid w:val="003032E2"/>
    <w:rsid w:val="00303F54"/>
    <w:rsid w:val="0031730C"/>
    <w:rsid w:val="00336EF0"/>
    <w:rsid w:val="00354497"/>
    <w:rsid w:val="00356366"/>
    <w:rsid w:val="00362AA1"/>
    <w:rsid w:val="00363E03"/>
    <w:rsid w:val="00393704"/>
    <w:rsid w:val="003B316B"/>
    <w:rsid w:val="003B57F1"/>
    <w:rsid w:val="003D2D06"/>
    <w:rsid w:val="003E0E75"/>
    <w:rsid w:val="003E4306"/>
    <w:rsid w:val="003E60E8"/>
    <w:rsid w:val="003E6E66"/>
    <w:rsid w:val="003F0329"/>
    <w:rsid w:val="003F5717"/>
    <w:rsid w:val="00403809"/>
    <w:rsid w:val="0040599E"/>
    <w:rsid w:val="0040693D"/>
    <w:rsid w:val="0041069F"/>
    <w:rsid w:val="00423B4B"/>
    <w:rsid w:val="00444C86"/>
    <w:rsid w:val="004526DB"/>
    <w:rsid w:val="00473951"/>
    <w:rsid w:val="00477753"/>
    <w:rsid w:val="00492C70"/>
    <w:rsid w:val="004960DB"/>
    <w:rsid w:val="00497719"/>
    <w:rsid w:val="004B6DF0"/>
    <w:rsid w:val="004D0418"/>
    <w:rsid w:val="004E2349"/>
    <w:rsid w:val="00503696"/>
    <w:rsid w:val="00503F70"/>
    <w:rsid w:val="00524FEE"/>
    <w:rsid w:val="00526628"/>
    <w:rsid w:val="005446D9"/>
    <w:rsid w:val="005466ED"/>
    <w:rsid w:val="005515E1"/>
    <w:rsid w:val="0055207B"/>
    <w:rsid w:val="00552479"/>
    <w:rsid w:val="0056485B"/>
    <w:rsid w:val="00566593"/>
    <w:rsid w:val="0056760B"/>
    <w:rsid w:val="00586075"/>
    <w:rsid w:val="0059117A"/>
    <w:rsid w:val="005911B3"/>
    <w:rsid w:val="00593542"/>
    <w:rsid w:val="00593B2A"/>
    <w:rsid w:val="0059446A"/>
    <w:rsid w:val="005A36BE"/>
    <w:rsid w:val="005B1317"/>
    <w:rsid w:val="005B606D"/>
    <w:rsid w:val="005E4687"/>
    <w:rsid w:val="005E4D98"/>
    <w:rsid w:val="005F0B18"/>
    <w:rsid w:val="00601A0B"/>
    <w:rsid w:val="00604012"/>
    <w:rsid w:val="006110F0"/>
    <w:rsid w:val="006234A4"/>
    <w:rsid w:val="006243E0"/>
    <w:rsid w:val="00633949"/>
    <w:rsid w:val="0063507E"/>
    <w:rsid w:val="006472E1"/>
    <w:rsid w:val="0066407B"/>
    <w:rsid w:val="006657F7"/>
    <w:rsid w:val="00682C9B"/>
    <w:rsid w:val="00685BD8"/>
    <w:rsid w:val="006976D5"/>
    <w:rsid w:val="006A7768"/>
    <w:rsid w:val="006B3EBF"/>
    <w:rsid w:val="006B5E97"/>
    <w:rsid w:val="006C5E68"/>
    <w:rsid w:val="006F56B3"/>
    <w:rsid w:val="007003AD"/>
    <w:rsid w:val="00727526"/>
    <w:rsid w:val="007828B4"/>
    <w:rsid w:val="007860ED"/>
    <w:rsid w:val="00787E23"/>
    <w:rsid w:val="00790BE3"/>
    <w:rsid w:val="007923CB"/>
    <w:rsid w:val="007A1958"/>
    <w:rsid w:val="007E051B"/>
    <w:rsid w:val="007F0C4E"/>
    <w:rsid w:val="008030D2"/>
    <w:rsid w:val="0080634E"/>
    <w:rsid w:val="008063F0"/>
    <w:rsid w:val="00831FD4"/>
    <w:rsid w:val="0084418B"/>
    <w:rsid w:val="00850B5B"/>
    <w:rsid w:val="008534F3"/>
    <w:rsid w:val="00862711"/>
    <w:rsid w:val="00876F09"/>
    <w:rsid w:val="00885759"/>
    <w:rsid w:val="00887040"/>
    <w:rsid w:val="008D23C2"/>
    <w:rsid w:val="008D4D84"/>
    <w:rsid w:val="00901776"/>
    <w:rsid w:val="00914CC5"/>
    <w:rsid w:val="00915FB4"/>
    <w:rsid w:val="00921CB5"/>
    <w:rsid w:val="00955028"/>
    <w:rsid w:val="00965179"/>
    <w:rsid w:val="00965461"/>
    <w:rsid w:val="0097712D"/>
    <w:rsid w:val="00983E0B"/>
    <w:rsid w:val="009A0087"/>
    <w:rsid w:val="009C5123"/>
    <w:rsid w:val="009D7E53"/>
    <w:rsid w:val="009E5B2A"/>
    <w:rsid w:val="009F1339"/>
    <w:rsid w:val="00A04420"/>
    <w:rsid w:val="00A04BCD"/>
    <w:rsid w:val="00A05A18"/>
    <w:rsid w:val="00A20E63"/>
    <w:rsid w:val="00A22C9B"/>
    <w:rsid w:val="00A26409"/>
    <w:rsid w:val="00A419DA"/>
    <w:rsid w:val="00A539A9"/>
    <w:rsid w:val="00A6786A"/>
    <w:rsid w:val="00A67E28"/>
    <w:rsid w:val="00A94A6B"/>
    <w:rsid w:val="00AA6595"/>
    <w:rsid w:val="00AD44DB"/>
    <w:rsid w:val="00AD7003"/>
    <w:rsid w:val="00AF08DC"/>
    <w:rsid w:val="00AF22F8"/>
    <w:rsid w:val="00B162E3"/>
    <w:rsid w:val="00B335F7"/>
    <w:rsid w:val="00B523E5"/>
    <w:rsid w:val="00B56B73"/>
    <w:rsid w:val="00B56E00"/>
    <w:rsid w:val="00B73681"/>
    <w:rsid w:val="00B74D0C"/>
    <w:rsid w:val="00B836D6"/>
    <w:rsid w:val="00B85B32"/>
    <w:rsid w:val="00B97B71"/>
    <w:rsid w:val="00BA3A1F"/>
    <w:rsid w:val="00BA6F48"/>
    <w:rsid w:val="00BB5C2E"/>
    <w:rsid w:val="00BC320F"/>
    <w:rsid w:val="00BE0628"/>
    <w:rsid w:val="00BE1ECA"/>
    <w:rsid w:val="00BE316E"/>
    <w:rsid w:val="00BE7EE7"/>
    <w:rsid w:val="00BF239D"/>
    <w:rsid w:val="00BF7EA9"/>
    <w:rsid w:val="00C03956"/>
    <w:rsid w:val="00C12E9F"/>
    <w:rsid w:val="00C20A88"/>
    <w:rsid w:val="00C24074"/>
    <w:rsid w:val="00C244D7"/>
    <w:rsid w:val="00C27598"/>
    <w:rsid w:val="00C44DA9"/>
    <w:rsid w:val="00C47E16"/>
    <w:rsid w:val="00C64850"/>
    <w:rsid w:val="00C67923"/>
    <w:rsid w:val="00C723E3"/>
    <w:rsid w:val="00C7560C"/>
    <w:rsid w:val="00C83EFC"/>
    <w:rsid w:val="00C87195"/>
    <w:rsid w:val="00C876E8"/>
    <w:rsid w:val="00C87729"/>
    <w:rsid w:val="00C970D4"/>
    <w:rsid w:val="00CC34E4"/>
    <w:rsid w:val="00CD667C"/>
    <w:rsid w:val="00CE4864"/>
    <w:rsid w:val="00D059F7"/>
    <w:rsid w:val="00D05ED8"/>
    <w:rsid w:val="00D15DA2"/>
    <w:rsid w:val="00D170C9"/>
    <w:rsid w:val="00D42638"/>
    <w:rsid w:val="00D46945"/>
    <w:rsid w:val="00D52BFD"/>
    <w:rsid w:val="00D72D0F"/>
    <w:rsid w:val="00D73261"/>
    <w:rsid w:val="00D756D7"/>
    <w:rsid w:val="00D823BE"/>
    <w:rsid w:val="00D83AF5"/>
    <w:rsid w:val="00DB42B9"/>
    <w:rsid w:val="00E10170"/>
    <w:rsid w:val="00E4491A"/>
    <w:rsid w:val="00E540CB"/>
    <w:rsid w:val="00E97B7E"/>
    <w:rsid w:val="00EA16F8"/>
    <w:rsid w:val="00EA6350"/>
    <w:rsid w:val="00EB3A96"/>
    <w:rsid w:val="00EB3EB2"/>
    <w:rsid w:val="00F11E01"/>
    <w:rsid w:val="00F148D8"/>
    <w:rsid w:val="00F24F7B"/>
    <w:rsid w:val="00F37FA5"/>
    <w:rsid w:val="00F47D31"/>
    <w:rsid w:val="00F60CFC"/>
    <w:rsid w:val="00F62E89"/>
    <w:rsid w:val="00F74D55"/>
    <w:rsid w:val="00FB2C35"/>
    <w:rsid w:val="00FC6980"/>
    <w:rsid w:val="00FD0183"/>
    <w:rsid w:val="00FE7607"/>
    <w:rsid w:val="00FF2209"/>
    <w:rsid w:val="01057328"/>
    <w:rsid w:val="01606800"/>
    <w:rsid w:val="034A17AE"/>
    <w:rsid w:val="046412E3"/>
    <w:rsid w:val="04F23BE2"/>
    <w:rsid w:val="05CA0DAA"/>
    <w:rsid w:val="067324D4"/>
    <w:rsid w:val="07D0423D"/>
    <w:rsid w:val="0A9F3581"/>
    <w:rsid w:val="0B03036B"/>
    <w:rsid w:val="10AC24DF"/>
    <w:rsid w:val="12825CCA"/>
    <w:rsid w:val="15796297"/>
    <w:rsid w:val="15F45508"/>
    <w:rsid w:val="16B82093"/>
    <w:rsid w:val="1971696D"/>
    <w:rsid w:val="19FB52A2"/>
    <w:rsid w:val="1D1A2D5E"/>
    <w:rsid w:val="1DA5326B"/>
    <w:rsid w:val="25B93B45"/>
    <w:rsid w:val="26E42F0D"/>
    <w:rsid w:val="2C6B52B4"/>
    <w:rsid w:val="3107141E"/>
    <w:rsid w:val="31994E82"/>
    <w:rsid w:val="33D4517A"/>
    <w:rsid w:val="3533733D"/>
    <w:rsid w:val="36566D0A"/>
    <w:rsid w:val="39DF1A06"/>
    <w:rsid w:val="39F161A5"/>
    <w:rsid w:val="3A052A8A"/>
    <w:rsid w:val="3B6C4985"/>
    <w:rsid w:val="3DF55A4D"/>
    <w:rsid w:val="4073734C"/>
    <w:rsid w:val="410D7383"/>
    <w:rsid w:val="42CC10BB"/>
    <w:rsid w:val="44155AE4"/>
    <w:rsid w:val="45100F57"/>
    <w:rsid w:val="48184889"/>
    <w:rsid w:val="4DF5391A"/>
    <w:rsid w:val="4F4C2B49"/>
    <w:rsid w:val="50BE3A80"/>
    <w:rsid w:val="52395041"/>
    <w:rsid w:val="52764C69"/>
    <w:rsid w:val="56A95860"/>
    <w:rsid w:val="5A1435C1"/>
    <w:rsid w:val="5C100FE3"/>
    <w:rsid w:val="5CE33B2F"/>
    <w:rsid w:val="5CEA689E"/>
    <w:rsid w:val="5E54501D"/>
    <w:rsid w:val="61FE0E12"/>
    <w:rsid w:val="63BC63E7"/>
    <w:rsid w:val="64BF4F19"/>
    <w:rsid w:val="6A3063B9"/>
    <w:rsid w:val="6D58454C"/>
    <w:rsid w:val="6F604886"/>
    <w:rsid w:val="76E455BA"/>
    <w:rsid w:val="7DE16737"/>
    <w:rsid w:val="BC9E97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qFormat/>
    <w:uiPriority w:val="99"/>
    <w:pPr>
      <w:ind w:firstLine="600" w:firstLineChars="200"/>
    </w:pPr>
    <w:rPr>
      <w:rFonts w:eastAsia="仿宋_GB2312"/>
      <w:kern w:val="0"/>
      <w:sz w:val="24"/>
      <w:szCs w:val="24"/>
    </w:rPr>
  </w:style>
  <w:style w:type="paragraph" w:styleId="3">
    <w:name w:val="Plain Text"/>
    <w:basedOn w:val="1"/>
    <w:link w:val="11"/>
    <w:qFormat/>
    <w:uiPriority w:val="99"/>
    <w:rPr>
      <w:rFonts w:ascii="宋体" w:hAnsi="Courier New" w:cs="宋体"/>
      <w:kern w:val="0"/>
      <w:sz w:val="20"/>
      <w:szCs w:val="20"/>
    </w:rPr>
  </w:style>
  <w:style w:type="paragraph" w:styleId="4">
    <w:name w:val="Balloon Text"/>
    <w:basedOn w:val="1"/>
    <w:link w:val="12"/>
    <w:semiHidden/>
    <w:qFormat/>
    <w:uiPriority w:val="99"/>
    <w:rPr>
      <w:kern w:val="0"/>
      <w:sz w:val="18"/>
      <w:szCs w:val="18"/>
    </w:rPr>
  </w:style>
  <w:style w:type="paragraph" w:styleId="5">
    <w:name w:val="footer"/>
    <w:basedOn w:val="1"/>
    <w:link w:val="13"/>
    <w:qFormat/>
    <w:uiPriority w:val="99"/>
    <w:pPr>
      <w:tabs>
        <w:tab w:val="center" w:pos="4153"/>
        <w:tab w:val="right" w:pos="8306"/>
      </w:tabs>
      <w:snapToGrid w:val="0"/>
      <w:jc w:val="left"/>
    </w:pPr>
    <w:rPr>
      <w:kern w:val="0"/>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Body Text Indent 3"/>
    <w:basedOn w:val="1"/>
    <w:link w:val="15"/>
    <w:qFormat/>
    <w:uiPriority w:val="99"/>
    <w:pPr>
      <w:spacing w:line="400" w:lineRule="exact"/>
      <w:ind w:left="-360" w:firstLine="560" w:firstLineChars="200"/>
    </w:pPr>
    <w:rPr>
      <w:rFonts w:ascii="仿宋_GB2312" w:eastAsia="仿宋_GB2312" w:cs="仿宋_GB2312"/>
      <w:kern w:val="0"/>
      <w:sz w:val="24"/>
      <w:szCs w:val="24"/>
    </w:rPr>
  </w:style>
  <w:style w:type="character" w:customStyle="1" w:styleId="10">
    <w:name w:val="正文文本缩进 Char"/>
    <w:link w:val="2"/>
    <w:qFormat/>
    <w:locked/>
    <w:uiPriority w:val="99"/>
    <w:rPr>
      <w:rFonts w:ascii="Times New Roman" w:hAnsi="Times New Roman" w:eastAsia="仿宋_GB2312" w:cs="Times New Roman"/>
      <w:sz w:val="24"/>
      <w:szCs w:val="24"/>
    </w:rPr>
  </w:style>
  <w:style w:type="character" w:customStyle="1" w:styleId="11">
    <w:name w:val="纯文本 Char"/>
    <w:link w:val="3"/>
    <w:qFormat/>
    <w:locked/>
    <w:uiPriority w:val="99"/>
    <w:rPr>
      <w:rFonts w:ascii="宋体" w:hAnsi="Courier New" w:eastAsia="宋体" w:cs="宋体"/>
      <w:kern w:val="0"/>
      <w:sz w:val="20"/>
      <w:szCs w:val="20"/>
    </w:rPr>
  </w:style>
  <w:style w:type="character" w:customStyle="1" w:styleId="12">
    <w:name w:val="批注框文本 Char"/>
    <w:link w:val="4"/>
    <w:semiHidden/>
    <w:qFormat/>
    <w:locked/>
    <w:uiPriority w:val="99"/>
    <w:rPr>
      <w:sz w:val="18"/>
      <w:szCs w:val="18"/>
    </w:rPr>
  </w:style>
  <w:style w:type="character" w:customStyle="1" w:styleId="13">
    <w:name w:val="页脚 Char"/>
    <w:link w:val="5"/>
    <w:qFormat/>
    <w:locked/>
    <w:uiPriority w:val="99"/>
    <w:rPr>
      <w:sz w:val="18"/>
      <w:szCs w:val="18"/>
    </w:rPr>
  </w:style>
  <w:style w:type="character" w:customStyle="1" w:styleId="14">
    <w:name w:val="页眉 Char"/>
    <w:link w:val="6"/>
    <w:semiHidden/>
    <w:qFormat/>
    <w:locked/>
    <w:uiPriority w:val="99"/>
    <w:rPr>
      <w:sz w:val="18"/>
      <w:szCs w:val="18"/>
    </w:rPr>
  </w:style>
  <w:style w:type="character" w:customStyle="1" w:styleId="15">
    <w:name w:val="正文文本缩进 3 Char"/>
    <w:link w:val="7"/>
    <w:qFormat/>
    <w:locked/>
    <w:uiPriority w:val="99"/>
    <w:rPr>
      <w:rFonts w:ascii="仿宋_GB2312" w:eastAsia="仿宋_GB2312" w:cs="仿宋_GB2312"/>
      <w:sz w:val="24"/>
      <w:szCs w:val="24"/>
      <w:lang w:val="en-US" w:eastAsia="zh-CN"/>
    </w:rPr>
  </w:style>
  <w:style w:type="paragraph" w:customStyle="1" w:styleId="16">
    <w:name w:val="纯文本1"/>
    <w:basedOn w:val="1"/>
    <w:qFormat/>
    <w:uiPriority w:val="99"/>
    <w:pPr>
      <w:adjustRightInd w:val="0"/>
      <w:textAlignment w:val="baseline"/>
    </w:pPr>
    <w:rPr>
      <w:rFonts w:ascii="宋?" w:hAnsi="Courier New" w:eastAsia="宋?" w:cs="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2337</Words>
  <Characters>2817</Characters>
  <Lines>21</Lines>
  <Paragraphs>6</Paragraphs>
  <TotalTime>26</TotalTime>
  <ScaleCrop>false</ScaleCrop>
  <LinksUpToDate>false</LinksUpToDate>
  <CharactersWithSpaces>2873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2022-08-10T09:53:00Z</dcterms:created>
  <dc:creator>Windows 用户</dc:creator>
  <cp:lastModifiedBy>申雅楠</cp:lastModifiedBy>
  <cp:lastPrinted>2019-12-23T15:40:00Z</cp:lastPrinted>
  <dcterms:modified xsi:type="dcterms:W3CDTF">2023-06-19T02:22:39Z</dcterms:modified>
  <dc:title>鞍山市泵产品质量监督抽查实施细则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561723E902D943F2B8BF7379C00BD5FE</vt:lpwstr>
  </property>
</Properties>
</file>