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5" w:lineRule="atLeast"/>
        <w:jc w:val="center"/>
        <w:rPr>
          <w:rFonts w:hint="eastAsia" w:ascii="方正小标宋简体" w:hAnsi="方正小标宋简体" w:eastAsia="方正小标宋简体" w:cs="方正小标宋简体"/>
          <w:b w:val="0"/>
          <w:bCs/>
          <w:color w:val="auto"/>
          <w:kern w:val="0"/>
          <w:sz w:val="24"/>
          <w:szCs w:val="24"/>
        </w:rPr>
      </w:pPr>
      <w:r>
        <w:rPr>
          <w:rFonts w:hint="eastAsia" w:ascii="方正小标宋简体" w:hAnsi="方正小标宋简体" w:eastAsia="方正小标宋简体" w:cs="方正小标宋简体"/>
          <w:b w:val="0"/>
          <w:bCs/>
          <w:color w:val="auto"/>
          <w:kern w:val="0"/>
          <w:sz w:val="36"/>
          <w:szCs w:val="36"/>
        </w:rPr>
        <w:t>事业单位专业技术三级岗位评选条件（试行）</w:t>
      </w:r>
    </w:p>
    <w:p>
      <w:pPr>
        <w:widowControl/>
        <w:spacing w:line="52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widowControl/>
        <w:spacing w:line="525" w:lineRule="atLeast"/>
        <w:ind w:firstLine="48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专业技术三级岗位聘用应符合下列条件：事业单位有专业技术三级空余岗位，聘用专业技术四级岗位满五年前提下，具备下列条件一或条件二的。</w:t>
      </w:r>
    </w:p>
    <w:p>
      <w:pPr>
        <w:widowControl/>
        <w:spacing w:line="525" w:lineRule="atLeast"/>
        <w:ind w:firstLine="480"/>
        <w:jc w:val="left"/>
        <w:rPr>
          <w:rFonts w:ascii="仿宋" w:hAnsi="仿宋" w:eastAsia="仿宋" w:cs="宋体"/>
          <w:color w:val="auto"/>
          <w:kern w:val="0"/>
          <w:sz w:val="32"/>
          <w:szCs w:val="32"/>
        </w:rPr>
      </w:pPr>
      <w:r>
        <w:rPr>
          <w:rFonts w:hint="eastAsia" w:ascii="仿宋" w:hAnsi="仿宋" w:eastAsia="仿宋" w:cs="宋体"/>
          <w:b/>
          <w:bCs/>
          <w:color w:val="auto"/>
          <w:kern w:val="0"/>
          <w:sz w:val="32"/>
          <w:szCs w:val="32"/>
        </w:rPr>
        <w:t>条件一：获得正高级专业技术资格后具备下列条件之一的。</w:t>
      </w:r>
    </w:p>
    <w:p>
      <w:pPr>
        <w:widowControl/>
        <w:spacing w:line="525" w:lineRule="atLeast"/>
        <w:ind w:firstLine="48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1、获得国家和省（部）的自然科学奖、科技进步奖、技术发明奖及辽人〔1999〕39号文中的奖项三等奖以上奖励一次或三等奖两次；或获得国家科学技术奖励工作办公室认可的相当于省部级奖励的社会科技奖励项目的奖项二等奖以上奖励一次或二等奖两次。以上获奖均为等级内额定人员，即有个人获奖证书。</w:t>
      </w:r>
    </w:p>
    <w:p>
      <w:pPr>
        <w:widowControl/>
        <w:spacing w:line="525" w:lineRule="atLeast"/>
        <w:ind w:firstLine="48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2、在国家级专业技术学会担任委员及以上职务或在省部级专业技术学会担任主任委员、副主任委员。</w:t>
      </w:r>
    </w:p>
    <w:p>
      <w:pPr>
        <w:widowControl/>
        <w:spacing w:line="525" w:lineRule="atLeast"/>
        <w:ind w:firstLine="480"/>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条件二：获得正高级专业技术资格后具备下列10项中的3项以上（含3项）条件的。</w:t>
      </w:r>
    </w:p>
    <w:p>
      <w:pPr>
        <w:widowControl/>
        <w:spacing w:line="525" w:lineRule="atLeast"/>
        <w:ind w:firstLine="48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1、获得国家和省（部）的自然科学奖、科技进步奖、技术发明奖及辽人〔1999〕39号文中的奖项三等奖一次或国家科学技术奖励工作办公室认可的相当于省部级奖励的社会科技奖励项目的奖项二等奖一次或三等奖的项目负责人或三等奖二次。以上获奖均为等级内额定人员，即有个人获奖证书。</w:t>
      </w:r>
    </w:p>
    <w:p>
      <w:pPr>
        <w:widowControl/>
        <w:spacing w:line="525" w:lineRule="atLeast"/>
        <w:ind w:firstLine="48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2、主持完成1项省（部）级及以上中长期发展规划、重大战略决策等相关政策、标准、规范的制定，并颁布实施。</w:t>
      </w:r>
    </w:p>
    <w:p>
      <w:pPr>
        <w:widowControl/>
        <w:spacing w:line="525" w:lineRule="atLeast"/>
        <w:ind w:firstLine="48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3、主持或指导完成国家级研究课题1项或省级研究课题2项或市厅级研究课题3项，研究成果达到国内领先及以上水平，取得显著的经济或社会效益或经同行专家评议具有较高的实用价值。</w:t>
      </w:r>
    </w:p>
    <w:p>
      <w:pPr>
        <w:widowControl/>
        <w:spacing w:line="525" w:lineRule="atLeast"/>
        <w:ind w:firstLine="48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4、主持研制本领域国家标准或行业标准1项以上，并颁布实施。</w:t>
      </w:r>
    </w:p>
    <w:p>
      <w:pPr>
        <w:widowControl/>
        <w:spacing w:line="525" w:lineRule="atLeast"/>
        <w:ind w:firstLine="48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5、作为第一发明人获得下列授权（登记）知识产权成果之一，并取得显著的经济或社会效益或经同行专家评议具有较高的实用价值。</w:t>
      </w:r>
    </w:p>
    <w:p>
      <w:pPr>
        <w:widowControl/>
        <w:spacing w:line="525" w:lineRule="atLeast"/>
        <w:ind w:firstLine="48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（1）发明专利1项；</w:t>
      </w:r>
    </w:p>
    <w:p>
      <w:pPr>
        <w:widowControl/>
        <w:spacing w:line="525" w:lineRule="atLeast"/>
        <w:ind w:firstLine="48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（2）实用新型专利2项；</w:t>
      </w:r>
    </w:p>
    <w:p>
      <w:pPr>
        <w:widowControl/>
        <w:spacing w:line="525" w:lineRule="atLeast"/>
        <w:ind w:firstLine="48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（3）外观设计专利2项；</w:t>
      </w:r>
    </w:p>
    <w:p>
      <w:pPr>
        <w:widowControl/>
        <w:spacing w:line="525" w:lineRule="atLeast"/>
        <w:ind w:firstLine="48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（4）计算机软件著作权2项。</w:t>
      </w:r>
    </w:p>
    <w:p>
      <w:pPr>
        <w:widowControl/>
        <w:spacing w:line="525" w:lineRule="atLeast"/>
        <w:ind w:firstLine="48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非第一发明人获得的授权（登记）知识产权成果数量加一倍。</w:t>
      </w:r>
    </w:p>
    <w:p>
      <w:pPr>
        <w:widowControl/>
        <w:spacing w:line="525" w:lineRule="atLeast"/>
        <w:ind w:firstLine="48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6、作为第一作者或通讯作者发表在本领域的研究成果3项（3篇公开发表的本专业论文或30万字（含）以上的论著一个或30万字以下的论著二个，论著为编委即可），经同行业专家评议具有较高的学术价值。</w:t>
      </w:r>
    </w:p>
    <w:p>
      <w:pPr>
        <w:widowControl/>
        <w:spacing w:line="525" w:lineRule="atLeast"/>
        <w:ind w:firstLine="48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7、在省部级专业技术学会担任常委或在市级专业技术学会担任主任委员、副主任委员。</w:t>
      </w:r>
    </w:p>
    <w:p>
      <w:pPr>
        <w:widowControl/>
        <w:spacing w:line="525" w:lineRule="atLeast"/>
        <w:ind w:firstLine="48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8、在应对突发事件（自然灾害、事故灾害、公共卫生事件和社会安全事件）中做出突出贡献并获得省级以上表彰奖励。</w:t>
      </w:r>
    </w:p>
    <w:p>
      <w:pPr>
        <w:widowControl/>
        <w:spacing w:line="525" w:lineRule="atLeast"/>
        <w:ind w:firstLine="48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9、市优秀专家、市学术（技术）带头人或同档次荣誉获得者。</w:t>
      </w:r>
    </w:p>
    <w:p>
      <w:pPr>
        <w:widowControl/>
        <w:spacing w:line="525" w:lineRule="atLeast"/>
        <w:ind w:firstLine="48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10、获得市级及以上行业竞赛和行业技术荣誉。</w:t>
      </w:r>
    </w:p>
    <w:p>
      <w:pPr>
        <w:widowControl/>
        <w:spacing w:line="525" w:lineRule="atLeast"/>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lang w:eastAsia="zh-CN"/>
        </w:rPr>
        <w:t>附则</w:t>
      </w:r>
      <w:r>
        <w:rPr>
          <w:rFonts w:hint="eastAsia" w:ascii="仿宋" w:hAnsi="仿宋" w:eastAsia="仿宋" w:cs="宋体"/>
          <w:b/>
          <w:bCs/>
          <w:color w:val="auto"/>
          <w:kern w:val="0"/>
          <w:sz w:val="32"/>
          <w:szCs w:val="32"/>
        </w:rPr>
        <w:t>：</w:t>
      </w:r>
    </w:p>
    <w:p>
      <w:pPr>
        <w:widowControl/>
        <w:spacing w:line="525" w:lineRule="atLeast"/>
        <w:ind w:firstLine="48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1、所有成果必须为获得正高级专业技术资格后取得的。所有成果必须是评审专业或相近专业的。同一成果只能算一次（如获奖课题只能算一次获奖或算一个课题，不能既算一个获奖又算一个课题）。</w:t>
      </w:r>
    </w:p>
    <w:p>
      <w:pPr>
        <w:widowControl/>
        <w:spacing w:line="525" w:lineRule="atLeast"/>
        <w:ind w:firstLine="48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2、国家科学技术奖励工作办公室认可的相当于省部级奖励的社会科技奖励项目为行业内历史悠久、知名度高的奖项，如医疗卫生专业的中国金属学会冶金医学奖。</w:t>
      </w:r>
    </w:p>
    <w:p>
      <w:pPr>
        <w:widowControl/>
        <w:spacing w:line="525" w:lineRule="atLeast"/>
        <w:ind w:firstLine="48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3、课题的级别根据立项文件（例如国家级：是指国家科技重大专项、国家重点研发计划、国家自然科学基金、国家社会科学基金、国家软科学基金等立项项目）或国家、省、市级组织鉴定验收的鉴定（验收）证书或成果证书确定。课题须有鉴定（验收）证书或成果证书。研究成果达到的水平依据鉴定（验收）证书确定。无鉴定（验收）证书有科技成果证书的研究成果的研究水平由同行专家确认。</w:t>
      </w:r>
    </w:p>
    <w:p>
      <w:pPr>
        <w:widowControl/>
        <w:spacing w:line="525" w:lineRule="atLeast"/>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4、知识产权成果须有专利证书。</w:t>
      </w:r>
    </w:p>
    <w:p>
      <w:pPr>
        <w:pStyle w:val="4"/>
        <w:widowControl/>
        <w:spacing w:beforeAutospacing="0" w:afterAutospacing="0" w:line="525" w:lineRule="atLeast"/>
        <w:ind w:firstLine="640" w:firstLineChars="200"/>
        <w:rPr>
          <w:rFonts w:ascii="仿宋" w:hAnsi="仿宋" w:eastAsia="仿宋" w:cs="宋体"/>
          <w:color w:val="auto"/>
          <w:kern w:val="0"/>
          <w:sz w:val="32"/>
          <w:szCs w:val="32"/>
          <w:u w:val="none"/>
        </w:rPr>
      </w:pPr>
      <w:r>
        <w:rPr>
          <w:rFonts w:hint="eastAsia" w:ascii="仿宋" w:hAnsi="仿宋" w:eastAsia="仿宋" w:cs="宋体"/>
          <w:color w:val="auto"/>
          <w:kern w:val="0"/>
          <w:sz w:val="32"/>
          <w:szCs w:val="32"/>
        </w:rPr>
        <w:t>5、公开发表的论文须同时有ISBN、CN号，论著须有出版号。</w:t>
      </w:r>
      <w:r>
        <w:rPr>
          <w:rFonts w:hint="eastAsia" w:ascii="仿宋" w:hAnsi="仿宋" w:eastAsia="仿宋" w:cs="宋体"/>
          <w:b w:val="0"/>
          <w:bCs w:val="0"/>
          <w:color w:val="auto"/>
          <w:sz w:val="32"/>
          <w:szCs w:val="32"/>
          <w:u w:val="none"/>
          <w:shd w:val="clear" w:color="auto" w:fill="auto"/>
        </w:rPr>
        <w:t>实</w:t>
      </w:r>
      <w:r>
        <w:rPr>
          <w:rFonts w:hint="eastAsia" w:ascii="仿宋" w:hAnsi="仿宋" w:eastAsia="仿宋" w:cs="宋体"/>
          <w:b w:val="0"/>
          <w:bCs w:val="0"/>
          <w:color w:val="auto"/>
          <w:sz w:val="32"/>
          <w:szCs w:val="32"/>
          <w:u w:val="none"/>
          <w:shd w:val="clear" w:color="auto" w:fill="auto"/>
        </w:rPr>
        <w:t>行研究成果及论文、期刊、著作检索查询制度。</w:t>
      </w:r>
      <w:r>
        <w:rPr>
          <w:rFonts w:hint="eastAsia" w:ascii="仿宋" w:hAnsi="仿宋" w:eastAsia="仿宋" w:cs="宋体"/>
          <w:color w:val="auto"/>
          <w:sz w:val="32"/>
          <w:szCs w:val="32"/>
          <w:u w:val="none"/>
          <w:shd w:val="clear" w:color="auto" w:fill="auto"/>
        </w:rPr>
        <w:t>申报人员</w:t>
      </w:r>
      <w:bookmarkStart w:id="0" w:name="_GoBack"/>
      <w:bookmarkEnd w:id="0"/>
      <w:r>
        <w:rPr>
          <w:rFonts w:hint="eastAsia" w:ascii="仿宋" w:hAnsi="仿宋" w:eastAsia="仿宋" w:cs="宋体"/>
          <w:color w:val="auto"/>
          <w:sz w:val="32"/>
          <w:szCs w:val="32"/>
          <w:u w:val="none"/>
          <w:shd w:val="clear" w:color="auto" w:fill="auto"/>
        </w:rPr>
        <w:t>所提供的论文、著作和科研成果等均要通过国家新闻出版总署网站进行论文期刊信息查询，并打印查询页；</w:t>
      </w:r>
      <w:r>
        <w:rPr>
          <w:rFonts w:hint="eastAsia" w:ascii="仿宋" w:hAnsi="仿宋" w:eastAsia="仿宋" w:cs="宋体"/>
          <w:color w:val="auto"/>
          <w:sz w:val="32"/>
          <w:szCs w:val="32"/>
          <w:u w:val="none"/>
          <w:shd w:val="clear" w:color="auto" w:fill="auto"/>
          <w:lang w:eastAsia="zh-CN"/>
        </w:rPr>
        <w:t>同时主要</w:t>
      </w:r>
      <w:r>
        <w:rPr>
          <w:rFonts w:hint="eastAsia" w:ascii="仿宋" w:hAnsi="仿宋" w:eastAsia="仿宋" w:cs="宋体"/>
          <w:color w:val="auto"/>
          <w:sz w:val="32"/>
          <w:szCs w:val="32"/>
          <w:u w:val="none"/>
          <w:shd w:val="clear" w:color="auto" w:fill="auto"/>
        </w:rPr>
        <w:t>通过“万方数据资源系统”“清华同方中国知网”“重庆维普中文科技期刊数据库”</w:t>
      </w:r>
      <w:r>
        <w:rPr>
          <w:rFonts w:hint="eastAsia" w:ascii="仿宋" w:hAnsi="仿宋" w:eastAsia="仿宋" w:cs="宋体"/>
          <w:color w:val="auto"/>
          <w:sz w:val="32"/>
          <w:szCs w:val="32"/>
          <w:u w:val="none"/>
          <w:shd w:val="clear" w:color="auto" w:fill="auto"/>
          <w:lang w:eastAsia="zh-CN"/>
        </w:rPr>
        <w:t>三大</w:t>
      </w:r>
      <w:r>
        <w:rPr>
          <w:rFonts w:hint="eastAsia" w:ascii="仿宋" w:hAnsi="仿宋" w:eastAsia="仿宋" w:cs="宋体"/>
          <w:color w:val="auto"/>
          <w:sz w:val="32"/>
          <w:szCs w:val="32"/>
          <w:u w:val="none"/>
          <w:shd w:val="clear" w:color="auto" w:fill="auto"/>
        </w:rPr>
        <w:t>主流数据库进行研究成果及论文、著作的信息检索</w:t>
      </w:r>
      <w:r>
        <w:rPr>
          <w:rFonts w:hint="eastAsia" w:ascii="仿宋" w:hAnsi="仿宋" w:eastAsia="仿宋" w:cs="宋体"/>
          <w:color w:val="auto"/>
          <w:sz w:val="32"/>
          <w:szCs w:val="32"/>
          <w:u w:val="none"/>
          <w:shd w:val="clear" w:color="auto" w:fill="auto"/>
          <w:lang w:eastAsia="zh-CN"/>
        </w:rPr>
        <w:t>，</w:t>
      </w:r>
      <w:r>
        <w:rPr>
          <w:rFonts w:hint="eastAsia" w:ascii="仿宋" w:hAnsi="仿宋" w:eastAsia="仿宋" w:cs="宋体"/>
          <w:color w:val="auto"/>
          <w:sz w:val="32"/>
          <w:szCs w:val="32"/>
          <w:u w:val="none"/>
          <w:shd w:val="clear" w:color="auto" w:fill="auto"/>
        </w:rPr>
        <w:t>并打印查询页。查询结果须加盖单位</w:t>
      </w:r>
      <w:r>
        <w:rPr>
          <w:rFonts w:hint="eastAsia" w:ascii="仿宋" w:hAnsi="仿宋" w:eastAsia="仿宋" w:cs="宋体"/>
          <w:color w:val="auto"/>
          <w:sz w:val="32"/>
          <w:szCs w:val="32"/>
          <w:u w:val="none"/>
          <w:shd w:val="clear" w:color="auto" w:fill="auto"/>
          <w:lang w:eastAsia="zh-CN"/>
        </w:rPr>
        <w:t>公</w:t>
      </w:r>
      <w:r>
        <w:rPr>
          <w:rFonts w:hint="eastAsia" w:ascii="仿宋" w:hAnsi="仿宋" w:eastAsia="仿宋" w:cs="宋体"/>
          <w:color w:val="auto"/>
          <w:sz w:val="32"/>
          <w:szCs w:val="32"/>
          <w:u w:val="none"/>
          <w:shd w:val="clear" w:color="auto" w:fill="auto"/>
        </w:rPr>
        <w:t>章</w:t>
      </w:r>
      <w:r>
        <w:rPr>
          <w:rFonts w:hint="eastAsia" w:ascii="仿宋" w:hAnsi="仿宋" w:eastAsia="仿宋" w:cs="宋体"/>
          <w:color w:val="auto"/>
          <w:sz w:val="32"/>
          <w:szCs w:val="32"/>
          <w:u w:val="none"/>
          <w:shd w:val="clear" w:color="auto" w:fill="auto"/>
        </w:rPr>
        <w:t>。</w:t>
      </w:r>
    </w:p>
    <w:p>
      <w:pPr>
        <w:widowControl/>
        <w:spacing w:line="525" w:lineRule="atLeast"/>
        <w:ind w:firstLine="48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6、专业技术学会为行政主管部门直接主管的专业技术学会，如医疗卫生专业的专业技术学会为中华医学会相关分会。中华医学会相关分会的国家委员一般每个省只分配给1名。</w:t>
      </w:r>
    </w:p>
    <w:p>
      <w:pPr>
        <w:widowControl/>
        <w:spacing w:line="525" w:lineRule="atLeast"/>
        <w:ind w:firstLine="48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7、同行专家为专业技术三级及以上的专家，需同行专家评议的项目应为两名及两名以上专家评议。</w:t>
      </w:r>
    </w:p>
    <w:p>
      <w:pPr>
        <w:widowControl/>
        <w:spacing w:line="525" w:lineRule="atLeast"/>
        <w:ind w:firstLine="48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8、市优秀专家、市学术（技术）带头人或同档次荣誉获得者需有证书或证明材料。</w:t>
      </w:r>
    </w:p>
    <w:p>
      <w:pPr>
        <w:widowControl/>
        <w:spacing w:line="525" w:lineRule="atLeast"/>
        <w:ind w:firstLine="480"/>
        <w:jc w:val="left"/>
        <w:rPr>
          <w:rFonts w:ascii="仿宋" w:hAnsi="仿宋" w:eastAsia="仿宋"/>
          <w:color w:val="auto"/>
          <w:sz w:val="32"/>
          <w:szCs w:val="32"/>
        </w:rPr>
      </w:pPr>
      <w:r>
        <w:rPr>
          <w:rFonts w:hint="eastAsia" w:ascii="仿宋" w:hAnsi="仿宋" w:eastAsia="仿宋" w:cs="宋体"/>
          <w:color w:val="auto"/>
          <w:kern w:val="0"/>
          <w:sz w:val="32"/>
          <w:szCs w:val="32"/>
        </w:rPr>
        <w:t>9、行业竞赛和行业技术荣誉为政府主办或政府委托主办的。</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Droid Sans Fallbac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Fallback">
    <w:panose1 w:val="020B0502000000000001"/>
    <w:charset w:val="86"/>
    <w:family w:val="auto"/>
    <w:pitch w:val="default"/>
    <w:sig w:usb0="910002FF" w:usb1="2BDFFCFB" w:usb2="00000036" w:usb3="00000000" w:csb0="203F01FF" w:csb1="D7FF0000"/>
  </w:font>
  <w:font w:name="微软雅黑">
    <w:panose1 w:val="020B0503020204020204"/>
    <w:charset w:val="86"/>
    <w:family w:val="auto"/>
    <w:pitch w:val="default"/>
    <w:sig w:usb0="80000287" w:usb1="2A0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7EE2C22"/>
    <w:rsid w:val="7CFD5156"/>
    <w:rsid w:val="7EFE1BA0"/>
    <w:rsid w:val="DFEBE2F4"/>
    <w:rsid w:val="F17BF69C"/>
    <w:rsid w:val="FF65C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2018-07-12T15:11:00Z</dcterms:created>
  <dc:creator>d</dc:creator>
  <cp:lastModifiedBy>as01</cp:lastModifiedBy>
  <cp:lastPrinted>2026-03-02T10:54:01Z</cp:lastPrinted>
  <dcterms:modified xsi:type="dcterms:W3CDTF">2026-03-02T10:57:50Z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2052-11.1.0.10920</vt:lpwstr>
  </property>
</Properties>
</file>