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26295">
      <w:pPr>
        <w:jc w:val="center"/>
        <w:outlineLvl w:val="9"/>
        <w:rPr>
          <w:rFonts w:hint="eastAsia" w:ascii="黑体" w:hAnsi="黑体" w:eastAsia="黑体" w:cs="黑体"/>
          <w:b/>
          <w:bCs/>
          <w:sz w:val="32"/>
          <w:szCs w:val="32"/>
          <w:lang w:eastAsia="zh-CN"/>
        </w:rPr>
      </w:pPr>
      <w:bookmarkStart w:id="0" w:name="_Toc27602"/>
      <w:r>
        <w:rPr>
          <w:rFonts w:hint="eastAsia" w:ascii="黑体" w:hAnsi="黑体" w:eastAsia="黑体" w:cs="黑体"/>
          <w:b/>
          <w:bCs/>
          <w:sz w:val="32"/>
          <w:szCs w:val="32"/>
          <w:lang w:eastAsia="zh-CN"/>
        </w:rPr>
        <w:t>鞍山市千山风景名胜区智慧停车项目（暂定名）采用资源</w:t>
      </w:r>
    </w:p>
    <w:p w14:paraId="1603D8B1">
      <w:pPr>
        <w:jc w:val="center"/>
        <w:outlineLvl w:val="9"/>
        <w:rPr>
          <w:rFonts w:hint="eastAsia" w:ascii="仿宋" w:hAnsi="仿宋" w:eastAsia="仿宋" w:cs="仿宋"/>
          <w:sz w:val="32"/>
          <w:szCs w:val="32"/>
          <w:highlight w:val="none"/>
          <w:lang w:val="en-US" w:eastAsia="zh-CN"/>
        </w:rPr>
      </w:pPr>
      <w:r>
        <w:rPr>
          <w:rFonts w:hint="eastAsia" w:ascii="黑体" w:hAnsi="黑体" w:eastAsia="黑体" w:cs="黑体"/>
          <w:b/>
          <w:bCs/>
          <w:sz w:val="32"/>
          <w:szCs w:val="32"/>
          <w:lang w:eastAsia="zh-CN"/>
        </w:rPr>
        <w:t>有偿使用模式实施的</w:t>
      </w:r>
      <w:r>
        <w:rPr>
          <w:rFonts w:hint="eastAsia" w:ascii="黑体" w:hAnsi="黑体" w:eastAsia="黑体" w:cs="黑体"/>
          <w:b/>
          <w:bCs/>
          <w:color w:val="auto"/>
          <w:sz w:val="32"/>
          <w:szCs w:val="32"/>
          <w:highlight w:val="none"/>
          <w:lang w:val="en-US" w:eastAsia="zh-CN"/>
        </w:rPr>
        <w:t>合法性、合理性和可行性论证</w:t>
      </w:r>
      <w:bookmarkEnd w:id="0"/>
    </w:p>
    <w:p w14:paraId="7648F1A8">
      <w:pPr>
        <w:ind w:firstLine="600" w:firstLineChars="200"/>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pPr>
      <w:bookmarkStart w:id="1" w:name="_Toc16208"/>
      <w:bookmarkStart w:id="2" w:name="_Toc26304"/>
      <w:bookmarkStart w:id="3" w:name="_Toc11905"/>
    </w:p>
    <w:p w14:paraId="2C646277">
      <w:pPr>
        <w:ind w:firstLine="600" w:firstLineChars="200"/>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pP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2024年3月5日,国务院总理李强在政府工作报告中指出，加强总量和结构双重调节，盘活存量、提升效能，加大对重大战略、重点领域和薄弱环节的支持力度。目前千山风景名胜区范围内停车资源较为散乱，利用率不高、维护不到位，供需矛盾突出，市民停车难问题长期存在。为切实</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缓解</w:t>
      </w: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停车难问题，</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充分挖掘存量停车潜力，</w:t>
      </w: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提高公共资源管理及使用效率，实现停车有序的可持续发展新格局，</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拟比照鞍山市智慧停车项目，实施鞍山市千山风景名胜区智慧停车项目（暂定名），</w:t>
      </w: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对具备经营条件的</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政府投资公共停车场经营权</w:t>
      </w: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，以市政公共资源有偿使用方式转让给</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受让人。受让人通过有偿方式获得公共停车场的经营权后，</w:t>
      </w: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可自筹资金对停车场进行服务升级及后续运营管理，进行多元化经营，实现收支平衡并获得合理回报，自主经营、自负盈亏。</w:t>
      </w:r>
    </w:p>
    <w:p w14:paraId="4936B919">
      <w:pPr>
        <w:numPr>
          <w:ilvl w:val="0"/>
          <w:numId w:val="0"/>
        </w:numPr>
        <w:ind w:firstLine="602" w:firstLineChars="200"/>
        <w:outlineLvl w:val="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一、项目实施内容</w:t>
      </w:r>
      <w:bookmarkEnd w:id="1"/>
      <w:bookmarkEnd w:id="2"/>
      <w:bookmarkEnd w:id="3"/>
      <w:bookmarkStart w:id="22" w:name="_GoBack"/>
      <w:bookmarkEnd w:id="22"/>
    </w:p>
    <w:p w14:paraId="7C68DCB9">
      <w:pPr>
        <w:ind w:firstLine="600" w:firstLineChars="200"/>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本项目的实施内容为千山风景名胜区范围内11处政府投资公共停车场经营权转让，共涉及5034个泊位，其中停车运营泊位4446个，充电泊位588个。评估值约为2.2亿元（暂定，最终以核准备案的评估报告为准）。</w:t>
      </w:r>
    </w:p>
    <w:p w14:paraId="7EC2279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项目期限</w:t>
      </w: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暂定为</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25</w:t>
      </w: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年</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。受让人取得公共停车场经营权后，根据《企业投资项目核准和备案管理条例》、《</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fldChar w:fldCharType="begin"/>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instrText xml:space="preserve"> HYPERLINK "https://www.pkulaw.com/chl/9be8c6cbe174ec63bdfb.html?keyword=%E4%BC%81%E4%B8%9A%E6%8A%95%E8%B5%84%E9%A1%B9%E7%9B%AE%E6%A0%B8%E5%87%86%E5%92%8C%E5%A4%87%E6%A1%88%E7%AE%A1%E7%90%86&amp;way=listView" \t "https://www.pkulaw.com/_blank" </w:instrTex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fldChar w:fldCharType="separate"/>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企业投资项目核准和备案管理办法(2023修订)</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fldChar w:fldCharType="end"/>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》等相关文件规定的企业投资程序，履行核准备案手续，进行运营、</w:t>
      </w: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维护</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、投资、</w:t>
      </w:r>
      <w:r>
        <w:rPr>
          <w:rFonts w:hint="default" w:ascii="仿宋" w:hAnsi="仿宋" w:eastAsia="仿宋" w:cs="仿宋"/>
          <w:color w:val="000000" w:themeColor="text1"/>
          <w:kern w:val="2"/>
          <w:sz w:val="30"/>
          <w:szCs w:val="30"/>
          <w:highlight w:val="none"/>
          <w:lang w:val="en-US" w:eastAsia="zh-CN" w:bidi="zh-CN"/>
          <w14:textFill>
            <w14:solidFill>
              <w14:schemeClr w14:val="tx1"/>
            </w14:solidFill>
          </w14:textFill>
        </w:rPr>
        <w:t>改造升级</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等，可通过提升停车服务、安装充电桩、设置广告位等方式取得经营收入，自主经营、自负盈亏。</w:t>
      </w:r>
    </w:p>
    <w:p w14:paraId="31616583">
      <w:pPr>
        <w:numPr>
          <w:ilvl w:val="0"/>
          <w:numId w:val="0"/>
        </w:numPr>
        <w:ind w:firstLine="602" w:firstLineChars="200"/>
        <w:outlineLvl w:val="0"/>
        <w:rPr>
          <w:rFonts w:hint="eastAsia" w:ascii="仿宋" w:hAnsi="仿宋" w:eastAsia="仿宋" w:cs="仿宋"/>
          <w:b/>
          <w:bCs/>
          <w:color w:val="auto"/>
          <w:sz w:val="30"/>
          <w:szCs w:val="30"/>
          <w:highlight w:val="none"/>
          <w:lang w:val="en-US" w:eastAsia="zh-CN"/>
        </w:rPr>
      </w:pPr>
      <w:bookmarkStart w:id="4" w:name="_Toc22571"/>
      <w:bookmarkStart w:id="5" w:name="_Toc11276"/>
      <w:bookmarkStart w:id="6" w:name="_Toc29728"/>
      <w:r>
        <w:rPr>
          <w:rFonts w:hint="eastAsia" w:ascii="仿宋" w:hAnsi="仿宋" w:eastAsia="仿宋" w:cs="仿宋"/>
          <w:b/>
          <w:bCs/>
          <w:color w:val="auto"/>
          <w:sz w:val="30"/>
          <w:szCs w:val="30"/>
          <w:highlight w:val="none"/>
          <w:lang w:val="en-US" w:eastAsia="zh-CN"/>
        </w:rPr>
        <w:t>二、项目实施</w:t>
      </w:r>
      <w:bookmarkEnd w:id="4"/>
      <w:bookmarkEnd w:id="5"/>
      <w:bookmarkEnd w:id="6"/>
    </w:p>
    <w:p w14:paraId="3DBC7C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根据《国务院办公厅转发国家发展改革委等部门关于推动城市停车设施发展意见的通知》（国办函〔2021〕46号），遵循“政府引导、市场运作”的基本原则，切实规范和加强公共停车场有偿使用管理，建立健全公共资源出让收益合理共享机制，促进公共资源有效利用，本项目拟比照鞍山市智慧停车项目，依据《财政部　发展改革委　住房城乡建设部关于印发&lt;市政公共资源有偿使用收入管理办法&gt;的通知》（财税〔2016〕116号），采用市政公共资源有偿使用模式实施。</w:t>
      </w:r>
    </w:p>
    <w:p w14:paraId="2E23370C">
      <w:pPr>
        <w:numPr>
          <w:ilvl w:val="0"/>
          <w:numId w:val="0"/>
        </w:numPr>
        <w:ind w:firstLine="602" w:firstLineChars="200"/>
        <w:outlineLvl w:val="0"/>
        <w:rPr>
          <w:rFonts w:hint="eastAsia" w:ascii="仿宋" w:hAnsi="仿宋" w:eastAsia="仿宋" w:cs="仿宋"/>
          <w:b/>
          <w:bCs/>
          <w:color w:val="auto"/>
          <w:sz w:val="30"/>
          <w:szCs w:val="30"/>
          <w:highlight w:val="none"/>
          <w:lang w:val="en-US" w:eastAsia="zh-CN"/>
        </w:rPr>
      </w:pPr>
      <w:bookmarkStart w:id="7" w:name="_Toc4799"/>
      <w:bookmarkStart w:id="8" w:name="_Toc1218"/>
      <w:bookmarkStart w:id="9" w:name="_Toc16253"/>
      <w:r>
        <w:rPr>
          <w:rFonts w:hint="eastAsia" w:ascii="仿宋" w:hAnsi="仿宋" w:eastAsia="仿宋" w:cs="仿宋"/>
          <w:b/>
          <w:bCs/>
          <w:color w:val="auto"/>
          <w:sz w:val="30"/>
          <w:szCs w:val="30"/>
          <w:highlight w:val="none"/>
          <w:lang w:val="en-US" w:eastAsia="zh-CN"/>
        </w:rPr>
        <w:t>三、资金筹措及使用</w:t>
      </w:r>
      <w:bookmarkEnd w:id="7"/>
      <w:bookmarkEnd w:id="8"/>
      <w:bookmarkEnd w:id="9"/>
    </w:p>
    <w:p w14:paraId="00577E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outlineLvl w:val="1"/>
        <w:rPr>
          <w:rFonts w:hint="eastAsia" w:ascii="仿宋" w:hAnsi="仿宋" w:eastAsia="仿宋" w:cs="仿宋"/>
          <w:sz w:val="30"/>
          <w:szCs w:val="30"/>
          <w:highlight w:val="none"/>
        </w:rPr>
      </w:pPr>
      <w:r>
        <w:rPr>
          <w:rFonts w:hint="eastAsia" w:ascii="楷体" w:hAnsi="楷体" w:eastAsia="楷体" w:cs="楷体"/>
          <w:b w:val="0"/>
          <w:bCs w:val="0"/>
          <w:color w:val="000000" w:themeColor="text1"/>
          <w:sz w:val="30"/>
          <w:szCs w:val="30"/>
          <w:highlight w:val="none"/>
          <w:lang w:val="en-US" w:eastAsia="zh-CN"/>
          <w14:textFill>
            <w14:solidFill>
              <w14:schemeClr w14:val="tx1"/>
            </w14:solidFill>
          </w14:textFill>
        </w:rPr>
        <w:t>1.资金筹措。</w:t>
      </w:r>
      <w:r>
        <w:rPr>
          <w:rFonts w:hint="eastAsia" w:ascii="仿宋" w:hAnsi="仿宋" w:eastAsia="仿宋" w:cs="仿宋"/>
          <w:color w:val="000000" w:themeColor="text1"/>
          <w:sz w:val="30"/>
          <w:szCs w:val="30"/>
          <w:highlight w:val="none"/>
          <w:lang w:val="en-US" w:eastAsia="zh-CN"/>
          <w14:textFill>
            <w14:solidFill>
              <w14:schemeClr w14:val="tx1"/>
            </w14:solidFill>
          </w14:textFill>
        </w:rPr>
        <w:t>本项目投资规模暂估约为2.2亿元（暂定，最终以核准备案的评估报告为准），由受让人自行筹集。</w:t>
      </w:r>
    </w:p>
    <w:p w14:paraId="4C055D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outlineLvl w:val="1"/>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楷体" w:hAnsi="楷体" w:eastAsia="楷体" w:cs="楷体"/>
          <w:b w:val="0"/>
          <w:bCs w:val="0"/>
          <w:color w:val="000000" w:themeColor="text1"/>
          <w:sz w:val="30"/>
          <w:szCs w:val="30"/>
          <w:highlight w:val="none"/>
          <w:lang w:val="en-US" w:eastAsia="zh-CN"/>
          <w14:textFill>
            <w14:solidFill>
              <w14:schemeClr w14:val="tx1"/>
            </w14:solidFill>
          </w14:textFill>
        </w:rPr>
        <w:t>2.资金使用。</w:t>
      </w:r>
      <w:r>
        <w:rPr>
          <w:rFonts w:hint="eastAsia" w:ascii="仿宋" w:hAnsi="仿宋" w:eastAsia="仿宋" w:cs="仿宋"/>
          <w:color w:val="000000" w:themeColor="text1"/>
          <w:sz w:val="30"/>
          <w:szCs w:val="30"/>
          <w:highlight w:val="none"/>
          <w:lang w:val="en-US" w:eastAsia="zh-CN"/>
          <w14:textFill>
            <w14:solidFill>
              <w14:schemeClr w14:val="tx1"/>
            </w14:solidFill>
          </w14:textFill>
        </w:rPr>
        <w:t>本项目所涉及的政府投资公共停车场及相关固定资产划转至鞍山市千山风景名胜区旅游发展服务中心（以下简称“区旅游发展服务中心”），区旅游发展服务中心再将经营权通过委托拍卖公司以拍卖方式转让至受让人，根据《财政部 发展改革委 住房城乡建设部关于印发&lt;市政公共资源有偿使用收入管理办法&gt;的通知》（财税〔2016〕116号）第二十二条，市政公共资源有偿使用收入实行国库集中收缴制度，具体缴库办法按照政府非税收入收缴管理有关规定执行。缴库时填列政府收支分类科目103类07款99项“其他国有资源（资产）有偿使用收入”。</w:t>
      </w:r>
    </w:p>
    <w:p w14:paraId="0C0B2A19">
      <w:pPr>
        <w:numPr>
          <w:ilvl w:val="0"/>
          <w:numId w:val="0"/>
        </w:numPr>
        <w:ind w:firstLine="643" w:firstLineChars="200"/>
        <w:outlineLvl w:val="0"/>
        <w:rPr>
          <w:rFonts w:hint="eastAsia" w:ascii="仿宋" w:hAnsi="仿宋" w:eastAsia="仿宋" w:cs="仿宋"/>
          <w:b/>
          <w:bCs/>
          <w:color w:val="auto"/>
          <w:sz w:val="32"/>
          <w:szCs w:val="32"/>
          <w:highlight w:val="none"/>
          <w:lang w:val="en-US" w:eastAsia="zh-CN"/>
        </w:rPr>
      </w:pPr>
      <w:bookmarkStart w:id="10" w:name="_Toc4825"/>
      <w:bookmarkStart w:id="11" w:name="_Toc17914"/>
      <w:bookmarkStart w:id="12" w:name="_Toc9318"/>
      <w:r>
        <w:rPr>
          <w:rFonts w:hint="eastAsia" w:ascii="仿宋" w:hAnsi="仿宋" w:eastAsia="仿宋" w:cs="仿宋"/>
          <w:b/>
          <w:bCs/>
          <w:color w:val="auto"/>
          <w:sz w:val="32"/>
          <w:szCs w:val="32"/>
          <w:highlight w:val="none"/>
          <w:lang w:val="en-US" w:eastAsia="zh-CN"/>
        </w:rPr>
        <w:t>四、项目采用资源有偿使用模式实施的合法性、合理性和可行性论证</w:t>
      </w:r>
      <w:bookmarkEnd w:id="10"/>
      <w:bookmarkEnd w:id="11"/>
      <w:bookmarkEnd w:id="12"/>
    </w:p>
    <w:p w14:paraId="0A30DE83">
      <w:pPr>
        <w:numPr>
          <w:ilvl w:val="0"/>
          <w:numId w:val="0"/>
        </w:numPr>
        <w:ind w:firstLine="602" w:firstLineChars="200"/>
        <w:outlineLvl w:val="1"/>
        <w:rPr>
          <w:rFonts w:hint="eastAsia" w:ascii="仿宋" w:hAnsi="仿宋" w:eastAsia="仿宋" w:cs="仿宋"/>
          <w:b/>
          <w:bCs/>
          <w:color w:val="auto"/>
          <w:sz w:val="30"/>
          <w:szCs w:val="30"/>
          <w:highlight w:val="none"/>
          <w:lang w:val="en-US" w:eastAsia="zh-CN"/>
        </w:rPr>
      </w:pPr>
      <w:bookmarkStart w:id="13" w:name="_Toc12455"/>
      <w:bookmarkStart w:id="14" w:name="_Toc22520"/>
      <w:bookmarkStart w:id="15" w:name="_Toc9514"/>
      <w:r>
        <w:rPr>
          <w:rFonts w:hint="eastAsia" w:ascii="仿宋" w:hAnsi="仿宋" w:eastAsia="仿宋" w:cs="仿宋"/>
          <w:b/>
          <w:bCs/>
          <w:color w:val="auto"/>
          <w:sz w:val="30"/>
          <w:szCs w:val="30"/>
          <w:highlight w:val="none"/>
          <w:lang w:val="en-US" w:eastAsia="zh-CN"/>
        </w:rPr>
        <w:t>1.项目实施的合法性</w:t>
      </w:r>
      <w:bookmarkEnd w:id="13"/>
      <w:bookmarkEnd w:id="14"/>
      <w:bookmarkEnd w:id="15"/>
    </w:p>
    <w:p w14:paraId="546787E5">
      <w:pPr>
        <w:keepNext w:val="0"/>
        <w:keepLines w:val="0"/>
        <w:widowControl/>
        <w:suppressLineNumbers w:val="0"/>
        <w:ind w:firstLine="600" w:firstLineChars="200"/>
        <w:jc w:val="left"/>
        <w:outlineLvl w:val="9"/>
        <w:rPr>
          <w:sz w:val="30"/>
          <w:szCs w:val="30"/>
        </w:rPr>
      </w:pPr>
      <w:r>
        <w:rPr>
          <w:rFonts w:ascii="仿宋" w:hAnsi="仿宋" w:eastAsia="仿宋" w:cs="仿宋"/>
          <w:color w:val="000000"/>
          <w:kern w:val="0"/>
          <w:sz w:val="30"/>
          <w:szCs w:val="30"/>
          <w:lang w:val="en-US" w:eastAsia="zh-CN" w:bidi="ar"/>
        </w:rPr>
        <w:t>在财政部、国家发展改革委、住房和城乡建设部局联</w:t>
      </w:r>
      <w:r>
        <w:rPr>
          <w:rFonts w:hint="eastAsia" w:ascii="仿宋" w:hAnsi="仿宋" w:eastAsia="仿宋" w:cs="仿宋"/>
          <w:color w:val="000000"/>
          <w:kern w:val="0"/>
          <w:sz w:val="30"/>
          <w:szCs w:val="30"/>
          <w:lang w:val="en-US" w:eastAsia="zh-CN" w:bidi="ar"/>
        </w:rPr>
        <w:t>合下发的《市政公共资源有偿使用收入管理办法》（财税〔2016〕116 号）第四条第二款规定：“资源相对稀缺、不能充分提供的，或者主要由部分社会公众使用的市政公共资源可以有偿使用”。第九条则明确“市政公共资源有偿使用收入，是指县级及县级以上地方人民政府出让或者以其他有偿方式（出租、出借等）转让市政公共资源的占有权、使用权、收益权、经营权及其相关权益，所取得的收入。包括但不限于以下收入：…（二）市政道路路内停车泊位及政府投资的公共停车场等有偿使用收入；…”。</w:t>
      </w:r>
    </w:p>
    <w:p w14:paraId="05C11D23">
      <w:pPr>
        <w:numPr>
          <w:ilvl w:val="0"/>
          <w:numId w:val="0"/>
        </w:numPr>
        <w:ind w:firstLine="600" w:firstLineChars="200"/>
        <w:outlineLvl w:val="9"/>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本项目范围内的停车场全部为国有土地</w:t>
      </w:r>
      <w:r>
        <w:rPr>
          <w:rFonts w:hint="eastAsia" w:ascii="仿宋" w:hAnsi="仿宋" w:eastAsia="仿宋" w:cs="仿宋"/>
          <w:color w:val="auto"/>
          <w:sz w:val="30"/>
          <w:szCs w:val="30"/>
          <w:highlight w:val="none"/>
          <w:lang w:val="en-US" w:eastAsia="zh-CN"/>
        </w:rPr>
        <w:t>，权属无争议，属于《市政公共资源有偿使用收入管理办法》（财税〔2016〕116号）中“政府投资的公共停车场”，属于市政公共资源，符合市政公共资源有偿使用收入范畴，适宜采用资源有偿使用模式实施，本项目具备合法性。</w:t>
      </w:r>
    </w:p>
    <w:p w14:paraId="5B623C03">
      <w:pPr>
        <w:numPr>
          <w:ilvl w:val="0"/>
          <w:numId w:val="0"/>
        </w:numPr>
        <w:ind w:firstLine="602" w:firstLineChars="200"/>
        <w:outlineLvl w:val="1"/>
        <w:rPr>
          <w:rFonts w:hint="eastAsia" w:ascii="仿宋" w:hAnsi="仿宋" w:eastAsia="仿宋" w:cs="仿宋"/>
          <w:b/>
          <w:bCs/>
          <w:color w:val="auto"/>
          <w:sz w:val="30"/>
          <w:szCs w:val="30"/>
          <w:highlight w:val="none"/>
          <w:lang w:val="en-US" w:eastAsia="zh-CN"/>
        </w:rPr>
      </w:pPr>
      <w:bookmarkStart w:id="16" w:name="_Toc3728"/>
      <w:bookmarkStart w:id="17" w:name="_Toc15777"/>
      <w:bookmarkStart w:id="18" w:name="_Toc26809"/>
      <w:r>
        <w:rPr>
          <w:rFonts w:hint="eastAsia" w:ascii="仿宋" w:hAnsi="仿宋" w:eastAsia="仿宋" w:cs="仿宋"/>
          <w:b/>
          <w:bCs/>
          <w:color w:val="auto"/>
          <w:sz w:val="30"/>
          <w:szCs w:val="30"/>
          <w:highlight w:val="none"/>
          <w:lang w:val="en-US" w:eastAsia="zh-CN"/>
        </w:rPr>
        <w:t>2.项目实施的合理性</w:t>
      </w:r>
      <w:bookmarkEnd w:id="16"/>
      <w:bookmarkEnd w:id="17"/>
      <w:bookmarkEnd w:id="18"/>
    </w:p>
    <w:p w14:paraId="2FE8068E">
      <w:pPr>
        <w:numPr>
          <w:ilvl w:val="0"/>
          <w:numId w:val="0"/>
        </w:numPr>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000000" w:themeColor="text1"/>
          <w:kern w:val="2"/>
          <w:sz w:val="30"/>
          <w:szCs w:val="30"/>
          <w:highlight w:val="none"/>
          <w:lang w:val="en-US" w:eastAsia="zh-CN" w:bidi="zh-CN"/>
          <w14:textFill>
            <w14:solidFill>
              <w14:schemeClr w14:val="tx1"/>
            </w14:solidFill>
          </w14:textFill>
        </w:rPr>
        <w:t>千山风景名胜区</w:t>
      </w:r>
      <w:r>
        <w:rPr>
          <w:rFonts w:hint="eastAsia" w:ascii="仿宋" w:hAnsi="仿宋" w:eastAsia="仿宋" w:cs="仿宋"/>
          <w:color w:val="auto"/>
          <w:sz w:val="30"/>
          <w:szCs w:val="30"/>
          <w:highlight w:val="none"/>
          <w:lang w:val="en-US" w:eastAsia="zh-CN"/>
        </w:rPr>
        <w:t>公共停车及充电设施建设远远滞后于需求的增长，而且现有公共停车场大部分为无偿使用或缺乏有效管理，导致停车泊位周转率低且充电设施配备不足，停车及充电的供需矛盾加剧。通过实施本项目将公共停车资源盘活并配备充电桩，可以激发市场活力，引入专业化企业经营管理，提高停车及充电资源的利用效率，实现资源的优化配置，从而缓解停车难、充电难问题。</w:t>
      </w:r>
    </w:p>
    <w:p w14:paraId="1C4B62D3">
      <w:pPr>
        <w:numPr>
          <w:ilvl w:val="0"/>
          <w:numId w:val="0"/>
        </w:numPr>
        <w:ind w:firstLine="600" w:firstLineChars="200"/>
        <w:outlineLvl w:val="9"/>
        <w:rPr>
          <w:sz w:val="30"/>
          <w:szCs w:val="30"/>
        </w:rPr>
      </w:pPr>
      <w:r>
        <w:rPr>
          <w:rFonts w:hint="eastAsia" w:ascii="仿宋" w:hAnsi="仿宋" w:eastAsia="仿宋" w:cs="仿宋"/>
          <w:color w:val="auto"/>
          <w:sz w:val="30"/>
          <w:szCs w:val="30"/>
          <w:highlight w:val="none"/>
          <w:lang w:val="en-US" w:eastAsia="zh-CN"/>
        </w:rPr>
        <w:t>（2）</w:t>
      </w:r>
      <w:r>
        <w:rPr>
          <w:rFonts w:ascii="仿宋" w:hAnsi="仿宋" w:eastAsia="仿宋" w:cs="仿宋"/>
          <w:color w:val="000000"/>
          <w:kern w:val="0"/>
          <w:sz w:val="30"/>
          <w:szCs w:val="30"/>
          <w:lang w:val="en-US" w:eastAsia="zh-CN" w:bidi="ar"/>
        </w:rPr>
        <w:t>通过整合公共停车资</w:t>
      </w:r>
      <w:r>
        <w:rPr>
          <w:rFonts w:hint="eastAsia" w:ascii="仿宋" w:hAnsi="仿宋" w:eastAsia="仿宋" w:cs="仿宋"/>
          <w:color w:val="000000"/>
          <w:kern w:val="0"/>
          <w:sz w:val="30"/>
          <w:szCs w:val="30"/>
          <w:lang w:val="en-US" w:eastAsia="zh-CN" w:bidi="ar"/>
        </w:rPr>
        <w:t>源统一进行有偿转让，还可以推动智慧停车系统的建设，提高城市停车管理的智能化水平，为城市可持续发展奠定坚实基础。</w:t>
      </w:r>
    </w:p>
    <w:p w14:paraId="09D55E05">
      <w:pPr>
        <w:keepNext w:val="0"/>
        <w:keepLines w:val="0"/>
        <w:widowControl/>
        <w:suppressLineNumbers w:val="0"/>
        <w:ind w:firstLine="600" w:firstLineChars="200"/>
        <w:jc w:val="left"/>
        <w:outlineLvl w:val="9"/>
        <w:rPr>
          <w:sz w:val="30"/>
          <w:szCs w:val="30"/>
        </w:rPr>
      </w:pPr>
      <w:r>
        <w:rPr>
          <w:rFonts w:hint="eastAsia" w:ascii="仿宋" w:hAnsi="仿宋" w:eastAsia="仿宋" w:cs="仿宋"/>
          <w:color w:val="000000"/>
          <w:kern w:val="0"/>
          <w:sz w:val="30"/>
          <w:szCs w:val="30"/>
          <w:lang w:val="en-US" w:eastAsia="zh-CN" w:bidi="ar"/>
        </w:rPr>
        <w:t>（3）</w:t>
      </w:r>
      <w:r>
        <w:rPr>
          <w:rFonts w:ascii="仿宋" w:hAnsi="仿宋" w:eastAsia="仿宋" w:cs="仿宋"/>
          <w:color w:val="000000"/>
          <w:kern w:val="0"/>
          <w:sz w:val="30"/>
          <w:szCs w:val="30"/>
          <w:lang w:val="en-US" w:eastAsia="zh-CN" w:bidi="ar"/>
        </w:rPr>
        <w:t>本项目通过积极推广市政公共资源有偿使用模式，加大存</w:t>
      </w:r>
      <w:r>
        <w:rPr>
          <w:rFonts w:hint="eastAsia" w:ascii="仿宋" w:hAnsi="仿宋" w:eastAsia="仿宋" w:cs="仿宋"/>
          <w:color w:val="000000"/>
          <w:kern w:val="0"/>
          <w:sz w:val="30"/>
          <w:szCs w:val="30"/>
          <w:lang w:val="en-US" w:eastAsia="zh-CN" w:bidi="ar"/>
        </w:rPr>
        <w:t xml:space="preserve">量基础设施盘活力度、形成良性投资循环，有利于拓宽基础设施建设资金来源，减轻政府债务负担；有利于推动政府职能转变，促进各种所有制经济共同发展；有利于加快补齐市政基础设施短板，推进供给侧结构性改革。 </w:t>
      </w:r>
    </w:p>
    <w:p w14:paraId="7B1C6BB3">
      <w:pPr>
        <w:keepNext w:val="0"/>
        <w:keepLines w:val="0"/>
        <w:widowControl/>
        <w:suppressLineNumbers w:val="0"/>
        <w:ind w:firstLine="600" w:firstLineChars="200"/>
        <w:jc w:val="left"/>
        <w:outlineLvl w:val="9"/>
        <w:rPr>
          <w:sz w:val="30"/>
          <w:szCs w:val="30"/>
        </w:rPr>
      </w:pPr>
      <w:r>
        <w:rPr>
          <w:rFonts w:hint="eastAsia" w:ascii="仿宋" w:hAnsi="仿宋" w:eastAsia="仿宋" w:cs="仿宋"/>
          <w:color w:val="000000"/>
          <w:kern w:val="0"/>
          <w:sz w:val="30"/>
          <w:szCs w:val="30"/>
          <w:lang w:val="en-US" w:eastAsia="zh-CN" w:bidi="ar"/>
        </w:rPr>
        <w:t>（4）采用传统模式时，政府作为项目的唯一业主，将承担项目的大部分风险。引入社会企业进行市场化运作，按照风险分配优化、风险收益对等和风险可控等原则，并综合考虑政府对风险的管理能力、项目投资回报和市场风险管理能力等要素，未来将由企业去承担项目投融资、建设、运营相应风险，政府仅承担政策、法律风险，可实现政府风险的有效转移。</w:t>
      </w:r>
    </w:p>
    <w:p w14:paraId="6B76BE1F">
      <w:pPr>
        <w:numPr>
          <w:ilvl w:val="0"/>
          <w:numId w:val="0"/>
        </w:numPr>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因此，本项目的实施是必要的，具备合理性。</w:t>
      </w:r>
    </w:p>
    <w:p w14:paraId="6946CB51">
      <w:pPr>
        <w:numPr>
          <w:ilvl w:val="0"/>
          <w:numId w:val="0"/>
        </w:numPr>
        <w:ind w:firstLine="602" w:firstLineChars="200"/>
        <w:outlineLvl w:val="1"/>
        <w:rPr>
          <w:rFonts w:hint="eastAsia" w:ascii="仿宋" w:hAnsi="仿宋" w:eastAsia="仿宋" w:cs="仿宋"/>
          <w:b/>
          <w:bCs/>
          <w:color w:val="auto"/>
          <w:sz w:val="30"/>
          <w:szCs w:val="30"/>
          <w:highlight w:val="none"/>
          <w:lang w:val="en-US" w:eastAsia="zh-CN"/>
        </w:rPr>
      </w:pPr>
      <w:bookmarkStart w:id="19" w:name="_Toc24630"/>
      <w:bookmarkStart w:id="20" w:name="_Toc7611"/>
      <w:bookmarkStart w:id="21" w:name="_Toc3954"/>
      <w:r>
        <w:rPr>
          <w:rFonts w:hint="eastAsia" w:ascii="仿宋" w:hAnsi="仿宋" w:eastAsia="仿宋" w:cs="仿宋"/>
          <w:b/>
          <w:bCs/>
          <w:color w:val="auto"/>
          <w:sz w:val="30"/>
          <w:szCs w:val="30"/>
          <w:highlight w:val="none"/>
          <w:lang w:val="en-US" w:eastAsia="zh-CN"/>
        </w:rPr>
        <w:t>3.项目实施的可行性</w:t>
      </w:r>
      <w:bookmarkEnd w:id="19"/>
      <w:bookmarkEnd w:id="20"/>
      <w:bookmarkEnd w:id="21"/>
    </w:p>
    <w:p w14:paraId="5FBA31D8">
      <w:pPr>
        <w:numPr>
          <w:ilvl w:val="0"/>
          <w:numId w:val="0"/>
        </w:numPr>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（1）政策支持</w:t>
      </w:r>
    </w:p>
    <w:p w14:paraId="14EB358A">
      <w:pPr>
        <w:widowControl/>
        <w:numPr>
          <w:ilvl w:val="-1"/>
          <w:numId w:val="0"/>
        </w:numPr>
        <w:ind w:firstLine="600" w:firstLineChars="200"/>
        <w:jc w:val="left"/>
        <w:outlineLvl w:val="9"/>
        <w:rPr>
          <w:rFonts w:hint="default" w:ascii="仿宋" w:hAnsi="仿宋" w:eastAsia="仿宋" w:cs="仿宋"/>
          <w:color w:val="auto"/>
          <w:sz w:val="30"/>
          <w:szCs w:val="30"/>
          <w:highlight w:val="none"/>
          <w:lang w:val="en-US" w:eastAsia="zh-CN"/>
        </w:rPr>
      </w:pPr>
      <w:r>
        <w:rPr>
          <w:rFonts w:ascii="仿宋" w:hAnsi="仿宋" w:eastAsia="仿宋" w:cs="仿宋"/>
          <w:color w:val="000000"/>
          <w:kern w:val="0"/>
          <w:sz w:val="30"/>
          <w:szCs w:val="30"/>
          <w:lang w:val="en-US" w:eastAsia="zh-CN" w:bidi="ar"/>
        </w:rPr>
        <w:t>在财政部、国家发展改革委、住房和城乡建设部局联</w:t>
      </w:r>
      <w:r>
        <w:rPr>
          <w:rFonts w:hint="eastAsia" w:ascii="仿宋" w:hAnsi="仿宋" w:eastAsia="仿宋" w:cs="仿宋"/>
          <w:color w:val="000000"/>
          <w:kern w:val="0"/>
          <w:sz w:val="30"/>
          <w:szCs w:val="30"/>
          <w:lang w:val="en-US" w:eastAsia="zh-CN" w:bidi="ar"/>
        </w:rPr>
        <w:t>合下发的《市政公共资源有偿使用收入管理办法》（财税〔2016〕116 号）第四条第二款规定：“资源相对稀缺、不能充分提供的，或者主要由部分社会公众使用的市政公共资源可以有偿使用”。第九条则明确“市政公共资源有偿使用收入，是指县级及县级以上地方人民政府出让或者以其他有偿方式（出租、出借等）转让市政公共资源的占有权、使用权、收益权、经营权及其相关权益，所取得的收入。包括</w:t>
      </w:r>
      <w:r>
        <w:rPr>
          <w:rFonts w:hint="eastAsia" w:ascii="仿宋" w:hAnsi="仿宋" w:eastAsia="仿宋" w:cs="仿宋"/>
          <w:color w:val="000000"/>
          <w:kern w:val="0"/>
          <w:sz w:val="30"/>
          <w:szCs w:val="30"/>
          <w:highlight w:val="none"/>
          <w:lang w:val="en-US" w:eastAsia="zh-CN" w:bidi="ar"/>
        </w:rPr>
        <w:t>但不限于以下收入：…（二）市政道路路内停车泊位及政府投资的公共停车场等有偿使用收入；…”。</w:t>
      </w:r>
      <w:r>
        <w:rPr>
          <w:rFonts w:hint="eastAsia" w:ascii="仿宋" w:hAnsi="仿宋" w:eastAsia="仿宋" w:cs="仿宋"/>
          <w:color w:val="auto"/>
          <w:sz w:val="30"/>
          <w:szCs w:val="30"/>
          <w:highlight w:val="none"/>
          <w:lang w:val="en-US" w:eastAsia="zh-CN"/>
        </w:rPr>
        <w:t>本项目范围内的停车场全部为国有土地</w:t>
      </w:r>
      <w:r>
        <w:rPr>
          <w:rFonts w:hint="eastAsia" w:ascii="仿宋" w:hAnsi="仿宋" w:eastAsia="仿宋" w:cs="仿宋"/>
          <w:color w:val="auto"/>
          <w:sz w:val="30"/>
          <w:szCs w:val="30"/>
          <w:highlight w:val="none"/>
          <w:lang w:val="en-US" w:eastAsia="zh-CN"/>
        </w:rPr>
        <w:t>，权属无争议，属于《市政公共资源有偿使用收入管理办法》（财税〔2016〕116号）中“政府投资的公共停车场”，属于市政公共资源，符合市政公共资源有偿使用收入范畴，适宜采用资源有偿使用模式实施。</w:t>
      </w:r>
    </w:p>
    <w:p w14:paraId="5EAAC2FF">
      <w:pPr>
        <w:numPr>
          <w:ilvl w:val="0"/>
          <w:numId w:val="0"/>
        </w:numPr>
        <w:ind w:firstLine="600" w:firstLineChars="200"/>
        <w:outlineLvl w:val="9"/>
        <w:rPr>
          <w:rFonts w:hint="eastAsia" w:ascii="仿宋" w:hAnsi="仿宋" w:eastAsia="仿宋" w:cs="仿宋"/>
          <w:color w:val="000000"/>
          <w:kern w:val="0"/>
          <w:sz w:val="30"/>
          <w:szCs w:val="30"/>
          <w:lang w:val="en-US" w:eastAsia="zh-CN" w:bidi="ar"/>
        </w:rPr>
      </w:pPr>
      <w:r>
        <w:rPr>
          <w:rFonts w:ascii="仿宋" w:hAnsi="仿宋" w:eastAsia="仿宋" w:cs="仿宋"/>
          <w:color w:val="000000"/>
          <w:kern w:val="0"/>
          <w:sz w:val="30"/>
          <w:szCs w:val="30"/>
          <w:lang w:val="en-US" w:eastAsia="zh-CN" w:bidi="ar"/>
        </w:rPr>
        <w:t>近年来，国家和地方政府高度重视城市停车问题，</w:t>
      </w:r>
      <w:r>
        <w:rPr>
          <w:rFonts w:hint="eastAsia" w:ascii="仿宋" w:hAnsi="仿宋" w:eastAsia="仿宋" w:cs="仿宋"/>
          <w:color w:val="000000"/>
          <w:kern w:val="0"/>
          <w:sz w:val="30"/>
          <w:szCs w:val="30"/>
          <w:lang w:val="en-US" w:eastAsia="zh-CN" w:bidi="ar"/>
        </w:rPr>
        <w:t>先后</w:t>
      </w:r>
      <w:r>
        <w:rPr>
          <w:rFonts w:ascii="仿宋" w:hAnsi="仿宋" w:eastAsia="仿宋" w:cs="仿宋"/>
          <w:color w:val="000000"/>
          <w:kern w:val="0"/>
          <w:sz w:val="30"/>
          <w:szCs w:val="30"/>
          <w:lang w:val="en-US" w:eastAsia="zh-CN" w:bidi="ar"/>
        </w:rPr>
        <w:t xml:space="preserve">出台《发展改革委 财政部 国土资源部 </w:t>
      </w:r>
      <w:r>
        <w:rPr>
          <w:rFonts w:hint="eastAsia" w:ascii="仿宋" w:hAnsi="仿宋" w:eastAsia="仿宋" w:cs="仿宋"/>
          <w:color w:val="000000"/>
          <w:kern w:val="0"/>
          <w:sz w:val="30"/>
          <w:szCs w:val="30"/>
          <w:lang w:val="en-US" w:eastAsia="zh-CN" w:bidi="ar"/>
        </w:rPr>
        <w:t>住房城乡建设部 交通运输部 公安部 银监会关于加强城市停车设施建设的指导意见》（发改基础〔2015〕1788 号）、《国务院办公厅转发国家发展改革委等部门关于推动城市停车设施发展的意见》（国办函〔2021〕46号）、《鞍山市机动车停车场建设和管理办法》等一系列相关政策措施，以加强机动车停车管理，规范停车秩序，促进城市交通可持续发展。</w:t>
      </w:r>
    </w:p>
    <w:p w14:paraId="3B80190F">
      <w:pPr>
        <w:numPr>
          <w:ilvl w:val="0"/>
          <w:numId w:val="0"/>
        </w:numPr>
        <w:ind w:firstLine="600" w:firstLineChars="200"/>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000000"/>
          <w:kern w:val="0"/>
          <w:sz w:val="30"/>
          <w:szCs w:val="30"/>
          <w:lang w:val="en-US" w:eastAsia="zh-CN" w:bidi="ar"/>
        </w:rPr>
        <w:t>上述文件为实施本项目提供了政策支持和保障。</w:t>
      </w:r>
    </w:p>
    <w:p w14:paraId="70C7FBFE">
      <w:pPr>
        <w:widowControl w:val="0"/>
        <w:numPr>
          <w:ilvl w:val="0"/>
          <w:numId w:val="1"/>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技术可行</w:t>
      </w:r>
    </w:p>
    <w:p w14:paraId="00BC4CDD">
      <w:pPr>
        <w:widowControl w:val="0"/>
        <w:numPr>
          <w:ilvl w:val="0"/>
          <w:numId w:val="0"/>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随着信息技术的快速发展，智慧停车系统已经具备了较高的技术成熟度。本项目的实施，可以更加高效的推动智慧停车系统的建设和发展。未来将打造集停车监控、停车引导、停车收费为一体的智能化综合管理平台，实现停车资源的实时监控和智能调度，从而提高停车服务的便捷性和效率。智慧停车系统还可以为城市交通管理提供有力支持，促进城市交通的顺畅和有序。</w:t>
      </w:r>
    </w:p>
    <w:p w14:paraId="176FD5B4">
      <w:pPr>
        <w:widowControl w:val="0"/>
        <w:numPr>
          <w:ilvl w:val="0"/>
          <w:numId w:val="1"/>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模式可行</w:t>
      </w:r>
    </w:p>
    <w:p w14:paraId="16A2A132">
      <w:pPr>
        <w:widowControl w:val="0"/>
        <w:numPr>
          <w:ilvl w:val="0"/>
          <w:numId w:val="0"/>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目前停车场市政公共资源有偿转让模式在其他地区已有较多同类型项目，如“鞍山市智慧停车项目25年经营权转让”、“辽阳市公共停车泊位资产盘活项目经营权转让”、“沈阳市和平区停车场资产盘活及智慧化改造项目所属公共停车泊位经营权转让”、“沈阳市浑南区公共停车泊位项目（一期）有偿使用权转让”等，该模式具备可行性。</w:t>
      </w:r>
    </w:p>
    <w:p w14:paraId="64022178">
      <w:pPr>
        <w:widowControl w:val="0"/>
        <w:numPr>
          <w:ilvl w:val="0"/>
          <w:numId w:val="1"/>
        </w:numPr>
        <w:ind w:firstLine="600" w:firstLineChars="200"/>
        <w:jc w:val="both"/>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满足市场需求</w:t>
      </w:r>
    </w:p>
    <w:p w14:paraId="5DD7CF5E">
      <w:pPr>
        <w:keepNext w:val="0"/>
        <w:keepLines w:val="0"/>
        <w:widowControl/>
        <w:suppressLineNumbers w:val="0"/>
        <w:ind w:firstLine="600" w:firstLineChars="200"/>
        <w:jc w:val="left"/>
        <w:outlineLvl w:val="9"/>
        <w:rPr>
          <w:b/>
          <w:bCs/>
        </w:rPr>
      </w:pPr>
      <w:r>
        <w:rPr>
          <w:rFonts w:ascii="仿宋" w:hAnsi="仿宋" w:eastAsia="仿宋" w:cs="仿宋"/>
          <w:color w:val="000000"/>
          <w:kern w:val="0"/>
          <w:sz w:val="30"/>
          <w:szCs w:val="30"/>
          <w:lang w:val="en-US" w:eastAsia="zh-CN" w:bidi="ar"/>
        </w:rPr>
        <w:t>随着</w:t>
      </w:r>
      <w:r>
        <w:rPr>
          <w:rFonts w:hint="eastAsia" w:ascii="仿宋" w:hAnsi="仿宋" w:eastAsia="仿宋" w:cs="仿宋"/>
          <w:color w:val="000000"/>
          <w:kern w:val="0"/>
          <w:sz w:val="30"/>
          <w:szCs w:val="30"/>
          <w:lang w:val="en-US" w:eastAsia="zh-CN" w:bidi="ar"/>
        </w:rPr>
        <w:t>鞍山市千山风景名胜区</w:t>
      </w:r>
      <w:r>
        <w:rPr>
          <w:rFonts w:ascii="仿宋" w:hAnsi="仿宋" w:eastAsia="仿宋" w:cs="仿宋"/>
          <w:color w:val="000000"/>
          <w:kern w:val="0"/>
          <w:sz w:val="30"/>
          <w:szCs w:val="30"/>
          <w:lang w:val="en-US" w:eastAsia="zh-CN" w:bidi="ar"/>
        </w:rPr>
        <w:t>经济的发展和居民生活水平的提高，机动车</w:t>
      </w:r>
      <w:r>
        <w:rPr>
          <w:rFonts w:hint="eastAsia" w:ascii="仿宋" w:hAnsi="仿宋" w:eastAsia="仿宋" w:cs="仿宋"/>
          <w:color w:val="000000"/>
          <w:kern w:val="0"/>
          <w:sz w:val="30"/>
          <w:szCs w:val="30"/>
          <w:lang w:val="en-US" w:eastAsia="zh-CN" w:bidi="ar"/>
        </w:rPr>
        <w:t>（含电动汽车）</w:t>
      </w:r>
      <w:r>
        <w:rPr>
          <w:rFonts w:ascii="仿宋" w:hAnsi="仿宋" w:eastAsia="仿宋" w:cs="仿宋"/>
          <w:color w:val="000000"/>
          <w:kern w:val="0"/>
          <w:sz w:val="30"/>
          <w:szCs w:val="30"/>
          <w:lang w:val="en-US" w:eastAsia="zh-CN" w:bidi="ar"/>
        </w:rPr>
        <w:t>保</w:t>
      </w:r>
      <w:r>
        <w:rPr>
          <w:rFonts w:hint="eastAsia" w:ascii="仿宋" w:hAnsi="仿宋" w:eastAsia="仿宋" w:cs="仿宋"/>
          <w:color w:val="000000"/>
          <w:kern w:val="0"/>
          <w:sz w:val="30"/>
          <w:szCs w:val="30"/>
          <w:lang w:val="en-US" w:eastAsia="zh-CN" w:bidi="ar"/>
        </w:rPr>
        <w:t>有量也在不断增加，对停车及充电资源的需求也日益增长，停车难、充电难问题尤为突出。通过将公共停车资源有偿转让，可以引入市场竞争机制，促使经营者提供更加高效、优质的服务，满足市场对停车及充电资源的需求，缓解停车及充电压力，提升市民出行体验。这不仅可以提高停车及充电资源的利用效率，还可以促进资源的优化配置。同时，经营者为了获取更多的收益，会积极投入资金进行停车及充电设施的改造升级和智能化管理，进一步提升停车及充电服务的品质和水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6CB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08F9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C08F9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80650"/>
    <w:multiLevelType w:val="singleLevel"/>
    <w:tmpl w:val="80A8065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56D60"/>
    <w:rsid w:val="13933370"/>
    <w:rsid w:val="1D5E3595"/>
    <w:rsid w:val="242E6653"/>
    <w:rsid w:val="3D756D60"/>
    <w:rsid w:val="3ED4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next w:val="1"/>
    <w:qFormat/>
    <w:uiPriority w:val="0"/>
    <w:pPr>
      <w:spacing w:line="312" w:lineRule="atLeast"/>
    </w:pPr>
    <w:rPr>
      <w:rFonts w:ascii="Times New Roman" w:hAnsi="Times New Roman" w:cs="Times New Roman"/>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3346</Words>
  <Characters>3422</Characters>
  <Lines>0</Lines>
  <Paragraphs>0</Paragraphs>
  <TotalTime>47</TotalTime>
  <ScaleCrop>false</ScaleCrop>
  <LinksUpToDate>false</LinksUpToDate>
  <CharactersWithSpaces>3436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2025-02-21T04:40:00Z</dcterms:created>
  <dc:creator>刹那芳华</dc:creator>
  <cp:lastModifiedBy>刹那芳华</cp:lastModifiedBy>
  <dcterms:modified xsi:type="dcterms:W3CDTF">2025-06-17T05:35:05Z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D22A51FB51F74C5F9EE9DA1266189637_11</vt:lpwstr>
  </property>
  <property fmtid="{D5CDD505-2E9C-101B-9397-08002B2CF9AE}" pid="4" name="KSOTemplateDocerSaveRecord">
    <vt:lpwstr>eyJoZGlkIjoiYTFkYTcwNmQ2ZDc2YTI1MGMyYjg1Y2MwNGJkMDQ2MTYiLCJ1c2VySWQiOiI1MjY0MDA5ODQifQ==</vt:lpwstr>
  </property>
</Properties>
</file>