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b/>
          <w:bCs/>
          <w:sz w:val="30"/>
        </w:rPr>
      </w:pPr>
      <w:r>
        <w:rPr>
          <w:rFonts w:hint="eastAsia" w:ascii="方正小标宋_GBK" w:hAnsi="方正小标宋_GBK" w:eastAsia="方正小标宋_GBK"/>
          <w:b/>
          <w:bCs/>
          <w:sz w:val="30"/>
        </w:rPr>
        <w:t>卫生健康领域</w:t>
      </w:r>
      <w:r>
        <w:rPr>
          <w:rFonts w:hint="eastAsia" w:ascii="方正小标宋_GBK" w:hAnsi="方正小标宋_GBK" w:eastAsia="方正小标宋_GBK"/>
          <w:b/>
          <w:bCs/>
          <w:sz w:val="30"/>
          <w:lang w:eastAsia="zh-CN"/>
        </w:rPr>
        <w:t>政务公开标准</w:t>
      </w:r>
      <w:r>
        <w:rPr>
          <w:rFonts w:hint="eastAsia" w:ascii="方正小标宋_GBK" w:hAnsi="方正小标宋_GBK" w:eastAsia="方正小标宋_GBK"/>
          <w:b/>
          <w:bCs/>
          <w:sz w:val="30"/>
        </w:rPr>
        <w:t>目录</w:t>
      </w:r>
    </w:p>
    <w:tbl>
      <w:tblPr>
        <w:tblStyle w:val="2"/>
        <w:tblW w:w="15588" w:type="dxa"/>
        <w:tblInd w:w="-8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188"/>
        <w:gridCol w:w="4140"/>
        <w:gridCol w:w="1800"/>
        <w:gridCol w:w="1440"/>
        <w:gridCol w:w="720"/>
        <w:gridCol w:w="1080"/>
        <w:gridCol w:w="720"/>
        <w:gridCol w:w="720"/>
        <w:gridCol w:w="596"/>
        <w:gridCol w:w="720"/>
        <w:gridCol w:w="54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0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1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316"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1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s="宋体"/>
                <w:bCs/>
                <w:color w:val="000000"/>
                <w:sz w:val="18"/>
                <w:szCs w:val="18"/>
              </w:rPr>
            </w:pPr>
            <w:r>
              <w:rPr>
                <w:rFonts w:hint="eastAsia" w:ascii="仿宋_GB2312" w:hAnsi="宋体" w:eastAsia="仿宋_GB2312"/>
                <w:bCs/>
                <w:color w:val="000000"/>
                <w:sz w:val="18"/>
                <w:szCs w:val="18"/>
              </w:rPr>
              <w:t>行政许可类事项</w:t>
            </w:r>
          </w:p>
        </w:tc>
        <w:tc>
          <w:tcPr>
            <w:tcW w:w="1188"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母婴保健技术服务机构执业许可（包括计划生育技术服务机构执业许可）（权限内）</w:t>
            </w:r>
          </w:p>
        </w:tc>
        <w:tc>
          <w:tcPr>
            <w:tcW w:w="41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1.法律法规和政策文件</w:t>
            </w:r>
            <w:r>
              <w:rPr>
                <w:rFonts w:hint="eastAsia" w:ascii="仿宋_GB2312" w:hAnsi="宋体" w:eastAsia="仿宋_GB2312" w:cs="宋体"/>
                <w:color w:val="000000"/>
                <w:sz w:val="18"/>
                <w:szCs w:val="18"/>
              </w:rPr>
              <w:t>；</w:t>
            </w:r>
          </w:p>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olor w:val="00000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务院关于第六批取消和调整行政审批项目的决定》、《国家卫生健康委关于修改&lt;职业健康检查管理办法&gt;等4部门规章的决定》</w:t>
            </w: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hint="eastAsia" w:ascii="仿宋_GB2312" w:hAnsi="宋体" w:eastAsia="仿宋_GB2312" w:cs="宋体"/>
                <w:color w:val="000000"/>
                <w:sz w:val="18"/>
                <w:szCs w:val="18"/>
              </w:rPr>
            </w:pPr>
          </w:p>
        </w:tc>
        <w:tc>
          <w:tcPr>
            <w:tcW w:w="720" w:type="dxa"/>
            <w:vMerge w:val="continue"/>
            <w:noWrap w:val="0"/>
            <w:vAlign w:val="center"/>
          </w:tcPr>
          <w:p>
            <w:pPr>
              <w:rPr>
                <w:rFonts w:hint="eastAsia" w:ascii="仿宋_GB2312" w:hAnsi="宋体" w:eastAsia="仿宋_GB2312" w:cs="宋体"/>
                <w:bCs/>
                <w:color w:val="000000"/>
                <w:sz w:val="18"/>
                <w:szCs w:val="18"/>
              </w:rPr>
            </w:pPr>
          </w:p>
        </w:tc>
        <w:tc>
          <w:tcPr>
            <w:tcW w:w="1188" w:type="dxa"/>
            <w:vMerge w:val="continue"/>
            <w:noWrap w:val="0"/>
            <w:vAlign w:val="center"/>
          </w:tcPr>
          <w:p>
            <w:pPr>
              <w:rPr>
                <w:rFonts w:hint="eastAsia" w:ascii="仿宋_GB2312" w:hAnsi="宋体" w:eastAsia="仿宋_GB2312" w:cs="宋体"/>
                <w:color w:val="000000"/>
                <w:sz w:val="18"/>
                <w:szCs w:val="18"/>
              </w:rPr>
            </w:pPr>
          </w:p>
        </w:tc>
        <w:tc>
          <w:tcPr>
            <w:tcW w:w="41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结果信息——母婴保健技术服务执业许可证信息</w:t>
            </w:r>
          </w:p>
        </w:tc>
        <w:tc>
          <w:tcPr>
            <w:tcW w:w="1800" w:type="dxa"/>
            <w:vMerge w:val="continue"/>
            <w:noWrap w:val="0"/>
            <w:vAlign w:val="center"/>
          </w:tcPr>
          <w:p>
            <w:pPr>
              <w:rPr>
                <w:rFonts w:hint="eastAsia" w:ascii="仿宋_GB2312" w:hAnsi="宋体" w:eastAsia="仿宋_GB2312" w:cs="宋体"/>
                <w:color w:val="000000"/>
                <w:sz w:val="18"/>
                <w:szCs w:val="18"/>
              </w:rPr>
            </w:pPr>
          </w:p>
        </w:tc>
        <w:tc>
          <w:tcPr>
            <w:tcW w:w="144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母婴保健服务人员资格认定（包括计划生育技术服务人员合格证）（权限内）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母婴保健法》、《计划生育技术服务管理条例》、《母婴保健法实施办法》、《国家卫生健康委关于修改&lt;职业健康检查管理办法&gt;等4部门规章的决定》、《计划生育技术服务管理条例实施细则》</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医疗机构设置审批（含港澳台，外商独资除外）（权限内）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《行政许可法》、《中医药法》、《医疗机构管理条例》、《国务院关于取消和下放50项行政审批项目等事项的决定》、《医疗机构管理条例实施细则》、《医疗美容服务管理办法》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结果信息——设置审批结果信息</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医疗机构执业登记（人体器官移植除外）（权限内）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《行政许可法》、《医疗机构管理条例》、《医疗机构管理条例实施细则》、《医疗美容服务管理办法》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结果信息——医疗机构名称、地址、诊疗科目、法定代表人、主要负责人、登记号、医疗机构执业许可证有效期限、审批机关</w:t>
            </w:r>
          </w:p>
        </w:tc>
        <w:tc>
          <w:tcPr>
            <w:tcW w:w="1800" w:type="dxa"/>
            <w:vMerge w:val="continue"/>
            <w:noWrap w:val="0"/>
            <w:vAlign w:val="center"/>
          </w:tcPr>
          <w:p>
            <w:pP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01 行政许可类事项</w:t>
            </w:r>
          </w:p>
        </w:tc>
        <w:tc>
          <w:tcPr>
            <w:tcW w:w="1188"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医师执业注册（权限内）</w:t>
            </w: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《行政许可法》、《执业医师法》、《医师执业注册管理办法》</w:t>
            </w: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rPr>
                <w:rFonts w:ascii="仿宋_GB2312" w:hAnsi="宋体" w:eastAsia="仿宋_GB2312"/>
                <w:color w:val="000000"/>
                <w:sz w:val="18"/>
                <w:szCs w:val="18"/>
              </w:rPr>
            </w:pPr>
          </w:p>
        </w:tc>
        <w:tc>
          <w:tcPr>
            <w:tcW w:w="1188" w:type="dxa"/>
            <w:vMerge w:val="continue"/>
            <w:noWrap w:val="0"/>
            <w:vAlign w:val="center"/>
          </w:tcPr>
          <w:p>
            <w:pPr>
              <w:rPr>
                <w:rFonts w:ascii="仿宋_GB2312" w:hAnsi="宋体" w:eastAsia="仿宋_GB2312"/>
                <w:color w:val="000000"/>
                <w:sz w:val="18"/>
                <w:szCs w:val="18"/>
              </w:rPr>
            </w:pPr>
          </w:p>
        </w:tc>
        <w:tc>
          <w:tcPr>
            <w:tcW w:w="41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护士执业注册（权限内）</w:t>
            </w: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《行政许可法》、《护士条例》、《国务院关于取消和下放一批行政许可事项的决定》、《国家卫生健康委关于做好下放护士执业注册审批有关工作的通知》、《护士执业注册管理办法》</w:t>
            </w: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宋体" w:hAnsi="宋体" w:cs="宋体"/>
                <w:color w:val="000000"/>
                <w:kern w:val="0"/>
                <w:sz w:val="18"/>
                <w:szCs w:val="18"/>
              </w:rPr>
            </w:pPr>
          </w:p>
        </w:tc>
        <w:tc>
          <w:tcPr>
            <w:tcW w:w="720" w:type="dxa"/>
            <w:vMerge w:val="continue"/>
            <w:noWrap w:val="0"/>
            <w:vAlign w:val="center"/>
          </w:tcPr>
          <w:p>
            <w:pPr>
              <w:widowControl/>
              <w:jc w:val="left"/>
              <w:rPr>
                <w:rFonts w:ascii="宋体" w:hAnsi="宋体" w:cs="宋体"/>
                <w:bCs/>
                <w:color w:val="000000"/>
                <w:kern w:val="0"/>
                <w:sz w:val="15"/>
                <w:szCs w:val="15"/>
              </w:rPr>
            </w:pPr>
          </w:p>
        </w:tc>
        <w:tc>
          <w:tcPr>
            <w:tcW w:w="1188" w:type="dxa"/>
            <w:vMerge w:val="continue"/>
            <w:noWrap w:val="0"/>
            <w:vAlign w:val="center"/>
          </w:tcPr>
          <w:p>
            <w:pPr>
              <w:widowControl/>
              <w:jc w:val="left"/>
              <w:rPr>
                <w:rFonts w:ascii="宋体" w:hAnsi="宋体" w:cs="宋体"/>
                <w:color w:val="000000"/>
                <w:kern w:val="0"/>
                <w:sz w:val="15"/>
                <w:szCs w:val="15"/>
              </w:rPr>
            </w:pP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widowControl/>
              <w:jc w:val="left"/>
              <w:rPr>
                <w:rFonts w:ascii="仿宋_GB2312" w:hAnsi="宋体" w:eastAsia="仿宋_GB2312"/>
                <w:color w:val="000000"/>
                <w:sz w:val="18"/>
                <w:szCs w:val="18"/>
              </w:rPr>
            </w:pP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饮用水供水单位卫生许可（权限内）</w:t>
            </w: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jc w:val="left"/>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《行政许可法》、《传染病防治法》、《传染病防治法实施办法》、《国务院对确需保留的行政审批项目设定行政许可的决定》、《生活饮用水卫生监督管理办法》</w:t>
            </w: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仿宋_GB2312" w:hAnsi="宋体" w:eastAsia="仿宋_GB2312"/>
                <w:color w:val="000000"/>
                <w:sz w:val="18"/>
                <w:szCs w:val="18"/>
              </w:rPr>
            </w:pP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188" w:type="dxa"/>
            <w:vMerge w:val="continue"/>
            <w:noWrap w:val="0"/>
            <w:vAlign w:val="center"/>
          </w:tcPr>
          <w:p>
            <w:pPr>
              <w:widowControl/>
              <w:jc w:val="left"/>
              <w:rPr>
                <w:rFonts w:ascii="仿宋_GB2312" w:hAnsi="宋体" w:eastAsia="仿宋_GB2312"/>
                <w:color w:val="000000"/>
                <w:sz w:val="18"/>
                <w:szCs w:val="18"/>
              </w:rPr>
            </w:pPr>
          </w:p>
        </w:tc>
        <w:tc>
          <w:tcPr>
            <w:tcW w:w="414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noWrap w:val="0"/>
            <w:vAlign w:val="center"/>
          </w:tcPr>
          <w:p>
            <w:pPr>
              <w:widowControl/>
              <w:jc w:val="left"/>
              <w:rPr>
                <w:rFonts w:ascii="仿宋_GB2312" w:hAnsi="宋体" w:eastAsia="仿宋_GB2312"/>
                <w:color w:val="000000"/>
                <w:sz w:val="18"/>
                <w:szCs w:val="18"/>
              </w:rPr>
            </w:pPr>
          </w:p>
        </w:tc>
        <w:tc>
          <w:tcPr>
            <w:tcW w:w="144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jc w:val="left"/>
              <w:rPr>
                <w:rFonts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结果信息——卫生许可证信息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96" w:type="dxa"/>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rPr>
                <w:rFonts w:hint="eastAsia" w:ascii="仿宋_GB2312" w:hAnsi="宋体" w:eastAsia="仿宋_GB2312"/>
                <w:color w:val="000000"/>
                <w:sz w:val="18"/>
                <w:szCs w:val="18"/>
              </w:rPr>
            </w:pPr>
          </w:p>
        </w:tc>
        <w:tc>
          <w:tcPr>
            <w:tcW w:w="540" w:type="dxa"/>
            <w:noWrap w:val="0"/>
            <w:vAlign w:val="center"/>
          </w:tcPr>
          <w:p>
            <w:pPr>
              <w:widowControl/>
              <w:rPr>
                <w:rFonts w:hint="eastAsia" w:ascii="仿宋_GB2312" w:hAnsi="宋体" w:eastAsia="仿宋_GB2312"/>
                <w:color w:val="000000"/>
                <w:sz w:val="18"/>
                <w:szCs w:val="18"/>
              </w:rPr>
            </w:pPr>
          </w:p>
        </w:tc>
        <w:tc>
          <w:tcPr>
            <w:tcW w:w="664" w:type="dxa"/>
            <w:noWrap w:val="0"/>
            <w:vAlign w:val="center"/>
          </w:tcPr>
          <w:p>
            <w:pPr>
              <w:widowControl/>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公共场所卫生许可</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结果信息——放射诊疗许可证信息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行政许可类事项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乡村医生执业注册（包括乡村医生执业再注册）</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1.法律法规和政策文件</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000000"/>
                <w:sz w:val="18"/>
                <w:szCs w:val="18"/>
              </w:rPr>
            </w:pPr>
            <w:r>
              <w:rPr>
                <w:rFonts w:hint="eastAsia" w:ascii="仿宋_GB2312" w:hAnsi="宋体" w:eastAsia="仿宋_GB2312"/>
                <w:color w:val="000000"/>
                <w:sz w:val="18"/>
                <w:szCs w:val="18"/>
              </w:rPr>
              <w:t>3.过程信息，各地可根据实际情况适当公开受理、审核、审批、送达等相关信息</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《行政许可法》、《公共场所卫生管理条例》、《国务院关于整合调整餐饮服务场所的公共场所卫生许可证和食品经营许可的决定》、《公共场所卫生管理条例实施细则》</w:t>
            </w: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结果信息，包括姓名、性别、类别、执业地点、证书编码、主要执业机构、发证（批准）机关等相关信息</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vMerge w:val="continue"/>
            <w:noWrap w:val="0"/>
            <w:vAlign w:val="center"/>
          </w:tcPr>
          <w:p>
            <w:pPr>
              <w:widowControl/>
              <w:rPr>
                <w:rFonts w:hint="eastAsia"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对不符合规定条件的医疗机构擅自从事精神障碍诊断、治疗的处罚</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行政处罚类事项</w:t>
            </w:r>
          </w:p>
        </w:tc>
        <w:tc>
          <w:tcPr>
            <w:tcW w:w="1188"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对医疗机构及其工作人员拒绝对送诊的疑似精神障碍患者作出诊断及对依照《精神卫生法》第三十条第二款规定实施住院治疗的患者未及时进行检查评估或者未根据评估结果作出处理的处罚</w:t>
            </w:r>
          </w:p>
        </w:tc>
        <w:tc>
          <w:tcPr>
            <w:tcW w:w="41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法律法规和政策文件；</w:t>
            </w:r>
          </w:p>
          <w:p>
            <w:pPr>
              <w:rPr>
                <w:rFonts w:ascii="仿宋_GB2312" w:hAnsi="宋体" w:eastAsia="仿宋_GB2312"/>
                <w:color w:val="000000"/>
                <w:sz w:val="18"/>
                <w:szCs w:val="18"/>
              </w:rPr>
            </w:pPr>
            <w:r>
              <w:rPr>
                <w:rFonts w:hint="eastAsia" w:ascii="仿宋_GB2312" w:hAnsi="宋体" w:eastAsia="仿宋_GB2312"/>
                <w:color w:val="000000"/>
                <w:sz w:val="18"/>
                <w:szCs w:val="18"/>
              </w:rPr>
              <w:t>投诉举报电话以及网上投诉渠道</w:t>
            </w:r>
          </w:p>
        </w:tc>
        <w:tc>
          <w:tcPr>
            <w:tcW w:w="1800" w:type="dxa"/>
            <w:vMerge w:val="restart"/>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《行政处罚法》、《精神卫生法》、《卫生行政处罚程序》</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自信息形成或者变更之日起20个工作日内予以公开</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卫生健康行政部门</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受理和立案信息，包括：案件受理记录、立案报告；</w:t>
            </w:r>
          </w:p>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告知信息，包括：行政处罚事先告知书、听证告知书</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 xml:space="preserve">■精准推送        </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行政相对人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rPr>
                <w:rFonts w:ascii="仿宋_GB2312" w:hAnsi="宋体" w:eastAsia="仿宋_GB2312"/>
                <w:color w:val="000000"/>
                <w:sz w:val="18"/>
                <w:szCs w:val="18"/>
              </w:rPr>
            </w:pPr>
          </w:p>
        </w:tc>
        <w:tc>
          <w:tcPr>
            <w:tcW w:w="720" w:type="dxa"/>
            <w:vMerge w:val="continue"/>
            <w:noWrap w:val="0"/>
            <w:vAlign w:val="center"/>
          </w:tcPr>
          <w:p>
            <w:pPr>
              <w:widowControl/>
              <w:rPr>
                <w:rFonts w:ascii="仿宋_GB2312" w:hAnsi="宋体" w:eastAsia="仿宋_GB2312"/>
                <w:color w:val="000000"/>
                <w:sz w:val="18"/>
                <w:szCs w:val="18"/>
              </w:rPr>
            </w:pPr>
          </w:p>
        </w:tc>
        <w:tc>
          <w:tcPr>
            <w:tcW w:w="1188" w:type="dxa"/>
            <w:vMerge w:val="continue"/>
            <w:noWrap w:val="0"/>
            <w:vAlign w:val="center"/>
          </w:tcPr>
          <w:p>
            <w:pPr>
              <w:widowControl/>
              <w:rPr>
                <w:rFonts w:ascii="仿宋_GB2312" w:hAnsi="宋体" w:eastAsia="仿宋_GB2312"/>
                <w:color w:val="000000"/>
                <w:sz w:val="18"/>
                <w:szCs w:val="18"/>
              </w:rPr>
            </w:pPr>
          </w:p>
        </w:tc>
        <w:tc>
          <w:tcPr>
            <w:tcW w:w="41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行政处罚决定信息，包括：处罚决定书文号、处罚名称、处罚类别、处罚事由、相对人名称、处罚依据、处罚单位、处罚决定日期</w:t>
            </w:r>
          </w:p>
        </w:tc>
        <w:tc>
          <w:tcPr>
            <w:tcW w:w="1800" w:type="dxa"/>
            <w:vMerge w:val="continue"/>
            <w:noWrap w:val="0"/>
            <w:vAlign w:val="center"/>
          </w:tcPr>
          <w:p>
            <w:pPr>
              <w:widowControl/>
              <w:rPr>
                <w:rFonts w:ascii="仿宋_GB2312" w:hAnsi="宋体" w:eastAsia="仿宋_GB2312"/>
                <w:color w:val="000000"/>
                <w:sz w:val="18"/>
                <w:szCs w:val="18"/>
              </w:rPr>
            </w:pPr>
          </w:p>
        </w:tc>
        <w:tc>
          <w:tcPr>
            <w:tcW w:w="144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自信息形成或者变更之日起7个工作日内予以公开</w:t>
            </w:r>
          </w:p>
        </w:tc>
        <w:tc>
          <w:tcPr>
            <w:tcW w:w="720" w:type="dxa"/>
            <w:vMerge w:val="continue"/>
            <w:noWrap w:val="0"/>
            <w:vAlign w:val="center"/>
          </w:tcPr>
          <w:p>
            <w:pPr>
              <w:widowControl/>
              <w:rPr>
                <w:rFonts w:hint="eastAsia"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■管委会网站</w:t>
            </w:r>
            <w:r>
              <w:rPr>
                <w:rFonts w:hint="eastAsia"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96"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64"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rPr>
          <w:rFonts w:hint="eastAsia" w:ascii="楷体_GB2312" w:eastAsia="楷体_GB2312"/>
          <w:sz w:val="30"/>
          <w:szCs w:val="30"/>
        </w:rPr>
      </w:pPr>
      <w:r>
        <w:rPr>
          <w:rFonts w:hint="eastAsia" w:ascii="楷体_GB2312" w:eastAsia="楷体_GB2312"/>
          <w:sz w:val="30"/>
          <w:szCs w:val="30"/>
        </w:rPr>
        <w:t>备注：考虑到篇幅原因，卫生健康领域</w:t>
      </w:r>
      <w:r>
        <w:rPr>
          <w:rFonts w:hint="eastAsia" w:ascii="楷体_GB2312" w:eastAsia="楷体_GB2312"/>
          <w:sz w:val="30"/>
          <w:szCs w:val="30"/>
          <w:lang w:eastAsia="zh-CN"/>
        </w:rPr>
        <w:t>政务公开标准</w:t>
      </w:r>
      <w:r>
        <w:rPr>
          <w:rFonts w:hint="eastAsia" w:ascii="楷体_GB2312" w:eastAsia="楷体_GB2312"/>
          <w:sz w:val="30"/>
          <w:szCs w:val="30"/>
        </w:rPr>
        <w:t>目录其他内容略。</w:t>
      </w:r>
    </w:p>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77183"/>
    <w:rsid w:val="14477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2021-04-19T07:21:00Z</dcterms:created>
  <dc:creator>郭琦</dc:creator>
  <cp:lastModifiedBy>郭琦</cp:lastModifiedBy>
  <dcterms:modified xsi:type="dcterms:W3CDTF">2021-04-19T07:21:47Z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5D100216624A4D678D4C4F171AA6552F</vt:lpwstr>
  </property>
</Properties>
</file>