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3B4703">
      <w:pPr>
        <w:tabs>
          <w:tab w:val="left" w:pos="284"/>
          <w:tab w:val="left" w:pos="1020"/>
        </w:tabs>
        <w:spacing w:line="360" w:lineRule="auto"/>
        <w:jc w:val="center"/>
        <w:rPr>
          <w:rFonts w:hint="eastAsia" w:ascii="方正小标宋简体" w:hAnsi="黑体" w:eastAsia="方正小标宋简体" w:cs="仿宋"/>
          <w:sz w:val="48"/>
          <w:szCs w:val="48"/>
          <w:highlight w:val="none"/>
        </w:rPr>
      </w:pPr>
      <w:r>
        <w:rPr>
          <w:rFonts w:hint="eastAsia" w:ascii="方正小标宋简体" w:hAnsi="黑体" w:eastAsia="方正小标宋简体" w:cs="仿宋"/>
          <w:sz w:val="48"/>
          <w:szCs w:val="48"/>
          <w:highlight w:val="none"/>
        </w:rPr>
        <w:t>20</w:t>
      </w:r>
      <w:r>
        <w:rPr>
          <w:rFonts w:hint="eastAsia" w:ascii="方正小标宋简体" w:hAnsi="黑体" w:eastAsia="方正小标宋简体" w:cs="仿宋"/>
          <w:sz w:val="48"/>
          <w:szCs w:val="48"/>
          <w:highlight w:val="none"/>
          <w:lang w:val="en-US" w:eastAsia="zh-CN"/>
        </w:rPr>
        <w:t>24</w:t>
      </w:r>
      <w:r>
        <w:rPr>
          <w:rFonts w:hint="eastAsia" w:ascii="方正小标宋简体" w:hAnsi="黑体" w:eastAsia="方正小标宋简体" w:cs="仿宋"/>
          <w:sz w:val="48"/>
          <w:szCs w:val="48"/>
          <w:highlight w:val="none"/>
        </w:rPr>
        <w:t>年海城市国民经济和社会发展</w:t>
      </w:r>
    </w:p>
    <w:p w14:paraId="39ABCBAC">
      <w:pPr>
        <w:tabs>
          <w:tab w:val="left" w:pos="284"/>
          <w:tab w:val="left" w:pos="1020"/>
        </w:tabs>
        <w:spacing w:line="360" w:lineRule="auto"/>
        <w:jc w:val="center"/>
        <w:rPr>
          <w:rFonts w:hint="eastAsia" w:ascii="方正小标宋简体" w:hAnsi="黑体" w:eastAsia="方正小标宋简体" w:cs="仿宋"/>
          <w:sz w:val="48"/>
          <w:szCs w:val="48"/>
          <w:highlight w:val="none"/>
        </w:rPr>
      </w:pPr>
      <w:r>
        <w:rPr>
          <w:rFonts w:hint="eastAsia" w:ascii="方正小标宋简体" w:hAnsi="黑体" w:eastAsia="方正小标宋简体" w:cs="仿宋"/>
          <w:sz w:val="48"/>
          <w:szCs w:val="48"/>
          <w:highlight w:val="none"/>
        </w:rPr>
        <w:t>统计公报</w:t>
      </w:r>
    </w:p>
    <w:p w14:paraId="3932B58B">
      <w:pPr>
        <w:jc w:val="center"/>
        <w:rPr>
          <w:rFonts w:hint="eastAsia" w:ascii="楷体_GB2312" w:hAnsi="楷体_GB2312" w:eastAsia="楷体_GB2312" w:cs="楷体_GB2312"/>
          <w:sz w:val="28"/>
          <w:szCs w:val="28"/>
          <w:highlight w:val="none"/>
        </w:rPr>
      </w:pPr>
      <w:r>
        <w:rPr>
          <w:rFonts w:hint="eastAsia" w:ascii="楷体_GB2312" w:hAnsi="楷体_GB2312" w:eastAsia="楷体_GB2312" w:cs="楷体_GB2312"/>
          <w:sz w:val="28"/>
          <w:szCs w:val="28"/>
          <w:highlight w:val="none"/>
        </w:rPr>
        <w:t>海城市统计局</w:t>
      </w:r>
    </w:p>
    <w:p w14:paraId="7E083CD2">
      <w:pPr>
        <w:jc w:val="center"/>
        <w:rPr>
          <w:rFonts w:hint="eastAsia"/>
          <w:highlight w:val="none"/>
        </w:rPr>
      </w:pPr>
    </w:p>
    <w:p w14:paraId="66B1C2AF">
      <w:pPr>
        <w:widowControl w:val="0"/>
        <w:shd w:val="clear"/>
        <w:spacing w:line="580" w:lineRule="exact"/>
        <w:ind w:firstLine="640" w:firstLineChars="200"/>
        <w:rPr>
          <w:rFonts w:hint="eastAsia" w:asci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eastAsia="仿宋_GB2312" w:cs="仿宋_GB2312"/>
          <w:color w:val="auto"/>
          <w:sz w:val="32"/>
          <w:szCs w:val="32"/>
          <w:highlight w:val="none"/>
        </w:rPr>
        <w:t>2024年是海城全面振兴新突破三年行动奋力攻坚的一年。一年来，</w:t>
      </w:r>
      <w:r>
        <w:rPr>
          <w:rFonts w:hint="eastAsia" w:asci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海城市</w:t>
      </w:r>
      <w:r>
        <w:rPr>
          <w:rFonts w:hint="eastAsia" w:ascii="仿宋_GB2312" w:eastAsia="仿宋_GB2312" w:cs="仿宋_GB2312"/>
          <w:color w:val="auto"/>
          <w:sz w:val="32"/>
          <w:szCs w:val="32"/>
          <w:highlight w:val="none"/>
        </w:rPr>
        <w:t>坚持以习近平新时代中国特色社会主义思想为指导，全面贯彻</w:t>
      </w:r>
      <w:r>
        <w:rPr>
          <w:rFonts w:hint="eastAsia" w:asci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落实</w:t>
      </w:r>
      <w:r>
        <w:rPr>
          <w:rFonts w:hint="eastAsia" w:ascii="仿宋_GB2312" w:eastAsia="仿宋_GB2312" w:cs="仿宋_GB2312"/>
          <w:color w:val="auto"/>
          <w:sz w:val="32"/>
          <w:szCs w:val="32"/>
          <w:highlight w:val="none"/>
        </w:rPr>
        <w:t>党的二十大和二十</w:t>
      </w:r>
      <w:r>
        <w:rPr>
          <w:rFonts w:hint="eastAsia" w:asci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届二中、</w:t>
      </w:r>
      <w:r>
        <w:rPr>
          <w:rFonts w:hint="eastAsia" w:ascii="仿宋_GB2312" w:eastAsia="仿宋_GB2312" w:cs="仿宋_GB2312"/>
          <w:color w:val="auto"/>
          <w:sz w:val="32"/>
          <w:szCs w:val="32"/>
          <w:highlight w:val="none"/>
        </w:rPr>
        <w:t>三中全会精神，深入贯彻</w:t>
      </w:r>
      <w:r>
        <w:rPr>
          <w:rFonts w:hint="eastAsia" w:asci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学习</w:t>
      </w:r>
      <w:r>
        <w:rPr>
          <w:rFonts w:hint="eastAsia" w:ascii="仿宋_GB2312" w:eastAsia="仿宋_GB2312" w:cs="仿宋_GB2312"/>
          <w:color w:val="auto"/>
          <w:sz w:val="32"/>
          <w:szCs w:val="32"/>
          <w:highlight w:val="none"/>
        </w:rPr>
        <w:t>习近平总书记关于东北、辽宁全面振兴的重要讲话和指示批示精神，在省委、省政府和市委、市政府的统一领导下，以高质量发展总揽全局，坚定不移抓发展、持之以恒惠民生，圆满完成经济社会发展各项任务，全市经济运行情况稳中向好。</w:t>
      </w:r>
    </w:p>
    <w:p w14:paraId="42F1251B">
      <w:pPr>
        <w:spacing w:line="360" w:lineRule="auto"/>
        <w:ind w:firstLine="643" w:firstLineChars="200"/>
        <w:rPr>
          <w:rFonts w:hint="eastAsia" w:ascii="仿宋_GB2312" w:hAnsi="仿宋" w:eastAsia="仿宋_GB2312" w:cs="仿宋"/>
          <w:b/>
          <w:bCs/>
          <w:sz w:val="32"/>
          <w:szCs w:val="32"/>
          <w:highlight w:val="none"/>
        </w:rPr>
      </w:pPr>
      <w:r>
        <w:rPr>
          <w:rFonts w:hint="eastAsia" w:ascii="仿宋_GB2312" w:hAnsi="仿宋" w:eastAsia="仿宋_GB2312" w:cs="仿宋"/>
          <w:b/>
          <w:bCs/>
          <w:sz w:val="32"/>
          <w:szCs w:val="32"/>
          <w:highlight w:val="none"/>
        </w:rPr>
        <w:t>一、综合</w:t>
      </w:r>
    </w:p>
    <w:p w14:paraId="46FD4ADA">
      <w:pPr>
        <w:ind w:firstLine="640" w:firstLineChars="200"/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初步核算，全市地区生产总值726.6亿元，按不变价计算，比上年增长5.2%。其中，第一产业增加值48.3亿元，同比增长4.4%；第二产业增加值226.0亿元，同比增长6.1%；第三产业增加值452.3亿元，同比增长4.9%。第一产业增加值占地区生产总值的比重为6.6%，第二产业增加值比重为31.1%，第三产业增加值比重为62.3%。全年人均地区生产总值71221元，同比增长14.1%。</w:t>
      </w:r>
    </w:p>
    <w:p w14:paraId="3F4B9CB5">
      <w:pPr>
        <w:ind w:firstLine="640" w:firstLineChars="200"/>
        <w:rPr>
          <w:rFonts w:hint="eastAsia" w:ascii="仿宋_GB2312" w:hAnsi="仿宋" w:eastAsia="仿宋_GB2312" w:cs="仿宋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年末全市户籍人口1020221人，比上年末减少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7964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人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eastAsia="zh-CN"/>
        </w:rPr>
        <w:t>。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其中，城镇人口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294227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人，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乡村人口725994人；男性514500人，女性505721人，占总人口比重分别为50.4%和49.6%。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全年出生人口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4673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人，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其中，男性2364人，女性2309人，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人口出生率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为4.58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‰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eastAsia="zh-CN"/>
        </w:rPr>
        <w:t>；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死亡人口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10175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人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人口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死亡率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为9.97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‰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eastAsia="zh-CN"/>
        </w:rPr>
        <w:t>；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人口自然增长率-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5.39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‰。</w:t>
      </w:r>
    </w:p>
    <w:tbl>
      <w:tblPr>
        <w:tblStyle w:val="5"/>
        <w:tblW w:w="0" w:type="auto"/>
        <w:tblInd w:w="0" w:type="dxa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1"/>
        <w:gridCol w:w="2476"/>
        <w:gridCol w:w="2523"/>
      </w:tblGrid>
      <w:tr w14:paraId="1146A7A4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exact"/>
        </w:trPr>
        <w:tc>
          <w:tcPr>
            <w:tcW w:w="8900" w:type="dxa"/>
            <w:gridSpan w:val="3"/>
            <w:tcBorders>
              <w:top w:val="nil"/>
            </w:tcBorders>
            <w:shd w:val="solid" w:color="FFFFFF" w:fill="auto"/>
            <w:noWrap w:val="0"/>
            <w:vAlign w:val="center"/>
          </w:tcPr>
          <w:p w14:paraId="1B7E40F2">
            <w:pPr>
              <w:shd w:val="solid" w:color="FFFFFF" w:fill="auto"/>
              <w:autoSpaceDN w:val="0"/>
              <w:spacing w:line="360" w:lineRule="auto"/>
              <w:jc w:val="center"/>
              <w:textAlignment w:val="center"/>
              <w:rPr>
                <w:rFonts w:hint="eastAsia" w:ascii="仿宋_GB2312" w:hAnsi="仿宋" w:eastAsia="仿宋_GB2312" w:cs="仿宋"/>
                <w:b/>
                <w:sz w:val="24"/>
                <w:szCs w:val="24"/>
                <w:highlight w:val="none"/>
                <w:shd w:val="clear" w:color="auto" w:fill="FFFFFF"/>
              </w:rPr>
            </w:pPr>
            <w:r>
              <w:rPr>
                <w:rFonts w:hint="eastAsia" w:ascii="仿宋_GB2312" w:hAnsi="仿宋" w:eastAsia="仿宋_GB2312" w:cs="仿宋"/>
                <w:b/>
                <w:sz w:val="28"/>
                <w:szCs w:val="28"/>
                <w:highlight w:val="none"/>
                <w:shd w:val="clear" w:color="auto" w:fill="FFFFFF"/>
              </w:rPr>
              <w:t>表1　20</w:t>
            </w:r>
            <w:r>
              <w:rPr>
                <w:rFonts w:hint="eastAsia" w:ascii="仿宋_GB2312" w:hAnsi="仿宋" w:eastAsia="仿宋_GB2312" w:cs="仿宋"/>
                <w:b/>
                <w:sz w:val="28"/>
                <w:szCs w:val="28"/>
                <w:highlight w:val="none"/>
                <w:shd w:val="clear" w:color="auto" w:fill="FFFFFF"/>
                <w:lang w:val="en-US" w:eastAsia="zh-CN"/>
              </w:rPr>
              <w:t>24</w:t>
            </w:r>
            <w:r>
              <w:rPr>
                <w:rFonts w:hint="eastAsia" w:ascii="仿宋_GB2312" w:hAnsi="仿宋" w:eastAsia="仿宋_GB2312" w:cs="仿宋"/>
                <w:b/>
                <w:sz w:val="28"/>
                <w:szCs w:val="28"/>
                <w:highlight w:val="none"/>
                <w:shd w:val="clear" w:color="auto" w:fill="FFFFFF"/>
              </w:rPr>
              <w:t>年年末人口数及其构成</w:t>
            </w:r>
          </w:p>
        </w:tc>
      </w:tr>
      <w:tr w14:paraId="6EF4B844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exact"/>
        </w:trPr>
        <w:tc>
          <w:tcPr>
            <w:tcW w:w="3901" w:type="dxa"/>
            <w:shd w:val="solid" w:color="FFFFFF" w:fill="auto"/>
            <w:noWrap w:val="0"/>
            <w:vAlign w:val="center"/>
          </w:tcPr>
          <w:p w14:paraId="4857A07E">
            <w:pPr>
              <w:shd w:val="solid" w:color="FFFFFF" w:fill="auto"/>
              <w:autoSpaceDN w:val="0"/>
              <w:spacing w:line="360" w:lineRule="auto"/>
              <w:jc w:val="center"/>
              <w:textAlignment w:val="center"/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shd w:val="clear" w:color="auto" w:fill="FFFFFF"/>
              </w:rPr>
              <w:t>指　 标</w:t>
            </w:r>
          </w:p>
        </w:tc>
        <w:tc>
          <w:tcPr>
            <w:tcW w:w="2476" w:type="dxa"/>
            <w:shd w:val="solid" w:color="FFFFFF" w:fill="auto"/>
            <w:noWrap w:val="0"/>
            <w:vAlign w:val="center"/>
          </w:tcPr>
          <w:p w14:paraId="4DA11031">
            <w:pPr>
              <w:shd w:val="solid" w:color="FFFFFF" w:fill="auto"/>
              <w:autoSpaceDN w:val="0"/>
              <w:spacing w:line="360" w:lineRule="auto"/>
              <w:jc w:val="center"/>
              <w:textAlignment w:val="center"/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shd w:val="clear" w:color="auto" w:fill="FFFFFF"/>
              </w:rPr>
              <w:t>年末数（人）</w:t>
            </w:r>
          </w:p>
        </w:tc>
        <w:tc>
          <w:tcPr>
            <w:tcW w:w="2523" w:type="dxa"/>
            <w:shd w:val="solid" w:color="FFFFFF" w:fill="auto"/>
            <w:noWrap w:val="0"/>
            <w:vAlign w:val="center"/>
          </w:tcPr>
          <w:p w14:paraId="43BD3FBC">
            <w:pPr>
              <w:shd w:val="solid" w:color="FFFFFF" w:fill="auto"/>
              <w:autoSpaceDN w:val="0"/>
              <w:spacing w:line="360" w:lineRule="auto"/>
              <w:jc w:val="center"/>
              <w:textAlignment w:val="center"/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shd w:val="clear" w:color="auto" w:fill="FFFFFF"/>
              </w:rPr>
              <w:t>比重（%）</w:t>
            </w:r>
          </w:p>
        </w:tc>
      </w:tr>
      <w:tr w14:paraId="2A8D7F94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exact"/>
        </w:trPr>
        <w:tc>
          <w:tcPr>
            <w:tcW w:w="3901" w:type="dxa"/>
            <w:shd w:val="solid" w:color="FFFFFF" w:fill="auto"/>
            <w:noWrap w:val="0"/>
            <w:vAlign w:val="center"/>
          </w:tcPr>
          <w:p w14:paraId="52DDB547">
            <w:pPr>
              <w:shd w:val="solid" w:color="FFFFFF" w:fill="auto"/>
              <w:autoSpaceDN w:val="0"/>
              <w:spacing w:line="360" w:lineRule="auto"/>
              <w:textAlignment w:val="center"/>
              <w:rPr>
                <w:rFonts w:hint="eastAsia" w:ascii="仿宋_GB2312" w:hAnsi="仿宋" w:eastAsia="仿宋_GB2312" w:cs="仿宋"/>
                <w:b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hint="eastAsia" w:ascii="仿宋_GB2312" w:hAnsi="仿宋" w:eastAsia="仿宋_GB2312" w:cs="仿宋"/>
                <w:bCs/>
                <w:sz w:val="28"/>
                <w:szCs w:val="28"/>
                <w:highlight w:val="none"/>
                <w:shd w:val="clear" w:color="auto" w:fill="FFFFFF"/>
              </w:rPr>
              <w:t>全市总人口</w:t>
            </w:r>
          </w:p>
        </w:tc>
        <w:tc>
          <w:tcPr>
            <w:tcW w:w="2476" w:type="dxa"/>
            <w:shd w:val="solid" w:color="FFFFFF" w:fill="auto"/>
            <w:noWrap w:val="0"/>
            <w:vAlign w:val="center"/>
          </w:tcPr>
          <w:p w14:paraId="23D4DC71">
            <w:pPr>
              <w:shd w:val="solid" w:color="FFFFFF" w:fill="auto"/>
              <w:autoSpaceDN w:val="0"/>
              <w:spacing w:line="360" w:lineRule="auto"/>
              <w:jc w:val="center"/>
              <w:textAlignment w:val="center"/>
              <w:rPr>
                <w:rFonts w:hint="default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  <w:t>1020221</w:t>
            </w:r>
          </w:p>
        </w:tc>
        <w:tc>
          <w:tcPr>
            <w:tcW w:w="2523" w:type="dxa"/>
            <w:shd w:val="solid" w:color="FFFFFF" w:fill="auto"/>
            <w:noWrap w:val="0"/>
            <w:vAlign w:val="center"/>
          </w:tcPr>
          <w:p w14:paraId="626E53EC">
            <w:pPr>
              <w:shd w:val="solid" w:color="FFFFFF" w:fill="auto"/>
              <w:autoSpaceDN w:val="0"/>
              <w:spacing w:line="360" w:lineRule="auto"/>
              <w:jc w:val="center"/>
              <w:textAlignment w:val="center"/>
              <w:rPr>
                <w:rFonts w:hint="default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  <w:t>100.0</w:t>
            </w:r>
          </w:p>
        </w:tc>
      </w:tr>
      <w:tr w14:paraId="2E091DD3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exact"/>
        </w:trPr>
        <w:tc>
          <w:tcPr>
            <w:tcW w:w="3901" w:type="dxa"/>
            <w:shd w:val="solid" w:color="FFFFFF" w:fill="auto"/>
            <w:noWrap w:val="0"/>
            <w:vAlign w:val="center"/>
          </w:tcPr>
          <w:p w14:paraId="1AC591DD">
            <w:pPr>
              <w:shd w:val="solid" w:color="FFFFFF" w:fill="auto"/>
              <w:autoSpaceDN w:val="0"/>
              <w:spacing w:line="360" w:lineRule="auto"/>
              <w:textAlignment w:val="center"/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shd w:val="clear" w:color="auto" w:fill="FFFFFF"/>
              </w:rPr>
              <w:t>　　其中：城镇</w:t>
            </w:r>
          </w:p>
        </w:tc>
        <w:tc>
          <w:tcPr>
            <w:tcW w:w="2476" w:type="dxa"/>
            <w:shd w:val="solid" w:color="FFFFFF" w:fill="auto"/>
            <w:noWrap w:val="0"/>
            <w:vAlign w:val="center"/>
          </w:tcPr>
          <w:p w14:paraId="4D23AD11">
            <w:pPr>
              <w:shd w:val="solid" w:color="FFFFFF" w:fill="auto"/>
              <w:autoSpaceDN w:val="0"/>
              <w:spacing w:line="360" w:lineRule="auto"/>
              <w:jc w:val="center"/>
              <w:textAlignment w:val="center"/>
              <w:rPr>
                <w:rFonts w:hint="default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  <w:t>294227</w:t>
            </w:r>
          </w:p>
        </w:tc>
        <w:tc>
          <w:tcPr>
            <w:tcW w:w="2523" w:type="dxa"/>
            <w:shd w:val="solid" w:color="FFFFFF" w:fill="auto"/>
            <w:noWrap w:val="0"/>
            <w:vAlign w:val="center"/>
          </w:tcPr>
          <w:p w14:paraId="74FBD4CD">
            <w:pPr>
              <w:shd w:val="solid" w:color="FFFFFF" w:fill="auto"/>
              <w:autoSpaceDN w:val="0"/>
              <w:spacing w:line="360" w:lineRule="auto"/>
              <w:jc w:val="center"/>
              <w:textAlignment w:val="center"/>
              <w:rPr>
                <w:rFonts w:hint="default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  <w:t>28.8</w:t>
            </w:r>
          </w:p>
        </w:tc>
      </w:tr>
      <w:tr w14:paraId="2D03D883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exact"/>
        </w:trPr>
        <w:tc>
          <w:tcPr>
            <w:tcW w:w="3901" w:type="dxa"/>
            <w:shd w:val="solid" w:color="FFFFFF" w:fill="auto"/>
            <w:noWrap w:val="0"/>
            <w:vAlign w:val="center"/>
          </w:tcPr>
          <w:p w14:paraId="2F5F20AE">
            <w:pPr>
              <w:shd w:val="solid" w:color="FFFFFF" w:fill="auto"/>
              <w:autoSpaceDN w:val="0"/>
              <w:spacing w:line="360" w:lineRule="auto"/>
              <w:textAlignment w:val="center"/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shd w:val="clear" w:color="auto" w:fill="FFFFFF"/>
              </w:rPr>
              <w:t>　　　　  乡村</w:t>
            </w:r>
          </w:p>
        </w:tc>
        <w:tc>
          <w:tcPr>
            <w:tcW w:w="2476" w:type="dxa"/>
            <w:shd w:val="solid" w:color="FFFFFF" w:fill="auto"/>
            <w:noWrap w:val="0"/>
            <w:vAlign w:val="center"/>
          </w:tcPr>
          <w:p w14:paraId="77008372">
            <w:pPr>
              <w:shd w:val="solid" w:color="FFFFFF" w:fill="auto"/>
              <w:autoSpaceDN w:val="0"/>
              <w:spacing w:line="360" w:lineRule="auto"/>
              <w:jc w:val="center"/>
              <w:textAlignment w:val="center"/>
              <w:rPr>
                <w:rFonts w:hint="default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  <w:t>725994</w:t>
            </w:r>
          </w:p>
        </w:tc>
        <w:tc>
          <w:tcPr>
            <w:tcW w:w="2523" w:type="dxa"/>
            <w:shd w:val="solid" w:color="FFFFFF" w:fill="auto"/>
            <w:noWrap w:val="0"/>
            <w:vAlign w:val="center"/>
          </w:tcPr>
          <w:p w14:paraId="729EBC39">
            <w:pPr>
              <w:shd w:val="solid" w:color="FFFFFF" w:fill="auto"/>
              <w:autoSpaceDN w:val="0"/>
              <w:spacing w:line="360" w:lineRule="auto"/>
              <w:jc w:val="center"/>
              <w:textAlignment w:val="center"/>
              <w:rPr>
                <w:rFonts w:hint="default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  <w:t>71.2</w:t>
            </w:r>
          </w:p>
        </w:tc>
      </w:tr>
      <w:tr w14:paraId="5AA328EF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exact"/>
        </w:trPr>
        <w:tc>
          <w:tcPr>
            <w:tcW w:w="3901" w:type="dxa"/>
            <w:shd w:val="solid" w:color="FFFFFF" w:fill="auto"/>
            <w:noWrap w:val="0"/>
            <w:vAlign w:val="center"/>
          </w:tcPr>
          <w:p w14:paraId="0C4ACAA8">
            <w:pPr>
              <w:shd w:val="solid" w:color="FFFFFF" w:fill="auto"/>
              <w:autoSpaceDN w:val="0"/>
              <w:spacing w:line="360" w:lineRule="auto"/>
              <w:ind w:firstLine="560" w:firstLineChars="200"/>
              <w:textAlignment w:val="center"/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shd w:val="clear" w:color="auto" w:fill="FFFFFF"/>
              </w:rPr>
              <w:t>其中：男性</w:t>
            </w:r>
          </w:p>
        </w:tc>
        <w:tc>
          <w:tcPr>
            <w:tcW w:w="2476" w:type="dxa"/>
            <w:shd w:val="solid" w:color="FFFFFF" w:fill="auto"/>
            <w:noWrap w:val="0"/>
            <w:vAlign w:val="center"/>
          </w:tcPr>
          <w:p w14:paraId="66CCB4B1">
            <w:pPr>
              <w:shd w:val="solid" w:color="FFFFFF" w:fill="auto"/>
              <w:autoSpaceDN w:val="0"/>
              <w:spacing w:line="360" w:lineRule="auto"/>
              <w:jc w:val="center"/>
              <w:textAlignment w:val="center"/>
              <w:rPr>
                <w:rFonts w:hint="default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  <w:t>514500</w:t>
            </w:r>
          </w:p>
        </w:tc>
        <w:tc>
          <w:tcPr>
            <w:tcW w:w="2523" w:type="dxa"/>
            <w:shd w:val="solid" w:color="FFFFFF" w:fill="auto"/>
            <w:noWrap w:val="0"/>
            <w:vAlign w:val="center"/>
          </w:tcPr>
          <w:p w14:paraId="7CEF17AF">
            <w:pPr>
              <w:shd w:val="solid" w:color="FFFFFF" w:fill="auto"/>
              <w:autoSpaceDN w:val="0"/>
              <w:spacing w:line="360" w:lineRule="auto"/>
              <w:jc w:val="center"/>
              <w:textAlignment w:val="center"/>
              <w:rPr>
                <w:rFonts w:hint="default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  <w:t>50.4</w:t>
            </w:r>
          </w:p>
        </w:tc>
      </w:tr>
      <w:tr w14:paraId="6B4BBC2B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exact"/>
        </w:trPr>
        <w:tc>
          <w:tcPr>
            <w:tcW w:w="3901" w:type="dxa"/>
            <w:shd w:val="solid" w:color="FFFFFF" w:fill="auto"/>
            <w:noWrap w:val="0"/>
            <w:vAlign w:val="center"/>
          </w:tcPr>
          <w:p w14:paraId="4BABFB6D">
            <w:pPr>
              <w:shd w:val="solid" w:color="FFFFFF" w:fill="auto"/>
              <w:autoSpaceDN w:val="0"/>
              <w:spacing w:line="360" w:lineRule="auto"/>
              <w:textAlignment w:val="center"/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shd w:val="clear" w:color="auto" w:fill="FFFFFF"/>
              </w:rPr>
              <w:t>　　　　  女性</w:t>
            </w:r>
          </w:p>
        </w:tc>
        <w:tc>
          <w:tcPr>
            <w:tcW w:w="2476" w:type="dxa"/>
            <w:shd w:val="solid" w:color="FFFFFF" w:fill="auto"/>
            <w:noWrap w:val="0"/>
            <w:vAlign w:val="center"/>
          </w:tcPr>
          <w:p w14:paraId="57D0E67C">
            <w:pPr>
              <w:shd w:val="solid" w:color="FFFFFF" w:fill="auto"/>
              <w:autoSpaceDN w:val="0"/>
              <w:spacing w:line="360" w:lineRule="auto"/>
              <w:jc w:val="center"/>
              <w:textAlignment w:val="center"/>
              <w:rPr>
                <w:rFonts w:hint="default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  <w:t>505721</w:t>
            </w:r>
          </w:p>
        </w:tc>
        <w:tc>
          <w:tcPr>
            <w:tcW w:w="2523" w:type="dxa"/>
            <w:shd w:val="solid" w:color="FFFFFF" w:fill="auto"/>
            <w:noWrap w:val="0"/>
            <w:vAlign w:val="center"/>
          </w:tcPr>
          <w:p w14:paraId="1C9ACE93">
            <w:pPr>
              <w:shd w:val="solid" w:color="FFFFFF" w:fill="auto"/>
              <w:tabs>
                <w:tab w:val="center" w:pos="1174"/>
                <w:tab w:val="right" w:pos="2228"/>
              </w:tabs>
              <w:autoSpaceDN w:val="0"/>
              <w:spacing w:line="360" w:lineRule="auto"/>
              <w:jc w:val="center"/>
              <w:textAlignment w:val="center"/>
              <w:rPr>
                <w:rFonts w:hint="default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  <w:t>49.6</w:t>
            </w:r>
          </w:p>
        </w:tc>
      </w:tr>
      <w:tr w14:paraId="11E20FE5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exact"/>
        </w:trPr>
        <w:tc>
          <w:tcPr>
            <w:tcW w:w="3901" w:type="dxa"/>
            <w:shd w:val="solid" w:color="FFFFFF" w:fill="auto"/>
            <w:noWrap w:val="0"/>
            <w:vAlign w:val="center"/>
          </w:tcPr>
          <w:p w14:paraId="06E60C75">
            <w:pPr>
              <w:shd w:val="solid" w:color="FFFFFF" w:fill="auto"/>
              <w:autoSpaceDN w:val="0"/>
              <w:spacing w:line="360" w:lineRule="auto"/>
              <w:textAlignment w:val="center"/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shd w:val="clear" w:color="auto" w:fill="FFFFFF"/>
              </w:rPr>
              <w:t>　  其中：0-17岁</w:t>
            </w:r>
          </w:p>
        </w:tc>
        <w:tc>
          <w:tcPr>
            <w:tcW w:w="2476" w:type="dxa"/>
            <w:shd w:val="solid" w:color="FFFFFF" w:fill="auto"/>
            <w:noWrap w:val="0"/>
            <w:vAlign w:val="center"/>
          </w:tcPr>
          <w:p w14:paraId="72A09073">
            <w:pPr>
              <w:shd w:val="solid" w:color="FFFFFF" w:fill="auto"/>
              <w:autoSpaceDN w:val="0"/>
              <w:spacing w:line="360" w:lineRule="auto"/>
              <w:jc w:val="center"/>
              <w:textAlignment w:val="center"/>
              <w:rPr>
                <w:rFonts w:hint="default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  <w:t>126279</w:t>
            </w:r>
          </w:p>
        </w:tc>
        <w:tc>
          <w:tcPr>
            <w:tcW w:w="2523" w:type="dxa"/>
            <w:shd w:val="solid" w:color="FFFFFF" w:fill="auto"/>
            <w:noWrap w:val="0"/>
            <w:vAlign w:val="center"/>
          </w:tcPr>
          <w:p w14:paraId="27A771C9">
            <w:pPr>
              <w:shd w:val="solid" w:color="FFFFFF" w:fill="auto"/>
              <w:autoSpaceDN w:val="0"/>
              <w:spacing w:line="360" w:lineRule="auto"/>
              <w:jc w:val="center"/>
              <w:textAlignment w:val="center"/>
              <w:rPr>
                <w:rFonts w:hint="default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  <w:t>12.4</w:t>
            </w:r>
          </w:p>
        </w:tc>
      </w:tr>
      <w:tr w14:paraId="06F3876D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exact"/>
        </w:trPr>
        <w:tc>
          <w:tcPr>
            <w:tcW w:w="3901" w:type="dxa"/>
            <w:shd w:val="solid" w:color="FFFFFF" w:fill="auto"/>
            <w:noWrap w:val="0"/>
            <w:vAlign w:val="center"/>
          </w:tcPr>
          <w:p w14:paraId="2B837987">
            <w:pPr>
              <w:shd w:val="solid" w:color="FFFFFF" w:fill="auto"/>
              <w:autoSpaceDN w:val="0"/>
              <w:spacing w:line="360" w:lineRule="auto"/>
              <w:textAlignment w:val="center"/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shd w:val="clear" w:color="auto" w:fill="FFFFFF"/>
              </w:rPr>
              <w:t>　　　　  18-59岁</w:t>
            </w:r>
          </w:p>
        </w:tc>
        <w:tc>
          <w:tcPr>
            <w:tcW w:w="2476" w:type="dxa"/>
            <w:shd w:val="solid" w:color="FFFFFF" w:fill="auto"/>
            <w:noWrap w:val="0"/>
            <w:vAlign w:val="center"/>
          </w:tcPr>
          <w:p w14:paraId="3DB4191F">
            <w:pPr>
              <w:shd w:val="solid" w:color="FFFFFF" w:fill="auto"/>
              <w:autoSpaceDN w:val="0"/>
              <w:spacing w:line="360" w:lineRule="auto"/>
              <w:jc w:val="center"/>
              <w:textAlignment w:val="center"/>
              <w:rPr>
                <w:rFonts w:hint="default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  <w:t>598485</w:t>
            </w:r>
          </w:p>
        </w:tc>
        <w:tc>
          <w:tcPr>
            <w:tcW w:w="2523" w:type="dxa"/>
            <w:shd w:val="solid" w:color="FFFFFF" w:fill="auto"/>
            <w:noWrap w:val="0"/>
            <w:vAlign w:val="center"/>
          </w:tcPr>
          <w:p w14:paraId="6C70A197">
            <w:pPr>
              <w:shd w:val="solid" w:color="FFFFFF" w:fill="auto"/>
              <w:autoSpaceDN w:val="0"/>
              <w:spacing w:line="360" w:lineRule="auto"/>
              <w:jc w:val="center"/>
              <w:textAlignment w:val="center"/>
              <w:rPr>
                <w:rFonts w:hint="default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  <w:t>58.7</w:t>
            </w:r>
          </w:p>
        </w:tc>
      </w:tr>
      <w:tr w14:paraId="5B8530E2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exact"/>
        </w:trPr>
        <w:tc>
          <w:tcPr>
            <w:tcW w:w="3901" w:type="dxa"/>
            <w:shd w:val="solid" w:color="FFFFFF" w:fill="auto"/>
            <w:noWrap w:val="0"/>
            <w:vAlign w:val="center"/>
          </w:tcPr>
          <w:p w14:paraId="1DA97594">
            <w:pPr>
              <w:shd w:val="solid" w:color="FFFFFF" w:fill="auto"/>
              <w:autoSpaceDN w:val="0"/>
              <w:spacing w:line="360" w:lineRule="auto"/>
              <w:ind w:firstLine="1400" w:firstLineChars="500"/>
              <w:textAlignment w:val="center"/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shd w:val="clear" w:color="auto" w:fill="FFFFFF"/>
              </w:rPr>
              <w:t>60周岁及以上</w:t>
            </w:r>
          </w:p>
        </w:tc>
        <w:tc>
          <w:tcPr>
            <w:tcW w:w="2476" w:type="dxa"/>
            <w:shd w:val="solid" w:color="FFFFFF" w:fill="auto"/>
            <w:noWrap w:val="0"/>
            <w:vAlign w:val="center"/>
          </w:tcPr>
          <w:p w14:paraId="04670DC1">
            <w:pPr>
              <w:shd w:val="solid" w:color="FFFFFF" w:fill="auto"/>
              <w:autoSpaceDN w:val="0"/>
              <w:spacing w:line="360" w:lineRule="auto"/>
              <w:jc w:val="center"/>
              <w:textAlignment w:val="center"/>
              <w:rPr>
                <w:rFonts w:hint="default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  <w:t>295457</w:t>
            </w:r>
          </w:p>
        </w:tc>
        <w:tc>
          <w:tcPr>
            <w:tcW w:w="2523" w:type="dxa"/>
            <w:shd w:val="solid" w:color="FFFFFF" w:fill="auto"/>
            <w:noWrap w:val="0"/>
            <w:vAlign w:val="center"/>
          </w:tcPr>
          <w:p w14:paraId="34D22CC6">
            <w:pPr>
              <w:shd w:val="solid" w:color="FFFFFF" w:fill="auto"/>
              <w:autoSpaceDN w:val="0"/>
              <w:spacing w:line="360" w:lineRule="auto"/>
              <w:jc w:val="center"/>
              <w:textAlignment w:val="center"/>
              <w:rPr>
                <w:rFonts w:hint="default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z w:val="28"/>
                <w:szCs w:val="28"/>
                <w:highlight w:val="none"/>
                <w:lang w:val="en-US" w:eastAsia="zh-CN"/>
              </w:rPr>
              <w:t>29.0</w:t>
            </w:r>
          </w:p>
        </w:tc>
      </w:tr>
    </w:tbl>
    <w:p w14:paraId="6360524E">
      <w:pPr>
        <w:ind w:firstLine="643" w:firstLineChars="200"/>
        <w:rPr>
          <w:rFonts w:hint="eastAsia" w:ascii="仿宋_GB2312" w:hAnsi="仿宋" w:eastAsia="仿宋_GB2312" w:cs="仿宋"/>
          <w:color w:val="FF0000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"/>
          <w:b/>
          <w:bCs/>
          <w:sz w:val="32"/>
          <w:szCs w:val="32"/>
          <w:highlight w:val="none"/>
        </w:rPr>
        <w:t>二、农业</w:t>
      </w:r>
      <w:r>
        <w:rPr>
          <w:rFonts w:hint="eastAsia" w:ascii="仿宋_GB2312" w:hAnsi="仿宋" w:eastAsia="仿宋_GB2312" w:cs="仿宋"/>
          <w:color w:val="FF0000"/>
          <w:sz w:val="32"/>
          <w:szCs w:val="32"/>
          <w:highlight w:val="none"/>
        </w:rPr>
        <w:t xml:space="preserve">   </w:t>
      </w:r>
    </w:p>
    <w:p w14:paraId="15FED470">
      <w:pPr>
        <w:spacing w:line="360" w:lineRule="auto"/>
        <w:ind w:firstLine="640" w:firstLineChars="200"/>
        <w:rPr>
          <w:rFonts w:hint="eastAsia" w:ascii="仿宋_GB2312" w:hAnsi="仿宋" w:eastAsia="仿宋_GB2312" w:cs="仿宋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全年农林牧渔业总产值85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.0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亿元，按可比价计算，比上年增长4.4%。其中，农业总产值39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.0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亿元，比上年增长0.2%;林业总产值0.2亿元，比上年增长39.6%;牧业总产值40.6亿元，比上年增长8.8%;渔业总产值2.6亿元，比上年下降0.02%;农林牧渔服务业总产值2.6亿元，比上年增长5.7%。全年农林牧渔业增加值48.7亿元，按可比价计算，比上年增长4.4%。</w:t>
      </w:r>
    </w:p>
    <w:p w14:paraId="0446E951">
      <w:pPr>
        <w:spacing w:line="360" w:lineRule="auto"/>
        <w:ind w:firstLine="640" w:firstLineChars="200"/>
        <w:rPr>
          <w:rFonts w:hint="eastAsia" w:ascii="仿宋_GB2312" w:hAnsi="仿宋" w:eastAsia="仿宋_GB2312" w:cs="仿宋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全年农作物播种面积97316公顷，比上年增长1.8%。其中，粮食作物播种面积80634公顷，比上年下降0.4%；非粮食作物播种面积16682公顷，比上年增长13.4%。</w:t>
      </w:r>
    </w:p>
    <w:p w14:paraId="773286F9">
      <w:pPr>
        <w:spacing w:line="360" w:lineRule="auto"/>
        <w:ind w:firstLine="640" w:firstLineChars="200"/>
        <w:rPr>
          <w:rFonts w:hint="eastAsia" w:ascii="仿宋_GB2312" w:hAnsi="仿宋" w:eastAsia="仿宋_GB2312" w:cs="仿宋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在粮食作物中，稻谷播种面积16411公顷，比上年下降3.9%；玉米播种面积60277公顷，比上年增长0.5%；豆类播种面积3535公顷，比上年增长3.9%。</w:t>
      </w:r>
    </w:p>
    <w:p w14:paraId="429708EA">
      <w:pPr>
        <w:spacing w:line="360" w:lineRule="auto"/>
        <w:ind w:firstLine="640" w:firstLineChars="200"/>
        <w:rPr>
          <w:rFonts w:hint="eastAsia" w:ascii="仿宋_GB2312" w:hAnsi="仿宋" w:eastAsia="仿宋_GB2312" w:cs="仿宋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在非粮食作物中，蔬菜面积10556公顷，比上年增长3.0 %；瓜果类面积736公顷，比上年增长22.6%；油料作物面积292公顷，比上年增长3.7%。</w:t>
      </w:r>
    </w:p>
    <w:p w14:paraId="3030D3DA">
      <w:pPr>
        <w:spacing w:line="360" w:lineRule="auto"/>
        <w:ind w:firstLine="640" w:firstLineChars="200"/>
        <w:rPr>
          <w:rFonts w:hint="eastAsia" w:ascii="仿宋_GB2312" w:hAnsi="仿宋" w:eastAsia="仿宋_GB2312" w:cs="仿宋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全年粮食总产量53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.0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万吨，比上年下降2.9%。其中，稻谷产量11.3万吨，比上年下降5.7%；玉米产量40.8万吨，比上年下降2.2%；大豆产量0.6万吨，比上年增长1.6 %。蔬菜总产量82.7万吨，比上年增长5.2%。油料作物产量1222吨，比上年增长0.8%。水果产量35.4万吨，比上年增长8.0%。</w:t>
      </w:r>
    </w:p>
    <w:p w14:paraId="24897D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eastAsia="仿宋_GB2312"/>
          <w:color w:val="FF0000"/>
          <w:highlight w:val="none"/>
        </w:rPr>
        <w:object>
          <v:shape id="_x0000_i1025" o:spt="75" type="#_x0000_t75" style="height:257.9pt;width:449.6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xcel.Chart.8" ShapeID="_x0000_i1025" DrawAspect="Content" ObjectID="_1468075725" r:id="rId7">
            <o:LockedField>false</o:LockedField>
          </o:OLEObject>
        </w:object>
      </w:r>
      <w:r>
        <w:rPr>
          <w:rFonts w:hint="eastAsia" w:ascii="仿宋_GB2312" w:eastAsia="仿宋_GB2312"/>
          <w:color w:val="FF0000"/>
          <w:highlight w:val="none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年末猪饲养量75.3万头，比上年增长3.2%；牛饲养量7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.0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万头，比上年下降3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.0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%；羊饲养量12.9万只，比上年下降5.7%；家禽饲养量8420.4万只，比上年增长3.7%。</w:t>
      </w:r>
    </w:p>
    <w:p w14:paraId="61C26759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全年猪出栏54.6万头，比上年增长4.3%；牛出栏1.9万头，比上年增长7.9%；羊出栏4.8万只，比上年增长27.7%；家禽出栏5964.3万只，比上年增长5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.0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%。</w:t>
      </w:r>
    </w:p>
    <w:p w14:paraId="27B2ABD8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全年肉类总产量15.5万吨，比上年增长5.2%。其中，猪肉产量4.6万吨，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比上年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增长4.8%；牛羊肉产量0.4万吨，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比上年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增长15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.0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%。奶类产量0.08万吨，比上年下降48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.0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%。禽蛋产量30.5万吨，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比上年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增长1.9%。</w:t>
      </w:r>
    </w:p>
    <w:p w14:paraId="6C3B81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全年农田机耕面积达到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82000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，与上年面积持平。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农田机播面积达到81800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公顷，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比上年增加800公顷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。农田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机收面积达到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76383公顷，比上年减少3193公顷。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农用柴油使用量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10100吨，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比上年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降低0.08%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。农业机械总动力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61.69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万千瓦，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与上年持平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</w:p>
    <w:p w14:paraId="3AAF9628">
      <w:pPr>
        <w:spacing w:line="360" w:lineRule="auto"/>
        <w:ind w:firstLine="643" w:firstLineChars="200"/>
        <w:rPr>
          <w:rFonts w:hint="eastAsia" w:ascii="仿宋_GB2312" w:hAnsi="仿宋" w:eastAsia="仿宋_GB2312" w:cs="仿宋"/>
          <w:b/>
          <w:bCs/>
          <w:sz w:val="32"/>
          <w:szCs w:val="32"/>
          <w:highlight w:val="none"/>
        </w:rPr>
      </w:pPr>
      <w:r>
        <w:rPr>
          <w:rFonts w:hint="eastAsia" w:ascii="仿宋_GB2312" w:hAnsi="仿宋" w:eastAsia="仿宋_GB2312" w:cs="仿宋"/>
          <w:b/>
          <w:bCs/>
          <w:sz w:val="32"/>
          <w:szCs w:val="32"/>
          <w:highlight w:val="none"/>
        </w:rPr>
        <w:t>三、工业和建筑业</w:t>
      </w:r>
    </w:p>
    <w:p w14:paraId="2B72656C">
      <w:pPr>
        <w:spacing w:line="360" w:lineRule="auto"/>
        <w:ind w:firstLine="640" w:firstLineChars="200"/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</w:rPr>
        <w:t>全年规模以上工业总产值比上年增长2.2%。按重点产业划分，菱镁产业总产值增长5.3%；滑石产业总产值增长10.9%；钢铁及深加工产业总产值增长5.2%；装备制造业总产值下降3.1%；农副产品加工产业总产值下降8.6%；纺织服装产业总产值增长1.6%；精细化工产业总产值增长5.5%。</w:t>
      </w:r>
    </w:p>
    <w:p w14:paraId="44B61E5A">
      <w:pPr>
        <w:spacing w:line="360" w:lineRule="auto"/>
        <w:ind w:firstLine="640" w:firstLineChars="200"/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</w:rPr>
        <w:t>全年规模以上重点工业产品产量中，化学试剂11716.5吨，比上年增长15.5%；饲料175.4万吨，比上年下降1.6%；布5629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.0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</w:rPr>
        <w:t>万米，比上年增长5.3%；服装203.3万件，比上年增长48.0%；耐火材料制品1090.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</w:rPr>
        <w:t>万吨，比上年下降14.6%；生铁143.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</w:rPr>
        <w:t>万吨，比上年增长8.9%；粗钢154.4万吨，比上年增长19.3%；钢材146.9万吨，比上年下降11.7%；泵68.8万台，比上年增长6.0%；矿山专用设备1.7万吨，比上年增长23.8%；初级形态塑料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6.9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</w:rPr>
        <w:t>万吨，比上年增长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27.6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</w:rPr>
        <w:t>%；水泥20.0万吨，比上年下降6.2%。</w:t>
      </w:r>
    </w:p>
    <w:p w14:paraId="6873635E">
      <w:pPr>
        <w:spacing w:line="360" w:lineRule="auto"/>
        <w:ind w:firstLine="640" w:firstLineChars="200"/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</w:rPr>
        <w:t>年末规模以上工业企业营业收入569.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</w:rPr>
        <w:t>亿元，比上年下降6.5%。实现利润15.2亿元，比上年增长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11.2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</w:rPr>
        <w:t>%。</w:t>
      </w:r>
    </w:p>
    <w:p w14:paraId="720D8AFF">
      <w:pPr>
        <w:spacing w:line="360" w:lineRule="auto"/>
        <w:ind w:firstLine="640" w:firstLineChars="200"/>
        <w:rPr>
          <w:rFonts w:hint="eastAsia" w:ascii="仿宋_GB2312" w:hAnsi="仿宋" w:eastAsia="仿宋_GB2312" w:cs="仿宋"/>
          <w:sz w:val="32"/>
          <w:szCs w:val="32"/>
          <w:highlight w:val="none"/>
          <w:lang w:eastAsia="zh-CN"/>
        </w:rPr>
      </w:pP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年末全市具有资质等级以上的总承包和专业承包建筑企业87个，全年签订工程合同额37.3亿元，比上年增长13.4%。房屋建筑施工面积115.1万平方米，比上年下降24.0%；竣工面积53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.0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万平方米，比上年下降24.2%。全年建筑业总产值30.5亿元，比上年增长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15.4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%。其中，建筑工程产值28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.0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亿元，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比上年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增长18.6%。建筑业竣工产值15.4亿元，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比上年增长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36.3%。</w:t>
      </w:r>
    </w:p>
    <w:p w14:paraId="08548FCB">
      <w:pPr>
        <w:tabs>
          <w:tab w:val="left" w:pos="1020"/>
        </w:tabs>
        <w:spacing w:line="360" w:lineRule="auto"/>
        <w:rPr>
          <w:rFonts w:hint="eastAsia" w:ascii="仿宋_GB2312" w:eastAsia="仿宋_GB2312"/>
          <w:color w:val="FF0000"/>
          <w:highlight w:val="none"/>
          <w:lang w:val="en-US" w:eastAsia="zh-CN"/>
        </w:rPr>
      </w:pPr>
      <w:r>
        <w:rPr>
          <w:rFonts w:hint="eastAsia" w:ascii="仿宋_GB2312" w:eastAsia="仿宋_GB2312"/>
          <w:color w:val="FF0000"/>
          <w:highlight w:val="none"/>
        </w:rPr>
        <w:object>
          <v:shape id="_x0000_i1026" o:spt="75" type="#_x0000_t75" style="height:250.15pt;width:444.4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Excel.Chart.8" ShapeID="_x0000_i1026" DrawAspect="Content" ObjectID="_1468075726" r:id="rId9">
            <o:LockedField>false</o:LockedField>
          </o:OLEObject>
        </w:object>
      </w:r>
      <w:r>
        <w:rPr>
          <w:rFonts w:hint="eastAsia" w:ascii="仿宋_GB2312" w:eastAsia="仿宋_GB2312"/>
          <w:color w:val="FF0000"/>
          <w:highlight w:val="none"/>
          <w:lang w:val="en-US" w:eastAsia="zh-CN"/>
        </w:rPr>
        <w:t xml:space="preserve">      </w:t>
      </w:r>
    </w:p>
    <w:p w14:paraId="6383772C">
      <w:pPr>
        <w:keepNext w:val="0"/>
        <w:keepLines w:val="0"/>
        <w:pageBreakBefore w:val="0"/>
        <w:widowControl w:val="0"/>
        <w:tabs>
          <w:tab w:val="left" w:pos="10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_GB2312" w:hAnsi="仿宋" w:eastAsia="仿宋_GB2312" w:cs="仿宋"/>
          <w:b/>
          <w:bCs/>
          <w:sz w:val="32"/>
          <w:szCs w:val="32"/>
          <w:highlight w:val="none"/>
        </w:rPr>
      </w:pPr>
      <w:r>
        <w:rPr>
          <w:rFonts w:hint="eastAsia" w:ascii="仿宋_GB2312" w:hAnsi="仿宋" w:eastAsia="仿宋_GB2312" w:cs="仿宋"/>
          <w:b/>
          <w:bCs/>
          <w:sz w:val="32"/>
          <w:szCs w:val="32"/>
          <w:highlight w:val="none"/>
        </w:rPr>
        <w:t>四、固定资产投资和房地产</w:t>
      </w:r>
    </w:p>
    <w:p w14:paraId="153B3124">
      <w:pPr>
        <w:spacing w:line="360" w:lineRule="auto"/>
        <w:ind w:firstLine="640" w:firstLineChars="200"/>
        <w:rPr>
          <w:rFonts w:hint="eastAsia" w:ascii="仿宋_GB2312" w:hAnsi="仿宋" w:eastAsia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/>
          <w:sz w:val="32"/>
          <w:szCs w:val="32"/>
          <w:highlight w:val="none"/>
        </w:rPr>
        <w:t>全年固定资产投资项目388个。其中建设项目321个，房地产项目67个。按项目规模划分，5000万元以下项目241个，5000万至1亿元项目43个，亿元以上项目98个，十亿元以上项目6个。</w:t>
      </w:r>
    </w:p>
    <w:p w14:paraId="01EB435B">
      <w:pPr>
        <w:spacing w:line="360" w:lineRule="auto"/>
        <w:ind w:firstLine="640" w:firstLineChars="200"/>
        <w:rPr>
          <w:rFonts w:hint="eastAsia" w:ascii="仿宋_GB2312" w:hAnsi="仿宋" w:eastAsia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/>
          <w:sz w:val="32"/>
          <w:szCs w:val="32"/>
          <w:highlight w:val="none"/>
        </w:rPr>
        <w:t>全年固定资产投资比上年增长4.1 %。其中建设项目投资比上年增加20.6%。</w:t>
      </w:r>
    </w:p>
    <w:p w14:paraId="236BF1BD">
      <w:pPr>
        <w:spacing w:line="360" w:lineRule="auto"/>
        <w:ind w:firstLine="640" w:firstLineChars="200"/>
        <w:rPr>
          <w:rFonts w:hint="eastAsia" w:ascii="仿宋_GB2312" w:hAnsi="仿宋" w:eastAsia="仿宋_GB2312"/>
          <w:sz w:val="32"/>
          <w:szCs w:val="32"/>
          <w:highlight w:val="yellow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highlight w:val="none"/>
        </w:rPr>
        <w:t>按产业划分，第一产业投资比上年增长10.2 %；第二产业投资比上年增长18.2%；第三产业投资比上年下降12.5%。</w:t>
      </w:r>
    </w:p>
    <w:p w14:paraId="189FB1C8">
      <w:pPr>
        <w:spacing w:line="360" w:lineRule="auto"/>
        <w:rPr>
          <w:rFonts w:hint="default" w:ascii="Times New Roman" w:hAnsi="Times New Roman" w:eastAsia="仿宋_GB2312" w:cs="Times New Roman"/>
          <w:sz w:val="21"/>
          <w:szCs w:val="21"/>
          <w:highlight w:val="none"/>
          <w:lang w:val="en-US" w:eastAsia="zh-CN"/>
        </w:rPr>
      </w:pPr>
      <w:r>
        <w:rPr>
          <w:highlight w:val="none"/>
        </w:rPr>
        <w:object>
          <v:shape id="_x0000_i1027" o:spt="75" type="#_x0000_t75" style="height:228.45pt;width:447.25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Excel.Chart.8" ShapeID="_x0000_i1027" DrawAspect="Content" ObjectID="_1468075727" r:id="rId11">
            <o:LockedField>false</o:LockedField>
          </o:OLEObject>
        </w:object>
      </w:r>
    </w:p>
    <w:p w14:paraId="0324A2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highlight w:val="none"/>
        </w:rPr>
        <w:t>全年房地产开发经营企业60家，房地产开发投资比上年下降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32.3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%。全年商品房施工面积426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.0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万平方米，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比上年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增长3.7%；商品房竣工面积85.4万平方米，比上年增长114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.0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%；商品房销售面积59.5万平方米，比上年下降19.4%；商品房销售额32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.0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亿元，比上年下降16.6%。</w:t>
      </w:r>
    </w:p>
    <w:p w14:paraId="130A9855">
      <w:pPr>
        <w:spacing w:line="360" w:lineRule="auto"/>
        <w:ind w:firstLine="643" w:firstLineChars="200"/>
        <w:rPr>
          <w:rFonts w:hint="eastAsia" w:ascii="仿宋_GB2312" w:hAnsi="仿宋" w:eastAsia="仿宋_GB2312" w:cs="仿宋"/>
          <w:b/>
          <w:bCs/>
          <w:sz w:val="32"/>
          <w:szCs w:val="32"/>
          <w:highlight w:val="none"/>
        </w:rPr>
      </w:pPr>
      <w:r>
        <w:rPr>
          <w:rFonts w:hint="eastAsia" w:ascii="仿宋_GB2312" w:hAnsi="仿宋" w:eastAsia="仿宋_GB2312" w:cs="仿宋"/>
          <w:b/>
          <w:bCs/>
          <w:sz w:val="32"/>
          <w:szCs w:val="32"/>
          <w:highlight w:val="none"/>
        </w:rPr>
        <w:t>五、国内贸易</w:t>
      </w:r>
    </w:p>
    <w:p w14:paraId="72BD0A75">
      <w:pPr>
        <w:spacing w:line="360" w:lineRule="auto"/>
        <w:ind w:firstLine="640" w:firstLineChars="200"/>
        <w:rPr>
          <w:rFonts w:hint="eastAsia" w:ascii="仿宋_GB2312" w:hAnsi="仿宋" w:eastAsia="仿宋_GB2312" w:cs="仿宋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" w:eastAsia="仿宋_GB2312" w:cs="仿宋"/>
          <w:sz w:val="32"/>
          <w:szCs w:val="32"/>
          <w:highlight w:val="none"/>
          <w:shd w:val="clear" w:color="auto" w:fill="FFFFFF"/>
        </w:rPr>
        <w:t>全年社会消费品零售总额386.6亿元，比上年下降0.5%。其中：限额以上社会消费品零售额46.8亿元，比上年下降36.5%。</w:t>
      </w:r>
    </w:p>
    <w:p w14:paraId="7A59FB83">
      <w:pPr>
        <w:spacing w:line="360" w:lineRule="auto"/>
        <w:ind w:firstLine="640" w:firstLineChars="200"/>
        <w:rPr>
          <w:rFonts w:hint="eastAsia" w:ascii="仿宋_GB2312" w:hAnsi="仿宋" w:eastAsia="仿宋_GB2312" w:cs="仿宋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" w:eastAsia="仿宋_GB2312" w:cs="仿宋"/>
          <w:sz w:val="32"/>
          <w:szCs w:val="32"/>
          <w:highlight w:val="none"/>
          <w:shd w:val="clear" w:color="auto" w:fill="FFFFFF"/>
        </w:rPr>
        <w:t xml:space="preserve">限额以上社会消费品零售额按城乡划分，城镇市场消费品零售额38.9亿元，比上年下降34.5%；乡村市场消费品零售额7.9亿元，比上年下降44.8%。 </w:t>
      </w:r>
    </w:p>
    <w:p w14:paraId="1F57FCB2">
      <w:pPr>
        <w:spacing w:line="360" w:lineRule="auto"/>
        <w:ind w:firstLine="640" w:firstLineChars="200"/>
        <w:rPr>
          <w:rFonts w:hint="eastAsia" w:ascii="仿宋_GB2312" w:eastAsia="仿宋_GB2312"/>
          <w:color w:val="FF0000"/>
          <w:highlight w:val="none"/>
          <w:lang w:eastAsia="zh-CN"/>
        </w:rPr>
      </w:pPr>
      <w:r>
        <w:rPr>
          <w:rFonts w:hint="eastAsia" w:ascii="仿宋_GB2312" w:hAnsi="仿宋" w:eastAsia="仿宋_GB2312" w:cs="仿宋"/>
          <w:sz w:val="32"/>
          <w:szCs w:val="32"/>
          <w:highlight w:val="none"/>
          <w:shd w:val="clear" w:color="auto" w:fill="FFFFFF"/>
        </w:rPr>
        <w:t>限额以上社会消费品零售额按消费类型划分，批发业零售额5.3亿元，比上年下降48.3%；零售业零售额37.6亿元，比上年下降35.9%；住宿业零售额0.1亿元，比上年下降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shd w:val="clear" w:color="auto" w:fill="FFFFFF"/>
          <w:lang w:val="en-US" w:eastAsia="zh-CN"/>
        </w:rPr>
        <w:t>75.6%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shd w:val="clear" w:color="auto" w:fill="FFFFFF"/>
        </w:rPr>
        <w:t>；餐饮业零售额3.7亿元，比上年下降9.1%。</w:t>
      </w:r>
    </w:p>
    <w:p w14:paraId="5548711F">
      <w:pPr>
        <w:spacing w:line="360" w:lineRule="auto"/>
        <w:rPr>
          <w:rFonts w:hint="eastAsia"/>
          <w:highlight w:val="none"/>
        </w:rPr>
      </w:pPr>
      <w:r>
        <w:rPr>
          <w:highlight w:val="none"/>
        </w:rPr>
        <w:object>
          <v:shape id="_x0000_i1028" o:spt="75" type="#_x0000_t75" style="height:232.1pt;width:447.25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Excel.Chart.8" ShapeID="_x0000_i1028" DrawAspect="Content" ObjectID="_1468075728" r:id="rId13">
            <o:LockedField>false</o:LockedField>
          </o:OLEObject>
        </w:object>
      </w:r>
    </w:p>
    <w:p w14:paraId="4391A175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在限额以上企业商品零售额中，粮油、食品类零售额比上年下降52.4%，服装、鞋帽、针纺织品类比上年下降46.6%，化妆品类比上年下降21.2%，日用品类比上年下降53.9%，家用电器和音像器材类比上年增长22.2%，中西药品类比上年下降34.3%，文化办公用品类比上年下降87.4%，汽车类比上年下降0.8%。</w:t>
      </w:r>
    </w:p>
    <w:p w14:paraId="537293C0">
      <w:pPr>
        <w:ind w:firstLine="640" w:firstLineChars="200"/>
        <w:rPr>
          <w:highlight w:val="yellow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年末超亿元市场3个，年成交额1002.2亿元，比上年增长11.4%。其中，西柳服装市场成交额900.3亿元，比上年增长12.1%；南台箱包市场成交额96.5亿元，比上年增长6.0%；海城建材市场成交额5.4亿元，比上年增长8.0%。</w:t>
      </w:r>
    </w:p>
    <w:p w14:paraId="7E1E188C">
      <w:pPr>
        <w:ind w:firstLine="643" w:firstLineChars="200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六、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交通运输和旅游</w:t>
      </w:r>
    </w:p>
    <w:p w14:paraId="693B5E2A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全年全社会公路旅客运输总量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3177.2万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公路货运量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11358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万吨，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比上年增长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5.5%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。</w:t>
      </w:r>
    </w:p>
    <w:p w14:paraId="39A1DC3E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共有各级公路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2462.3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公里，其中：国家级公路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38.4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公里，省级公路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266.9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公里，县级公路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207.3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公里，乡级公路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 680.5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公里，村级公路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1269.1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公里。共有桥梁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915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座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28464.2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延米，其中：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特大桥1座2567.0延米，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大桥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36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座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9303.5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延米，中桥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123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座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6481.1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延米，小桥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755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座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10112.6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延米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</w:p>
    <w:p w14:paraId="181582BB">
      <w:pPr>
        <w:spacing w:line="360" w:lineRule="auto"/>
        <w:ind w:firstLine="200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  年末机动车保有量达到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224736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辆。其中汽车保有量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181714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辆；摩托车保有量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29830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辆；挂车保有量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13184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辆。</w:t>
      </w:r>
    </w:p>
    <w:p w14:paraId="5BCC1713">
      <w:pPr>
        <w:ind w:firstLine="640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全年接待国内外游客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1617.2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万人次，比上年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增长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35.0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%。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旅游总收入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120.1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亿元，比上年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增长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25.0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%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none"/>
        </w:rPr>
        <w:t>。</w:t>
      </w:r>
    </w:p>
    <w:p w14:paraId="11FFA8A7">
      <w:pPr>
        <w:spacing w:line="360" w:lineRule="auto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七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财政金融</w:t>
      </w:r>
    </w:p>
    <w:p w14:paraId="0D8D3B49">
      <w:pPr>
        <w:shd w:val="solid" w:color="FFFFFF" w:fill="auto"/>
        <w:autoSpaceDN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全年地区财政收入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70.2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亿元，比上年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增长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5.8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%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地方财政收入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53.1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亿元，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比上年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增长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6.0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%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一般公共预算收入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42.6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亿元，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比上年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增长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8.6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%。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基金预算收入10.5亿元，比上年增长27.9%。</w:t>
      </w:r>
    </w:p>
    <w:p w14:paraId="0B9646FF">
      <w:pPr>
        <w:shd w:val="solid" w:color="FFFFFF" w:fill="auto"/>
        <w:autoSpaceDN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yellow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全年一般公共预算支出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77.4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亿元，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比上年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增长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2.9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%。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其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中，一般公共服务支出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7.5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亿元，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增长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1.8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%；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公共安全支出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3.3亿元，增长11.6%；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教育支出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9.8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亿元，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增长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5.6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%；科学技术支出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0.1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亿元，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下降51.8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%；社会保障和就业支出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17.1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亿元，增长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25.9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%；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卫生健康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支出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3.2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亿元，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下降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31.9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%；城乡社区支出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13.3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亿元，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下降11.8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%；节能环保支出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0.9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亿元，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下降28.8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%；农林水支出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8.1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亿元，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下降2.5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%。</w:t>
      </w:r>
    </w:p>
    <w:p w14:paraId="442F4C55"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—20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地方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财政收入及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一般公共预算收入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(亿元)</w:t>
      </w:r>
    </w:p>
    <w:tbl>
      <w:tblPr>
        <w:tblStyle w:val="5"/>
        <w:tblW w:w="8804" w:type="dxa"/>
        <w:tblInd w:w="93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2"/>
        <w:gridCol w:w="1276"/>
        <w:gridCol w:w="1418"/>
        <w:gridCol w:w="1417"/>
        <w:gridCol w:w="1276"/>
        <w:gridCol w:w="1275"/>
      </w:tblGrid>
      <w:tr w14:paraId="1B10ABA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2142" w:type="dxa"/>
            <w:noWrap w:val="0"/>
            <w:vAlign w:val="center"/>
          </w:tcPr>
          <w:p w14:paraId="6A4A2BB1">
            <w:pPr>
              <w:widowControl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年  份</w:t>
            </w:r>
          </w:p>
        </w:tc>
        <w:tc>
          <w:tcPr>
            <w:tcW w:w="1276" w:type="dxa"/>
            <w:noWrap w:val="0"/>
            <w:vAlign w:val="center"/>
          </w:tcPr>
          <w:p w14:paraId="0BDF12CE">
            <w:pPr>
              <w:widowControl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1418" w:type="dxa"/>
            <w:noWrap w:val="0"/>
            <w:vAlign w:val="center"/>
          </w:tcPr>
          <w:p w14:paraId="76D63D42">
            <w:pPr>
              <w:widowControl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32"/>
                <w:szCs w:val="3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1417" w:type="dxa"/>
            <w:noWrap w:val="0"/>
            <w:vAlign w:val="center"/>
          </w:tcPr>
          <w:p w14:paraId="35EB36A1">
            <w:pPr>
              <w:widowControl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32"/>
                <w:szCs w:val="3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1276" w:type="dxa"/>
            <w:noWrap w:val="0"/>
            <w:vAlign w:val="center"/>
          </w:tcPr>
          <w:p w14:paraId="1F20DADA">
            <w:pPr>
              <w:widowControl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32"/>
                <w:szCs w:val="3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1275" w:type="dxa"/>
            <w:noWrap w:val="0"/>
            <w:vAlign w:val="center"/>
          </w:tcPr>
          <w:p w14:paraId="1444313D">
            <w:pPr>
              <w:widowControl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</w:tr>
      <w:tr w14:paraId="223CEB2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2142" w:type="dxa"/>
            <w:noWrap w:val="0"/>
            <w:vAlign w:val="center"/>
          </w:tcPr>
          <w:p w14:paraId="57C2F7F8">
            <w:pPr>
              <w:widowControl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地方财政收入</w:t>
            </w:r>
          </w:p>
        </w:tc>
        <w:tc>
          <w:tcPr>
            <w:tcW w:w="1276" w:type="dxa"/>
            <w:noWrap w:val="0"/>
            <w:vAlign w:val="center"/>
          </w:tcPr>
          <w:p w14:paraId="2D134326">
            <w:pPr>
              <w:widowControl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32"/>
                <w:szCs w:val="3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44.1</w:t>
            </w:r>
          </w:p>
        </w:tc>
        <w:tc>
          <w:tcPr>
            <w:tcW w:w="1418" w:type="dxa"/>
            <w:noWrap w:val="0"/>
            <w:vAlign w:val="center"/>
          </w:tcPr>
          <w:p w14:paraId="1AE88C7B">
            <w:pPr>
              <w:widowControl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63.9</w:t>
            </w:r>
          </w:p>
        </w:tc>
        <w:tc>
          <w:tcPr>
            <w:tcW w:w="1417" w:type="dxa"/>
            <w:noWrap w:val="0"/>
            <w:vAlign w:val="center"/>
          </w:tcPr>
          <w:p w14:paraId="02EB9FC0">
            <w:pPr>
              <w:widowControl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48.9</w:t>
            </w:r>
          </w:p>
        </w:tc>
        <w:tc>
          <w:tcPr>
            <w:tcW w:w="1276" w:type="dxa"/>
            <w:noWrap w:val="0"/>
            <w:vAlign w:val="center"/>
          </w:tcPr>
          <w:p w14:paraId="2C270E7C">
            <w:pPr>
              <w:widowControl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50.1</w:t>
            </w:r>
          </w:p>
        </w:tc>
        <w:tc>
          <w:tcPr>
            <w:tcW w:w="1275" w:type="dxa"/>
            <w:noWrap w:val="0"/>
            <w:vAlign w:val="center"/>
          </w:tcPr>
          <w:p w14:paraId="68F67A43">
            <w:pPr>
              <w:widowControl/>
              <w:spacing w:line="360" w:lineRule="auto"/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53.1</w:t>
            </w:r>
          </w:p>
        </w:tc>
      </w:tr>
      <w:tr w14:paraId="42C310C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8" w:hRule="atLeast"/>
        </w:trPr>
        <w:tc>
          <w:tcPr>
            <w:tcW w:w="2142" w:type="dxa"/>
            <w:noWrap w:val="0"/>
            <w:vAlign w:val="center"/>
          </w:tcPr>
          <w:p w14:paraId="58D1CA8D">
            <w:pPr>
              <w:widowControl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一般公共</w:t>
            </w:r>
          </w:p>
          <w:p w14:paraId="60DF76FA">
            <w:pPr>
              <w:widowControl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预算收入</w:t>
            </w:r>
          </w:p>
        </w:tc>
        <w:tc>
          <w:tcPr>
            <w:tcW w:w="1276" w:type="dxa"/>
            <w:noWrap w:val="0"/>
            <w:vAlign w:val="center"/>
          </w:tcPr>
          <w:p w14:paraId="4E980BE5">
            <w:pPr>
              <w:widowControl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32"/>
                <w:szCs w:val="3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34.2</w:t>
            </w:r>
          </w:p>
        </w:tc>
        <w:tc>
          <w:tcPr>
            <w:tcW w:w="1418" w:type="dxa"/>
            <w:noWrap w:val="0"/>
            <w:vAlign w:val="center"/>
          </w:tcPr>
          <w:p w14:paraId="709B8BB5">
            <w:pPr>
              <w:widowControl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35.9</w:t>
            </w:r>
          </w:p>
        </w:tc>
        <w:tc>
          <w:tcPr>
            <w:tcW w:w="1417" w:type="dxa"/>
            <w:noWrap w:val="0"/>
            <w:vAlign w:val="center"/>
          </w:tcPr>
          <w:p w14:paraId="14D5B184">
            <w:pPr>
              <w:widowControl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30.1</w:t>
            </w:r>
          </w:p>
        </w:tc>
        <w:tc>
          <w:tcPr>
            <w:tcW w:w="1276" w:type="dxa"/>
            <w:noWrap w:val="0"/>
            <w:vAlign w:val="center"/>
          </w:tcPr>
          <w:p w14:paraId="024551B3">
            <w:pPr>
              <w:widowControl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39.2</w:t>
            </w:r>
          </w:p>
        </w:tc>
        <w:tc>
          <w:tcPr>
            <w:tcW w:w="1275" w:type="dxa"/>
            <w:noWrap w:val="0"/>
            <w:vAlign w:val="center"/>
          </w:tcPr>
          <w:p w14:paraId="032563AC">
            <w:pPr>
              <w:widowControl/>
              <w:spacing w:line="360" w:lineRule="auto"/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42.6</w:t>
            </w:r>
          </w:p>
        </w:tc>
      </w:tr>
    </w:tbl>
    <w:p w14:paraId="0599499F">
      <w:pPr>
        <w:ind w:firstLine="640"/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</w:rPr>
        <w:t>年末金融机构本外币各项存款余额为1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  <w:lang w:val="en-US" w:eastAsia="zh-CN"/>
        </w:rPr>
        <w:t>521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</w:rPr>
        <w:t>.5亿元，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  <w:lang w:eastAsia="zh-CN"/>
        </w:rPr>
        <w:t>比年初增加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  <w:lang w:val="en-US" w:eastAsia="zh-CN"/>
        </w:rPr>
        <w:t>94.9亿元，比上年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</w:rPr>
        <w:t>增长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  <w:lang w:val="en-US" w:eastAsia="zh-CN"/>
        </w:rPr>
        <w:t>6.7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</w:rPr>
        <w:t>%。其中，个人存款余额为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  <w:lang w:val="en-US" w:eastAsia="zh-CN"/>
        </w:rPr>
        <w:t>1348.6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</w:rPr>
        <w:t>亿元，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  <w:lang w:eastAsia="zh-CN"/>
        </w:rPr>
        <w:t>比年初增加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  <w:lang w:val="en-US" w:eastAsia="zh-CN"/>
        </w:rPr>
        <w:t>83.2亿元，比上年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</w:rPr>
        <w:t>增长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  <w:lang w:val="en-US" w:eastAsia="zh-CN"/>
        </w:rPr>
        <w:t>6.6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</w:rPr>
        <w:t>%。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  <w:lang w:eastAsia="zh-CN"/>
        </w:rPr>
        <w:t>人民币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</w:rPr>
        <w:t>各项存款余额为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  <w:lang w:val="en-US" w:eastAsia="zh-CN"/>
        </w:rPr>
        <w:t>1490.9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</w:rPr>
        <w:t>亿元，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  <w:lang w:eastAsia="zh-CN"/>
        </w:rPr>
        <w:t>比年初增加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  <w:lang w:val="en-US" w:eastAsia="zh-CN"/>
        </w:rPr>
        <w:t>66.3亿元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</w:rPr>
        <w:t>。其中，个人存款余额为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  <w:lang w:val="en-US" w:eastAsia="zh-CN"/>
        </w:rPr>
        <w:t>1330.6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</w:rPr>
        <w:t>亿元，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  <w:lang w:eastAsia="zh-CN"/>
        </w:rPr>
        <w:t>比年初增加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  <w:lang w:val="en-US" w:eastAsia="zh-CN"/>
        </w:rPr>
        <w:t>66.0亿元</w:t>
      </w:r>
      <w:r>
        <w:rPr>
          <w:rFonts w:hint="eastAsia" w:ascii="仿宋_GB2312" w:hAnsi="仿宋_GB2312" w:eastAsia="仿宋_GB2312" w:cs="仿宋_GB2312"/>
          <w:snapToGrid w:val="0"/>
          <w:spacing w:val="-20"/>
          <w:kern w:val="0"/>
          <w:sz w:val="32"/>
          <w:szCs w:val="32"/>
          <w:highlight w:val="none"/>
        </w:rPr>
        <w:t>。</w:t>
      </w:r>
    </w:p>
    <w:p w14:paraId="0E60B9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textAlignment w:val="auto"/>
        <w:rPr>
          <w:rFonts w:hint="eastAsia"/>
          <w:highlight w:val="none"/>
          <w:lang w:eastAsia="zh-CN"/>
        </w:rPr>
      </w:pPr>
      <w:r>
        <w:rPr>
          <w:highlight w:val="none"/>
        </w:rPr>
        <w:object>
          <v:shape id="_x0000_i1029" o:spt="75" type="#_x0000_t75" style="height:229.6pt;width:442.65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Excel.Chart.8" ShapeID="_x0000_i1029" DrawAspect="Content" ObjectID="_1468075729" r:id="rId15">
            <o:LockedField>false</o:LockedField>
          </o:OLEObject>
        </w:object>
      </w:r>
    </w:p>
    <w:tbl>
      <w:tblPr>
        <w:tblStyle w:val="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51"/>
        <w:gridCol w:w="625"/>
        <w:gridCol w:w="609"/>
        <w:gridCol w:w="594"/>
        <w:gridCol w:w="624"/>
        <w:gridCol w:w="624"/>
        <w:gridCol w:w="595"/>
        <w:gridCol w:w="608"/>
        <w:gridCol w:w="579"/>
        <w:gridCol w:w="608"/>
        <w:gridCol w:w="579"/>
        <w:gridCol w:w="608"/>
        <w:gridCol w:w="656"/>
      </w:tblGrid>
      <w:tr w14:paraId="733AA1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351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1A29AD33">
            <w:pPr>
              <w:jc w:val="center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</w:p>
        </w:tc>
        <w:tc>
          <w:tcPr>
            <w:tcW w:w="625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7849C1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1月</w:t>
            </w:r>
          </w:p>
        </w:tc>
        <w:tc>
          <w:tcPr>
            <w:tcW w:w="609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2C9E228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2月</w:t>
            </w:r>
          </w:p>
        </w:tc>
        <w:tc>
          <w:tcPr>
            <w:tcW w:w="594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3269DC9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3月</w:t>
            </w:r>
          </w:p>
        </w:tc>
        <w:tc>
          <w:tcPr>
            <w:tcW w:w="624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1AA8B5B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4月</w:t>
            </w:r>
          </w:p>
        </w:tc>
        <w:tc>
          <w:tcPr>
            <w:tcW w:w="624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34F987E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5月</w:t>
            </w:r>
          </w:p>
        </w:tc>
        <w:tc>
          <w:tcPr>
            <w:tcW w:w="595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2E63345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6月</w:t>
            </w:r>
          </w:p>
        </w:tc>
        <w:tc>
          <w:tcPr>
            <w:tcW w:w="608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33E9984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7月</w:t>
            </w:r>
          </w:p>
        </w:tc>
        <w:tc>
          <w:tcPr>
            <w:tcW w:w="579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5BAE04D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8月</w:t>
            </w:r>
          </w:p>
        </w:tc>
        <w:tc>
          <w:tcPr>
            <w:tcW w:w="608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2C6AC1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9月</w:t>
            </w:r>
          </w:p>
        </w:tc>
        <w:tc>
          <w:tcPr>
            <w:tcW w:w="579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054D391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10月</w:t>
            </w:r>
          </w:p>
        </w:tc>
        <w:tc>
          <w:tcPr>
            <w:tcW w:w="608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38F4B27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11月</w:t>
            </w:r>
          </w:p>
        </w:tc>
        <w:tc>
          <w:tcPr>
            <w:tcW w:w="656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7C86B9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12月</w:t>
            </w:r>
          </w:p>
        </w:tc>
      </w:tr>
      <w:tr w14:paraId="6FB382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351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27E3E131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2022年增速</w:t>
            </w:r>
          </w:p>
        </w:tc>
        <w:tc>
          <w:tcPr>
            <w:tcW w:w="625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4D0CB984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10.7</w:t>
            </w:r>
          </w:p>
        </w:tc>
        <w:tc>
          <w:tcPr>
            <w:tcW w:w="609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6CF75D3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11.1</w:t>
            </w:r>
          </w:p>
        </w:tc>
        <w:tc>
          <w:tcPr>
            <w:tcW w:w="594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552D26F7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10.5</w:t>
            </w:r>
          </w:p>
        </w:tc>
        <w:tc>
          <w:tcPr>
            <w:tcW w:w="624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5F5BD2FD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10.4</w:t>
            </w:r>
          </w:p>
        </w:tc>
        <w:tc>
          <w:tcPr>
            <w:tcW w:w="624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5361AE25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8.9</w:t>
            </w:r>
          </w:p>
        </w:tc>
        <w:tc>
          <w:tcPr>
            <w:tcW w:w="595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408478A1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8.2</w:t>
            </w:r>
          </w:p>
        </w:tc>
        <w:tc>
          <w:tcPr>
            <w:tcW w:w="608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5930C88B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8.0</w:t>
            </w:r>
          </w:p>
        </w:tc>
        <w:tc>
          <w:tcPr>
            <w:tcW w:w="579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0950CB26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8.5</w:t>
            </w:r>
          </w:p>
        </w:tc>
        <w:tc>
          <w:tcPr>
            <w:tcW w:w="608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403A0A06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7.6</w:t>
            </w:r>
          </w:p>
        </w:tc>
        <w:tc>
          <w:tcPr>
            <w:tcW w:w="579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EF3319A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8.3</w:t>
            </w:r>
          </w:p>
        </w:tc>
        <w:tc>
          <w:tcPr>
            <w:tcW w:w="608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5AF5CAFA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7.5</w:t>
            </w:r>
          </w:p>
        </w:tc>
        <w:tc>
          <w:tcPr>
            <w:tcW w:w="656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4EE0F942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6.6</w:t>
            </w:r>
          </w:p>
        </w:tc>
      </w:tr>
      <w:tr w14:paraId="6565E2B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351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301A92E3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2023年增速</w:t>
            </w:r>
          </w:p>
        </w:tc>
        <w:tc>
          <w:tcPr>
            <w:tcW w:w="625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522C69C4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6.2</w:t>
            </w:r>
          </w:p>
        </w:tc>
        <w:tc>
          <w:tcPr>
            <w:tcW w:w="609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004ACD02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6.4</w:t>
            </w:r>
          </w:p>
        </w:tc>
        <w:tc>
          <w:tcPr>
            <w:tcW w:w="594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56175646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6.2</w:t>
            </w:r>
          </w:p>
        </w:tc>
        <w:tc>
          <w:tcPr>
            <w:tcW w:w="624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5F6D84C7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6.7</w:t>
            </w:r>
          </w:p>
        </w:tc>
        <w:tc>
          <w:tcPr>
            <w:tcW w:w="624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E1A3636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8.1</w:t>
            </w:r>
          </w:p>
        </w:tc>
        <w:tc>
          <w:tcPr>
            <w:tcW w:w="595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3ADD8353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8.3</w:t>
            </w:r>
          </w:p>
        </w:tc>
        <w:tc>
          <w:tcPr>
            <w:tcW w:w="608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73324E87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8.4</w:t>
            </w:r>
          </w:p>
        </w:tc>
        <w:tc>
          <w:tcPr>
            <w:tcW w:w="579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26D1A2C3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7.6</w:t>
            </w:r>
          </w:p>
        </w:tc>
        <w:tc>
          <w:tcPr>
            <w:tcW w:w="608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17915703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7.2</w:t>
            </w:r>
          </w:p>
        </w:tc>
        <w:tc>
          <w:tcPr>
            <w:tcW w:w="579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312C4F0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7.3</w:t>
            </w:r>
          </w:p>
        </w:tc>
        <w:tc>
          <w:tcPr>
            <w:tcW w:w="608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17410B13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7.9</w:t>
            </w:r>
          </w:p>
        </w:tc>
        <w:tc>
          <w:tcPr>
            <w:tcW w:w="656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E5CD634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8.1</w:t>
            </w:r>
          </w:p>
        </w:tc>
      </w:tr>
      <w:tr w14:paraId="2AF0D5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351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4CA3D5CF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2024年增速</w:t>
            </w:r>
          </w:p>
        </w:tc>
        <w:tc>
          <w:tcPr>
            <w:tcW w:w="625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3DA16859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6.8</w:t>
            </w:r>
          </w:p>
        </w:tc>
        <w:tc>
          <w:tcPr>
            <w:tcW w:w="609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384E48B1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5.5</w:t>
            </w:r>
          </w:p>
        </w:tc>
        <w:tc>
          <w:tcPr>
            <w:tcW w:w="594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366E78B7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5.7</w:t>
            </w:r>
          </w:p>
        </w:tc>
        <w:tc>
          <w:tcPr>
            <w:tcW w:w="624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18DB2EB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5.5</w:t>
            </w:r>
          </w:p>
        </w:tc>
        <w:tc>
          <w:tcPr>
            <w:tcW w:w="624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31A3590A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5.7</w:t>
            </w:r>
          </w:p>
        </w:tc>
        <w:tc>
          <w:tcPr>
            <w:tcW w:w="595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7E0D0837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6.3</w:t>
            </w:r>
          </w:p>
        </w:tc>
        <w:tc>
          <w:tcPr>
            <w:tcW w:w="608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2120AFCF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6.7</w:t>
            </w:r>
          </w:p>
        </w:tc>
        <w:tc>
          <w:tcPr>
            <w:tcW w:w="579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829AFEF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7.1</w:t>
            </w:r>
          </w:p>
        </w:tc>
        <w:tc>
          <w:tcPr>
            <w:tcW w:w="608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3351F7B9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7.0</w:t>
            </w:r>
          </w:p>
        </w:tc>
        <w:tc>
          <w:tcPr>
            <w:tcW w:w="579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63D9164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7.9</w:t>
            </w:r>
          </w:p>
        </w:tc>
        <w:tc>
          <w:tcPr>
            <w:tcW w:w="608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4B88CD90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7.2</w:t>
            </w:r>
          </w:p>
        </w:tc>
        <w:tc>
          <w:tcPr>
            <w:tcW w:w="656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shd w:val="clear" w:color="000000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473449D6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6.7</w:t>
            </w:r>
          </w:p>
        </w:tc>
      </w:tr>
    </w:tbl>
    <w:p w14:paraId="7F3DC1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_GB2312" w:hAnsi="仿宋" w:eastAsia="仿宋_GB2312"/>
          <w:snapToGrid w:val="0"/>
          <w:spacing w:val="-2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" w:eastAsia="仿宋_GB2312"/>
          <w:snapToGrid w:val="0"/>
          <w:spacing w:val="-20"/>
          <w:kern w:val="0"/>
          <w:sz w:val="32"/>
          <w:szCs w:val="32"/>
          <w:highlight w:val="none"/>
          <w:lang w:val="en-US" w:eastAsia="zh-CN"/>
        </w:rPr>
        <w:t>年末金融机构本外币各项贷款余额为542.9亿元，比年初减少7.9亿元，比上年降低1.4%。其中，各项短期贷款余额为189.2亿元，比年初减少70.8亿元，比上年降低27.2%。人民币各项贷款余额为542.9亿元，比年初减少7.9亿元。其中，各项短期贷款余额为189.2亿元，比年初减少70.8亿元。</w:t>
      </w:r>
    </w:p>
    <w:p w14:paraId="38DE63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/>
          <w:highlight w:val="none"/>
        </w:rPr>
      </w:pPr>
      <w:r>
        <w:rPr>
          <w:highlight w:val="none"/>
        </w:rPr>
        <w:object>
          <v:shape id="_x0000_i1030" o:spt="75" type="#_x0000_t75" style="height:225.9pt;width:442.65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Excel.Chart.8" ShapeID="_x0000_i1030" DrawAspect="Content" ObjectID="_1468075730" r:id="rId17">
            <o:LockedField>false</o:LockedField>
          </o:OLEObject>
        </w:object>
      </w:r>
    </w:p>
    <w:tbl>
      <w:tblPr>
        <w:tblStyle w:val="5"/>
        <w:tblW w:w="8893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41"/>
        <w:gridCol w:w="726"/>
        <w:gridCol w:w="676"/>
        <w:gridCol w:w="661"/>
        <w:gridCol w:w="645"/>
        <w:gridCol w:w="660"/>
        <w:gridCol w:w="628"/>
        <w:gridCol w:w="629"/>
        <w:gridCol w:w="646"/>
        <w:gridCol w:w="628"/>
        <w:gridCol w:w="579"/>
        <w:gridCol w:w="646"/>
        <w:gridCol w:w="628"/>
      </w:tblGrid>
      <w:tr w14:paraId="795B17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1141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2A177D7A">
            <w:pPr>
              <w:jc w:val="center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</w:p>
        </w:tc>
        <w:tc>
          <w:tcPr>
            <w:tcW w:w="726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753A0F1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1月</w:t>
            </w:r>
          </w:p>
        </w:tc>
        <w:tc>
          <w:tcPr>
            <w:tcW w:w="676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371519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2月</w:t>
            </w:r>
          </w:p>
        </w:tc>
        <w:tc>
          <w:tcPr>
            <w:tcW w:w="661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76AD8EA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3月</w:t>
            </w:r>
          </w:p>
        </w:tc>
        <w:tc>
          <w:tcPr>
            <w:tcW w:w="645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4C2EE5C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4月</w:t>
            </w:r>
          </w:p>
        </w:tc>
        <w:tc>
          <w:tcPr>
            <w:tcW w:w="660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F0F30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5月</w:t>
            </w:r>
          </w:p>
        </w:tc>
        <w:tc>
          <w:tcPr>
            <w:tcW w:w="628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AAA61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6月</w:t>
            </w:r>
          </w:p>
        </w:tc>
        <w:tc>
          <w:tcPr>
            <w:tcW w:w="629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2DBA143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7月</w:t>
            </w:r>
          </w:p>
        </w:tc>
        <w:tc>
          <w:tcPr>
            <w:tcW w:w="646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2F5866F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8月</w:t>
            </w:r>
          </w:p>
        </w:tc>
        <w:tc>
          <w:tcPr>
            <w:tcW w:w="628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2709AB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9月</w:t>
            </w:r>
          </w:p>
        </w:tc>
        <w:tc>
          <w:tcPr>
            <w:tcW w:w="579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1B2F93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10月</w:t>
            </w:r>
          </w:p>
        </w:tc>
        <w:tc>
          <w:tcPr>
            <w:tcW w:w="646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5707A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11月</w:t>
            </w:r>
          </w:p>
        </w:tc>
        <w:tc>
          <w:tcPr>
            <w:tcW w:w="628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4E2EDD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12月</w:t>
            </w:r>
          </w:p>
        </w:tc>
      </w:tr>
      <w:tr w14:paraId="40440A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  <w:jc w:val="center"/>
        </w:trPr>
        <w:tc>
          <w:tcPr>
            <w:tcW w:w="1141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181154AC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2022年增速</w:t>
            </w:r>
          </w:p>
        </w:tc>
        <w:tc>
          <w:tcPr>
            <w:tcW w:w="726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3CB3916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-1.2</w:t>
            </w:r>
          </w:p>
        </w:tc>
        <w:tc>
          <w:tcPr>
            <w:tcW w:w="676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4F2082CA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-2.7</w:t>
            </w:r>
          </w:p>
        </w:tc>
        <w:tc>
          <w:tcPr>
            <w:tcW w:w="661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150CF99D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0.9</w:t>
            </w:r>
          </w:p>
        </w:tc>
        <w:tc>
          <w:tcPr>
            <w:tcW w:w="645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31A53186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-1.5</w:t>
            </w:r>
          </w:p>
        </w:tc>
        <w:tc>
          <w:tcPr>
            <w:tcW w:w="660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1138D803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-0.9</w:t>
            </w:r>
          </w:p>
        </w:tc>
        <w:tc>
          <w:tcPr>
            <w:tcW w:w="628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7C804BD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0.3</w:t>
            </w:r>
          </w:p>
        </w:tc>
        <w:tc>
          <w:tcPr>
            <w:tcW w:w="629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2921FB58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.0</w:t>
            </w:r>
          </w:p>
        </w:tc>
        <w:tc>
          <w:tcPr>
            <w:tcW w:w="646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3B582312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4.9</w:t>
            </w:r>
          </w:p>
        </w:tc>
        <w:tc>
          <w:tcPr>
            <w:tcW w:w="628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333121F9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0.9</w:t>
            </w:r>
          </w:p>
        </w:tc>
        <w:tc>
          <w:tcPr>
            <w:tcW w:w="579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068E6A93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2.7</w:t>
            </w:r>
          </w:p>
        </w:tc>
        <w:tc>
          <w:tcPr>
            <w:tcW w:w="646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20285E57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4.2</w:t>
            </w:r>
          </w:p>
        </w:tc>
        <w:tc>
          <w:tcPr>
            <w:tcW w:w="628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CDF157F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-0.2</w:t>
            </w:r>
          </w:p>
        </w:tc>
      </w:tr>
      <w:tr w14:paraId="0FCF17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1141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832A598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2023年增速</w:t>
            </w:r>
          </w:p>
        </w:tc>
        <w:tc>
          <w:tcPr>
            <w:tcW w:w="726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7C140F10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2.3</w:t>
            </w:r>
          </w:p>
        </w:tc>
        <w:tc>
          <w:tcPr>
            <w:tcW w:w="676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78E00C6F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4.8</w:t>
            </w:r>
          </w:p>
        </w:tc>
        <w:tc>
          <w:tcPr>
            <w:tcW w:w="661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7D17190F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1.8</w:t>
            </w:r>
          </w:p>
        </w:tc>
        <w:tc>
          <w:tcPr>
            <w:tcW w:w="645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12848E9A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1.7</w:t>
            </w:r>
          </w:p>
        </w:tc>
        <w:tc>
          <w:tcPr>
            <w:tcW w:w="660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101EBB98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5.3</w:t>
            </w:r>
          </w:p>
        </w:tc>
        <w:tc>
          <w:tcPr>
            <w:tcW w:w="628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0742F602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4</w:t>
            </w:r>
          </w:p>
        </w:tc>
        <w:tc>
          <w:tcPr>
            <w:tcW w:w="629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18BD5827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4.2</w:t>
            </w:r>
          </w:p>
        </w:tc>
        <w:tc>
          <w:tcPr>
            <w:tcW w:w="646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4660CCF7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-0.2</w:t>
            </w:r>
          </w:p>
        </w:tc>
        <w:tc>
          <w:tcPr>
            <w:tcW w:w="628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CDFB02B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-0.6</w:t>
            </w:r>
          </w:p>
        </w:tc>
        <w:tc>
          <w:tcPr>
            <w:tcW w:w="579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5F43C130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-0.3</w:t>
            </w:r>
          </w:p>
        </w:tc>
        <w:tc>
          <w:tcPr>
            <w:tcW w:w="646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E4CB96D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0.4</w:t>
            </w:r>
          </w:p>
        </w:tc>
        <w:tc>
          <w:tcPr>
            <w:tcW w:w="628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13A68579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2.7</w:t>
            </w:r>
          </w:p>
        </w:tc>
      </w:tr>
      <w:tr w14:paraId="0844AD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1141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76C02531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2024年增速</w:t>
            </w:r>
          </w:p>
        </w:tc>
        <w:tc>
          <w:tcPr>
            <w:tcW w:w="726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56A0BFA4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3.7</w:t>
            </w:r>
          </w:p>
        </w:tc>
        <w:tc>
          <w:tcPr>
            <w:tcW w:w="676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33BE7D1C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2.9</w:t>
            </w:r>
          </w:p>
        </w:tc>
        <w:tc>
          <w:tcPr>
            <w:tcW w:w="661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597A96CA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3.8</w:t>
            </w:r>
          </w:p>
        </w:tc>
        <w:tc>
          <w:tcPr>
            <w:tcW w:w="645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41941178">
            <w:pPr>
              <w:widowControl/>
              <w:tabs>
                <w:tab w:val="left" w:pos="300"/>
              </w:tabs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0.6</w:t>
            </w:r>
          </w:p>
        </w:tc>
        <w:tc>
          <w:tcPr>
            <w:tcW w:w="660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6E4C2C56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-9.8</w:t>
            </w:r>
          </w:p>
        </w:tc>
        <w:tc>
          <w:tcPr>
            <w:tcW w:w="628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4C8174F2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-9.4</w:t>
            </w:r>
          </w:p>
        </w:tc>
        <w:tc>
          <w:tcPr>
            <w:tcW w:w="629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30D95E0E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-8.8</w:t>
            </w:r>
          </w:p>
        </w:tc>
        <w:tc>
          <w:tcPr>
            <w:tcW w:w="646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21D86D2F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-6.4</w:t>
            </w:r>
          </w:p>
        </w:tc>
        <w:tc>
          <w:tcPr>
            <w:tcW w:w="628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0047EFEB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-7.1</w:t>
            </w:r>
          </w:p>
        </w:tc>
        <w:tc>
          <w:tcPr>
            <w:tcW w:w="579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09A9A496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-4.2</w:t>
            </w:r>
          </w:p>
        </w:tc>
        <w:tc>
          <w:tcPr>
            <w:tcW w:w="646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2B2EA444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-4.6</w:t>
            </w:r>
          </w:p>
        </w:tc>
        <w:tc>
          <w:tcPr>
            <w:tcW w:w="628" w:type="dxa"/>
            <w:tcBorders>
              <w:top w:val="single" w:color="757171" w:sz="4" w:space="0"/>
              <w:left w:val="single" w:color="757171" w:sz="4" w:space="0"/>
              <w:bottom w:val="single" w:color="757171" w:sz="4" w:space="0"/>
              <w:right w:val="single" w:color="757171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04C0E369">
            <w:pPr>
              <w:widowControl/>
              <w:jc w:val="center"/>
              <w:textAlignment w:val="bottom"/>
              <w:rPr>
                <w:rFonts w:hint="default" w:ascii="宋体" w:hAnsi="宋体" w:eastAsia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  <w:highlight w:val="none"/>
                <w:lang w:val="en-US" w:eastAsia="zh-CN" w:bidi="ar"/>
              </w:rPr>
              <w:t>-1.4</w:t>
            </w:r>
          </w:p>
        </w:tc>
      </w:tr>
    </w:tbl>
    <w:p w14:paraId="65E55EBA">
      <w:pPr>
        <w:spacing w:line="360" w:lineRule="auto"/>
        <w:ind w:firstLine="643" w:firstLineChars="200"/>
        <w:rPr>
          <w:rFonts w:hint="eastAsia" w:ascii="仿宋_GB2312" w:hAnsi="仿宋" w:eastAsia="仿宋_GB2312" w:cs="仿宋"/>
          <w:b/>
          <w:bCs/>
          <w:sz w:val="32"/>
          <w:szCs w:val="32"/>
          <w:highlight w:val="none"/>
        </w:rPr>
      </w:pPr>
      <w:r>
        <w:rPr>
          <w:rFonts w:hint="eastAsia" w:ascii="仿宋_GB2312" w:hAnsi="仿宋" w:eastAsia="仿宋_GB2312" w:cs="仿宋"/>
          <w:b/>
          <w:bCs/>
          <w:sz w:val="32"/>
          <w:szCs w:val="32"/>
          <w:highlight w:val="none"/>
          <w:lang w:val="en-US" w:eastAsia="zh-CN"/>
        </w:rPr>
        <w:t>八</w:t>
      </w:r>
      <w:r>
        <w:rPr>
          <w:rFonts w:hint="eastAsia" w:ascii="仿宋_GB2312" w:hAnsi="仿宋" w:eastAsia="仿宋_GB2312" w:cs="仿宋"/>
          <w:b/>
          <w:bCs/>
          <w:sz w:val="32"/>
          <w:szCs w:val="32"/>
          <w:highlight w:val="none"/>
        </w:rPr>
        <w:t>、</w:t>
      </w:r>
      <w:r>
        <w:rPr>
          <w:rFonts w:hint="eastAsia" w:ascii="仿宋_GB2312" w:hAnsi="仿宋" w:eastAsia="仿宋_GB2312" w:cs="仿宋"/>
          <w:b/>
          <w:bCs/>
          <w:sz w:val="32"/>
          <w:szCs w:val="32"/>
          <w:highlight w:val="none"/>
          <w:lang w:val="en-US" w:eastAsia="zh-CN"/>
        </w:rPr>
        <w:t>人民生活和</w:t>
      </w:r>
      <w:r>
        <w:rPr>
          <w:rFonts w:hint="eastAsia" w:ascii="仿宋_GB2312" w:hAnsi="仿宋" w:eastAsia="仿宋_GB2312" w:cs="仿宋"/>
          <w:b/>
          <w:bCs/>
          <w:sz w:val="32"/>
          <w:szCs w:val="32"/>
          <w:highlight w:val="none"/>
        </w:rPr>
        <w:t>社会保障</w:t>
      </w:r>
    </w:p>
    <w:p w14:paraId="52C99856">
      <w:pPr>
        <w:spacing w:line="360" w:lineRule="auto"/>
        <w:ind w:firstLine="640" w:firstLineChars="200"/>
        <w:rPr>
          <w:rFonts w:hint="eastAsia" w:ascii="仿宋_GB2312" w:hAnsi="仿宋" w:eastAsia="仿宋_GB2312" w:cs="仿宋"/>
          <w:sz w:val="32"/>
          <w:szCs w:val="32"/>
          <w:highlight w:val="yellow"/>
        </w:rPr>
      </w:pP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农村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常住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居民人均可支配收入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27077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元，比上年增长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5.1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%。</w:t>
      </w:r>
    </w:p>
    <w:p w14:paraId="1FB46204">
      <w:pPr>
        <w:spacing w:line="360" w:lineRule="auto"/>
        <w:ind w:firstLine="640" w:firstLineChars="200"/>
        <w:rPr>
          <w:rFonts w:hint="default" w:ascii="仿宋_GB2312" w:hAnsi="仿宋" w:eastAsia="仿宋_GB2312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" w:eastAsia="仿宋_GB2312" w:cs="仿宋"/>
          <w:sz w:val="32"/>
          <w:szCs w:val="32"/>
          <w:highlight w:val="none"/>
          <w:lang w:eastAsia="zh-CN"/>
        </w:rPr>
        <w:t>全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年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eastAsia="zh-CN"/>
        </w:rPr>
        <w:t>居民消费价格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比上年</w:t>
      </w:r>
      <w:r>
        <w:rPr>
          <w:rFonts w:hint="eastAsia" w:ascii="仿宋_GB2312" w:hAnsi="仿宋" w:eastAsia="仿宋_GB2312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上涨0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.4%。其中，食品烟酒类上涨1.7%，衣着类</w:t>
      </w:r>
      <w:r>
        <w:rPr>
          <w:rFonts w:hint="eastAsia" w:ascii="仿宋_GB2312" w:hAnsi="仿宋" w:eastAsia="仿宋_GB2312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上涨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1.2%</w:t>
      </w:r>
      <w:r>
        <w:rPr>
          <w:rFonts w:hint="eastAsia" w:ascii="仿宋_GB2312" w:hAnsi="仿宋" w:eastAsia="仿宋_GB2312" w:cs="仿宋"/>
          <w:b w:val="0"/>
          <w:bCs w:val="0"/>
          <w:color w:val="FF0000"/>
          <w:sz w:val="32"/>
          <w:szCs w:val="32"/>
          <w:highlight w:val="none"/>
        </w:rPr>
        <w:t xml:space="preserve"> </w:t>
      </w:r>
      <w:r>
        <w:rPr>
          <w:rFonts w:hint="eastAsia" w:ascii="仿宋_GB2312" w:hAnsi="仿宋" w:eastAsia="仿宋_GB2312" w:cs="仿宋"/>
          <w:b w:val="0"/>
          <w:bCs w:val="0"/>
          <w:color w:val="auto"/>
          <w:sz w:val="32"/>
          <w:szCs w:val="32"/>
          <w:highlight w:val="none"/>
          <w:lang w:eastAsia="zh-CN"/>
        </w:rPr>
        <w:t>，居住</w:t>
      </w:r>
      <w:r>
        <w:rPr>
          <w:rFonts w:hint="eastAsia" w:ascii="仿宋_GB2312" w:hAnsi="仿宋" w:eastAsia="仿宋_GB2312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类下降0.2%，生活用品及服务类上涨0.9%，交通和通信类上涨2.4%，教育文化和娱乐类上涨0.4%，医疗保健类下降5.5%，其他用品和服务类上涨2.4%。</w:t>
      </w:r>
    </w:p>
    <w:p w14:paraId="3BFC36D7">
      <w:pPr>
        <w:ind w:firstLine="640" w:firstLineChars="200"/>
        <w:rPr>
          <w:rFonts w:hint="eastAsia" w:ascii="仿宋_GB2312" w:hAnsi="仿宋" w:eastAsia="仿宋_GB2312" w:cs="仿宋"/>
          <w:sz w:val="32"/>
          <w:szCs w:val="32"/>
          <w:highlight w:val="none"/>
          <w:lang w:eastAsia="zh-CN"/>
        </w:rPr>
      </w:pP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年末参加养老保险人数为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77.5万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人，工伤保险人数为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9.7万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人，城乡居民医保参保人数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68.6万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人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eastAsia="zh-CN"/>
        </w:rPr>
        <w:t>。</w:t>
      </w:r>
    </w:p>
    <w:p w14:paraId="185E508A">
      <w:pPr>
        <w:spacing w:line="360" w:lineRule="auto"/>
        <w:ind w:firstLine="643" w:firstLineChars="200"/>
        <w:rPr>
          <w:rFonts w:hint="eastAsia" w:ascii="仿宋_GB2312" w:hAnsi="仿宋" w:eastAsia="仿宋_GB2312" w:cs="仿宋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"/>
          <w:b/>
          <w:bCs/>
          <w:sz w:val="32"/>
          <w:szCs w:val="32"/>
          <w:highlight w:val="none"/>
          <w:lang w:val="en-US" w:eastAsia="zh-CN"/>
        </w:rPr>
        <w:t>九</w:t>
      </w:r>
      <w:r>
        <w:rPr>
          <w:rFonts w:hint="eastAsia" w:ascii="仿宋_GB2312" w:hAnsi="仿宋" w:eastAsia="仿宋_GB2312" w:cs="仿宋"/>
          <w:b/>
          <w:bCs/>
          <w:sz w:val="32"/>
          <w:szCs w:val="32"/>
          <w:highlight w:val="none"/>
        </w:rPr>
        <w:t>、教育、科学技术和文化体育</w:t>
      </w:r>
    </w:p>
    <w:p w14:paraId="33E846C5">
      <w:pPr>
        <w:spacing w:line="360" w:lineRule="auto"/>
        <w:ind w:firstLine="640" w:firstLineChars="200"/>
        <w:rPr>
          <w:rFonts w:hint="eastAsia" w:ascii="仿宋_GB2312" w:hAnsi="仿宋" w:eastAsia="仿宋_GB2312" w:cs="仿宋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全市共有各类学校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128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所，在校学生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84105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人，教职工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8116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人。其中，中学4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所，在校学生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35531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人，教职工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3911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人；小学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79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所，在校学生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47050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人，教职工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3997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人；其它各类学校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所，在校学生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1524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人，教职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工208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人。</w:t>
      </w:r>
    </w:p>
    <w:p w14:paraId="1237AD79">
      <w:pPr>
        <w:spacing w:line="360" w:lineRule="auto"/>
        <w:rPr>
          <w:rFonts w:hint="eastAsia" w:ascii="仿宋_GB2312" w:hAnsi="仿宋" w:eastAsia="仿宋_GB2312" w:cs="仿宋"/>
          <w:color w:val="FF0000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"/>
          <w:color w:val="FF0000"/>
          <w:sz w:val="32"/>
          <w:szCs w:val="32"/>
          <w:highlight w:val="none"/>
        </w:rPr>
        <w:object>
          <v:shape id="_x0000_i1031" o:spt="75" type="#_x0000_t75" style="height:264.05pt;width:440.2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Excel.Chart.8" ShapeID="_x0000_i1031" DrawAspect="Content" ObjectID="_1468075731" r:id="rId19">
            <o:LockedField>false</o:LockedField>
          </o:OLEObject>
        </w:object>
      </w:r>
    </w:p>
    <w:p w14:paraId="4025ED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" w:eastAsia="仿宋_GB2312" w:cs="仿宋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全市高新技术企业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101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家，有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22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家企业在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2024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年被重新认定为高新技术企业，享受税收优惠政策。</w:t>
      </w:r>
    </w:p>
    <w:p w14:paraId="5C12B0D9">
      <w:pPr>
        <w:spacing w:line="360" w:lineRule="auto"/>
        <w:ind w:firstLine="640" w:firstLineChars="200"/>
        <w:rPr>
          <w:rFonts w:hint="eastAsia" w:ascii="仿宋_GB2312" w:hAnsi="仿宋" w:eastAsia="仿宋_GB2312" w:cs="仿宋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全市文化馆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所，镇（街道）文化站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26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个。电影放映单位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11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个、图书馆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个，图书馆藏书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38.7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万册。全市有广播电台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座，广播综合人口覆盖率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97.5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%。全市有电视台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座，电视综合人口覆盖率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98.0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%。</w:t>
      </w:r>
    </w:p>
    <w:p w14:paraId="1B8F0535">
      <w:pPr>
        <w:spacing w:line="360" w:lineRule="auto"/>
        <w:ind w:firstLine="640" w:firstLineChars="200"/>
        <w:rPr>
          <w:rFonts w:hint="eastAsia" w:ascii="仿宋_GB2312" w:hAnsi="仿宋" w:eastAsia="仿宋_GB2312" w:cs="仿宋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全市有体育场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处，游泳馆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11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个，体育训练馆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个，业余体校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所，有教练员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25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人，在校学生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360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人。</w:t>
      </w:r>
    </w:p>
    <w:p w14:paraId="38C5315E">
      <w:pPr>
        <w:spacing w:line="360" w:lineRule="auto"/>
        <w:ind w:firstLine="643" w:firstLineChars="200"/>
        <w:rPr>
          <w:rFonts w:hint="eastAsia" w:ascii="仿宋_GB2312" w:hAnsi="仿宋" w:eastAsia="仿宋_GB2312" w:cs="仿宋"/>
          <w:b/>
          <w:bCs/>
          <w:sz w:val="32"/>
          <w:szCs w:val="32"/>
          <w:highlight w:val="none"/>
        </w:rPr>
      </w:pPr>
      <w:r>
        <w:rPr>
          <w:rFonts w:hint="eastAsia" w:ascii="仿宋_GB2312" w:hAnsi="仿宋" w:eastAsia="仿宋_GB2312" w:cs="仿宋"/>
          <w:b/>
          <w:bCs/>
          <w:sz w:val="32"/>
          <w:szCs w:val="32"/>
          <w:highlight w:val="none"/>
        </w:rPr>
        <w:t>十、卫生和社会服务</w:t>
      </w:r>
    </w:p>
    <w:p w14:paraId="22D2A8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textAlignment w:val="auto"/>
        <w:rPr>
          <w:rFonts w:hint="eastAsia" w:ascii="仿宋_GB2312" w:hAnsi="仿宋" w:eastAsia="仿宋_GB2312" w:cs="仿宋"/>
          <w:color w:val="FF0000"/>
          <w:sz w:val="28"/>
          <w:szCs w:val="28"/>
          <w:highlight w:val="none"/>
          <w:lang w:eastAsia="zh-CN"/>
        </w:rPr>
      </w:pP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年末全市共有卫生机构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84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个，其中，医院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42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个、卫生院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38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个，采血站、妇幼保健站、专科防治和疾病预防中心共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个。医疗机构实有床位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7227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张，医疗技术人员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9584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人，其中执业医生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3780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人。</w:t>
      </w:r>
    </w:p>
    <w:p w14:paraId="52D91E5B">
      <w:pPr>
        <w:spacing w:line="360" w:lineRule="auto"/>
        <w:rPr>
          <w:rFonts w:hint="eastAsia" w:ascii="仿宋_GB2312" w:hAnsi="仿宋" w:eastAsia="仿宋_GB2312" w:cs="仿宋"/>
          <w:color w:val="FF0000"/>
          <w:sz w:val="32"/>
          <w:szCs w:val="32"/>
          <w:highlight w:val="none"/>
        </w:rPr>
      </w:pPr>
      <w:r>
        <w:rPr>
          <w:rFonts w:hint="eastAsia" w:ascii="仿宋_GB2312" w:eastAsia="仿宋_GB2312"/>
          <w:color w:val="FF0000"/>
          <w:highlight w:val="none"/>
        </w:rPr>
        <w:object>
          <v:shape id="_x0000_i1032" o:spt="75" type="#_x0000_t75" style="height:233.65pt;width:449.65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Excel.Chart.8" ShapeID="_x0000_i1032" DrawAspect="Content" ObjectID="_1468075732" r:id="rId21">
            <o:LockedField>false</o:LockedField>
          </o:OLEObject>
        </w:object>
      </w:r>
      <w:r>
        <w:rPr>
          <w:rFonts w:hint="eastAsia" w:ascii="仿宋_GB2312" w:eastAsia="仿宋_GB2312"/>
          <w:color w:val="FF0000"/>
          <w:highlight w:val="none"/>
          <w:lang w:val="en-US" w:eastAsia="zh-CN"/>
        </w:rPr>
        <w:t xml:space="preserve">       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2024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年末全市共有敬老院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18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个，床位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2014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张；老年公寓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 xml:space="preserve">  19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个，床位</w:t>
      </w:r>
      <w:r>
        <w:rPr>
          <w:rFonts w:hint="eastAsia" w:ascii="仿宋_GB2312" w:hAnsi="仿宋" w:eastAsia="仿宋_GB2312" w:cs="仿宋"/>
          <w:sz w:val="32"/>
          <w:szCs w:val="32"/>
          <w:highlight w:val="none"/>
          <w:lang w:val="en-US" w:eastAsia="zh-CN"/>
        </w:rPr>
        <w:t>1924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张。</w:t>
      </w:r>
    </w:p>
    <w:p w14:paraId="221A46DE">
      <w:pPr>
        <w:spacing w:line="360" w:lineRule="auto"/>
        <w:ind w:firstLine="643" w:firstLineChars="200"/>
        <w:rPr>
          <w:rFonts w:hint="eastAsia" w:ascii="仿宋_GB2312" w:hAnsi="仿宋" w:eastAsia="仿宋_GB2312" w:cs="仿宋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"/>
          <w:b/>
          <w:bCs/>
          <w:sz w:val="32"/>
          <w:szCs w:val="32"/>
          <w:highlight w:val="none"/>
        </w:rPr>
        <w:t>十</w:t>
      </w:r>
      <w:r>
        <w:rPr>
          <w:rFonts w:hint="eastAsia" w:ascii="仿宋_GB2312" w:hAnsi="仿宋" w:eastAsia="仿宋_GB2312" w:cs="仿宋"/>
          <w:b/>
          <w:bCs/>
          <w:sz w:val="32"/>
          <w:szCs w:val="32"/>
          <w:highlight w:val="none"/>
          <w:lang w:val="en-US" w:eastAsia="zh-CN"/>
        </w:rPr>
        <w:t>一</w:t>
      </w:r>
      <w:r>
        <w:rPr>
          <w:rFonts w:hint="eastAsia" w:ascii="仿宋_GB2312" w:hAnsi="仿宋" w:eastAsia="仿宋_GB2312" w:cs="仿宋"/>
          <w:b/>
          <w:bCs/>
          <w:sz w:val="32"/>
          <w:szCs w:val="32"/>
          <w:highlight w:val="none"/>
        </w:rPr>
        <w:t>、环境保护和安全</w:t>
      </w:r>
    </w:p>
    <w:p w14:paraId="2F0625EF">
      <w:pPr>
        <w:spacing w:line="360" w:lineRule="auto"/>
        <w:ind w:firstLine="640" w:firstLineChars="200"/>
        <w:rPr>
          <w:rFonts w:hint="eastAsia" w:ascii="仿宋_GB2312" w:hAnsi="仿宋" w:eastAsia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/>
          <w:sz w:val="32"/>
          <w:szCs w:val="32"/>
          <w:highlight w:val="none"/>
        </w:rPr>
        <w:t>全年空气污染指数Ⅱ级以上（优良）天数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312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天。其中，Ⅰ级（优）天数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79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天。空气中二氧化硫年均值为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微克/立方米；二氧化氮年均值为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33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微克/立方米；一氧化碳年均值为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2.6毫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克/立方米；细颗粒PM2.5年均值为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43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微克/立方米；可吸入颗粒物PM10年均值为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72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微克/立方米。市区噪声昼间平均等效声级为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51.3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分贝。城市饮用水源水质达标100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.0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%。</w:t>
      </w:r>
    </w:p>
    <w:p w14:paraId="33B1E069">
      <w:pPr>
        <w:spacing w:line="360" w:lineRule="auto"/>
        <w:ind w:firstLine="640" w:firstLineChars="200"/>
        <w:rPr>
          <w:rFonts w:hint="eastAsia" w:ascii="仿宋_GB2312" w:hAnsi="仿宋" w:eastAsia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/>
          <w:sz w:val="32"/>
          <w:szCs w:val="32"/>
          <w:highlight w:val="none"/>
        </w:rPr>
        <w:t>全年亿元GDP生产安全事故死亡率0.0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04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。</w:t>
      </w:r>
    </w:p>
    <w:p w14:paraId="54A5A625">
      <w:pPr>
        <w:spacing w:line="360" w:lineRule="auto"/>
        <w:rPr>
          <w:rFonts w:hint="eastAsia" w:ascii="仿宋_GB2312" w:hAnsi="仿宋" w:eastAsia="仿宋_GB2312"/>
          <w:sz w:val="32"/>
          <w:szCs w:val="32"/>
          <w:highlight w:val="none"/>
        </w:rPr>
      </w:pPr>
    </w:p>
    <w:p w14:paraId="6CCD7D1C">
      <w:pPr>
        <w:spacing w:line="360" w:lineRule="auto"/>
        <w:ind w:left="638" w:leftChars="304" w:firstLine="0" w:firstLineChars="0"/>
        <w:rPr>
          <w:rFonts w:hint="eastAsia" w:ascii="仿宋_GB2312" w:hAnsi="仿宋" w:eastAsia="仿宋_GB2312" w:cs="仿宋"/>
          <w:b/>
          <w:bCs/>
          <w:sz w:val="28"/>
          <w:szCs w:val="28"/>
          <w:highlight w:val="none"/>
        </w:rPr>
      </w:pPr>
      <w:r>
        <w:rPr>
          <w:rFonts w:hint="eastAsia" w:ascii="仿宋_GB2312" w:hAnsi="仿宋" w:eastAsia="仿宋_GB2312" w:cs="仿宋"/>
          <w:b/>
          <w:bCs/>
          <w:sz w:val="28"/>
          <w:szCs w:val="28"/>
          <w:highlight w:val="none"/>
        </w:rPr>
        <w:t>注</w:t>
      </w:r>
      <w:r>
        <w:rPr>
          <w:rFonts w:hint="eastAsia" w:ascii="仿宋_GB2312" w:hAnsi="仿宋" w:eastAsia="仿宋_GB2312" w:cs="仿宋"/>
          <w:b/>
          <w:bCs/>
          <w:sz w:val="28"/>
          <w:szCs w:val="28"/>
          <w:highlight w:val="none"/>
          <w:lang w:val="en-US" w:eastAsia="zh-CN"/>
        </w:rPr>
        <w:t>释</w:t>
      </w:r>
      <w:r>
        <w:rPr>
          <w:rFonts w:hint="eastAsia" w:ascii="仿宋_GB2312" w:hAnsi="仿宋" w:eastAsia="仿宋_GB2312" w:cs="仿宋"/>
          <w:b/>
          <w:bCs/>
          <w:sz w:val="28"/>
          <w:szCs w:val="28"/>
          <w:highlight w:val="none"/>
        </w:rPr>
        <w:t>：</w:t>
      </w:r>
    </w:p>
    <w:p w14:paraId="49EBB2A2">
      <w:pPr>
        <w:spacing w:line="360" w:lineRule="auto"/>
        <w:ind w:firstLine="560" w:firstLineChars="200"/>
        <w:rPr>
          <w:rFonts w:hint="eastAsia" w:ascii="仿宋_GB2312" w:hAnsi="仿宋" w:eastAsia="仿宋_GB2312" w:cs="仿宋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〔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〕</w:t>
      </w:r>
      <w:r>
        <w:rPr>
          <w:rFonts w:hint="eastAsia" w:ascii="仿宋_GB2312" w:hAnsi="仿宋" w:eastAsia="仿宋_GB2312" w:cs="仿宋"/>
          <w:sz w:val="28"/>
          <w:szCs w:val="28"/>
          <w:highlight w:val="none"/>
        </w:rPr>
        <w:t>本公报</w:t>
      </w:r>
      <w:r>
        <w:rPr>
          <w:rFonts w:hint="eastAsia" w:ascii="仿宋_GB2312" w:hAnsi="仿宋" w:eastAsia="仿宋_GB2312" w:cs="仿宋"/>
          <w:sz w:val="28"/>
          <w:szCs w:val="28"/>
          <w:highlight w:val="none"/>
          <w:lang w:val="en-US" w:eastAsia="zh-CN"/>
        </w:rPr>
        <w:t>中2024年数据均</w:t>
      </w:r>
      <w:r>
        <w:rPr>
          <w:rFonts w:hint="eastAsia" w:ascii="仿宋_GB2312" w:hAnsi="仿宋" w:eastAsia="仿宋_GB2312" w:cs="仿宋"/>
          <w:sz w:val="28"/>
          <w:szCs w:val="28"/>
          <w:highlight w:val="none"/>
        </w:rPr>
        <w:t>为初步核算数。正式数据以《</w:t>
      </w:r>
      <w:r>
        <w:rPr>
          <w:rFonts w:hint="eastAsia" w:ascii="仿宋_GB2312" w:hAnsi="仿宋" w:eastAsia="仿宋_GB2312" w:cs="仿宋"/>
          <w:sz w:val="28"/>
          <w:szCs w:val="28"/>
          <w:highlight w:val="none"/>
          <w:lang w:val="en-US" w:eastAsia="zh-CN"/>
        </w:rPr>
        <w:t>2024年海城</w:t>
      </w:r>
      <w:r>
        <w:rPr>
          <w:rFonts w:hint="eastAsia" w:ascii="仿宋_GB2312" w:hAnsi="仿宋" w:eastAsia="仿宋_GB2312" w:cs="仿宋"/>
          <w:sz w:val="28"/>
          <w:szCs w:val="28"/>
          <w:highlight w:val="none"/>
        </w:rPr>
        <w:t>市统计年鉴》</w:t>
      </w:r>
      <w:r>
        <w:rPr>
          <w:rFonts w:hint="eastAsia" w:ascii="仿宋_GB2312" w:hAnsi="仿宋" w:eastAsia="仿宋_GB2312" w:cs="仿宋"/>
          <w:sz w:val="28"/>
          <w:szCs w:val="28"/>
          <w:highlight w:val="none"/>
          <w:lang w:val="en-US" w:eastAsia="zh-CN"/>
        </w:rPr>
        <w:t>为准。部</w:t>
      </w:r>
      <w:r>
        <w:rPr>
          <w:rFonts w:hint="eastAsia" w:ascii="仿宋_GB2312" w:hAnsi="仿宋" w:eastAsia="仿宋_GB2312" w:cs="仿宋"/>
          <w:sz w:val="28"/>
          <w:szCs w:val="28"/>
          <w:highlight w:val="none"/>
        </w:rPr>
        <w:t>分</w:t>
      </w:r>
      <w:r>
        <w:rPr>
          <w:rFonts w:hint="eastAsia" w:ascii="仿宋_GB2312" w:hAnsi="仿宋" w:eastAsia="仿宋_GB2312" w:cs="仿宋"/>
          <w:sz w:val="28"/>
          <w:szCs w:val="28"/>
          <w:highlight w:val="none"/>
          <w:lang w:val="en-US" w:eastAsia="zh-CN"/>
        </w:rPr>
        <w:t>数据</w:t>
      </w:r>
      <w:r>
        <w:rPr>
          <w:rFonts w:hint="eastAsia" w:ascii="仿宋_GB2312" w:hAnsi="仿宋" w:eastAsia="仿宋_GB2312" w:cs="仿宋"/>
          <w:sz w:val="28"/>
          <w:szCs w:val="28"/>
          <w:highlight w:val="none"/>
        </w:rPr>
        <w:t>因四舍五入的原因，存在着分项合计不等的情况。</w:t>
      </w:r>
    </w:p>
    <w:p w14:paraId="49EBDC27">
      <w:pPr>
        <w:numPr>
          <w:ilvl w:val="0"/>
          <w:numId w:val="0"/>
        </w:numPr>
        <w:spacing w:line="360" w:lineRule="auto"/>
        <w:ind w:firstLine="560" w:firstLineChars="200"/>
        <w:jc w:val="both"/>
        <w:rPr>
          <w:rFonts w:hint="eastAsia" w:ascii="仿宋_GB2312" w:hAnsi="仿宋" w:eastAsia="仿宋_GB2312" w:cs="仿宋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〔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〕</w:t>
      </w:r>
      <w:r>
        <w:rPr>
          <w:rFonts w:hint="eastAsia" w:ascii="仿宋_GB2312" w:hAnsi="仿宋" w:eastAsia="仿宋_GB2312" w:cs="仿宋"/>
          <w:sz w:val="28"/>
          <w:szCs w:val="28"/>
          <w:highlight w:val="none"/>
        </w:rPr>
        <w:t>本公报中地区生产总值、各产业增加值绝对数按现价计算，增长速度按不变价格计算。</w:t>
      </w:r>
    </w:p>
    <w:p w14:paraId="5911C863">
      <w:pPr>
        <w:numPr>
          <w:ilvl w:val="0"/>
          <w:numId w:val="0"/>
        </w:numPr>
        <w:spacing w:line="360" w:lineRule="auto"/>
        <w:ind w:left="630" w:leftChars="0"/>
        <w:rPr>
          <w:rFonts w:hint="eastAsia" w:ascii="仿宋_GB2312" w:hAnsi="仿宋" w:eastAsia="仿宋_GB2312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" w:eastAsia="仿宋_GB2312"/>
          <w:b/>
          <w:bCs/>
          <w:sz w:val="28"/>
          <w:szCs w:val="28"/>
          <w:highlight w:val="none"/>
          <w:lang w:val="en-US" w:eastAsia="zh-CN"/>
        </w:rPr>
        <w:t>资料来源：</w:t>
      </w:r>
    </w:p>
    <w:p w14:paraId="75B76BCD">
      <w:pPr>
        <w:numPr>
          <w:ilvl w:val="0"/>
          <w:numId w:val="0"/>
        </w:numPr>
        <w:spacing w:line="360" w:lineRule="auto"/>
        <w:ind w:firstLine="560" w:firstLineChars="200"/>
        <w:rPr>
          <w:rFonts w:hint="default" w:ascii="仿宋_GB2312" w:hAnsi="仿宋" w:eastAsia="仿宋_GB2312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" w:eastAsia="仿宋_GB2312"/>
          <w:sz w:val="28"/>
          <w:szCs w:val="28"/>
          <w:highlight w:val="none"/>
          <w:lang w:val="en-US" w:eastAsia="zh-CN"/>
        </w:rPr>
        <w:t>本公报中</w:t>
      </w:r>
      <w:r>
        <w:rPr>
          <w:rFonts w:hint="eastAsia" w:ascii="仿宋_GB2312" w:hAnsi="仿宋" w:eastAsia="仿宋_GB2312"/>
          <w:sz w:val="28"/>
          <w:szCs w:val="28"/>
          <w:highlight w:val="none"/>
          <w:lang w:eastAsia="zh-CN"/>
        </w:rPr>
        <w:t>物价、</w:t>
      </w:r>
      <w:r>
        <w:rPr>
          <w:rFonts w:hint="eastAsia" w:ascii="仿宋_GB2312" w:hAnsi="仿宋" w:eastAsia="仿宋_GB2312"/>
          <w:sz w:val="28"/>
          <w:szCs w:val="28"/>
          <w:highlight w:val="none"/>
          <w:lang w:val="en-US" w:eastAsia="zh-CN"/>
        </w:rPr>
        <w:t>农村居民收入</w:t>
      </w:r>
      <w:r>
        <w:rPr>
          <w:rFonts w:hint="eastAsia" w:ascii="仿宋_GB2312" w:hAnsi="仿宋" w:eastAsia="仿宋_GB2312"/>
          <w:sz w:val="28"/>
          <w:szCs w:val="28"/>
          <w:highlight w:val="none"/>
          <w:lang w:eastAsia="zh-CN"/>
        </w:rPr>
        <w:t>数据</w:t>
      </w:r>
      <w:r>
        <w:rPr>
          <w:rFonts w:hint="eastAsia" w:ascii="仿宋_GB2312" w:hAnsi="仿宋" w:eastAsia="仿宋_GB2312"/>
          <w:sz w:val="28"/>
          <w:szCs w:val="28"/>
          <w:highlight w:val="none"/>
          <w:lang w:val="en-US" w:eastAsia="zh-CN"/>
        </w:rPr>
        <w:t>来自国家统计局海城调查队；财政数据来自市财政局；金融数据来自国家金融监督管理总局海城监管支局；</w:t>
      </w:r>
      <w:r>
        <w:rPr>
          <w:rFonts w:hint="eastAsia" w:ascii="仿宋_GB2312" w:hAnsi="仿宋" w:eastAsia="仿宋_GB2312"/>
          <w:sz w:val="28"/>
          <w:szCs w:val="28"/>
          <w:highlight w:val="none"/>
          <w:lang w:eastAsia="zh-CN"/>
        </w:rPr>
        <w:t>农业机械数据</w:t>
      </w:r>
      <w:r>
        <w:rPr>
          <w:rFonts w:hint="eastAsia" w:ascii="仿宋_GB2312" w:hAnsi="仿宋" w:eastAsia="仿宋_GB2312"/>
          <w:sz w:val="28"/>
          <w:szCs w:val="28"/>
          <w:highlight w:val="none"/>
          <w:lang w:val="en-US" w:eastAsia="zh-CN"/>
        </w:rPr>
        <w:t>来自市</w:t>
      </w:r>
      <w:r>
        <w:rPr>
          <w:rFonts w:hint="eastAsia" w:ascii="仿宋_GB2312" w:hAnsi="仿宋" w:eastAsia="仿宋_GB2312"/>
          <w:sz w:val="28"/>
          <w:szCs w:val="28"/>
          <w:highlight w:val="none"/>
          <w:lang w:eastAsia="zh-CN"/>
        </w:rPr>
        <w:t>农业农村局；</w:t>
      </w:r>
      <w:r>
        <w:rPr>
          <w:rFonts w:hint="eastAsia" w:ascii="仿宋_GB2312" w:hAnsi="仿宋" w:eastAsia="仿宋_GB2312"/>
          <w:sz w:val="28"/>
          <w:szCs w:val="28"/>
          <w:highlight w:val="none"/>
          <w:lang w:val="en-US" w:eastAsia="zh-CN"/>
        </w:rPr>
        <w:t>科学技术数据来自市发展和</w:t>
      </w:r>
      <w:bookmarkStart w:id="0" w:name="_GoBack"/>
      <w:bookmarkEnd w:id="0"/>
      <w:r>
        <w:rPr>
          <w:rFonts w:hint="eastAsia" w:ascii="仿宋_GB2312" w:hAnsi="仿宋" w:eastAsia="仿宋_GB2312"/>
          <w:sz w:val="28"/>
          <w:szCs w:val="28"/>
          <w:highlight w:val="none"/>
          <w:lang w:val="en-US" w:eastAsia="zh-CN"/>
        </w:rPr>
        <w:t>改革局；教育数据来自市教育局；文化、体育、旅游数据来自市</w:t>
      </w:r>
      <w:r>
        <w:rPr>
          <w:rFonts w:hint="eastAsia" w:ascii="仿宋_GB2312" w:hAnsi="仿宋" w:eastAsia="仿宋_GB2312" w:cs="仿宋"/>
          <w:sz w:val="28"/>
          <w:szCs w:val="28"/>
          <w:highlight w:val="none"/>
          <w:lang w:eastAsia="zh-CN"/>
        </w:rPr>
        <w:t>文化旅游和广播电视局；</w:t>
      </w:r>
      <w:r>
        <w:rPr>
          <w:rFonts w:hint="eastAsia" w:ascii="仿宋_GB2312" w:hAnsi="仿宋" w:eastAsia="仿宋_GB2312" w:cs="仿宋"/>
          <w:sz w:val="28"/>
          <w:szCs w:val="28"/>
          <w:highlight w:val="none"/>
          <w:lang w:val="en-US" w:eastAsia="zh-CN"/>
        </w:rPr>
        <w:t>卫生和社会服务数据来自</w:t>
      </w:r>
      <w:r>
        <w:rPr>
          <w:rFonts w:hint="eastAsia" w:ascii="仿宋_GB2312" w:hAnsi="仿宋" w:eastAsia="仿宋_GB2312"/>
          <w:sz w:val="28"/>
          <w:szCs w:val="28"/>
          <w:highlight w:val="none"/>
          <w:lang w:val="en-US" w:eastAsia="zh-CN"/>
        </w:rPr>
        <w:t>市</w:t>
      </w:r>
      <w:r>
        <w:rPr>
          <w:rFonts w:hint="eastAsia" w:ascii="仿宋_GB2312" w:hAnsi="仿宋" w:eastAsia="仿宋_GB2312" w:cs="仿宋"/>
          <w:sz w:val="28"/>
          <w:szCs w:val="28"/>
          <w:highlight w:val="none"/>
          <w:lang w:val="en-US" w:eastAsia="zh-CN"/>
        </w:rPr>
        <w:t>卫生健康局；人口数据来自</w:t>
      </w:r>
      <w:r>
        <w:rPr>
          <w:rFonts w:hint="eastAsia" w:ascii="仿宋_GB2312" w:hAnsi="仿宋" w:eastAsia="仿宋_GB2312"/>
          <w:sz w:val="28"/>
          <w:szCs w:val="28"/>
          <w:highlight w:val="none"/>
          <w:lang w:val="en-US" w:eastAsia="zh-CN"/>
        </w:rPr>
        <w:t>市</w:t>
      </w:r>
      <w:r>
        <w:rPr>
          <w:rFonts w:hint="eastAsia" w:ascii="仿宋_GB2312" w:hAnsi="仿宋" w:eastAsia="仿宋_GB2312" w:cs="仿宋"/>
          <w:sz w:val="28"/>
          <w:szCs w:val="28"/>
          <w:highlight w:val="none"/>
          <w:lang w:val="en-US" w:eastAsia="zh-CN"/>
        </w:rPr>
        <w:t>公安局；社会保障数据来自市人力资源和社会保障局；</w:t>
      </w:r>
      <w:r>
        <w:rPr>
          <w:rFonts w:hint="eastAsia" w:ascii="仿宋_GB2312" w:hAnsi="仿宋" w:eastAsia="仿宋_GB2312" w:cs="仿宋"/>
          <w:sz w:val="28"/>
          <w:szCs w:val="28"/>
          <w:highlight w:val="none"/>
          <w:lang w:eastAsia="zh-CN"/>
        </w:rPr>
        <w:t>公路旅客运输总量、货运量及各级公路数据</w:t>
      </w:r>
      <w:r>
        <w:rPr>
          <w:rFonts w:hint="eastAsia" w:ascii="仿宋_GB2312" w:hAnsi="仿宋" w:eastAsia="仿宋_GB2312" w:cs="仿宋"/>
          <w:sz w:val="28"/>
          <w:szCs w:val="28"/>
          <w:highlight w:val="none"/>
          <w:lang w:val="en-US" w:eastAsia="zh-CN"/>
        </w:rPr>
        <w:t>来自市</w:t>
      </w:r>
      <w:r>
        <w:rPr>
          <w:rFonts w:hint="eastAsia" w:ascii="仿宋_GB2312" w:hAnsi="仿宋" w:eastAsia="仿宋_GB2312" w:cs="仿宋"/>
          <w:sz w:val="28"/>
          <w:szCs w:val="28"/>
          <w:highlight w:val="none"/>
          <w:lang w:eastAsia="zh-CN"/>
        </w:rPr>
        <w:t>交通运输局；</w:t>
      </w:r>
      <w:r>
        <w:rPr>
          <w:rFonts w:hint="eastAsia" w:ascii="仿宋_GB2312" w:hAnsi="仿宋" w:eastAsia="仿宋_GB2312" w:cs="仿宋"/>
          <w:sz w:val="28"/>
          <w:szCs w:val="28"/>
          <w:highlight w:val="none"/>
          <w:lang w:val="en-US" w:eastAsia="zh-CN"/>
        </w:rPr>
        <w:t>机</w:t>
      </w:r>
      <w:r>
        <w:rPr>
          <w:rFonts w:hint="eastAsia" w:ascii="仿宋_GB2312" w:hAnsi="仿宋" w:eastAsia="仿宋_GB2312" w:cs="仿宋"/>
          <w:sz w:val="28"/>
          <w:szCs w:val="28"/>
          <w:highlight w:val="none"/>
          <w:lang w:eastAsia="zh-CN"/>
        </w:rPr>
        <w:t>动车保有量数据</w:t>
      </w:r>
      <w:r>
        <w:rPr>
          <w:rFonts w:hint="eastAsia" w:ascii="仿宋_GB2312" w:hAnsi="仿宋" w:eastAsia="仿宋_GB2312" w:cs="仿宋"/>
          <w:sz w:val="28"/>
          <w:szCs w:val="28"/>
          <w:highlight w:val="none"/>
          <w:lang w:val="en-US" w:eastAsia="zh-CN"/>
        </w:rPr>
        <w:t>来自</w:t>
      </w:r>
      <w:r>
        <w:rPr>
          <w:rFonts w:hint="eastAsia" w:ascii="仿宋_GB2312" w:hAnsi="仿宋" w:eastAsia="仿宋_GB2312"/>
          <w:sz w:val="28"/>
          <w:szCs w:val="28"/>
          <w:highlight w:val="none"/>
          <w:lang w:eastAsia="zh-CN"/>
        </w:rPr>
        <w:t>海城市</w:t>
      </w:r>
      <w:r>
        <w:rPr>
          <w:rFonts w:hint="eastAsia" w:ascii="仿宋_GB2312" w:hAnsi="仿宋" w:eastAsia="仿宋_GB2312" w:cs="仿宋"/>
          <w:sz w:val="28"/>
          <w:szCs w:val="28"/>
          <w:highlight w:val="none"/>
          <w:lang w:eastAsia="zh-CN"/>
        </w:rPr>
        <w:t>交警大队；</w:t>
      </w:r>
      <w:r>
        <w:rPr>
          <w:rFonts w:hint="eastAsia" w:ascii="仿宋_GB2312" w:hAnsi="仿宋" w:eastAsia="仿宋_GB2312" w:cs="仿宋"/>
          <w:sz w:val="28"/>
          <w:szCs w:val="28"/>
          <w:highlight w:val="none"/>
          <w:lang w:val="en-US" w:eastAsia="zh-CN"/>
        </w:rPr>
        <w:t>社会服务数据来自</w:t>
      </w:r>
      <w:r>
        <w:rPr>
          <w:rFonts w:hint="eastAsia" w:ascii="仿宋_GB2312" w:hAnsi="仿宋" w:eastAsia="仿宋_GB2312"/>
          <w:sz w:val="28"/>
          <w:szCs w:val="28"/>
          <w:highlight w:val="none"/>
          <w:lang w:eastAsia="zh-CN"/>
        </w:rPr>
        <w:t>市</w:t>
      </w:r>
      <w:r>
        <w:rPr>
          <w:rFonts w:hint="eastAsia" w:ascii="仿宋_GB2312" w:hAnsi="仿宋" w:eastAsia="仿宋_GB2312" w:cs="仿宋"/>
          <w:sz w:val="28"/>
          <w:szCs w:val="28"/>
          <w:highlight w:val="none"/>
          <w:lang w:val="en-US" w:eastAsia="zh-CN"/>
        </w:rPr>
        <w:t>民政局；环境保护数据来自</w:t>
      </w:r>
      <w:r>
        <w:rPr>
          <w:rFonts w:hint="eastAsia" w:ascii="仿宋_GB2312" w:hAnsi="仿宋" w:eastAsia="仿宋_GB2312"/>
          <w:sz w:val="28"/>
          <w:szCs w:val="28"/>
          <w:highlight w:val="none"/>
          <w:lang w:eastAsia="zh-CN"/>
        </w:rPr>
        <w:t>市</w:t>
      </w:r>
      <w:r>
        <w:rPr>
          <w:rFonts w:hint="eastAsia" w:ascii="仿宋_GB2312" w:hAnsi="仿宋" w:eastAsia="仿宋_GB2312" w:cs="仿宋"/>
          <w:sz w:val="28"/>
          <w:szCs w:val="28"/>
          <w:highlight w:val="none"/>
          <w:lang w:val="en-US" w:eastAsia="zh-CN"/>
        </w:rPr>
        <w:t>生态环境局；生产安全事故死亡率来自</w:t>
      </w:r>
      <w:r>
        <w:rPr>
          <w:rFonts w:hint="eastAsia" w:ascii="仿宋_GB2312" w:hAnsi="仿宋" w:eastAsia="仿宋_GB2312"/>
          <w:sz w:val="28"/>
          <w:szCs w:val="28"/>
          <w:highlight w:val="none"/>
          <w:lang w:eastAsia="zh-CN"/>
        </w:rPr>
        <w:t>市</w:t>
      </w:r>
      <w:r>
        <w:rPr>
          <w:rFonts w:hint="eastAsia" w:ascii="仿宋_GB2312" w:hAnsi="仿宋" w:eastAsia="仿宋_GB2312" w:cs="仿宋"/>
          <w:sz w:val="28"/>
          <w:szCs w:val="28"/>
          <w:highlight w:val="none"/>
          <w:lang w:val="en-US" w:eastAsia="zh-CN"/>
        </w:rPr>
        <w:t>应急管理局；其他数据均来自统计局。</w:t>
      </w:r>
    </w:p>
    <w:p w14:paraId="0A40E83F">
      <w:pPr>
        <w:rPr>
          <w:highlight w:val="none"/>
        </w:rPr>
      </w:pPr>
    </w:p>
    <w:p w14:paraId="511A697F"/>
    <w:sectPr>
      <w:headerReference r:id="rId3" w:type="default"/>
      <w:footerReference r:id="rId4" w:type="default"/>
      <w:footerReference r:id="rId5" w:type="even"/>
      <w:pgSz w:w="11906" w:h="16838"/>
      <w:pgMar w:top="1701" w:right="1474" w:bottom="1134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E390B4">
    <w:pPr>
      <w:pStyle w:val="3"/>
      <w:pBdr>
        <w:top w:val="thinThickSmallGap" w:color="622423" w:sz="24" w:space="1"/>
      </w:pBdr>
      <w:tabs>
        <w:tab w:val="right" w:pos="8460"/>
        <w:tab w:val="clear" w:pos="4153"/>
        <w:tab w:val="clear" w:pos="8306"/>
      </w:tabs>
      <w:rPr>
        <w:rFonts w:ascii="Cambria" w:hAnsi="Cambria"/>
      </w:rPr>
    </w:pPr>
    <w:r>
      <w:rPr>
        <w:rFonts w:hint="eastAsia" w:ascii="Cambria" w:hAnsi="Cambria"/>
      </w:rPr>
      <w:t>海城市统计局</w:t>
    </w:r>
    <w:r>
      <w:rPr>
        <w:rFonts w:ascii="Cambria" w:hAnsi="Cambria"/>
        <w:lang w:val="zh-CN"/>
      </w:rPr>
      <w:tab/>
    </w:r>
    <w:r>
      <w:rPr>
        <w:rFonts w:ascii="Cambria" w:hAnsi="Cambria"/>
        <w:lang w:val="zh-CN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  <w:p w14:paraId="64EF16A6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CEC74A">
    <w:pPr>
      <w:pStyle w:val="3"/>
      <w:framePr w:wrap="around" w:vAnchor="text" w:hAnchor="margin" w:xAlign="center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separate"/>
    </w:r>
    <w:r>
      <w:rPr>
        <w:rStyle w:val="7"/>
      </w:rPr>
      <w:t>12</w:t>
    </w:r>
    <w:r>
      <w:fldChar w:fldCharType="end"/>
    </w:r>
  </w:p>
  <w:p w14:paraId="77D23C28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397473">
    <w:pPr>
      <w:pStyle w:val="4"/>
      <w:pBdr>
        <w:bottom w:val="thickThinSmallGap" w:color="622423" w:sz="24" w:space="1"/>
      </w:pBdr>
      <w:tabs>
        <w:tab w:val="left" w:pos="7665"/>
        <w:tab w:val="clear" w:pos="4153"/>
        <w:tab w:val="clear" w:pos="8306"/>
      </w:tabs>
      <w:jc w:val="both"/>
      <w:rPr>
        <w:rFonts w:ascii="Cambria" w:hAnsi="Cambria"/>
        <w:sz w:val="32"/>
        <w:szCs w:val="32"/>
      </w:rPr>
    </w:pPr>
    <w:r>
      <w:rPr>
        <w:rFonts w:hint="eastAsia" w:ascii="Cambria" w:hAnsi="Cambria"/>
        <w:sz w:val="28"/>
        <w:szCs w:val="28"/>
      </w:rPr>
      <w:t>海城市统计公报</w:t>
    </w:r>
    <w:r>
      <w:rPr>
        <w:rFonts w:ascii="Cambria" w:hAnsi="Cambria"/>
        <w:sz w:val="30"/>
        <w:szCs w:val="30"/>
      </w:rPr>
      <w:tab/>
    </w:r>
    <w:r>
      <w:rPr>
        <w:rFonts w:ascii="Cambria" w:hAnsi="Cambria"/>
        <w:sz w:val="30"/>
        <w:szCs w:val="30"/>
      </w:rPr>
      <w:drawing>
        <wp:inline distT="0" distB="0" distL="114300" distR="114300">
          <wp:extent cx="334010" cy="312420"/>
          <wp:effectExtent l="0" t="0" r="8890" b="11430"/>
          <wp:docPr id="3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401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wM2IxYWNlZGVmYzgxN2RhODg5MzNmMTc1ODU0NzEifQ=="/>
  </w:docVars>
  <w:rsids>
    <w:rsidRoot w:val="15AC73B8"/>
    <w:rsid w:val="01243AB1"/>
    <w:rsid w:val="01F9035B"/>
    <w:rsid w:val="021D673F"/>
    <w:rsid w:val="0233386D"/>
    <w:rsid w:val="03DB6F45"/>
    <w:rsid w:val="058D5AF1"/>
    <w:rsid w:val="09401AE7"/>
    <w:rsid w:val="097F383C"/>
    <w:rsid w:val="0B5E5DFE"/>
    <w:rsid w:val="0BE107DE"/>
    <w:rsid w:val="0BF978D5"/>
    <w:rsid w:val="0D780BA1"/>
    <w:rsid w:val="0DD13EDB"/>
    <w:rsid w:val="0EF80318"/>
    <w:rsid w:val="0FBF4992"/>
    <w:rsid w:val="0FD06B9F"/>
    <w:rsid w:val="106D2640"/>
    <w:rsid w:val="11B04EDA"/>
    <w:rsid w:val="129A3494"/>
    <w:rsid w:val="14BE16BC"/>
    <w:rsid w:val="14F90C42"/>
    <w:rsid w:val="152D05F0"/>
    <w:rsid w:val="15AC73B8"/>
    <w:rsid w:val="176D1177"/>
    <w:rsid w:val="17CF598E"/>
    <w:rsid w:val="183A374F"/>
    <w:rsid w:val="18512847"/>
    <w:rsid w:val="190B50EC"/>
    <w:rsid w:val="19324427"/>
    <w:rsid w:val="196B7938"/>
    <w:rsid w:val="198853FC"/>
    <w:rsid w:val="199C5D44"/>
    <w:rsid w:val="19F210FC"/>
    <w:rsid w:val="1A8769F4"/>
    <w:rsid w:val="1BCA6B98"/>
    <w:rsid w:val="1C580648"/>
    <w:rsid w:val="1CC655B2"/>
    <w:rsid w:val="1D2D3893"/>
    <w:rsid w:val="1DF93765"/>
    <w:rsid w:val="1E05210A"/>
    <w:rsid w:val="1EAA4A5F"/>
    <w:rsid w:val="1EFB5963"/>
    <w:rsid w:val="1F5570C1"/>
    <w:rsid w:val="1FE352FF"/>
    <w:rsid w:val="1FF36D61"/>
    <w:rsid w:val="2059498F"/>
    <w:rsid w:val="213276BA"/>
    <w:rsid w:val="220821C8"/>
    <w:rsid w:val="22F17100"/>
    <w:rsid w:val="24E6442F"/>
    <w:rsid w:val="25C74149"/>
    <w:rsid w:val="26D66D39"/>
    <w:rsid w:val="277F405E"/>
    <w:rsid w:val="27BC5F2F"/>
    <w:rsid w:val="284B7196"/>
    <w:rsid w:val="28EF40E2"/>
    <w:rsid w:val="29177195"/>
    <w:rsid w:val="29C35BBC"/>
    <w:rsid w:val="2AA5344C"/>
    <w:rsid w:val="2AF61548"/>
    <w:rsid w:val="2B050E6B"/>
    <w:rsid w:val="2B253DEB"/>
    <w:rsid w:val="2B5B15BB"/>
    <w:rsid w:val="2B632B65"/>
    <w:rsid w:val="2C666469"/>
    <w:rsid w:val="2C7A4785"/>
    <w:rsid w:val="2D2F7E73"/>
    <w:rsid w:val="2DA6523F"/>
    <w:rsid w:val="2E5C6B42"/>
    <w:rsid w:val="30360848"/>
    <w:rsid w:val="30A96FD6"/>
    <w:rsid w:val="314D7BF8"/>
    <w:rsid w:val="328C4750"/>
    <w:rsid w:val="32C41C37"/>
    <w:rsid w:val="333871F3"/>
    <w:rsid w:val="3342731F"/>
    <w:rsid w:val="3346439C"/>
    <w:rsid w:val="33AC2366"/>
    <w:rsid w:val="34473024"/>
    <w:rsid w:val="34607C42"/>
    <w:rsid w:val="360326F7"/>
    <w:rsid w:val="36897924"/>
    <w:rsid w:val="374365DA"/>
    <w:rsid w:val="39047736"/>
    <w:rsid w:val="394C2E8B"/>
    <w:rsid w:val="3A15327D"/>
    <w:rsid w:val="3A9B578F"/>
    <w:rsid w:val="3B7D37CF"/>
    <w:rsid w:val="3C597D99"/>
    <w:rsid w:val="3D7D1C8A"/>
    <w:rsid w:val="3DBF3C2B"/>
    <w:rsid w:val="3DE11C0F"/>
    <w:rsid w:val="3E572CB0"/>
    <w:rsid w:val="3EF773F5"/>
    <w:rsid w:val="3F593C0C"/>
    <w:rsid w:val="40714F85"/>
    <w:rsid w:val="436D565D"/>
    <w:rsid w:val="43CD4BC8"/>
    <w:rsid w:val="43E268C5"/>
    <w:rsid w:val="45280308"/>
    <w:rsid w:val="46BC17DF"/>
    <w:rsid w:val="46E75FA1"/>
    <w:rsid w:val="47392CA0"/>
    <w:rsid w:val="476F1F49"/>
    <w:rsid w:val="483B47F6"/>
    <w:rsid w:val="48541414"/>
    <w:rsid w:val="4870464C"/>
    <w:rsid w:val="48981C49"/>
    <w:rsid w:val="499248EA"/>
    <w:rsid w:val="4A2C4641"/>
    <w:rsid w:val="4AB2712E"/>
    <w:rsid w:val="4BCB40E3"/>
    <w:rsid w:val="4C414E25"/>
    <w:rsid w:val="4C983FC5"/>
    <w:rsid w:val="4CBE1552"/>
    <w:rsid w:val="4CF136D5"/>
    <w:rsid w:val="4CFB4554"/>
    <w:rsid w:val="501A714D"/>
    <w:rsid w:val="51581F75"/>
    <w:rsid w:val="526B3F2A"/>
    <w:rsid w:val="53F855CC"/>
    <w:rsid w:val="55C027DF"/>
    <w:rsid w:val="565A668F"/>
    <w:rsid w:val="57E44562"/>
    <w:rsid w:val="5A003A7C"/>
    <w:rsid w:val="5A296BA4"/>
    <w:rsid w:val="5B3968C2"/>
    <w:rsid w:val="5CD33ECC"/>
    <w:rsid w:val="5E3653EC"/>
    <w:rsid w:val="5EE4309A"/>
    <w:rsid w:val="5F2142EE"/>
    <w:rsid w:val="601F1555"/>
    <w:rsid w:val="60432042"/>
    <w:rsid w:val="619F14FA"/>
    <w:rsid w:val="61B62284"/>
    <w:rsid w:val="638C5AAE"/>
    <w:rsid w:val="64B90A7C"/>
    <w:rsid w:val="6554084E"/>
    <w:rsid w:val="66212E26"/>
    <w:rsid w:val="67174CEC"/>
    <w:rsid w:val="674E7C4A"/>
    <w:rsid w:val="699C5A70"/>
    <w:rsid w:val="69D72062"/>
    <w:rsid w:val="6A1F58CE"/>
    <w:rsid w:val="6B105217"/>
    <w:rsid w:val="6BE648F5"/>
    <w:rsid w:val="6C292A34"/>
    <w:rsid w:val="6C2D1141"/>
    <w:rsid w:val="6F525DFE"/>
    <w:rsid w:val="70C96594"/>
    <w:rsid w:val="72671BC0"/>
    <w:rsid w:val="732D4BB8"/>
    <w:rsid w:val="7476433D"/>
    <w:rsid w:val="750D7BBA"/>
    <w:rsid w:val="758C368B"/>
    <w:rsid w:val="75AB270C"/>
    <w:rsid w:val="76190A7B"/>
    <w:rsid w:val="773F4EBA"/>
    <w:rsid w:val="78734FCA"/>
    <w:rsid w:val="78F148D9"/>
    <w:rsid w:val="79202AC9"/>
    <w:rsid w:val="7986452E"/>
    <w:rsid w:val="7B5D1DB2"/>
    <w:rsid w:val="7B792A81"/>
    <w:rsid w:val="7BCD0997"/>
    <w:rsid w:val="7BFD5343"/>
    <w:rsid w:val="7C990931"/>
    <w:rsid w:val="7CB65C1E"/>
    <w:rsid w:val="7D5316BF"/>
    <w:rsid w:val="7DD86068"/>
    <w:rsid w:val="7E861620"/>
    <w:rsid w:val="7F98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uiPriority w:val="0"/>
    <w:pPr>
      <w:widowControl w:val="0"/>
      <w:jc w:val="left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2"/>
      <w:sz w:val="18"/>
      <w:szCs w:val="18"/>
    </w:rPr>
  </w:style>
  <w:style w:type="paragraph" w:styleId="4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18"/>
    </w:rPr>
  </w:style>
  <w:style w:type="character" w:styleId="7">
    <w:name w:val="page number"/>
    <w:basedOn w:val="6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2.emf"/><Relationship Id="rId7" Type="http://schemas.openxmlformats.org/officeDocument/2006/relationships/oleObject" Target="embeddings/oleObject1.bin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image" Target="media/image9.emf"/><Relationship Id="rId21" Type="http://schemas.openxmlformats.org/officeDocument/2006/relationships/oleObject" Target="embeddings/oleObject8.bin"/><Relationship Id="rId20" Type="http://schemas.openxmlformats.org/officeDocument/2006/relationships/image" Target="media/image8.emf"/><Relationship Id="rId2" Type="http://schemas.openxmlformats.org/officeDocument/2006/relationships/settings" Target="settings.xml"/><Relationship Id="rId19" Type="http://schemas.openxmlformats.org/officeDocument/2006/relationships/oleObject" Target="embeddings/oleObject7.bin"/><Relationship Id="rId18" Type="http://schemas.openxmlformats.org/officeDocument/2006/relationships/image" Target="media/image7.emf"/><Relationship Id="rId17" Type="http://schemas.openxmlformats.org/officeDocument/2006/relationships/oleObject" Target="embeddings/oleObject6.bin"/><Relationship Id="rId16" Type="http://schemas.openxmlformats.org/officeDocument/2006/relationships/image" Target="media/image6.emf"/><Relationship Id="rId15" Type="http://schemas.openxmlformats.org/officeDocument/2006/relationships/oleObject" Target="embeddings/oleObject5.bin"/><Relationship Id="rId14" Type="http://schemas.openxmlformats.org/officeDocument/2006/relationships/image" Target="media/image5.emf"/><Relationship Id="rId13" Type="http://schemas.openxmlformats.org/officeDocument/2006/relationships/oleObject" Target="embeddings/oleObject4.bin"/><Relationship Id="rId12" Type="http://schemas.openxmlformats.org/officeDocument/2006/relationships/image" Target="media/image4.emf"/><Relationship Id="rId11" Type="http://schemas.openxmlformats.org/officeDocument/2006/relationships/oleObject" Target="embeddings/oleObject3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2981</Words>
  <Characters>4010</Characters>
  <Lines>0</Lines>
  <Paragraphs>0</Paragraphs>
  <TotalTime>5</TotalTime>
  <ScaleCrop>false</ScaleCrop>
  <LinksUpToDate>false</LinksUpToDate>
  <CharactersWithSpaces>4062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2024-02-19T00:17:00Z</dcterms:created>
  <dc:creator>Mars</dc:creator>
  <cp:lastModifiedBy>刘晓钰</cp:lastModifiedBy>
  <dcterms:modified xsi:type="dcterms:W3CDTF">2025-03-21T01:18:30Z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091FA13DF7DD46159D74662F4851521F_13</vt:lpwstr>
  </property>
</Properties>
</file>