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BCA5B7">
      <w:pPr>
        <w:jc w:val="center"/>
        <w:rPr>
          <w:rFonts w:ascii="宋体" w:hAnsi="宋体" w:eastAsia="宋体" w:cs="宋体"/>
          <w:b/>
          <w:bCs/>
          <w:sz w:val="44"/>
          <w:szCs w:val="44"/>
        </w:rPr>
      </w:pPr>
      <w:bookmarkStart w:id="0" w:name="OLE_LINK4"/>
      <w:r>
        <w:rPr>
          <w:rFonts w:hint="eastAsia" w:ascii="宋体" w:hAnsi="宋体" w:eastAsia="宋体" w:cs="宋体"/>
          <w:b/>
          <w:bCs/>
          <w:sz w:val="44"/>
          <w:szCs w:val="44"/>
        </w:rPr>
        <w:t>关于市场监管领域（质量、标准、计量、认证、知识产权）全面加强“北纬40度 海城质造”城市品牌建设三年行动实施意见</w:t>
      </w:r>
      <w:bookmarkEnd w:id="0"/>
    </w:p>
    <w:p w14:paraId="007A7B58">
      <w:pPr>
        <w:jc w:val="center"/>
        <w:rPr>
          <w:rFonts w:ascii="宋体" w:hAnsi="宋体" w:eastAsia="宋体" w:cs="宋体"/>
          <w:b/>
          <w:bCs/>
          <w:sz w:val="44"/>
          <w:szCs w:val="44"/>
        </w:rPr>
      </w:pPr>
      <w:r>
        <w:rPr>
          <w:rFonts w:hint="eastAsia" w:ascii="宋体" w:hAnsi="宋体" w:eastAsia="宋体" w:cs="宋体"/>
          <w:b/>
          <w:bCs/>
          <w:sz w:val="44"/>
          <w:szCs w:val="44"/>
        </w:rPr>
        <w:t>（2024-2026）</w:t>
      </w:r>
    </w:p>
    <w:p w14:paraId="03653122">
      <w:pPr>
        <w:jc w:val="center"/>
        <w:rPr>
          <w:rFonts w:hint="eastAsia"/>
          <w:sz w:val="36"/>
          <w:szCs w:val="36"/>
        </w:rPr>
      </w:pPr>
      <w:r>
        <w:rPr>
          <w:rFonts w:hint="eastAsia" w:ascii="楷体_GB2312" w:hAnsi="楷体_GB2312" w:eastAsia="楷体_GB2312" w:cs="楷体_GB2312"/>
          <w:b w:val="0"/>
          <w:bCs w:val="0"/>
          <w:sz w:val="36"/>
          <w:szCs w:val="36"/>
        </w:rPr>
        <w:t>(</w:t>
      </w:r>
      <w:r>
        <w:rPr>
          <w:rFonts w:hint="eastAsia" w:ascii="楷体_GB2312" w:hAnsi="楷体_GB2312" w:eastAsia="楷体_GB2312" w:cs="楷体_GB2312"/>
          <w:b w:val="0"/>
          <w:bCs w:val="0"/>
          <w:sz w:val="36"/>
          <w:szCs w:val="36"/>
          <w:lang w:eastAsia="zh-CN"/>
        </w:rPr>
        <w:t>社会公开征询意见</w:t>
      </w:r>
      <w:r>
        <w:rPr>
          <w:rFonts w:hint="eastAsia" w:ascii="楷体_GB2312" w:hAnsi="楷体_GB2312" w:eastAsia="楷体_GB2312" w:cs="楷体_GB2312"/>
          <w:b w:val="0"/>
          <w:bCs w:val="0"/>
          <w:sz w:val="36"/>
          <w:szCs w:val="36"/>
        </w:rPr>
        <w:t>稿)</w:t>
      </w:r>
    </w:p>
    <w:p w14:paraId="02D46660">
      <w:pPr>
        <w:tabs>
          <w:tab w:val="left" w:pos="1170"/>
        </w:tabs>
        <w:spacing w:line="6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为深入贯彻落实《质量强国建设纲要》《辽宁省质量强省建设纲要》</w:t>
      </w:r>
      <w:r>
        <w:rPr>
          <w:rFonts w:hint="eastAsia" w:ascii="仿宋" w:hAnsi="仿宋" w:eastAsia="仿宋" w:cs="仿宋"/>
          <w:spacing w:val="8"/>
          <w:sz w:val="32"/>
          <w:szCs w:val="32"/>
          <w:shd w:val="clear" w:color="auto" w:fill="FFFFFF"/>
        </w:rPr>
        <w:t>《关于质量基础设施助力产业链供应链质量联动提升的指导意见》</w:t>
      </w:r>
      <w:r>
        <w:rPr>
          <w:rFonts w:hint="eastAsia" w:ascii="仿宋" w:hAnsi="仿宋" w:eastAsia="仿宋" w:cs="仿宋"/>
          <w:sz w:val="32"/>
          <w:szCs w:val="32"/>
        </w:rPr>
        <w:t>精神，按照市委、市政府“北纬40度 海城质造”城市品牌建设工作部署，决定开展市场监管领域“北纬40度 海城质造”城市品牌建设三年行动，</w:t>
      </w:r>
      <w:r>
        <w:rPr>
          <w:rFonts w:hint="eastAsia" w:ascii="仿宋" w:hAnsi="仿宋" w:eastAsia="仿宋" w:cs="仿宋"/>
          <w:color w:val="000000"/>
          <w:sz w:val="32"/>
          <w:szCs w:val="32"/>
          <w:shd w:val="clear" w:color="auto" w:fill="FFFFFF"/>
        </w:rPr>
        <w:t>助力海城经济社会高质量发展</w:t>
      </w:r>
      <w:r>
        <w:rPr>
          <w:rFonts w:hint="eastAsia" w:ascii="仿宋" w:hAnsi="仿宋" w:eastAsia="仿宋" w:cs="仿宋"/>
          <w:sz w:val="32"/>
          <w:szCs w:val="32"/>
        </w:rPr>
        <w:t>，特制定本实施意见。</w:t>
      </w:r>
    </w:p>
    <w:p w14:paraId="63BE9041">
      <w:pPr>
        <w:tabs>
          <w:tab w:val="left" w:pos="720"/>
        </w:tabs>
        <w:spacing w:line="640" w:lineRule="exact"/>
        <w:jc w:val="left"/>
        <w:rPr>
          <w:rFonts w:ascii="黑体" w:hAnsi="黑体" w:eastAsia="黑体" w:cs="黑体"/>
          <w:sz w:val="32"/>
          <w:szCs w:val="32"/>
        </w:rPr>
      </w:pPr>
      <w:r>
        <w:rPr>
          <w:rFonts w:hint="eastAsia"/>
        </w:rPr>
        <w:tab/>
      </w:r>
      <w:r>
        <w:rPr>
          <w:rFonts w:hint="eastAsia" w:ascii="黑体" w:hAnsi="黑体" w:eastAsia="黑体" w:cs="黑体"/>
          <w:b/>
          <w:bCs/>
          <w:sz w:val="32"/>
          <w:szCs w:val="32"/>
        </w:rPr>
        <w:t>一、打牢质量基础，提升企业质量发展能力</w:t>
      </w:r>
    </w:p>
    <w:p w14:paraId="5655BD70">
      <w:pPr>
        <w:tabs>
          <w:tab w:val="left" w:pos="853"/>
        </w:tabs>
        <w:spacing w:line="6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强化质量管理。加强全员、全要素、全过程、全数据的新型质量管理，鼓励企业深化质量管理体系、卓越绩效模式、精益管理、六西格玛管理等先进质量管理方法运用，从研发设计、生产制造、检验检测等全过程加强质量管控。鼓励企业建立首席质量官、首席标准官制度，全面加强质量支撑和标准引领作用。</w:t>
      </w:r>
    </w:p>
    <w:p w14:paraId="7EBA1593">
      <w:pPr>
        <w:tabs>
          <w:tab w:val="left" w:pos="853"/>
        </w:tabs>
        <w:spacing w:line="6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突出质量技术创新。鼓励企业增加专利技术研发投入，推动新技术、新工艺、新材料应用，强化专利质量和转化运用工作，梳理盘活存量专利，利用专利产业化促进中小企业成长，促进重点产业知识产权强链增效，鼓励培育推广专利密集型产品等，培育建设一批重点行业标杆企业。</w:t>
      </w:r>
    </w:p>
    <w:p w14:paraId="551812DF">
      <w:pPr>
        <w:tabs>
          <w:tab w:val="left" w:pos="836"/>
        </w:tabs>
        <w:spacing w:line="6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扩大质量品牌效应。鼓励企业实施质量品牌战略，建立品牌培育管理体系，深化品牌设计、市场推广、品牌维护等能力建设，提高品牌全生命周期管理运营能力。突出重点区域和重点产业集群，引导企业增品种、提品质、创品牌，引导企业申请国家驰名商标，培育本土注册商标，增强海城品牌竞争力，巩固行业产品品牌地位，加大本土自创品牌的市场占有率。鼓励企业积极争创“海城质造”地方品牌和“辽宁优品”区域品牌。</w:t>
      </w:r>
    </w:p>
    <w:p w14:paraId="1406E6DB">
      <w:pPr>
        <w:tabs>
          <w:tab w:val="left" w:pos="720"/>
        </w:tabs>
        <w:spacing w:line="6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4、实施质量标杆引领。广泛动员企业参与鞍山市级政府质量奖评定工作，以“海城质造”品牌企业为基础，深入挖掘培育目标，树立质量管理标杆企业，并将其先进质量管理模式、方法及科学实践成果推广应用至相关行业，为国家、辽宁省质量奖评选做好企业储备。</w:t>
      </w:r>
    </w:p>
    <w:p w14:paraId="641E8936">
      <w:pPr>
        <w:tabs>
          <w:tab w:val="left" w:pos="770"/>
        </w:tabs>
        <w:spacing w:line="6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5、加强质量人才培育。支持企业深入实施首席质量官制度，鼓励设立二级质量官，打造质量经理、质量工程师和质量技术能手队伍。</w:t>
      </w:r>
      <w:r>
        <w:rPr>
          <w:rFonts w:hint="eastAsia" w:ascii="仿宋" w:hAnsi="仿宋" w:eastAsia="仿宋"/>
          <w:sz w:val="32"/>
          <w:szCs w:val="32"/>
        </w:rPr>
        <w:t>持续推进实施</w:t>
      </w:r>
      <w:r>
        <w:rPr>
          <w:rFonts w:ascii="仿宋" w:hAnsi="仿宋" w:eastAsia="仿宋"/>
          <w:sz w:val="32"/>
          <w:szCs w:val="32"/>
        </w:rPr>
        <w:t>首席标准官制度，精心遴选、梯次培育标准化</w:t>
      </w:r>
      <w:r>
        <w:rPr>
          <w:rFonts w:hint="eastAsia" w:ascii="仿宋" w:hAnsi="仿宋" w:eastAsia="仿宋"/>
          <w:sz w:val="32"/>
          <w:szCs w:val="32"/>
        </w:rPr>
        <w:t>管理人才</w:t>
      </w:r>
      <w:r>
        <w:rPr>
          <w:rFonts w:ascii="仿宋" w:hAnsi="仿宋" w:eastAsia="仿宋"/>
          <w:sz w:val="32"/>
          <w:szCs w:val="32"/>
        </w:rPr>
        <w:t>，以标准化赋能企业高质量发展</w:t>
      </w:r>
      <w:r>
        <w:rPr>
          <w:rFonts w:hint="eastAsia" w:ascii="仿宋" w:hAnsi="仿宋" w:eastAsia="仿宋"/>
          <w:sz w:val="32"/>
          <w:szCs w:val="32"/>
        </w:rPr>
        <w:t>。</w:t>
      </w:r>
      <w:r>
        <w:rPr>
          <w:rFonts w:hint="eastAsia" w:ascii="仿宋" w:hAnsi="仿宋" w:eastAsia="仿宋" w:cs="仿宋"/>
          <w:sz w:val="32"/>
          <w:szCs w:val="32"/>
        </w:rPr>
        <w:t>广泛动员重点产业和企业的质量管理和技术人才申报辽宁省质量品牌专家智库，为质量强市建设提供智力支持。</w:t>
      </w:r>
    </w:p>
    <w:p w14:paraId="5F476633">
      <w:pPr>
        <w:tabs>
          <w:tab w:val="left" w:pos="786"/>
        </w:tabs>
        <w:spacing w:line="640" w:lineRule="exact"/>
        <w:ind w:firstLine="643" w:firstLineChars="200"/>
        <w:jc w:val="left"/>
        <w:rPr>
          <w:rFonts w:ascii="仿宋" w:hAnsi="仿宋" w:eastAsia="仿宋" w:cs="仿宋"/>
          <w:b/>
          <w:bCs/>
          <w:sz w:val="32"/>
          <w:szCs w:val="32"/>
        </w:rPr>
      </w:pPr>
      <w:r>
        <w:rPr>
          <w:rFonts w:hint="eastAsia" w:ascii="黑体" w:hAnsi="黑体" w:eastAsia="黑体" w:cs="黑体"/>
          <w:b/>
          <w:bCs/>
          <w:sz w:val="32"/>
          <w:szCs w:val="32"/>
        </w:rPr>
        <w:t>二、强化协同联动，激发产业质量发展活力</w:t>
      </w:r>
    </w:p>
    <w:p w14:paraId="08185AD2">
      <w:pPr>
        <w:tabs>
          <w:tab w:val="left" w:pos="770"/>
        </w:tabs>
        <w:spacing w:line="640" w:lineRule="exact"/>
        <w:ind w:firstLine="540" w:firstLineChars="300"/>
        <w:jc w:val="left"/>
        <w:rPr>
          <w:rFonts w:ascii="仿宋" w:hAnsi="仿宋" w:eastAsia="仿宋" w:cs="仿宋"/>
          <w:color w:val="333333"/>
          <w:sz w:val="32"/>
          <w:szCs w:val="32"/>
          <w:shd w:val="clear" w:color="auto" w:fill="FFFFFF"/>
        </w:rPr>
      </w:pPr>
      <w:r>
        <w:rPr>
          <w:rFonts w:hint="eastAsia" w:ascii="宋体" w:hAnsi="宋体" w:eastAsia="宋体" w:cs="宋体"/>
          <w:color w:val="333333"/>
          <w:sz w:val="18"/>
          <w:szCs w:val="18"/>
          <w:shd w:val="clear" w:color="auto" w:fill="FFFFFF"/>
        </w:rPr>
        <w:t> </w:t>
      </w:r>
      <w:r>
        <w:rPr>
          <w:rFonts w:hint="eastAsia" w:ascii="仿宋" w:hAnsi="仿宋" w:eastAsia="仿宋" w:cs="仿宋"/>
          <w:sz w:val="32"/>
          <w:szCs w:val="32"/>
        </w:rPr>
        <w:t>6、</w:t>
      </w:r>
      <w:r>
        <w:rPr>
          <w:rFonts w:hint="eastAsia" w:ascii="仿宋" w:hAnsi="仿宋" w:eastAsia="仿宋" w:cs="仿宋"/>
          <w:color w:val="333333"/>
          <w:sz w:val="32"/>
          <w:szCs w:val="32"/>
          <w:shd w:val="clear" w:color="auto" w:fill="FFFFFF"/>
        </w:rPr>
        <w:t>绘制重点产业质量图谱。科学谋划重点产业、特色产业，开展菱镁行业全链条质量状况调研，实施“一企一策”精准帮扶，组织专家问诊把脉，从质量技术、质量管理、质量品牌、质量基础设施等方面，识别和剖析关键质量问题，形成质量问题清单，绘制质量图谱，明确质量提升的目标、路径和措施。</w:t>
      </w:r>
    </w:p>
    <w:p w14:paraId="0DC9BFBF">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7、以现代先进的测量体系提升产业链创新力。强化产业计量赋能，实施产业计量测试能力提升工程。建立一批产业发展急需的高准确度、高稳定性计量基准、标准，强化对关键领域的技术支撑。支持产业计量公共服务平台建设和计量测试设备智能化升级改造,加快培养产业计量紧缺人才,为企业提供计量技术研发、生产、测试方面的技术支撑。</w:t>
      </w:r>
    </w:p>
    <w:p w14:paraId="2D453BE1">
      <w:pPr>
        <w:spacing w:line="640" w:lineRule="exact"/>
        <w:ind w:firstLine="640" w:firstLineChars="200"/>
        <w:rPr>
          <w:rFonts w:ascii="仿宋" w:hAnsi="仿宋" w:eastAsia="仿宋" w:cs="仿宋"/>
          <w:sz w:val="32"/>
          <w:szCs w:val="32"/>
        </w:rPr>
      </w:pPr>
      <w:r>
        <w:rPr>
          <w:rFonts w:hint="eastAsia" w:ascii="仿宋" w:hAnsi="仿宋" w:eastAsia="仿宋" w:cs="仿宋"/>
          <w:color w:val="333333"/>
          <w:sz w:val="32"/>
          <w:szCs w:val="32"/>
          <w:shd w:val="clear" w:color="auto" w:fill="FFFFFF"/>
        </w:rPr>
        <w:t>8、以协同领先的标准群增强产业链供应链稳定性。开展标准化助力重点产业稳链工程，</w:t>
      </w:r>
      <w:r>
        <w:rPr>
          <w:rFonts w:hint="eastAsia" w:ascii="仿宋" w:hAnsi="仿宋" w:eastAsia="仿宋" w:cs="仿宋"/>
          <w:sz w:val="32"/>
          <w:szCs w:val="32"/>
        </w:rPr>
        <w:t>鼓励引导</w:t>
      </w:r>
      <w:r>
        <w:rPr>
          <w:rFonts w:hint="eastAsia" w:ascii="仿宋_GB2312" w:hAnsi="仿宋_GB2312" w:eastAsia="仿宋_GB2312" w:cs="仿宋_GB2312"/>
          <w:sz w:val="32"/>
          <w:szCs w:val="32"/>
        </w:rPr>
        <w:t>企业</w:t>
      </w:r>
      <w:r>
        <w:rPr>
          <w:rFonts w:hint="eastAsia" w:ascii="仿宋" w:hAnsi="仿宋" w:eastAsia="仿宋" w:cs="仿宋"/>
          <w:sz w:val="32"/>
          <w:szCs w:val="32"/>
        </w:rPr>
        <w:t>参与国家标准、行业标准制修订，加快产业链关键环节、关键领域、关键产品的技术攻关和标准研制，</w:t>
      </w:r>
      <w:r>
        <w:rPr>
          <w:rFonts w:hint="eastAsia" w:ascii="仿宋" w:hAnsi="仿宋" w:eastAsia="仿宋" w:cs="仿宋"/>
          <w:color w:val="333333"/>
          <w:sz w:val="32"/>
          <w:szCs w:val="32"/>
          <w:shd w:val="clear" w:color="auto" w:fill="FFFFFF"/>
        </w:rPr>
        <w:t>促进产业链上下游标准有效衔接。</w:t>
      </w:r>
      <w:r>
        <w:rPr>
          <w:rFonts w:hint="eastAsia" w:ascii="楷体" w:hAnsi="楷体" w:eastAsia="楷体" w:cs="楷体"/>
          <w:sz w:val="32"/>
          <w:szCs w:val="32"/>
        </w:rPr>
        <w:t>持续</w:t>
      </w:r>
      <w:r>
        <w:rPr>
          <w:rFonts w:hint="eastAsia" w:ascii="仿宋" w:hAnsi="仿宋" w:eastAsia="仿宋" w:cs="仿宋"/>
          <w:sz w:val="32"/>
          <w:szCs w:val="32"/>
        </w:rPr>
        <w:t>发挥标准引领作用,鼓励企业制定高于国家标准、行业标准的企业标准，指导企业开展产品和服务标准自我声明公开工作，</w:t>
      </w:r>
      <w:r>
        <w:rPr>
          <w:rFonts w:hint="eastAsia" w:ascii="仿宋" w:hAnsi="仿宋" w:eastAsia="仿宋" w:cs="仿宋"/>
          <w:color w:val="333333"/>
          <w:sz w:val="32"/>
          <w:szCs w:val="32"/>
          <w:shd w:val="clear" w:color="auto" w:fill="FFFFFF"/>
        </w:rPr>
        <w:t>积极参与标准领跑者和标准创新型企业活动，引导上下游企业开展技术、专利、标准联动创新。</w:t>
      </w:r>
    </w:p>
    <w:p w14:paraId="0B603B53">
      <w:pPr>
        <w:tabs>
          <w:tab w:val="left" w:pos="770"/>
        </w:tabs>
        <w:spacing w:line="640" w:lineRule="exact"/>
        <w:ind w:firstLine="640" w:firstLineChars="200"/>
        <w:jc w:val="left"/>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9、以专业高效的检验检测保障产业链供应链可靠性。支持建设服务海城菱镁产业发展的省级检验中心，为产业链上下游提供一体化服务。开展检验检测促进产业优化升级行动，鼓励检验检测机构联合科研机构、上下游企业开展质量关键共性技术协同攻关，助推技术改造、工艺优化和新产品研发。聚焦产业链“检不了、检不准、检不快”问题，加强检验检测能力建设，加强实验室间比对和能力验证，开展检验检测人员能力提升行动。</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10、以权威公信的质量认证认可促进产业链供应链高端化。实施以菱镁产业为试点的质量认证提升行动，开展质量管理体系认证升级活动、小微企业质量管理体系认证提升行动，加强认证活动事中事后监管，有效传递质量信任，促进优胜劣汰，提升产业市场竞争力。推广绿色产品认证，发动企业参与绿色产品认证试点工作，加快推进我市绿色产品认证及生产应用，促进产业转型升级，为高质量发展提供新的增长点。</w:t>
      </w:r>
      <w:r>
        <w:rPr>
          <w:rFonts w:hint="eastAsia" w:ascii="仿宋" w:hAnsi="仿宋" w:eastAsia="仿宋" w:cs="仿宋"/>
          <w:color w:val="333333"/>
          <w:sz w:val="32"/>
          <w:szCs w:val="32"/>
          <w:shd w:val="clear" w:color="auto" w:fill="FFFFFF"/>
        </w:rPr>
        <w:br w:type="textWrapping"/>
      </w:r>
      <w:r>
        <w:rPr>
          <w:rFonts w:hint="eastAsia" w:ascii="宋体" w:hAnsi="宋体" w:eastAsia="宋体" w:cs="宋体"/>
          <w:color w:val="333333"/>
          <w:sz w:val="18"/>
          <w:szCs w:val="18"/>
          <w:shd w:val="clear" w:color="auto" w:fill="FFFFFF"/>
        </w:rPr>
        <w:t xml:space="preserve">     </w:t>
      </w:r>
      <w:r>
        <w:rPr>
          <w:rFonts w:hint="eastAsia" w:ascii="仿宋" w:hAnsi="仿宋" w:eastAsia="仿宋" w:cs="仿宋"/>
          <w:color w:val="333333"/>
          <w:sz w:val="32"/>
          <w:szCs w:val="32"/>
          <w:shd w:val="clear" w:color="auto" w:fill="FFFFFF"/>
        </w:rPr>
        <w:t xml:space="preserve"> </w:t>
      </w:r>
      <w:r>
        <w:rPr>
          <w:rFonts w:hint="eastAsia" w:ascii="黑体" w:hAnsi="黑体" w:eastAsia="黑体" w:cs="黑体"/>
          <w:b/>
          <w:bCs/>
          <w:color w:val="333333"/>
          <w:sz w:val="32"/>
          <w:szCs w:val="32"/>
          <w:shd w:val="clear" w:color="auto" w:fill="FFFFFF"/>
        </w:rPr>
        <w:t>三、优化服务效能，汇聚城市质量发展合力</w:t>
      </w:r>
    </w:p>
    <w:p w14:paraId="5F6CDACC">
      <w:pPr>
        <w:tabs>
          <w:tab w:val="left" w:pos="770"/>
        </w:tabs>
        <w:spacing w:line="640" w:lineRule="exact"/>
        <w:ind w:firstLine="640" w:firstLineChars="200"/>
        <w:jc w:val="left"/>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11、整合质量基础资源配置，加强质量基础设施要素集成整合，通过市场化机制和信息化手段，结合重点产业，整合质量要素资源，</w:t>
      </w:r>
      <w:r>
        <w:rPr>
          <w:rFonts w:hint="eastAsia" w:ascii="仿宋" w:hAnsi="仿宋" w:eastAsia="仿宋" w:cs="仿宋"/>
          <w:color w:val="000000"/>
          <w:sz w:val="32"/>
          <w:szCs w:val="32"/>
          <w:shd w:val="clear" w:color="auto" w:fill="FFFFFF"/>
        </w:rPr>
        <w:t>深化共建共享共用，提升质量技术服务效能</w:t>
      </w:r>
      <w:r>
        <w:rPr>
          <w:rFonts w:hint="eastAsia" w:ascii="仿宋" w:hAnsi="仿宋" w:eastAsia="仿宋" w:cs="仿宋"/>
          <w:color w:val="333333"/>
          <w:sz w:val="32"/>
          <w:szCs w:val="32"/>
          <w:shd w:val="clear" w:color="auto" w:fill="FFFFFF"/>
        </w:rPr>
        <w:t>。建设海城市质量基础设施“一站式”网络服务平台，建成质量基础设施“一站式”服务站点16个。</w:t>
      </w:r>
    </w:p>
    <w:p w14:paraId="753A764E">
      <w:pPr>
        <w:tabs>
          <w:tab w:val="left" w:pos="770"/>
        </w:tabs>
        <w:spacing w:line="640" w:lineRule="exact"/>
        <w:ind w:firstLine="640" w:firstLineChars="200"/>
        <w:jc w:val="left"/>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12、推进质量强市建设。</w:t>
      </w:r>
      <w:r>
        <w:rPr>
          <w:rFonts w:hint="eastAsia" w:ascii="仿宋" w:hAnsi="仿宋" w:eastAsia="仿宋" w:cs="仿宋"/>
          <w:color w:val="000000"/>
          <w:sz w:val="32"/>
          <w:szCs w:val="32"/>
          <w:shd w:val="clear" w:color="auto" w:fill="FFFFFF"/>
        </w:rPr>
        <w:t>充分发挥质量在推动城市可持续发展中的作用，持续推进质量强</w:t>
      </w:r>
      <w:r>
        <w:rPr>
          <w:rFonts w:hint="eastAsia" w:ascii="仿宋" w:hAnsi="仿宋" w:eastAsia="仿宋" w:cs="仿宋"/>
          <w:color w:val="333333"/>
          <w:sz w:val="32"/>
          <w:szCs w:val="32"/>
          <w:shd w:val="clear" w:color="auto" w:fill="FFFFFF"/>
        </w:rPr>
        <w:t>市</w:t>
      </w:r>
      <w:r>
        <w:rPr>
          <w:rFonts w:hint="eastAsia" w:ascii="仿宋" w:hAnsi="仿宋" w:eastAsia="仿宋" w:cs="仿宋"/>
          <w:color w:val="000000"/>
          <w:sz w:val="32"/>
          <w:szCs w:val="32"/>
          <w:shd w:val="clear" w:color="auto" w:fill="FFFFFF"/>
        </w:rPr>
        <w:t>建设，推动市域经济高质量发展。结合海城产业特点和资源要素优势，以可持续发展为目标导向，将全面质量管理贯穿经济社会发展全过程和各领域，推动城镇品质化、智能化发展。积极参与申报国家质量强县。</w:t>
      </w:r>
      <w:r>
        <w:rPr>
          <w:rFonts w:hint="eastAsia" w:ascii="仿宋" w:hAnsi="仿宋" w:eastAsia="仿宋" w:cs="仿宋"/>
          <w:color w:val="333333"/>
          <w:sz w:val="32"/>
          <w:szCs w:val="32"/>
          <w:shd w:val="clear" w:color="auto" w:fill="FFFFFF"/>
        </w:rPr>
        <w:t xml:space="preserve">                                                                                                                                                                                                                                                                                                                                                                                                                                                                                                                                                                                                                                                                                                                                                                                                                                                                                                                                                                                                                                                                                                                                                                                                                                                                                                                                                                                                                                                                                                                                                 </w:t>
      </w:r>
    </w:p>
    <w:p w14:paraId="43E9C797">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13</w:t>
      </w:r>
      <w:r>
        <w:rPr>
          <w:rFonts w:hint="eastAsia" w:ascii="仿宋" w:hAnsi="仿宋" w:eastAsia="仿宋" w:cs="仿宋"/>
          <w:color w:val="333333"/>
          <w:sz w:val="32"/>
          <w:szCs w:val="32"/>
          <w:shd w:val="clear" w:color="auto" w:fill="FFFFFF"/>
        </w:rPr>
        <w:t>、</w:t>
      </w:r>
      <w:r>
        <w:rPr>
          <w:rFonts w:hint="eastAsia" w:ascii="仿宋" w:hAnsi="仿宋" w:eastAsia="仿宋" w:cs="仿宋"/>
          <w:sz w:val="32"/>
          <w:szCs w:val="32"/>
        </w:rPr>
        <w:t>完善质量政策激励机制。鼓励支持企业开展实验室资质认定，全面提升实验室检验检测能力。</w:t>
      </w:r>
      <w:r>
        <w:rPr>
          <w:rFonts w:hint="eastAsia" w:ascii="仿宋" w:hAnsi="仿宋" w:eastAsia="仿宋" w:cs="仿宋"/>
          <w:spacing w:val="9"/>
          <w:sz w:val="32"/>
          <w:szCs w:val="32"/>
          <w:shd w:val="clear" w:color="auto" w:fill="FFFFFF"/>
        </w:rPr>
        <w:t>加大品牌培育力度，</w:t>
      </w:r>
      <w:r>
        <w:rPr>
          <w:rFonts w:hint="eastAsia" w:ascii="仿宋" w:hAnsi="仿宋" w:eastAsia="仿宋" w:cs="仿宋"/>
          <w:sz w:val="32"/>
          <w:szCs w:val="32"/>
        </w:rPr>
        <w:t>充分发挥品牌引领作用，</w:t>
      </w:r>
      <w:r>
        <w:rPr>
          <w:rFonts w:hint="eastAsia" w:ascii="仿宋" w:hAnsi="仿宋" w:eastAsia="仿宋" w:cs="仿宋"/>
          <w:spacing w:val="9"/>
          <w:sz w:val="32"/>
          <w:szCs w:val="32"/>
          <w:shd w:val="clear" w:color="auto" w:fill="FFFFFF"/>
        </w:rPr>
        <w:t>引导企业建立以质量为核心的品牌成长机制，</w:t>
      </w:r>
      <w:r>
        <w:rPr>
          <w:rFonts w:hint="eastAsia" w:ascii="仿宋" w:hAnsi="仿宋" w:eastAsia="仿宋" w:cs="仿宋"/>
          <w:sz w:val="32"/>
          <w:szCs w:val="32"/>
        </w:rPr>
        <w:t>鼓励企业积极参与品牌创建，</w:t>
      </w:r>
      <w:r>
        <w:rPr>
          <w:rFonts w:ascii="仿宋" w:hAnsi="仿宋" w:eastAsia="仿宋"/>
          <w:color w:val="000000"/>
          <w:sz w:val="32"/>
          <w:szCs w:val="32"/>
        </w:rPr>
        <w:t>充分发挥标准在自主创新、产业竞争和国际贸易中的重要技术支撑作用，</w:t>
      </w:r>
      <w:r>
        <w:rPr>
          <w:rFonts w:hint="eastAsia" w:ascii="仿宋" w:hAnsi="仿宋" w:eastAsia="仿宋"/>
          <w:color w:val="000000"/>
          <w:sz w:val="32"/>
          <w:szCs w:val="32"/>
        </w:rPr>
        <w:t>鼓励支持</w:t>
      </w:r>
      <w:r>
        <w:rPr>
          <w:rFonts w:ascii="仿宋" w:hAnsi="仿宋" w:eastAsia="仿宋"/>
          <w:color w:val="000000"/>
          <w:sz w:val="32"/>
          <w:szCs w:val="32"/>
        </w:rPr>
        <w:t>企业</w:t>
      </w:r>
      <w:r>
        <w:rPr>
          <w:rFonts w:hint="eastAsia" w:ascii="仿宋" w:hAnsi="仿宋" w:eastAsia="仿宋"/>
          <w:color w:val="000000"/>
          <w:sz w:val="32"/>
          <w:szCs w:val="32"/>
        </w:rPr>
        <w:t>、</w:t>
      </w:r>
      <w:r>
        <w:rPr>
          <w:rFonts w:ascii="仿宋" w:hAnsi="仿宋" w:eastAsia="仿宋"/>
          <w:color w:val="000000"/>
          <w:sz w:val="32"/>
          <w:szCs w:val="32"/>
        </w:rPr>
        <w:t>单位主导或参与国际标准、国家标准、行业标准</w:t>
      </w:r>
      <w:r>
        <w:rPr>
          <w:rFonts w:hint="eastAsia" w:ascii="仿宋" w:hAnsi="仿宋" w:eastAsia="仿宋"/>
          <w:color w:val="000000"/>
          <w:sz w:val="32"/>
          <w:szCs w:val="32"/>
        </w:rPr>
        <w:t>的</w:t>
      </w:r>
      <w:r>
        <w:rPr>
          <w:rFonts w:ascii="仿宋" w:hAnsi="仿宋" w:eastAsia="仿宋"/>
          <w:color w:val="000000"/>
          <w:sz w:val="32"/>
          <w:szCs w:val="32"/>
        </w:rPr>
        <w:t>制定</w:t>
      </w:r>
      <w:r>
        <w:rPr>
          <w:rFonts w:hint="eastAsia" w:ascii="仿宋" w:hAnsi="仿宋" w:eastAsia="仿宋"/>
          <w:color w:val="000000"/>
          <w:sz w:val="32"/>
          <w:szCs w:val="32"/>
        </w:rPr>
        <w:t>。</w:t>
      </w:r>
    </w:p>
    <w:p w14:paraId="316E0C33">
      <w:pPr>
        <w:spacing w:line="640" w:lineRule="exact"/>
        <w:ind w:firstLine="640" w:firstLineChars="200"/>
        <w:jc w:val="left"/>
        <w:rPr>
          <w:rFonts w:ascii="仿宋" w:hAnsi="仿宋" w:eastAsia="仿宋" w:cs="仿宋"/>
          <w:sz w:val="32"/>
          <w:szCs w:val="32"/>
        </w:rPr>
      </w:pPr>
    </w:p>
    <w:p w14:paraId="33B19036">
      <w:pPr>
        <w:spacing w:line="640" w:lineRule="exact"/>
        <w:jc w:val="left"/>
        <w:rPr>
          <w:rFonts w:ascii="仿宋" w:hAnsi="仿宋" w:eastAsia="仿宋" w:cs="仿宋"/>
          <w:sz w:val="32"/>
          <w:szCs w:val="32"/>
        </w:rPr>
      </w:pPr>
    </w:p>
    <w:p w14:paraId="011CF42F">
      <w:pPr>
        <w:spacing w:line="640" w:lineRule="exact"/>
        <w:jc w:val="left"/>
        <w:rPr>
          <w:rFonts w:ascii="仿宋" w:hAnsi="仿宋" w:eastAsia="仿宋" w:cs="仿宋"/>
          <w:sz w:val="32"/>
          <w:szCs w:val="32"/>
        </w:rPr>
      </w:pPr>
    </w:p>
    <w:p w14:paraId="7723D9E1">
      <w:pPr>
        <w:spacing w:line="640" w:lineRule="exact"/>
        <w:jc w:val="left"/>
        <w:rPr>
          <w:rFonts w:ascii="仿宋" w:hAnsi="仿宋" w:eastAsia="仿宋" w:cs="仿宋"/>
          <w:sz w:val="32"/>
          <w:szCs w:val="32"/>
        </w:rPr>
      </w:pPr>
    </w:p>
    <w:p w14:paraId="0BC2C8A6">
      <w:pPr>
        <w:tabs>
          <w:tab w:val="left" w:pos="971"/>
        </w:tabs>
        <w:spacing w:line="640" w:lineRule="exact"/>
        <w:ind w:firstLine="640" w:firstLineChars="200"/>
        <w:jc w:val="left"/>
        <w:rPr>
          <w:rFonts w:ascii="仿宋" w:hAnsi="仿宋" w:eastAsia="仿宋" w:cs="仿宋"/>
          <w:sz w:val="32"/>
          <w:szCs w:val="32"/>
        </w:rPr>
      </w:pPr>
    </w:p>
    <w:p w14:paraId="344AA058">
      <w:pPr>
        <w:tabs>
          <w:tab w:val="left" w:pos="812"/>
        </w:tabs>
        <w:jc w:val="left"/>
        <w:rPr>
          <w:rFonts w:ascii="仿宋" w:hAnsi="仿宋" w:eastAsia="仿宋" w:cs="仿宋"/>
          <w:sz w:val="32"/>
          <w:szCs w:val="32"/>
        </w:rPr>
      </w:pPr>
    </w:p>
    <w:p w14:paraId="0ECBCDBA">
      <w:pPr>
        <w:pStyle w:val="6"/>
        <w:ind w:left="0" w:leftChars="0" w:right="440" w:firstLine="0" w:firstLineChars="0"/>
        <w:rPr>
          <w:sz w:val="22"/>
          <w:szCs w:val="22"/>
        </w:rPr>
      </w:pPr>
    </w:p>
    <w:p w14:paraId="068C2F90">
      <w:pPr>
        <w:rPr>
          <w:rFonts w:ascii="黑体" w:hAnsi="黑体" w:eastAsia="黑体" w:cs="黑体"/>
          <w:sz w:val="44"/>
          <w:szCs w:val="44"/>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680B24"/>
    <w:rsid w:val="00567833"/>
    <w:rsid w:val="00BB4B97"/>
    <w:rsid w:val="1449251E"/>
    <w:rsid w:val="24FC7EAD"/>
    <w:rsid w:val="25ED45A1"/>
    <w:rsid w:val="35A041BA"/>
    <w:rsid w:val="3932191E"/>
    <w:rsid w:val="3A152ED8"/>
    <w:rsid w:val="599A1615"/>
    <w:rsid w:val="77FE3273"/>
    <w:rsid w:val="79680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Calibri" w:hAnsi="Calibri" w:eastAsia="仿宋" w:cs="宋体"/>
      <w:sz w:val="32"/>
    </w:rPr>
  </w:style>
  <w:style w:type="paragraph" w:styleId="4">
    <w:name w:val="Body Text"/>
    <w:basedOn w:val="1"/>
    <w:unhideWhenUsed/>
    <w:qFormat/>
    <w:uiPriority w:val="1"/>
    <w:rPr>
      <w:sz w:val="32"/>
    </w:rPr>
  </w:style>
  <w:style w:type="paragraph" w:styleId="5">
    <w:name w:val="Body Text Indent"/>
    <w:basedOn w:val="1"/>
    <w:next w:val="3"/>
    <w:qFormat/>
    <w:uiPriority w:val="0"/>
    <w:pPr>
      <w:spacing w:after="120"/>
      <w:ind w:left="420" w:leftChars="200"/>
    </w:pPr>
  </w:style>
  <w:style w:type="paragraph" w:styleId="6">
    <w:name w:val="Body Text First Indent 2"/>
    <w:basedOn w:val="5"/>
    <w:qFormat/>
    <w:uiPriority w:val="0"/>
    <w:pPr>
      <w:ind w:firstLine="420" w:firstLineChars="200"/>
    </w:pPr>
    <w:rPr>
      <w:color w:val="00000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5</Pages>
  <Words>764</Words>
  <Characters>4361</Characters>
  <Lines>36</Lines>
  <Paragraphs>10</Paragraphs>
  <TotalTime>1</TotalTime>
  <ScaleCrop>false</ScaleCrop>
  <LinksUpToDate>false</LinksUpToDate>
  <CharactersWithSpaces>5115</CharactersWithSpaces>
  <Application>WPS Office_12.8.2.17134_F1E327BC-269C-435d-A152-05C5408002CA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2024-09-26T02:24:00Z</dcterms:created>
  <dc:creator>Administrator</dc:creator>
  <cp:lastModifiedBy>Administrator</cp:lastModifiedBy>
  <cp:lastPrinted>2024-09-30T02:54:00Z</cp:lastPrinted>
  <dcterms:modified xsi:type="dcterms:W3CDTF">2024-09-30T06:13:14Z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2052-12.8.2.17134</vt:lpwstr>
  </property>
  <property fmtid="{D5CDD505-2E9C-101B-9397-08002B2CF9AE}" pid="3" name="ICV">
    <vt:lpwstr>950E31992A644649A99FD6E12A0C0F6E_13</vt:lpwstr>
  </property>
</Properties>
</file>