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DD115">
      <w:pPr>
        <w:jc w:val="center"/>
        <w:rPr>
          <w:rFonts w:ascii="黑体" w:hAnsi="黑体" w:eastAsia="黑体" w:cs="黑体"/>
          <w:bCs/>
          <w:sz w:val="44"/>
          <w:szCs w:val="44"/>
        </w:rPr>
      </w:pPr>
      <w:r>
        <w:rPr>
          <w:rFonts w:hint="eastAsia" w:ascii="黑体" w:hAnsi="黑体" w:eastAsia="黑体" w:cs="黑体"/>
          <w:sz w:val="44"/>
          <w:szCs w:val="44"/>
        </w:rPr>
        <w:t>海城市人民政府关于推进</w:t>
      </w:r>
      <w:r>
        <w:rPr>
          <w:rFonts w:hint="eastAsia" w:ascii="黑体" w:hAnsi="黑体" w:eastAsia="黑体" w:cs="黑体"/>
          <w:bCs/>
          <w:sz w:val="44"/>
          <w:szCs w:val="44"/>
        </w:rPr>
        <w:t>“北纬40度 海城质造”城市品牌建设</w:t>
      </w:r>
      <w:bookmarkStart w:id="0" w:name="_GoBack"/>
      <w:r>
        <w:rPr>
          <w:rFonts w:hint="eastAsia" w:ascii="黑体" w:hAnsi="黑体" w:eastAsia="黑体" w:cs="黑体"/>
          <w:bCs/>
          <w:sz w:val="44"/>
          <w:szCs w:val="44"/>
        </w:rPr>
        <w:t>奖励政策</w:t>
      </w:r>
    </w:p>
    <w:bookmarkEnd w:id="0"/>
    <w:p w14:paraId="7F811E33">
      <w:pPr>
        <w:pStyle w:val="2"/>
        <w:widowControl/>
        <w:shd w:val="clear" w:color="auto" w:fill="FFFFFF"/>
        <w:spacing w:after="210" w:line="560" w:lineRule="exact"/>
        <w:ind w:firstLine="720" w:firstLineChars="200"/>
        <w:jc w:val="center"/>
        <w:rPr>
          <w:rFonts w:ascii="仿宋" w:hAnsi="仿宋" w:eastAsia="仿宋" w:cs="仿宋"/>
          <w:b w:val="0"/>
          <w:sz w:val="36"/>
          <w:szCs w:val="36"/>
        </w:rPr>
      </w:pPr>
      <w:r>
        <w:rPr>
          <w:rFonts w:hint="eastAsia" w:ascii="楷体_GB2312" w:hAnsi="楷体_GB2312" w:eastAsia="楷体_GB2312" w:cs="楷体_GB2312"/>
          <w:b w:val="0"/>
          <w:bCs w:val="0"/>
          <w:sz w:val="36"/>
          <w:szCs w:val="36"/>
        </w:rPr>
        <w:t>(</w:t>
      </w:r>
      <w:r>
        <w:rPr>
          <w:rFonts w:hint="eastAsia" w:ascii="楷体_GB2312" w:hAnsi="楷体_GB2312" w:eastAsia="楷体_GB2312" w:cs="楷体_GB2312"/>
          <w:b w:val="0"/>
          <w:bCs w:val="0"/>
          <w:sz w:val="36"/>
          <w:szCs w:val="36"/>
          <w:lang w:eastAsia="zh-CN"/>
        </w:rPr>
        <w:t>社会公开征询意见</w:t>
      </w:r>
      <w:r>
        <w:rPr>
          <w:rFonts w:hint="eastAsia" w:ascii="楷体_GB2312" w:hAnsi="楷体_GB2312" w:eastAsia="楷体_GB2312" w:cs="楷体_GB2312"/>
          <w:b w:val="0"/>
          <w:bCs w:val="0"/>
          <w:sz w:val="36"/>
          <w:szCs w:val="36"/>
        </w:rPr>
        <w:t>稿)</w:t>
      </w:r>
    </w:p>
    <w:p w14:paraId="3BE7B2D6">
      <w:pPr>
        <w:pStyle w:val="2"/>
        <w:widowControl/>
        <w:shd w:val="clear" w:color="auto" w:fill="FFFFFF"/>
        <w:spacing w:after="210" w:line="560" w:lineRule="exact"/>
        <w:ind w:firstLine="640" w:firstLineChars="200"/>
        <w:rPr>
          <w:rFonts w:ascii="仿宋" w:hAnsi="仿宋" w:eastAsia="仿宋" w:cs="仿宋"/>
          <w:b w:val="0"/>
          <w:sz w:val="32"/>
          <w:szCs w:val="32"/>
        </w:rPr>
      </w:pPr>
      <w:r>
        <w:rPr>
          <w:rFonts w:ascii="仿宋" w:hAnsi="仿宋" w:eastAsia="仿宋" w:cs="仿宋"/>
          <w:b w:val="0"/>
          <w:sz w:val="32"/>
          <w:szCs w:val="32"/>
        </w:rPr>
        <w:t>为深入贯彻落实《质量强国建设纲要》《辽宁省质量强省建设纲要》</w:t>
      </w:r>
      <w:r>
        <w:rPr>
          <w:rFonts w:ascii="仿宋" w:hAnsi="仿宋" w:eastAsia="仿宋" w:cs="仿宋"/>
          <w:b w:val="0"/>
          <w:spacing w:val="8"/>
          <w:sz w:val="32"/>
          <w:szCs w:val="32"/>
          <w:shd w:val="clear" w:color="auto" w:fill="FFFFFF"/>
        </w:rPr>
        <w:t>《关于推动县域经济高质量发展若干政策措施的意见》</w:t>
      </w:r>
      <w:r>
        <w:rPr>
          <w:rFonts w:ascii="仿宋" w:hAnsi="仿宋" w:eastAsia="仿宋" w:cs="仿宋"/>
          <w:b w:val="0"/>
          <w:sz w:val="32"/>
          <w:szCs w:val="32"/>
        </w:rPr>
        <w:t>精神，鼓励企业及个人积极参与“北纬40度 海城质造”城市品牌建设，促进海城经济高质量发展，特制定本奖励政策。</w:t>
      </w:r>
    </w:p>
    <w:p w14:paraId="2D8DDA71">
      <w:pPr>
        <w:ind w:firstLine="643" w:firstLineChars="200"/>
        <w:rPr>
          <w:rFonts w:ascii="黑体" w:hAnsi="黑体" w:eastAsia="黑体"/>
          <w:b/>
          <w:sz w:val="32"/>
          <w:szCs w:val="32"/>
        </w:rPr>
      </w:pPr>
      <w:r>
        <w:rPr>
          <w:rFonts w:hint="eastAsia" w:ascii="黑体" w:hAnsi="黑体" w:eastAsia="黑体"/>
          <w:b/>
          <w:sz w:val="32"/>
          <w:szCs w:val="32"/>
        </w:rPr>
        <w:t>一、奖励项目及标准</w:t>
      </w:r>
    </w:p>
    <w:p w14:paraId="1B9D653D">
      <w:pPr>
        <w:tabs>
          <w:tab w:val="left" w:pos="778"/>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1、对初次获得“国家质量奖”“省长质量奖”“鞍山市长质量奖”的企业，分别给予一次性奖励人民币30万元、20万元、10万元。</w:t>
      </w:r>
    </w:p>
    <w:p w14:paraId="791A1F9B">
      <w:pPr>
        <w:tabs>
          <w:tab w:val="left" w:pos="912"/>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2、对初次获得“海城质造”品牌的企业，给予一次性奖励人民币5万元。</w:t>
      </w:r>
    </w:p>
    <w:p w14:paraId="3EF054A2">
      <w:pPr>
        <w:tabs>
          <w:tab w:val="left" w:pos="812"/>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3、对主导或参与制订国际标准、国家标准、行业标准的企业或单位，分别给予一次性奖励人民币10万元、5万元、3万元。</w:t>
      </w:r>
    </w:p>
    <w:p w14:paraId="2FC41B55">
      <w:pPr>
        <w:tabs>
          <w:tab w:val="left" w:pos="728"/>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4、对被认定为国家级、省级实验室的企业或单位，分别给予一次性奖励人民币20万元、10万元。</w:t>
      </w:r>
    </w:p>
    <w:p w14:paraId="02F012E0">
      <w:pPr>
        <w:tabs>
          <w:tab w:val="left" w:pos="728"/>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5、对获得首席质量官、首席标准官证书及已荣获首席质量官、首席标准官证书并仍在企业履行岗位职责的个人，给予一次性奖励人民币2000元。</w:t>
      </w:r>
    </w:p>
    <w:p w14:paraId="7C054B4E">
      <w:pPr>
        <w:tabs>
          <w:tab w:val="left" w:pos="695"/>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6、对初次获得使用国家地理标志产品专用标志的企业给予一次性奖励人民币5万元。</w:t>
      </w:r>
    </w:p>
    <w:p w14:paraId="7A0A0F55">
      <w:pPr>
        <w:tabs>
          <w:tab w:val="left" w:pos="695"/>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7、对初次获得中国驰名商标的企业给予一次性奖励人民币20万元。</w:t>
      </w:r>
    </w:p>
    <w:p w14:paraId="7EC4F437">
      <w:pPr>
        <w:tabs>
          <w:tab w:val="left" w:pos="695"/>
        </w:tabs>
        <w:spacing w:line="560" w:lineRule="exact"/>
        <w:ind w:firstLine="630"/>
        <w:jc w:val="left"/>
        <w:rPr>
          <w:rFonts w:ascii="黑体" w:hAnsi="黑体" w:eastAsia="黑体" w:cs="仿宋"/>
          <w:b/>
          <w:sz w:val="32"/>
          <w:szCs w:val="32"/>
        </w:rPr>
      </w:pPr>
      <w:r>
        <w:rPr>
          <w:rFonts w:hint="eastAsia" w:ascii="黑体" w:hAnsi="黑体" w:eastAsia="黑体" w:cs="仿宋"/>
          <w:b/>
          <w:sz w:val="32"/>
          <w:szCs w:val="32"/>
        </w:rPr>
        <w:t>二、奖励认定程序</w:t>
      </w:r>
    </w:p>
    <w:p w14:paraId="7447E890">
      <w:pPr>
        <w:tabs>
          <w:tab w:val="left" w:pos="695"/>
        </w:tabs>
        <w:spacing w:line="560" w:lineRule="exact"/>
        <w:ind w:firstLine="630"/>
        <w:jc w:val="left"/>
        <w:rPr>
          <w:rFonts w:ascii="仿宋" w:hAnsi="仿宋" w:eastAsia="仿宋" w:cs="仿宋"/>
          <w:sz w:val="32"/>
          <w:szCs w:val="32"/>
        </w:rPr>
      </w:pPr>
      <w:r>
        <w:rPr>
          <w:rFonts w:hint="eastAsia" w:ascii="仿宋" w:hAnsi="仿宋" w:eastAsia="仿宋" w:cs="仿宋"/>
          <w:sz w:val="32"/>
          <w:szCs w:val="32"/>
        </w:rPr>
        <w:t>8、获得上述奖项的企业或个人每年11月份向市质量强市工作领导小组办公室（市市场监督管理局）申请本年度奖励资金。</w:t>
      </w:r>
    </w:p>
    <w:p w14:paraId="0873D21E">
      <w:pPr>
        <w:tabs>
          <w:tab w:val="left" w:pos="695"/>
        </w:tabs>
        <w:spacing w:line="560" w:lineRule="exact"/>
        <w:ind w:firstLine="630"/>
        <w:jc w:val="left"/>
        <w:rPr>
          <w:rFonts w:ascii="仿宋" w:hAnsi="仿宋" w:eastAsia="仿宋" w:cs="仿宋"/>
          <w:sz w:val="32"/>
          <w:szCs w:val="32"/>
        </w:rPr>
      </w:pPr>
      <w:r>
        <w:rPr>
          <w:rFonts w:hint="eastAsia" w:ascii="仿宋" w:hAnsi="仿宋" w:eastAsia="仿宋" w:cs="仿宋"/>
          <w:sz w:val="32"/>
          <w:szCs w:val="32"/>
        </w:rPr>
        <w:t>9、申请奖励的企业或个人应提供认定或核准所获奖励的批准文件、证书等证明材料，并主动向市质量强市工作领导小组办公室申报。</w:t>
      </w:r>
    </w:p>
    <w:p w14:paraId="0515983C">
      <w:pPr>
        <w:tabs>
          <w:tab w:val="left" w:pos="695"/>
        </w:tabs>
        <w:spacing w:line="560" w:lineRule="exact"/>
        <w:ind w:firstLine="630"/>
        <w:jc w:val="left"/>
        <w:rPr>
          <w:rFonts w:ascii="仿宋" w:hAnsi="仿宋" w:eastAsia="仿宋" w:cs="仿宋"/>
          <w:sz w:val="32"/>
          <w:szCs w:val="32"/>
        </w:rPr>
      </w:pPr>
      <w:r>
        <w:rPr>
          <w:rFonts w:hint="eastAsia" w:ascii="仿宋" w:hAnsi="仿宋" w:eastAsia="仿宋" w:cs="仿宋"/>
          <w:sz w:val="32"/>
          <w:szCs w:val="32"/>
        </w:rPr>
        <w:t>10、市质量强市工作领导小组办公室每年12月底前完成本年度申请材料初审工作，形成奖励项目名单报市政府批准，并向社会进行公示后，由市财政局统一发放奖励资金。</w:t>
      </w:r>
    </w:p>
    <w:p w14:paraId="229E8406">
      <w:pPr>
        <w:tabs>
          <w:tab w:val="left" w:pos="695"/>
        </w:tabs>
        <w:spacing w:line="560" w:lineRule="exact"/>
        <w:ind w:firstLine="630"/>
        <w:jc w:val="left"/>
        <w:rPr>
          <w:rFonts w:ascii="仿宋" w:hAnsi="仿宋" w:eastAsia="仿宋" w:cs="仿宋"/>
          <w:sz w:val="32"/>
          <w:szCs w:val="32"/>
        </w:rPr>
      </w:pPr>
      <w:r>
        <w:rPr>
          <w:rFonts w:hint="eastAsia" w:ascii="仿宋" w:hAnsi="仿宋" w:eastAsia="仿宋" w:cs="仿宋"/>
          <w:sz w:val="32"/>
          <w:szCs w:val="32"/>
        </w:rPr>
        <w:t>11、本奖励政策由市质量强市工作领导小组办公室负责解释。</w:t>
      </w:r>
    </w:p>
    <w:p w14:paraId="493F7929">
      <w:pPr>
        <w:tabs>
          <w:tab w:val="left" w:pos="695"/>
        </w:tabs>
        <w:spacing w:line="560" w:lineRule="exact"/>
        <w:ind w:firstLine="630"/>
        <w:jc w:val="left"/>
        <w:rPr>
          <w:rFonts w:ascii="仿宋" w:hAnsi="仿宋" w:eastAsia="仿宋" w:cs="仿宋"/>
          <w:sz w:val="32"/>
          <w:szCs w:val="32"/>
        </w:rPr>
      </w:pPr>
      <w:r>
        <w:rPr>
          <w:rFonts w:hint="eastAsia" w:ascii="仿宋" w:hAnsi="仿宋" w:eastAsia="仿宋" w:cs="仿宋"/>
          <w:sz w:val="32"/>
          <w:szCs w:val="32"/>
        </w:rPr>
        <w:t>12、本奖励政策自公布之日起开始施行。</w:t>
      </w:r>
    </w:p>
    <w:p w14:paraId="3B245113">
      <w:pPr>
        <w:tabs>
          <w:tab w:val="left" w:pos="695"/>
        </w:tabs>
        <w:spacing w:line="560" w:lineRule="exact"/>
        <w:ind w:firstLine="630"/>
        <w:jc w:val="left"/>
        <w:rPr>
          <w:rFonts w:ascii="仿宋" w:hAnsi="仿宋" w:eastAsia="仿宋" w:cs="仿宋"/>
          <w:sz w:val="32"/>
          <w:szCs w:val="32"/>
        </w:rPr>
      </w:pPr>
    </w:p>
    <w:p w14:paraId="4A38C8AE">
      <w:pPr>
        <w:tabs>
          <w:tab w:val="left" w:pos="695"/>
        </w:tabs>
        <w:spacing w:line="560" w:lineRule="exact"/>
        <w:jc w:val="left"/>
        <w:rPr>
          <w:rFonts w:ascii="仿宋" w:hAnsi="仿宋" w:eastAsia="仿宋" w:cs="仿宋"/>
          <w:sz w:val="32"/>
          <w:szCs w:val="32"/>
        </w:rPr>
      </w:pPr>
    </w:p>
    <w:p w14:paraId="7CE80D76">
      <w:pPr>
        <w:pStyle w:val="3"/>
        <w:jc w:val="right"/>
        <w:rPr>
          <w:rFonts w:ascii="仿宋" w:hAnsi="仿宋" w:eastAsia="仿宋" w:cs="仿宋"/>
          <w:szCs w:val="32"/>
        </w:rPr>
      </w:pPr>
    </w:p>
    <w:p w14:paraId="068C2F90">
      <w:pPr>
        <w:rPr>
          <w:rFonts w:ascii="仿宋" w:hAnsi="仿宋" w:eastAsia="仿宋" w:cs="仿宋"/>
          <w:sz w:val="32"/>
          <w:szCs w:val="32"/>
        </w:rPr>
      </w:pPr>
    </w:p>
    <w:p w14:paraId="32A493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A5755"/>
    <w:rsid w:val="78CA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1"/>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2024-09-30T06:13:00Z</dcterms:created>
  <dc:creator>Administrator</dc:creator>
  <cp:lastModifiedBy>Administrator</cp:lastModifiedBy>
  <dcterms:modified xsi:type="dcterms:W3CDTF">2024-09-30T06:14:06Z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D14CED3187454AEFAFD5BBA0EF65845E_11</vt:lpwstr>
  </property>
</Properties>
</file>