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26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color w:val="auto"/>
          <w:position w:val="0"/>
          <w:sz w:val="44"/>
          <w:szCs w:val="44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color w:val="auto"/>
          <w:position w:val="0"/>
          <w:sz w:val="44"/>
          <w:szCs w:val="44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color w:val="auto"/>
          <w:position w:val="0"/>
          <w:sz w:val="44"/>
          <w:szCs w:val="44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52"/>
          <w:szCs w:val="52"/>
          <w:u w:val="none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  <w:r>
        <w:rPr>
          <w:b w:val="1"/>
          <w:color w:val="auto"/>
          <w:position w:val="0"/>
          <w:sz w:val="52"/>
          <w:szCs w:val="52"/>
          <w:u w:val="none"/>
          <w:highlight w:val="none"/>
          <w:rFonts w:ascii="方正仿宋_GB2312" w:eastAsia="方正仿宋_GB2312" w:hAnsi="方正仿宋_GB2312" w:hint="default"/>
        </w:rPr>
        <w:t>海城市自然保护地整合优化方案</w:t>
      </w:r>
    </w:p>
    <w:p>
      <w:pPr>
        <w:pStyle w:val="PO167"/>
        <w:numPr>
          <w:ilvl w:val="0"/>
          <w:numId w:val="0"/>
        </w:numPr>
        <w:jc w:val="center"/>
        <w:spacing w:lineRule="atLeast" w:line="600" w:before="0" w:after="0"/>
        <w:ind w:right="0" w:firstLine="0"/>
        <w:rPr>
          <w:b w:val="1"/>
          <w:color w:val="auto"/>
          <w:position w:val="0"/>
          <w:sz w:val="44"/>
          <w:szCs w:val="44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color w:val="auto"/>
          <w:position w:val="0"/>
          <w:sz w:val="44"/>
          <w:szCs w:val="44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  <w:r>
        <w:rPr>
          <w:color w:val="auto"/>
          <w:position w:val="0"/>
          <w:sz w:val="44"/>
          <w:szCs w:val="44"/>
          <w:highlight w:val="none"/>
          <w:rFonts w:ascii="方正仿宋_GB2312" w:eastAsia="方正仿宋_GB2312" w:hAnsi="方正仿宋_GB2312" w:hint="default"/>
        </w:rPr>
        <w:t>（征求意见稿)</w:t>
      </w: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color w:val="auto"/>
          <w:position w:val="0"/>
          <w:sz w:val="44"/>
          <w:szCs w:val="44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color w:val="auto"/>
          <w:position w:val="0"/>
          <w:sz w:val="44"/>
          <w:szCs w:val="44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color w:val="auto"/>
          <w:position w:val="0"/>
          <w:sz w:val="44"/>
          <w:szCs w:val="44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color w:val="auto"/>
          <w:position w:val="0"/>
          <w:sz w:val="44"/>
          <w:szCs w:val="44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color w:val="auto"/>
          <w:position w:val="0"/>
          <w:sz w:val="44"/>
          <w:szCs w:val="44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</w:p>
    <w:p>
      <w:pPr>
        <w:sectPr>
          <w:headerReference w:type="even" r:id="rId5"/>
          <w:headerReference w:type="default" r:id="rId6"/>
          <w:footerReference w:type="default" r:id="rId7"/>
          <w:pgSz w:w="11910" w:h="16840"/>
          <w:pgMar w:top="2098" w:left="1588" w:bottom="1985" w:right="1588" w:header="0" w:footer="998" w:gutter="0"/>
          <w:pgNumType w:fmt="decimal"/>
          <w:docGrid w:type="default" w:linePitch="299" w:charSpace="0"/>
        </w:sectPr>
        <w:numPr>
          <w:ilvl w:val="0"/>
          <w:numId w:val="0"/>
        </w:numPr>
        <w:jc w:val="both"/>
        <w:spacing w:lineRule="atLeast" w:line="520" w:before="0" w:after="0"/>
        <w:ind w:left="800" w:right="0" w:hanging="56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0"/>
        <w:snapToGrid w:val="off"/>
        <w:autoSpaceDE w:val="1"/>
        <w:autoSpaceDN w:val="1"/>
      </w:pPr>
      <w:bookmarkStart w:id="9" w:name="_Toc5033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一、自然保护地现状</w:t>
      </w:r>
      <w:bookmarkEnd w:id="9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通过调查摸底，截至2019年底，海城市共建立自然保护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区、森林公园、湿地公园等共计5个。</w:t>
      </w:r>
    </w:p>
    <w:p>
      <w:pPr>
        <w:pStyle w:val="PO8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1"/>
        <w:snapToGrid w:val="off"/>
        <w:autoSpaceDE w:val="1"/>
        <w:autoSpaceDN w:val="1"/>
      </w:pPr>
      <w:bookmarkStart w:id="10" w:name="_Toc9215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（一）主要问题</w:t>
      </w:r>
      <w:bookmarkEnd w:id="10"/>
    </w:p>
    <w:p>
      <w:pPr>
        <w:pStyle w:val="PO9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2"/>
        <w:snapToGrid w:val="off"/>
        <w:autoSpaceDE w:val="1"/>
        <w:autoSpaceDN w:val="1"/>
      </w:pPr>
      <w:bookmarkStart w:id="11" w:name="_Toc20827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1. 边界范围底数不清</w:t>
      </w:r>
      <w:bookmarkEnd w:id="11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各类自然保护地，设立的历史条件不等，建设管理投入不足、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基础设施设备落后、保护管理水平不高、执法监督能力不够等问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题较为普遍。很多自然保护地边界范围底数不清，自设立以来甚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至从未勘定边界、真正落地。</w:t>
      </w:r>
    </w:p>
    <w:p>
      <w:pPr>
        <w:pStyle w:val="PO9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2"/>
        <w:snapToGrid w:val="off"/>
        <w:autoSpaceDE w:val="1"/>
        <w:autoSpaceDN w:val="1"/>
      </w:pPr>
      <w:bookmarkStart w:id="12" w:name="_Toc11103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2. 区域交叉空间重叠</w:t>
      </w:r>
      <w:bookmarkEnd w:id="12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自然保护地重叠设置、多头管理现象普遍，权责不清，严重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影响管理效能。在同一区域设立了不同层级、隶属不同行业管理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的多个管理机构，造成管理机构和权限交叉重叠、一地多牌、政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出多门等问题。经空间套合分析，2个自然保护地涉及空间重叠，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占海城市自然保护地总数的40.00%。</w:t>
      </w:r>
    </w:p>
    <w:p>
      <w:pPr>
        <w:pStyle w:val="PO9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2"/>
        <w:snapToGrid w:val="off"/>
        <w:autoSpaceDE w:val="1"/>
        <w:autoSpaceDN w:val="1"/>
      </w:pPr>
      <w:bookmarkStart w:id="13" w:name="_Toc16251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3. 矛盾冲突点多面广</w:t>
      </w:r>
      <w:bookmarkEnd w:id="13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自然保护地在有效保护自然资源、生态系统和生物多样性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等方面发挥了主体作用，但也积累了很多历史遗留问题，存在村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庄、耕地、矿业权、人工商品林等空间矛盾冲突，城乡发展、基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础设施建设、工农业生产、居民生活与保护管理矛盾冲突尖锐，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严重影响依法科学高效保护管理，制约经济社会发展。</w:t>
      </w:r>
    </w:p>
    <w:p>
      <w:pPr>
        <w:pStyle w:val="PO9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2"/>
        <w:snapToGrid w:val="off"/>
        <w:autoSpaceDE w:val="1"/>
        <w:autoSpaceDN w:val="1"/>
      </w:pPr>
      <w:bookmarkStart w:id="14" w:name="_Toc859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4. 空间布局不尽合理</w:t>
      </w:r>
      <w:bookmarkEnd w:id="14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自然保护地周围部分资源价值较高未划入自然保护地。存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在保护空缺，尚未纳受到保护。</w:t>
      </w:r>
    </w:p>
    <w:p>
      <w:pPr>
        <w:pStyle w:val="PO8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1"/>
        <w:snapToGrid w:val="off"/>
        <w:autoSpaceDE w:val="1"/>
        <w:autoSpaceDN w:val="1"/>
      </w:pPr>
      <w:bookmarkStart w:id="15" w:name="_Toc17173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（二）自然保护地面积</w:t>
      </w:r>
      <w:bookmarkEnd w:id="15"/>
    </w:p>
    <w:p>
      <w:pPr>
        <w:pStyle w:val="PO9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2"/>
        <w:snapToGrid w:val="off"/>
        <w:autoSpaceDE w:val="1"/>
        <w:autoSpaceDN w:val="1"/>
      </w:pPr>
      <w:bookmarkStart w:id="16" w:name="_Toc32265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1. 批复面积</w:t>
      </w:r>
      <w:bookmarkEnd w:id="16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以5个自然保护地申报和批复文件为依据进行统计，自然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保护地总面积25452.70公顷。</w:t>
      </w:r>
    </w:p>
    <w:p>
      <w:pPr>
        <w:pStyle w:val="PO9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2"/>
        <w:snapToGrid w:val="off"/>
        <w:autoSpaceDE w:val="1"/>
        <w:autoSpaceDN w:val="1"/>
      </w:pPr>
      <w:bookmarkStart w:id="17" w:name="_Toc18992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2. 矢量面积</w:t>
      </w:r>
      <w:bookmarkEnd w:id="17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对所有自然保护地边界和功能分区进行矢量落图，确定矢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量总面积22921.78公顷。</w:t>
      </w:r>
    </w:p>
    <w:p>
      <w:pPr>
        <w:pStyle w:val="PO9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2"/>
        <w:snapToGrid w:val="off"/>
        <w:autoSpaceDE w:val="1"/>
        <w:autoSpaceDN w:val="1"/>
      </w:pPr>
      <w:bookmarkStart w:id="18" w:name="_Toc27744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3. 净占地面积</w:t>
      </w:r>
      <w:bookmarkEnd w:id="18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剔除交叉重叠因素，对不同保护地之间重叠区域面积只作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一次统计，海城市自然保护地实际净占地总面积20992.02公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顷。</w:t>
      </w:r>
    </w:p>
    <w:p>
      <w:pPr>
        <w:pStyle w:val="PO8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1"/>
        <w:snapToGrid w:val="off"/>
        <w:autoSpaceDE w:val="1"/>
        <w:autoSpaceDN w:val="1"/>
      </w:pPr>
      <w:bookmarkStart w:id="19" w:name="_Toc9642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（三）分类概述</w:t>
      </w:r>
      <w:bookmarkEnd w:id="19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按矢量面积计，各类自然保护地具体情况如下：</w:t>
      </w:r>
    </w:p>
    <w:p>
      <w:pPr>
        <w:pStyle w:val="PO9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2"/>
        <w:snapToGrid w:val="off"/>
        <w:autoSpaceDE w:val="1"/>
        <w:autoSpaceDN w:val="1"/>
      </w:pPr>
      <w:bookmarkStart w:id="20" w:name="_Toc26379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1. 自然保护区</w:t>
      </w:r>
      <w:bookmarkEnd w:id="20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共有自然保护区3个，总面积18565.75公顷。其中：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省级自然保护区2个，总面积16700.02公顷，占自然保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护区总面积的89.95%。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县级自然保护区1个，总面积1865.73公顷，占自然保护区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总面积的10.05%。</w:t>
      </w:r>
    </w:p>
    <w:p>
      <w:pPr>
        <w:pStyle w:val="PO9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2"/>
        <w:snapToGrid w:val="off"/>
        <w:autoSpaceDE w:val="1"/>
        <w:autoSpaceDN w:val="1"/>
      </w:pPr>
      <w:bookmarkStart w:id="21" w:name="_Toc20444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2. 森林公园</w:t>
      </w:r>
      <w:bookmarkEnd w:id="21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共有森林公园2个，均为地方级森林公园，总面积4356.03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公顷。</w:t>
      </w:r>
    </w:p>
    <w:p>
      <w:pPr>
        <w:pStyle w:val="PO7"/>
        <w:numPr>
          <w:ilvl w:val="0"/>
          <w:numId w:val="0"/>
        </w:numPr>
        <w:jc w:val="left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0"/>
        <w:snapToGrid w:val="off"/>
        <w:autoSpaceDE w:val="1"/>
        <w:autoSpaceDN w:val="1"/>
      </w:pPr>
      <w:bookmarkStart w:id="22" w:name="_Toc125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二、工作开展情况</w:t>
      </w:r>
      <w:bookmarkEnd w:id="22"/>
    </w:p>
    <w:p>
      <w:pPr>
        <w:pStyle w:val="PO8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1"/>
        <w:snapToGrid w:val="off"/>
        <w:autoSpaceDE w:val="1"/>
        <w:autoSpaceDN w:val="1"/>
      </w:pPr>
      <w:bookmarkStart w:id="23" w:name="_Toc6028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（一）工作思路</w:t>
      </w:r>
      <w:bookmarkEnd w:id="23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贯彻习近平生态文明思想，坚持问题导向、先定规则、逐步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调整、反复完善。重点解决自然保护地交叉重叠、保护空缺、现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实矛盾冲突和历史遗留问题。科学合理界定自然保护地范围，优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化功能分区，细化管控措施。确保重要生态系统、自然遗迹、自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然景观和生物多样性得到有效保护。有效衔接生态保护红线、永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久基本农田、城镇开发边界划定。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自然保护地整合优化坚持以下原则：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1. 科学评估，合理调整。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以主要保护对象的保护价值为基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础，进行科学评价，着眼解决现实矛盾冲突和历史遗留问题。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2. 应划尽划，应保尽保。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保持自然生态系统完整性和生态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廊道连通性，调入与调出相结合，将应该保护的地方调入自然保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护地进行保护。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3. 实事求是，简便易行。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不预设自然保护地面积，简化功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能分区，根据实际情况制定矛盾冲突调出标准，采取差别化管控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措施，确保可操作性。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4. 统筹协调，充分衔接。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结合国土空间规划编制，衔接三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条控制线划定，与生态保护红线评估调整同步开展，与永久基本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农田核实整改协调推进，统筹生产、生活、生态空间。</w:t>
      </w:r>
    </w:p>
    <w:p>
      <w:pPr>
        <w:pStyle w:val="PO8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1"/>
        <w:snapToGrid w:val="off"/>
        <w:autoSpaceDE w:val="1"/>
        <w:autoSpaceDN w:val="1"/>
      </w:pPr>
      <w:bookmarkStart w:id="24" w:name="_Toc22779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（二）工作过程</w:t>
      </w:r>
      <w:bookmarkEnd w:id="24"/>
    </w:p>
    <w:p>
      <w:pPr>
        <w:pStyle w:val="PO9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2"/>
        <w:snapToGrid w:val="off"/>
        <w:autoSpaceDE w:val="1"/>
        <w:autoSpaceDN w:val="1"/>
      </w:pPr>
      <w:bookmarkStart w:id="25" w:name="_Toc15500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1. 开展调查摸底</w:t>
      </w:r>
      <w:bookmarkEnd w:id="25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为夯实自然保护地整合优化工作基础，2019年10月25日，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国家林草局办公室印发《关于启动自然保护地整合优化前期工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作的通知》，要求以省（区、市）为单位，由林业草原、自然资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源、生态环境等相关部门统一组织联合专业调查组开展调查评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估。至2020年6月，全面完成自然保护地调查摸底，同时对照现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有名录清单，对自然保护地范围和功能分区、保护对象、保护价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值、管护现状、重叠情况、矛盾冲突等开展了评估。</w:t>
      </w:r>
    </w:p>
    <w:p>
      <w:pPr>
        <w:pStyle w:val="PO9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2"/>
        <w:snapToGrid w:val="off"/>
        <w:autoSpaceDE w:val="1"/>
        <w:autoSpaceDN w:val="1"/>
      </w:pPr>
      <w:bookmarkStart w:id="26" w:name="_Toc10029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2. 分析保护空缺</w:t>
      </w:r>
      <w:bookmarkEnd w:id="26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为提高自然保护地整合优化工作科学性，进一步优化自然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保护地空间布局，国家林草局联合中国科学院设立战略性先导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专项课题。自2019年初，由中科院生态环境研究中心牵头，会同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中科院植物研究所、动物研究所及南海海洋所、国家林草局调查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规划设计院及中国林业科学研究院等9家科研单位，开展了全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国自然保护地体系规划研究。对我国重要生态系统、动植物物种、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自然遗迹、自然景观等空间分布进行了系统分析和科学评估，识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别出全国自然保护关键区域与空缺区域，提出了全国自然保护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地发展规划目标。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各地在国家层面空缺分析的指引下开展了相应的空缺分析，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识别主要保护空缺区域。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以生态保护红线优先、国有林地优先、重点公益林优先的原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则，同时为了保持自然生态系统完整性和生态廊道连通性，将应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该保护的地方都保护起来，综合各要素考虑，逐步筛选，自然保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护地现状周边适宜的地块未纳入自然保护地体系中，应划入。</w:t>
      </w:r>
    </w:p>
    <w:p>
      <w:pPr>
        <w:pStyle w:val="PO9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2"/>
        <w:snapToGrid w:val="off"/>
        <w:autoSpaceDE w:val="1"/>
        <w:autoSpaceDN w:val="1"/>
      </w:pPr>
      <w:bookmarkStart w:id="27" w:name="_Toc16509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3. 制定工作规则</w:t>
      </w:r>
      <w:bookmarkEnd w:id="27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自然资源部、国家林草局在充分调研和听取专家意见的基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础上，多次征求地方和部门意见，经国务院领导同意，于2020年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2月10日联合印发了《关于做好自然保护区范围及功能分区优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化调整前期有关工作的函》，明确了自然保护地整合优化的指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导思想、基本原则、重点任务、调整规则和自然保护地的分区管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控规则。之后，针对各地遇到的永久基本农田、城镇建成区、矿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业权、风景名胜区、水产种质资源保护区、世界遗产等问题，又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先后印发了《关于自然保护地整合优化有关事项的通知》《关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于生态保护红线划定中有关空间矛盾冲突处理规则的补充通知》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等文件。2021年7月党中央国务院部署开展《国土空间规划》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编制和“三区三线”划定工作后，相关规则同样适用于《自然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保护地整合优化方案》再完善工作。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为确保整合优化后自然保护地监管有法可依、有章可循，自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然资源部、国家林草局会同生态环境部等有关部门同步推进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《国家公园法》《自然保护区条例》《风景名胜区条例》《国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家级自然公园管理办法》等法律法规的立改废工作，已完成草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案起草和意见征求工作。另外，还印发了《国家公园管理暂行办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法》《关于加强生态保护红线管理的通知》，以及《自然保护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地分类分级标准》等专业技术规范和标准。</w:t>
      </w:r>
    </w:p>
    <w:p>
      <w:pPr>
        <w:pStyle w:val="PO9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2"/>
        <w:snapToGrid w:val="off"/>
        <w:autoSpaceDE w:val="1"/>
        <w:autoSpaceDN w:val="1"/>
      </w:pPr>
      <w:bookmarkStart w:id="28" w:name="_Toc23908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4. 统一数据标准</w:t>
      </w:r>
      <w:bookmarkEnd w:id="28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依据全国自然保护地名录、第三次全国国土调查、海岸线修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测、矿业权备案、永久基本农田、森林资源管理一张图等工作最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新成果以及各类各级专项规划，结合高分卫星影像判读和现场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考察，开展《自然保护地整合优化方案》编制和审核，全过程做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到与生态保护红线、永久基本农田、城镇开发边界划定工作数据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底图充分衔接，确保技术逻辑相通、工作成果相融。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国家林草局先后制定并印发了《自然保护地整合优化方案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编制大纲》《自然保护地整合优化方案数据汇交指引》《自然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保护地整合优化方案数据上报规范》等一系列技术规范、标准。</w:t>
      </w:r>
    </w:p>
    <w:p>
      <w:pPr>
        <w:pStyle w:val="PO9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2"/>
        <w:snapToGrid w:val="off"/>
        <w:autoSpaceDE w:val="1"/>
        <w:autoSpaceDN w:val="1"/>
      </w:pPr>
      <w:bookmarkStart w:id="29" w:name="_Toc11989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5. 联合开展工作</w:t>
      </w:r>
      <w:bookmarkEnd w:id="29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为加强对自然保护地整合优化和生态保护红线调整划定工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作的领导，自然资源部、国家林草局分别成立了审核专班和专家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组，会同生态环境部、农业农村部成立工作领导小组，建立协调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机制，印发《自然保护地整合优化成果联合审查机制》，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2021年《国土空间规划》编制和“三区三线”划定工作启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动并成立9部门组成的工作专班后，《自然保护地整合优化方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案》再完善工作同步持续推进。与《国土空间规划》编制和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“三区三线”划定成果相互支撑、互为因果。全国自然保护地问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题和矛盾充分暴露、调整和管控规则持续完善、空间布局得到优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化、各方关切得到回应，守住了生态底线，实现了多目标平衡，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统筹了发展和安全。</w:t>
      </w:r>
    </w:p>
    <w:p>
      <w:pPr>
        <w:pStyle w:val="PO7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0"/>
        <w:snapToGrid w:val="off"/>
        <w:autoSpaceDE w:val="1"/>
        <w:autoSpaceDN w:val="1"/>
      </w:pPr>
      <w:bookmarkStart w:id="30" w:name="_Toc23044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三、整合优化规则</w:t>
      </w:r>
      <w:bookmarkEnd w:id="30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贯彻落实中办国办《关于建立以国家公园为主体的自然保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护地体系的指导意见》《关于在国土空间规划中统筹划定落实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三条控制线的指导意见》精神，依据自然资源部、生态环境部、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国家林草局《关于做好自然保护区范围及功能分区优化调整前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期有关工作的函》《关于自然保护地整合优化有关事项的通知》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《关于生态保护红线自然保护地内矿业权差别化管理的通知》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《关于生态保护红线划定中有关空间矛盾冲突处理规则的补充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通知》《关于在全国开展“三区三线”划定工作的函》《关于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加强生态保护红线管理的通知》《关于做好风景名胜区整合优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化预案编制工作的函》）等文件，确定整合优化规则如下。</w:t>
      </w:r>
    </w:p>
    <w:p>
      <w:pPr>
        <w:pStyle w:val="PO8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1"/>
        <w:snapToGrid w:val="off"/>
        <w:autoSpaceDE w:val="1"/>
        <w:autoSpaceDN w:val="1"/>
      </w:pPr>
      <w:bookmarkStart w:id="31" w:name="_Toc29222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（一）分类分级规则</w:t>
      </w:r>
      <w:bookmarkEnd w:id="31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1. 分类规则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以生态功能和生物多样性评估为基础，依据所在区域的自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然属性、生态价值和管理目标，对现有各类自然保护地进行梳理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归类，将整合优化后的自然保护地分为国家公园、自然保护区、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自然公园三大类。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国家公园：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以国家公园体制试点方案为基本遵循，坚持山水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林田湖草生命共同体理念，按照自然生态系统整体性、系统性及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其内在规律，对相关自然保护地进行功能重组，将10个具有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国家代表性生态系统的区域划为国家公园。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自然保护区：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将典型自然生态系统、珍稀濒危野生动植物种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天然集中分布区、有特殊意义的自然遗迹划为自然保护区。现有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自然保护区原则上继续保留，无明确保护对象、无重要保护价值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的省级、市县级自然保护区经评估后可转为自然公园，或予以撤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销。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自然公园：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将具有生态、观赏、文化、科学等价值的重要自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然区域划为自然公园。除自然保护区外，现有其他自然保护地依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据主体生态系统、自然遗迹、自然景观所属类型，分为风景名胜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区、森林公园、地质公园、湿地公园、海洋公园、沙漠公园，经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评估后也可转为地方级自然保护区或予以撤销。现有海洋特别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保护区经评估后转为自然保护区，或按海洋公园保留，今后不再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设立海洋特别保护区。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2. 分级规则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将现有国家级、省级、市（州）级、县级等各级自然保护地，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按照生态系统重要程度和事权划分原则，实行分级设立、分级管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理，分为国家级和地方级。国家公园、国家级自然保护区、国家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级风景名胜区由国务院批准设立、调整、撤销，其他国家级自然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公园由国家林草局批准设立、调整、撤销；地方级自然保护地由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省级政府批准设立、调整、撤销，管理主体由省级政府确定。探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索公益治理、社区治理、共同治理等保护方式。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现有国家级自然公园，经评估可以转为地方级自然保护地。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现有省级、市级、县级自然保护地原则上统一改称为地方级自然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保护地；经评估不具备保护价值的，可以撤销。</w:t>
      </w:r>
    </w:p>
    <w:p>
      <w:pPr>
        <w:pStyle w:val="PO8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1"/>
        <w:snapToGrid w:val="off"/>
        <w:autoSpaceDE w:val="1"/>
        <w:autoSpaceDN w:val="1"/>
      </w:pPr>
      <w:bookmarkStart w:id="32" w:name="_Toc13346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（二）整合归并规则</w:t>
      </w:r>
      <w:bookmarkEnd w:id="32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以保持生态系统多样性、系统性、持续性为原则，遵从保护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面积不减少、保护强度不降低、保护性质不改变的要求，按照同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级别保护强度优先、不同级别低级别服从高级别的原则，对交叉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重叠、相邻相连的自然保护地进行整合，或结合资源禀赋、发展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目标、管理基础等实际情况，进行合理拆分，做到一个区域只有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一个自然保护地、一套机构、一块牌子。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1. 国家公园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国家公园试点区内现有自然保护地纳入国家公园管理。现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有自然保护地整体位于国家公园试点区范围内的，原有自然保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护地不再保留。现有自然保护地部分纳入国家公园试点范围的，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试点范围内的区域并入国家公园管理；试点范围外的区域经评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估后，可以保留、撤销，或转为其他类型自然保护地，也可并入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相邻的自然保护地。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2. 自然保护区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国家级自然保护区与国家级风景名胜区交叉重叠的，经评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估后可以进行合理拆分、各自保留；与其他自然保护地交叉重叠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的，优先保留国家级自然保护区。省级自然保护区与省级及以下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其他自然保护地重叠的，优先保留省级自然保护区。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3. 自然公园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风景名胜区、森林公园、地质公园、湿地公园、沙漠公园相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互交叉重叠的，原则上由设立审批层级高的整合低级别的，特殊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情况下可根据实际情况整合归并或进行合理拆分。考虑到风景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名胜区的特殊性，其生态功能极重要、生态环境极脆弱的区域划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入生态保护红线，其他人文设施密集或开发利用强度大的区域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不划入生态保护红线，按《风景名胜区条例》进行管理。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水产种质资源保护区与国家公园、自然保护区交叉重叠的，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整合到国家公园、自然保护区；与自然公园交叉重叠的，经科学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评估具有重要保护价值的，整合到相应的自然公园。整合优化后，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水产种质资源保护区不纳入自然保护地体系，继续按《渔业法》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及有关规定进行管理。</w:t>
      </w:r>
    </w:p>
    <w:p>
      <w:pPr>
        <w:pStyle w:val="PO8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1"/>
        <w:snapToGrid w:val="off"/>
        <w:autoSpaceDE w:val="1"/>
        <w:autoSpaceDN w:val="1"/>
      </w:pPr>
      <w:bookmarkStart w:id="33" w:name="_Toc2228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（三）分区优化规则</w:t>
      </w:r>
      <w:bookmarkEnd w:id="33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基于功能定位，按照各区域的生态价值、原真性、人类活动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强度，对自然保护地合理分区，实行差别化管理。国家公园和自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然保护区由核心保护区、一般控制区组成，原则上核心保护区禁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止人为活动，一般控制区限制人为活动。自然公园按一般控制区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管理。总结自然保护地发展经验教训，对标国家公园试点成果和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生态保护红线要求，统筹制定自然保护地分区管控规定。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原则上，将现有自然保护区的核心区、缓冲区转为核心保护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区，实验区转为一般控制区。自然保护区核心区、缓冲区内的合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法水利水电等设施、历史文化名村、少数民族特色村寨和重要人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文景观合法建筑，包括有历史文化价值的遗址遗迹、寺庙、名人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故居、纪念馆等，调整为一般控制区。自然保护区实验区内无人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为活动且具有重要保护价值的区域，特别是国家和省级重点保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护野生动植物的关键分布区域、生态廊道的重要节点、重要自然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遗迹等，调整为核心保护区。</w:t>
      </w:r>
    </w:p>
    <w:p>
      <w:pPr>
        <w:pStyle w:val="PO8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1"/>
        <w:snapToGrid w:val="off"/>
        <w:autoSpaceDE w:val="1"/>
        <w:autoSpaceDN w:val="1"/>
      </w:pPr>
      <w:bookmarkStart w:id="34" w:name="_Toc20055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（四）调入规则</w:t>
      </w:r>
      <w:bookmarkEnd w:id="34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坚持生态优先、应划尽划，以自然保护空缺分析结果为指引，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结合国土三调最新成果，全域分析森林、湿地、荒漠、海洋、冰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川和永久积雪、地质遗迹等资源分布，将现有自然保护地周边生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态保护价值高、生物多样性富集或具有潜在重要生态价值的区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域划入自然保护地，提升自然保护地空间完整性和生态廊道连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通性。</w:t>
      </w:r>
    </w:p>
    <w:p>
      <w:pPr>
        <w:pStyle w:val="PO8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1"/>
        <w:snapToGrid w:val="off"/>
        <w:autoSpaceDE w:val="1"/>
        <w:autoSpaceDN w:val="1"/>
      </w:pPr>
      <w:bookmarkStart w:id="35" w:name="_Toc15000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（五）矛盾冲突处理规则</w:t>
      </w:r>
      <w:bookmarkEnd w:id="35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坚持底线思维，优先保障粮食安全、生态安全，兼顾能源资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源需求，在科学评估的基础上，本着尊重历史、实事求是、相对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合理的原则，妥善处理各类矛盾冲突。对标生态保护红线划定和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国土空间治理要求，将不符合管控要求的矛盾冲突空间调出自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然保护地范围，同时修订完善自然保护地法律法规，允许适度开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展一些对生态环境不造成明显影响的人类活动，实现人与自然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和谐共生。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1. 问题点位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对中央生态环境保护督察、自然保护地绿盾专项行动，以及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违建别墅、高尔夫球场、小水电等清理整治专项行动涉及的问题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点位，由林业草原、自然资源、生态环境部门对照问题清单进行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梳理，对标相关整改方案要求妥善处理，严禁简单地以调代改、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一调了之。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2. 耕地及永久基本农田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核心保护区内的耕地原则上不予调出，今后逐步转为生态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用地。一般控制区内集中连片的稳定耕地，因划定永久基本农田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需要，可以调出自然保护地范围，但零星分散的、承载保护生态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和农耕文化双重功能的梯田，或作为朱鹮、黑颈鹤等旗舰物种重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要觅食地的，不予调出，按一般耕地进行管理。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3. 人工商品林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成片人工商品林可以调出自然保护地范围，但位于重要江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河干流源头两岸、重要湿地和水库周边等五类重要生态区位的，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不予调出。鼓励地方政府通过租赁、置换、赎买、合作等方式，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对自然保护地内的人工商品林进行统一管理，维护产权人权益，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实现多元化保护，逐步转为生态公益林。今后核心保护区内的人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工商品林因防灾救灾、栖息地优化等需要，经审批后可以进行树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种更替和林相改造；一般控制区内的人工商品林，可以依法进行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必要的抚育采伐。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4. 矿业权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自然保护地核心保护区内的矿业权原则上不予调出。一般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控制区内的矿业权，符合生态保护红线关于矿业权分类处置规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定的可以保留在自然保护地内；其他矿业权，对生态功能不造成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明显影响的可调出自然保护地范围，造成明显影响的如露天砂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石粘土矿不予调出。已依法设立的油气探矿权，在满足有关生态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环保和安全生产要求的前提下，可继续开展勘查活动，当探明储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量并大比例压缩范围后，可将开采活动占用的地面空间调出自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然保护地。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left="643" w:right="0" w:firstLine="0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5. 开发区和城镇村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自然保护地内的开发区和城镇、人口密集的村屯，可以调出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自然保护地范围；零星分散的自然村落、居民点不予调出。今后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结合城镇化和乡村规划的实施，严格控制增量，逐步消化存量。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允许原住民和其他合法权益主体在不扩大规模的前提下，修缮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必要的生产生活设施，适度开展种植、放牧、捕捞、养殖等活动。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6. 项目设施用地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衔接发展规划、国土空间规划和各类专项规划，对照生态保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护红线管控要求，部分选址明确的能源、交通、水利等重大项目，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以及一些精准扶贫或乡村振兴项目、已立项或已建成但与生态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保护红线管控要求冲突的项目设施用地，经举证后可以调出自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然保护地范围。另外，部分省份涉海自然保护地内的确权养殖用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海，经举证后可以调出保护地范围。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7. 其他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对少数已基本丧失自然属性，无明确保护对象、无重要保护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价值、无法实际落地的自然保护地，经评估后可以不再保留。对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因调出各类矛盾冲突连带产生的破碎地块，以及过去因技术原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因引起的数据、图件与现地不符等地块，可一次性予以纠正。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</w:p>
    <w:p>
      <w:pPr>
        <w:sectPr>
          <w:footerReference w:type="default" r:id="rId8"/>
          <w:pgSz w:w="11910" w:h="16840"/>
          <w:pgMar w:top="2098" w:left="1588" w:bottom="1985" w:right="1588" w:header="0" w:footer="998" w:gutter="0"/>
          <w:pgNumType w:fmt="decimal"/>
          <w:docGrid w:type="default" w:linePitch="299" w:charSpace="0"/>
        </w:sect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</w:p>
    <w:p>
      <w:pPr>
        <w:pStyle w:val="PO7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0"/>
        <w:snapToGrid w:val="off"/>
        <w:autoSpaceDE w:val="1"/>
        <w:autoSpaceDN w:val="1"/>
      </w:pPr>
      <w:bookmarkStart w:id="36" w:name="_Toc26828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四、整合优化结果</w:t>
      </w:r>
      <w:bookmarkEnd w:id="36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整合优化后，</w:t>
      </w:r>
      <w:bookmarkStart w:id="37" w:name="_Hlk99868007"/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海城市共有4个自然保护地，总面积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15462.43公顷，均为陆域面积，占陆域国土总面积的5.66%。</w:t>
      </w:r>
      <w:bookmarkEnd w:id="37"/>
    </w:p>
    <w:p>
      <w:pPr>
        <w:pStyle w:val="PO8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1"/>
        <w:snapToGrid w:val="off"/>
        <w:autoSpaceDE w:val="1"/>
        <w:autoSpaceDN w:val="1"/>
      </w:pPr>
      <w:bookmarkStart w:id="38" w:name="_Toc17912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（一）分类分级</w:t>
      </w:r>
      <w:bookmarkEnd w:id="38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按类型，海城市自然保护地分为自然保护区、自然公园两大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类。其中，自然公园包括森林公园。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按批准设立层级，海城市自然保护地均为地方级。地方级自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然保护地由省级人民政府批准设立。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bookmarkStart w:id="39" w:name="_Toc60222813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1. 自然保护区</w:t>
      </w:r>
      <w:bookmarkEnd w:id="39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bookmarkStart w:id="40" w:name="_Hlk99868137"/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整合优化后自然保护区2个，总面积10992.85公顷，占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自然保护地总面积71.09%，均为地方级自然保护区。</w:t>
      </w:r>
      <w:bookmarkEnd w:id="40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bookmarkStart w:id="41" w:name="_Toc60222814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2. 自然公园</w:t>
      </w:r>
      <w:bookmarkEnd w:id="41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bookmarkStart w:id="42" w:name="_Hlk99868157"/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整合优化后自然公园2个，总面积4469.58公顷，占自然保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护地总面积的28.91%，均为地方级自然公园。</w:t>
      </w:r>
      <w:bookmarkEnd w:id="42"/>
    </w:p>
    <w:p>
      <w:pPr>
        <w:pStyle w:val="PO153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（1）森林公园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整合优化后森林公园1个，面积2610.74公顷，占自然公园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总面积58.41%，为地方级森林公园。</w:t>
      </w:r>
    </w:p>
    <w:p>
      <w:pPr>
        <w:pStyle w:val="PO153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（2）湿地公园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整合优化后湿地公园1个，面积1858.84公顷，占自然公园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总面积41.59%，为地方级湿地公园。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tLeast" w:line="400" w:before="0" w:after="0"/>
        <w:ind w:right="0" w:firstLine="480"/>
        <w:rPr>
          <w:color w:val="auto"/>
          <w:position w:val="0"/>
          <w:sz w:val="24"/>
          <w:szCs w:val="24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highlight w:val="none"/>
          <w:rFonts w:ascii="方正仿宋_GB2312" w:eastAsia="方正仿宋_GB2312" w:hAnsi="方正仿宋_GB2312" w:hint="default"/>
        </w:rPr>
        <w:t xml:space="preserve">表4-1 </w:t>
      </w:r>
      <w:bookmarkStart w:id="43" w:name="_Hlk99868206"/>
      <w:r>
        <w:rPr>
          <w:color w:val="auto"/>
          <w:position w:val="0"/>
          <w:sz w:val="24"/>
          <w:szCs w:val="24"/>
          <w:highlight w:val="none"/>
          <w:rFonts w:ascii="方正仿宋_GB2312" w:eastAsia="方正仿宋_GB2312" w:hAnsi="方正仿宋_GB2312" w:hint="default"/>
        </w:rPr>
        <w:t>自然保护地分类分级情况</w:t>
      </w:r>
    </w:p>
    <w:p>
      <w:pPr>
        <w:pStyle w:val="PO153"/>
        <w:numPr>
          <w:ilvl w:val="0"/>
          <w:numId w:val="0"/>
        </w:numPr>
        <w:jc w:val="right"/>
        <w:spacing w:lineRule="auto" w:line="240" w:before="0" w:after="0"/>
        <w:ind w:right="0" w:firstLine="360"/>
        <w:rPr>
          <w:color w:val="auto"/>
          <w:position w:val="0"/>
          <w:sz w:val="18"/>
          <w:szCs w:val="18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  <w:r>
        <w:rPr>
          <w:color w:val="auto"/>
          <w:position w:val="0"/>
          <w:sz w:val="18"/>
          <w:szCs w:val="18"/>
          <w:highlight w:val="none"/>
          <w:rFonts w:ascii="方正仿宋_GB2312" w:eastAsia="方正仿宋_GB2312" w:hAnsi="方正仿宋_GB2312" w:hint="default"/>
        </w:rPr>
        <w:t>单位：个、公顷</w:t>
      </w: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8950" w:type="dxa"/>
        <w:tblLook w:val="000000" w:firstRow="0" w:lastRow="0" w:firstColumn="0" w:lastColumn="0" w:noHBand="0" w:noVBand="0"/>
        <w:tblLayout w:type="fixed"/>
      </w:tblPr>
      <w:tblGrid>
        <w:gridCol w:w="772"/>
        <w:gridCol w:w="2559"/>
        <w:gridCol w:w="1780"/>
        <w:gridCol w:w="3839"/>
      </w:tblGrid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　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自然保护地类型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数量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面积</w:t>
            </w: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　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总计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4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15462.43</w:t>
            </w: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国家公园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0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自然保护区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10992.85</w:t>
            </w: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　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国家级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0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　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地方级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10992.85</w:t>
            </w: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3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自然公园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4469.58</w:t>
            </w: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　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84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国家级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0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　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84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地方级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4469.58</w:t>
            </w: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3.1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风景名胜区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0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　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国家级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0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　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地方级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0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3.2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森林公园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2610.74</w:t>
            </w: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　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国家级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0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　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地方级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2610.74</w:t>
            </w: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3.3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地质公园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0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　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国家级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0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　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地方级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0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3.4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湿地公园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1858.84</w:t>
            </w: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　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国家级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0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　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地方级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1858.84</w:t>
            </w: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3.5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海洋公园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0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　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国家级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0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　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地方级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0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3.6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沙漠（石漠）公园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0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　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国家级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0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97"/>
        </w:trPr>
        <w:tc>
          <w:tcPr>
            <w:tcW w:type="dxa" w:w="77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　</w:t>
            </w:r>
          </w:p>
        </w:tc>
        <w:tc>
          <w:tcPr>
            <w:tcW w:type="dxa" w:w="255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地方级</w:t>
            </w:r>
          </w:p>
        </w:tc>
        <w:tc>
          <w:tcPr>
            <w:tcW w:type="dxa" w:w="178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0</w:t>
            </w:r>
          </w:p>
        </w:tc>
        <w:tc>
          <w:tcPr>
            <w:tcW w:type="dxa" w:w="3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bookmarkStart w:id="44" w:name="_Hlk99792336"/>
    </w:p>
    <w:p>
      <w:pPr>
        <w:pStyle w:val="PO8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1"/>
        <w:snapToGrid w:val="off"/>
        <w:autoSpaceDE w:val="1"/>
        <w:autoSpaceDN w:val="1"/>
      </w:pPr>
      <w:bookmarkStart w:id="45" w:name="_Toc29966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（二）分区管控</w:t>
      </w:r>
      <w:bookmarkEnd w:id="45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对自然保护地进行合理分区，实行差别化管控。国家公园、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自然保护区分别由核心保护区和一般控制区组成，自然公园属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一般控制区。原则上，核心保护区内禁止人为活动，一般控制区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内限制人为活动。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海城市自然保护地核心保护区面积4289.90公顷，一般控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制区11172.53公顷。其中：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自然保护区核心保护区4289.90公顷，占自然保护区总面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积的39.02%；一般控制区6702.95公顷，占自然保护区总面积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的60.98%。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自然公园按一般控制区管理，总面积4469.58公顷。</w:t>
      </w:r>
    </w:p>
    <w:p>
      <w:pPr>
        <w:numPr>
          <w:ilvl w:val="0"/>
          <w:numId w:val="0"/>
        </w:numPr>
        <w:jc w:val="center"/>
        <w:spacing w:lineRule="atLeast" w:line="600" w:before="0" w:after="0"/>
        <w:ind w:right="0" w:firstLine="480"/>
        <w:rPr>
          <w:color w:val="auto"/>
          <w:position w:val="0"/>
          <w:sz w:val="24"/>
          <w:szCs w:val="24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highlight w:val="none"/>
          <w:rFonts w:ascii="方正仿宋_GB2312" w:eastAsia="方正仿宋_GB2312" w:hAnsi="方正仿宋_GB2312" w:hint="default"/>
        </w:rPr>
        <w:t xml:space="preserve">表4-2 自然保护地管控分区概况</w:t>
      </w:r>
    </w:p>
    <w:p>
      <w:pPr>
        <w:pStyle w:val="PO153"/>
        <w:numPr>
          <w:ilvl w:val="0"/>
          <w:numId w:val="0"/>
        </w:numPr>
        <w:jc w:val="right"/>
        <w:spacing w:lineRule="auto" w:line="240" w:before="0" w:after="0"/>
        <w:ind w:right="0" w:firstLine="360"/>
        <w:rPr>
          <w:color w:val="auto"/>
          <w:position w:val="0"/>
          <w:sz w:val="18"/>
          <w:szCs w:val="18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  <w:r>
        <w:rPr>
          <w:color w:val="auto"/>
          <w:position w:val="0"/>
          <w:sz w:val="18"/>
          <w:szCs w:val="18"/>
          <w:highlight w:val="none"/>
          <w:rFonts w:ascii="方正仿宋_GB2312" w:eastAsia="方正仿宋_GB2312" w:hAnsi="方正仿宋_GB2312" w:hint="default"/>
        </w:rPr>
        <w:t>单位：公顷</w:t>
      </w: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8950" w:type="dxa"/>
        <w:tblLook w:val="000000" w:firstRow="0" w:lastRow="0" w:firstColumn="0" w:lastColumn="0" w:noHBand="0" w:noVBand="0"/>
        <w:tblLayout w:type="fixed"/>
      </w:tblPr>
      <w:tblGrid>
        <w:gridCol w:w="1683"/>
        <w:gridCol w:w="1905"/>
        <w:gridCol w:w="2305"/>
        <w:gridCol w:w="3057"/>
      </w:tblGrid>
      <w:tr>
        <w:trPr>
          <w:trHeight w:hRule="atleast" w:val="340"/>
        </w:trPr>
        <w:tc>
          <w:tcPr>
            <w:tcW w:type="dxa" w:w="168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自然保护地</w:t>
            </w:r>
          </w:p>
        </w:tc>
        <w:tc>
          <w:tcPr>
            <w:tcW w:type="dxa" w:w="1905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总面积</w:t>
            </w:r>
          </w:p>
        </w:tc>
        <w:tc>
          <w:tcPr>
            <w:tcW w:type="dxa" w:w="2305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核心保护区</w:t>
            </w:r>
          </w:p>
        </w:tc>
        <w:tc>
          <w:tcPr>
            <w:tcW w:type="dxa" w:w="3057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一般控制区</w:t>
            </w:r>
          </w:p>
        </w:tc>
      </w:tr>
      <w:tr>
        <w:trPr>
          <w:trHeight w:hRule="atleast" w:val="340"/>
        </w:trPr>
        <w:tc>
          <w:tcPr>
            <w:tcW w:type="dxa" w:w="168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合计</w:t>
            </w:r>
          </w:p>
        </w:tc>
        <w:tc>
          <w:tcPr>
            <w:tcW w:type="dxa" w:w="190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15462.43</w:t>
            </w:r>
          </w:p>
        </w:tc>
        <w:tc>
          <w:tcPr>
            <w:tcW w:type="dxa" w:w="230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4289.9</w:t>
            </w:r>
          </w:p>
        </w:tc>
        <w:tc>
          <w:tcPr>
            <w:tcW w:type="dxa" w:w="305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11172.53</w:t>
            </w:r>
          </w:p>
        </w:tc>
      </w:tr>
      <w:tr>
        <w:trPr>
          <w:trHeight w:hRule="atleast" w:val="340"/>
        </w:trPr>
        <w:tc>
          <w:tcPr>
            <w:tcW w:type="dxa" w:w="168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国家公园</w:t>
            </w:r>
          </w:p>
        </w:tc>
        <w:tc>
          <w:tcPr>
            <w:tcW w:type="dxa" w:w="190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</w:p>
        </w:tc>
        <w:tc>
          <w:tcPr>
            <w:tcW w:type="dxa" w:w="230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</w:p>
        </w:tc>
        <w:tc>
          <w:tcPr>
            <w:tcW w:type="dxa" w:w="305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40"/>
        </w:trPr>
        <w:tc>
          <w:tcPr>
            <w:tcW w:type="dxa" w:w="168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自然保护区</w:t>
            </w:r>
          </w:p>
        </w:tc>
        <w:tc>
          <w:tcPr>
            <w:tcW w:type="dxa" w:w="190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10992.85</w:t>
            </w:r>
          </w:p>
        </w:tc>
        <w:tc>
          <w:tcPr>
            <w:tcW w:type="dxa" w:w="230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4289.9</w:t>
            </w:r>
          </w:p>
        </w:tc>
        <w:tc>
          <w:tcPr>
            <w:tcW w:type="dxa" w:w="305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6702.95</w:t>
            </w:r>
          </w:p>
        </w:tc>
      </w:tr>
      <w:tr>
        <w:trPr>
          <w:trHeight w:hRule="atleast" w:val="340"/>
        </w:trPr>
        <w:tc>
          <w:tcPr>
            <w:tcW w:type="dxa" w:w="168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 xml:space="preserve">   国家级</w:t>
            </w:r>
          </w:p>
        </w:tc>
        <w:tc>
          <w:tcPr>
            <w:tcW w:type="dxa" w:w="190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</w:p>
        </w:tc>
        <w:tc>
          <w:tcPr>
            <w:tcW w:type="dxa" w:w="230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</w:p>
        </w:tc>
        <w:tc>
          <w:tcPr>
            <w:tcW w:type="dxa" w:w="305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40"/>
        </w:trPr>
        <w:tc>
          <w:tcPr>
            <w:tcW w:type="dxa" w:w="168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 xml:space="preserve">   地方级</w:t>
            </w:r>
          </w:p>
        </w:tc>
        <w:tc>
          <w:tcPr>
            <w:tcW w:type="dxa" w:w="190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10992.85</w:t>
            </w:r>
          </w:p>
        </w:tc>
        <w:tc>
          <w:tcPr>
            <w:tcW w:type="dxa" w:w="230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4289.9</w:t>
            </w:r>
          </w:p>
        </w:tc>
        <w:tc>
          <w:tcPr>
            <w:tcW w:type="dxa" w:w="305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6702.95</w:t>
            </w:r>
          </w:p>
        </w:tc>
      </w:tr>
      <w:tr>
        <w:trPr>
          <w:trHeight w:hRule="atleast" w:val="340"/>
        </w:trPr>
        <w:tc>
          <w:tcPr>
            <w:tcW w:type="dxa" w:w="168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自然公园</w:t>
            </w:r>
          </w:p>
        </w:tc>
        <w:tc>
          <w:tcPr>
            <w:tcW w:type="dxa" w:w="190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4469.58</w:t>
            </w:r>
          </w:p>
        </w:tc>
        <w:tc>
          <w:tcPr>
            <w:tcW w:type="dxa" w:w="230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</w:p>
        </w:tc>
        <w:tc>
          <w:tcPr>
            <w:tcW w:type="dxa" w:w="305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4469.58</w:t>
            </w:r>
          </w:p>
        </w:tc>
      </w:tr>
    </w:tbl>
    <w:p>
      <w:pPr>
        <w:pStyle w:val="PO8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1"/>
        <w:snapToGrid w:val="off"/>
        <w:autoSpaceDE w:val="1"/>
        <w:autoSpaceDN w:val="1"/>
      </w:pPr>
      <w:bookmarkStart w:id="46" w:name="_Toc23080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（三）整合归并</w:t>
      </w:r>
      <w:bookmarkEnd w:id="46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bookmarkStart w:id="47" w:name="_Toc28913_WPSOffice_Level3"/>
      <w:bookmarkStart w:id="48" w:name="_Toc26410_WPSOffice_Level3"/>
      <w:bookmarkStart w:id="49" w:name="_Toc12069_WPSOffice_Level3"/>
      <w:bookmarkStart w:id="50" w:name="_Toc28112_WPSOffice_Level3"/>
      <w:bookmarkStart w:id="51" w:name="_Toc7961_WPSOffice_Level3"/>
      <w:bookmarkStart w:id="52" w:name="_Toc2282_WPSOffice_Level3"/>
      <w:bookmarkStart w:id="53" w:name="_Toc18605_WPSOffice_Level3"/>
      <w:bookmarkStart w:id="54" w:name="_Toc30434_WPSOffice_Level3"/>
      <w:bookmarkStart w:id="55" w:name="_Toc18461_WPSOffice_Level3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1.自然保护区转化为自然公园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海城市域范围涉及自然保护区转化为自然公园有一处，为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辽宁鞍山海城三岔河县级自然保护区，转化为辽宁鞍山三岔河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地方级湿地公园。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由于三岔河属于辽宁湿地名录重要湿地保护地，同时是候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鸟迁徙途径的栖息地，基本农田为候鸟觅食及栖息场所，拟调整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辽宁鞍山海城三岔河县级自然保护区转化为辽宁鞍山三岔河地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方级湿地公园。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2.自然公园整合归并至自然保护区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辽宁鞍山白云山省级森林公园与辽宁鞍山白云山省级自然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保护区范围重叠，依据国家级和省级自然保护区与各类自然保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护地交叉重叠时，原则上保留国家级和省级自然保护区，将辽宁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鞍山白云山省级森林公园整合归并到辽宁鞍山白云山地方级自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然保护区。</w:t>
      </w:r>
      <w:bookmarkEnd w:id="44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>
      <w:pPr>
        <w:pStyle w:val="PO8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1"/>
        <w:snapToGrid w:val="off"/>
        <w:autoSpaceDE w:val="1"/>
        <w:autoSpaceDN w:val="1"/>
      </w:pPr>
      <w:bookmarkStart w:id="56" w:name="_Toc16693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（四）撤销和降级</w:t>
      </w:r>
      <w:bookmarkEnd w:id="56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无撤销的自然保护区、森林自然公园。</w:t>
      </w:r>
    </w:p>
    <w:p>
      <w:pPr>
        <w:pStyle w:val="PO8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1"/>
        <w:snapToGrid w:val="off"/>
        <w:autoSpaceDE w:val="1"/>
        <w:autoSpaceDN w:val="1"/>
      </w:pPr>
      <w:bookmarkStart w:id="57" w:name="_Toc16559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（五）调入和调出</w:t>
      </w:r>
      <w:bookmarkEnd w:id="57"/>
    </w:p>
    <w:p>
      <w:pPr>
        <w:pStyle w:val="PO9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2"/>
        <w:snapToGrid w:val="off"/>
        <w:autoSpaceDE w:val="1"/>
        <w:autoSpaceDN w:val="1"/>
      </w:pPr>
      <w:bookmarkStart w:id="58" w:name="_Toc32078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1. 调入生态空间</w:t>
      </w:r>
      <w:bookmarkEnd w:id="58"/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海城市自然保护地共调入空间1102.40公顷，均为陆域。根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据国土三调地类组成分析，调入区域内均为林地，主要为公益林。</w:t>
      </w:r>
    </w:p>
    <w:p>
      <w:pPr>
        <w:pStyle w:val="PO9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2"/>
        <w:snapToGrid w:val="off"/>
        <w:autoSpaceDE w:val="1"/>
        <w:autoSpaceDN w:val="1"/>
      </w:pPr>
      <w:bookmarkStart w:id="59" w:name="_Toc19325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2. </w:t>
      </w:r>
      <w:bookmarkStart w:id="60" w:name="_Hlk99785235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调出矛盾冲突</w:t>
      </w:r>
      <w:bookmarkEnd w:id="59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整合优化拟从海城市自然保护地调出空间6631.99公顷。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主要包括耕地1634.53公顷、人工商品林4263.21公顷、矿业权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260.35公顷、城镇4.12公顷、村庄469.78公顷，以及少量调出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各类矛盾冲突空间连带产生的破碎地块等。</w:t>
      </w:r>
    </w:p>
    <w:p>
      <w:pPr>
        <w:numPr>
          <w:ilvl w:val="0"/>
          <w:numId w:val="0"/>
        </w:numPr>
        <w:jc w:val="center"/>
        <w:spacing w:lineRule="exact" w:line="400" w:before="0" w:after="0"/>
        <w:ind w:right="0" w:firstLine="0"/>
        <w:rPr>
          <w:color w:val="auto"/>
          <w:position w:val="0"/>
          <w:sz w:val="24"/>
          <w:szCs w:val="24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620" w:before="0" w:after="0"/>
        <w:ind w:right="0" w:firstLine="0"/>
        <w:rPr>
          <w:b w:val="1"/>
          <w:color w:val="auto"/>
          <w:position w:val="0"/>
          <w:sz w:val="24"/>
          <w:szCs w:val="24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highlight w:val="none"/>
          <w:rFonts w:ascii="方正仿宋_GB2312" w:eastAsia="方正仿宋_GB2312" w:hAnsi="方正仿宋_GB2312" w:hint="default"/>
        </w:rPr>
        <w:t xml:space="preserve">表4-3 自然保护地整合优化调入调出情况</w:t>
      </w:r>
    </w:p>
    <w:p>
      <w:pPr>
        <w:pStyle w:val="PO153"/>
        <w:numPr>
          <w:ilvl w:val="0"/>
          <w:numId w:val="0"/>
        </w:numPr>
        <w:jc w:val="right"/>
        <w:spacing w:lineRule="auto" w:line="240" w:before="0" w:after="0"/>
        <w:ind w:right="0" w:firstLine="480"/>
        <w:rPr>
          <w:color w:val="auto"/>
          <w:position w:val="0"/>
          <w:sz w:val="21"/>
          <w:szCs w:val="21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highlight w:val="none"/>
          <w:rFonts w:ascii="方正仿宋_GB2312" w:eastAsia="方正仿宋_GB2312" w:hAnsi="方正仿宋_GB2312" w:hint="default"/>
        </w:rPr>
        <w:t xml:space="preserve">           </w:t>
      </w:r>
      <w:r>
        <w:rPr>
          <w:color w:val="auto"/>
          <w:position w:val="0"/>
          <w:sz w:val="18"/>
          <w:szCs w:val="18"/>
          <w:highlight w:val="none"/>
          <w:rFonts w:ascii="方正仿宋_GB2312" w:eastAsia="方正仿宋_GB2312" w:hAnsi="方正仿宋_GB2312" w:hint="default"/>
        </w:rPr>
        <w:t>单位：公顷</w:t>
      </w:r>
    </w:p>
    <w:tbl>
      <w:tblID w:val="0"/>
      <w:tblPr>
        <w:tblStyle w:val="PO37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50" w:type="dxa"/>
        <w:tblLook w:val="000000" w:firstRow="0" w:lastRow="0" w:firstColumn="0" w:lastColumn="0" w:noHBand="0" w:noVBand="0"/>
        <w:tblLayout w:type="fixed"/>
      </w:tblPr>
      <w:tblGrid>
        <w:gridCol w:w="330"/>
        <w:gridCol w:w="3817"/>
        <w:gridCol w:w="1168"/>
        <w:gridCol w:w="1216"/>
        <w:gridCol w:w="1221"/>
        <w:gridCol w:w="1198"/>
      </w:tblGrid>
      <w:tr>
        <w:trPr>
          <w:trHeight w:hRule="exact" w:val="816"/>
        </w:trPr>
        <w:tc>
          <w:tcPr>
            <w:tcW w:type="dxa" w:w="33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3817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自然保护地名称</w:t>
            </w:r>
          </w:p>
        </w:tc>
        <w:tc>
          <w:tcPr>
            <w:tcW w:type="dxa" w:w="116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调出面积</w:t>
            </w:r>
          </w:p>
        </w:tc>
        <w:tc>
          <w:tcPr>
            <w:tcW w:type="dxa" w:w="121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调入面积</w:t>
            </w:r>
          </w:p>
        </w:tc>
        <w:tc>
          <w:tcPr>
            <w:tcW w:type="dxa" w:w="122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整合后面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积</w:t>
            </w:r>
          </w:p>
        </w:tc>
        <w:tc>
          <w:tcPr>
            <w:tcW w:type="dxa" w:w="119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面积变化</w:t>
            </w:r>
          </w:p>
        </w:tc>
      </w:tr>
      <w:tr>
        <w:trPr>
          <w:trHeight w:hRule="atleast" w:val="312"/>
        </w:trPr>
        <w:tc>
          <w:tcPr>
            <w:tcW w:type="dxa" w:w="4147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总计</w:t>
            </w:r>
          </w:p>
        </w:tc>
        <w:tc>
          <w:tcPr>
            <w:tcW w:type="dxa" w:w="116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6631.99</w:t>
            </w:r>
          </w:p>
        </w:tc>
        <w:tc>
          <w:tcPr>
            <w:tcW w:type="dxa" w:w="121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1102.4</w:t>
            </w:r>
          </w:p>
        </w:tc>
        <w:tc>
          <w:tcPr>
            <w:tcW w:type="dxa" w:w="122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15462.43</w:t>
            </w:r>
          </w:p>
        </w:tc>
        <w:tc>
          <w:tcPr>
            <w:tcW w:type="dxa" w:w="119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4"/>
                <w:szCs w:val="24"/>
                <w:u w:val="none"/>
                <w:highlight w:val="none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312"/>
        </w:trPr>
        <w:tc>
          <w:tcPr>
            <w:tcW w:type="dxa" w:w="33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</w:t>
            </w:r>
          </w:p>
        </w:tc>
        <w:tc>
          <w:tcPr>
            <w:tcW w:type="dxa" w:w="3817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辽宁鞍山白云山地方级自然保护区</w:t>
            </w:r>
          </w:p>
        </w:tc>
        <w:tc>
          <w:tcPr>
            <w:tcW w:type="dxa" w:w="116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5041.11</w:t>
            </w:r>
          </w:p>
        </w:tc>
        <w:tc>
          <w:tcPr>
            <w:tcW w:type="dxa" w:w="121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0</w:t>
            </w:r>
          </w:p>
        </w:tc>
        <w:tc>
          <w:tcPr>
            <w:tcW w:type="dxa" w:w="1221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8258.9</w:t>
            </w:r>
          </w:p>
        </w:tc>
        <w:tc>
          <w:tcPr>
            <w:tcW w:type="dxa" w:w="119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-5041.12</w:t>
            </w:r>
          </w:p>
        </w:tc>
      </w:tr>
      <w:tr>
        <w:trPr>
          <w:trHeight w:hRule="atleast" w:val="312"/>
        </w:trPr>
        <w:tc>
          <w:tcPr>
            <w:tcW w:type="dxa" w:w="33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</w:t>
            </w:r>
          </w:p>
        </w:tc>
        <w:tc>
          <w:tcPr>
            <w:tcW w:type="dxa" w:w="3817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辽宁鞍山九龙川地方级自然保护区</w:t>
            </w:r>
          </w:p>
        </w:tc>
        <w:tc>
          <w:tcPr>
            <w:tcW w:type="dxa" w:w="116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806.22</w:t>
            </w:r>
          </w:p>
        </w:tc>
        <w:tc>
          <w:tcPr>
            <w:tcW w:type="dxa" w:w="121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140.17</w:t>
            </w:r>
          </w:p>
        </w:tc>
        <w:tc>
          <w:tcPr>
            <w:tcW w:type="dxa" w:w="1221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2733.95</w:t>
            </w:r>
          </w:p>
        </w:tc>
        <w:tc>
          <w:tcPr>
            <w:tcW w:type="dxa" w:w="119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-666.05</w:t>
            </w:r>
          </w:p>
        </w:tc>
      </w:tr>
      <w:tr>
        <w:trPr>
          <w:trHeight w:hRule="atleast" w:val="312"/>
        </w:trPr>
        <w:tc>
          <w:tcPr>
            <w:tcW w:type="dxa" w:w="33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3</w:t>
            </w:r>
          </w:p>
        </w:tc>
        <w:tc>
          <w:tcPr>
            <w:tcW w:type="dxa" w:w="3817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辽宁鞍山三岔河地方级湿地公园</w:t>
            </w:r>
          </w:p>
        </w:tc>
        <w:tc>
          <w:tcPr>
            <w:tcW w:type="dxa" w:w="116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6.9</w:t>
            </w:r>
          </w:p>
        </w:tc>
        <w:tc>
          <w:tcPr>
            <w:tcW w:type="dxa" w:w="121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0</w:t>
            </w:r>
          </w:p>
        </w:tc>
        <w:tc>
          <w:tcPr>
            <w:tcW w:type="dxa" w:w="1221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1858.84</w:t>
            </w:r>
          </w:p>
        </w:tc>
        <w:tc>
          <w:tcPr>
            <w:tcW w:type="dxa" w:w="119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-6.89</w:t>
            </w:r>
          </w:p>
        </w:tc>
      </w:tr>
      <w:tr>
        <w:trPr>
          <w:trHeight w:hRule="atleast" w:val="312"/>
        </w:trPr>
        <w:tc>
          <w:tcPr>
            <w:tcW w:type="dxa" w:w="33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4</w:t>
            </w:r>
          </w:p>
        </w:tc>
        <w:tc>
          <w:tcPr>
            <w:tcW w:type="dxa" w:w="3817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辽宁鞍山红旗岭地方级森林公园</w:t>
            </w:r>
          </w:p>
        </w:tc>
        <w:tc>
          <w:tcPr>
            <w:tcW w:type="dxa" w:w="116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777.76</w:t>
            </w:r>
          </w:p>
        </w:tc>
        <w:tc>
          <w:tcPr>
            <w:tcW w:type="dxa" w:w="121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962.23</w:t>
            </w:r>
          </w:p>
        </w:tc>
        <w:tc>
          <w:tcPr>
            <w:tcW w:type="dxa" w:w="1221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2610.74</w:t>
            </w:r>
          </w:p>
        </w:tc>
        <w:tc>
          <w:tcPr>
            <w:tcW w:type="dxa" w:w="119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184.47</w:t>
            </w:r>
          </w:p>
        </w:tc>
      </w:tr>
    </w:tbl>
    <w:p>
      <w:pPr>
        <w:numPr>
          <w:ilvl w:val="0"/>
          <w:numId w:val="0"/>
        </w:numPr>
        <w:jc w:val="center"/>
        <w:spacing w:lineRule="exact" w:line="620" w:before="0" w:after="0"/>
        <w:ind w:right="0" w:firstLine="0"/>
        <w:rPr>
          <w:b w:val="1"/>
          <w:color w:val="auto"/>
          <w:position w:val="0"/>
          <w:sz w:val="24"/>
          <w:szCs w:val="24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highlight w:val="none"/>
          <w:rFonts w:ascii="方正仿宋_GB2312" w:eastAsia="方正仿宋_GB2312" w:hAnsi="方正仿宋_GB2312" w:hint="default"/>
        </w:rPr>
        <w:t xml:space="preserve">表4-4 自然保护地调出矛盾冲突情况</w:t>
      </w:r>
    </w:p>
    <w:p>
      <w:pPr>
        <w:pStyle w:val="PO153"/>
        <w:numPr>
          <w:ilvl w:val="0"/>
          <w:numId w:val="0"/>
        </w:numPr>
        <w:jc w:val="right"/>
        <w:spacing w:lineRule="auto" w:line="240" w:before="0" w:after="0"/>
        <w:ind w:right="0" w:firstLine="360"/>
        <w:rPr>
          <w:color w:val="auto"/>
          <w:position w:val="0"/>
          <w:sz w:val="24"/>
          <w:szCs w:val="24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  <w:r>
        <w:rPr>
          <w:color w:val="auto"/>
          <w:position w:val="0"/>
          <w:sz w:val="18"/>
          <w:szCs w:val="18"/>
          <w:highlight w:val="none"/>
          <w:rFonts w:ascii="方正仿宋_GB2312" w:eastAsia="方正仿宋_GB2312" w:hAnsi="方正仿宋_GB2312" w:hint="default"/>
        </w:rPr>
        <w:t>单位：公顷</w:t>
      </w:r>
    </w:p>
    <w:tbl>
      <w:tblID w:val="0"/>
      <w:tblPr>
        <w:tblStyle w:val="PO37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22" w:type="dxa"/>
        <w:jc w:val="center"/>
        <w:tblLook w:val="000000" w:firstRow="0" w:lastRow="0" w:firstColumn="0" w:lastColumn="0" w:noHBand="0" w:noVBand="0"/>
        <w:tblLayout w:type="fixed"/>
      </w:tblPr>
      <w:tblGrid>
        <w:gridCol w:w="3662"/>
        <w:gridCol w:w="755"/>
        <w:gridCol w:w="841"/>
        <w:gridCol w:w="748"/>
        <w:gridCol w:w="727"/>
        <w:gridCol w:w="727"/>
        <w:gridCol w:w="728"/>
        <w:gridCol w:w="734"/>
      </w:tblGrid>
      <w:tr>
        <w:trPr>
          <w:trHeight w:hRule="atleast" w:val="526"/>
          <w:tblHeader/>
        </w:trPr>
        <w:tc>
          <w:tcPr>
            <w:tcW w:type="dxa" w:w="3662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自然保护地名称</w:t>
            </w:r>
          </w:p>
        </w:tc>
        <w:tc>
          <w:tcPr>
            <w:tcW w:type="dxa" w:w="755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耕地2</w:t>
            </w:r>
          </w:p>
        </w:tc>
        <w:tc>
          <w:tcPr>
            <w:tcW w:type="dxa" w:w="841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人工商</w:t>
            </w: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品林3</w:t>
            </w:r>
          </w:p>
        </w:tc>
        <w:tc>
          <w:tcPr>
            <w:tcW w:type="dxa" w:w="748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矿业权</w:t>
            </w: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4</w:t>
            </w:r>
          </w:p>
        </w:tc>
        <w:tc>
          <w:tcPr>
            <w:tcW w:type="dxa" w:w="727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开发</w:t>
            </w: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区5</w:t>
            </w:r>
          </w:p>
        </w:tc>
        <w:tc>
          <w:tcPr>
            <w:tcW w:type="dxa" w:w="727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城镇1</w:t>
            </w:r>
          </w:p>
        </w:tc>
        <w:tc>
          <w:tcPr>
            <w:tcW w:type="dxa" w:w="728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村庄6</w:t>
            </w:r>
          </w:p>
        </w:tc>
        <w:tc>
          <w:tcPr>
            <w:tcW w:type="dxa" w:w="734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项目用</w:t>
            </w: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地7/8</w:t>
            </w:r>
          </w:p>
        </w:tc>
      </w:tr>
      <w:tr>
        <w:trPr>
          <w:trHeight w:hRule="exact" w:val="412"/>
        </w:trPr>
        <w:tc>
          <w:tcPr>
            <w:tcW w:type="dxa" w:w="3662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总计</w:t>
            </w:r>
          </w:p>
        </w:tc>
        <w:tc>
          <w:tcPr>
            <w:tcW w:type="dxa" w:w="755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1634.5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3</w:t>
            </w:r>
          </w:p>
        </w:tc>
        <w:tc>
          <w:tcPr>
            <w:tcW w:type="dxa" w:w="841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4263.21</w:t>
            </w:r>
          </w:p>
        </w:tc>
        <w:tc>
          <w:tcPr>
            <w:tcW w:type="dxa" w:w="748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260.35</w:t>
            </w:r>
          </w:p>
        </w:tc>
        <w:tc>
          <w:tcPr>
            <w:tcW w:type="dxa" w:w="727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727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4.12</w:t>
            </w:r>
          </w:p>
        </w:tc>
        <w:tc>
          <w:tcPr>
            <w:tcW w:type="dxa" w:w="728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469.78</w:t>
            </w:r>
          </w:p>
        </w:tc>
        <w:tc>
          <w:tcPr>
            <w:tcW w:type="dxa" w:w="734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atleast" w:val="325"/>
        </w:trPr>
        <w:tc>
          <w:tcPr>
            <w:tcW w:type="dxa" w:w="3662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辽宁鞍山白云山地方级自然保护区</w:t>
            </w:r>
          </w:p>
        </w:tc>
        <w:tc>
          <w:tcPr>
            <w:tcW w:type="dxa" w:w="755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1382.4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</w:t>
            </w:r>
          </w:p>
        </w:tc>
        <w:tc>
          <w:tcPr>
            <w:tcW w:type="dxa" w:w="841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3302.94</w:t>
            </w:r>
          </w:p>
        </w:tc>
        <w:tc>
          <w:tcPr>
            <w:tcW w:type="dxa" w:w="748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0.01</w:t>
            </w:r>
          </w:p>
        </w:tc>
        <w:tc>
          <w:tcPr>
            <w:tcW w:type="dxa" w:w="727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727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728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355.74</w:t>
            </w:r>
          </w:p>
        </w:tc>
        <w:tc>
          <w:tcPr>
            <w:tcW w:type="dxa" w:w="734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atleast" w:val="303"/>
        </w:trPr>
        <w:tc>
          <w:tcPr>
            <w:tcW w:type="dxa" w:w="3662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辽宁鞍山九龙川地方级自然保护区</w:t>
            </w:r>
          </w:p>
        </w:tc>
        <w:tc>
          <w:tcPr>
            <w:tcW w:type="dxa" w:w="755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222.5</w:t>
            </w:r>
          </w:p>
        </w:tc>
        <w:tc>
          <w:tcPr>
            <w:tcW w:type="dxa" w:w="841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465.56</w:t>
            </w:r>
          </w:p>
        </w:tc>
        <w:tc>
          <w:tcPr>
            <w:tcW w:type="dxa" w:w="748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727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727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4.12</w:t>
            </w:r>
          </w:p>
        </w:tc>
        <w:tc>
          <w:tcPr>
            <w:tcW w:type="dxa" w:w="728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114.04</w:t>
            </w:r>
          </w:p>
        </w:tc>
        <w:tc>
          <w:tcPr>
            <w:tcW w:type="dxa" w:w="734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atleast" w:val="325"/>
        </w:trPr>
        <w:tc>
          <w:tcPr>
            <w:tcW w:type="dxa" w:w="3662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辽宁鞍山三岔河地方级湿地公园</w:t>
            </w:r>
          </w:p>
        </w:tc>
        <w:tc>
          <w:tcPr>
            <w:tcW w:type="dxa" w:w="755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0.14</w:t>
            </w:r>
          </w:p>
        </w:tc>
        <w:tc>
          <w:tcPr>
            <w:tcW w:type="dxa" w:w="841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6.76</w:t>
            </w:r>
          </w:p>
        </w:tc>
        <w:tc>
          <w:tcPr>
            <w:tcW w:type="dxa" w:w="748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727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727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728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734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atleast" w:val="325"/>
        </w:trPr>
        <w:tc>
          <w:tcPr>
            <w:tcW w:type="dxa" w:w="3662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辽宁鞍山红旗岭地方级森林公园</w:t>
            </w:r>
          </w:p>
        </w:tc>
        <w:tc>
          <w:tcPr>
            <w:tcW w:type="dxa" w:w="755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29.47</w:t>
            </w:r>
          </w:p>
        </w:tc>
        <w:tc>
          <w:tcPr>
            <w:tcW w:type="dxa" w:w="841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487.95</w:t>
            </w:r>
          </w:p>
        </w:tc>
        <w:tc>
          <w:tcPr>
            <w:tcW w:type="dxa" w:w="748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260.34</w:t>
            </w:r>
          </w:p>
        </w:tc>
        <w:tc>
          <w:tcPr>
            <w:tcW w:type="dxa" w:w="727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727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728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734"/>
            <w:tcMar>
              <w:left w:w="28" w:type="dxa"/>
              <w:right w:w="28" w:type="dxa"/>
            </w:tcMar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</w:tr>
    </w:tbl>
    <w:p>
      <w:pPr>
        <w:pStyle w:val="PO7"/>
        <w:numPr>
          <w:ilvl w:val="0"/>
          <w:numId w:val="0"/>
        </w:numPr>
        <w:jc w:val="both"/>
        <w:spacing w:lineRule="atLeast" w:line="600" w:before="120" w:after="12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0"/>
        <w:snapToGrid w:val="off"/>
        <w:autoSpaceDE w:val="1"/>
        <w:autoSpaceDN w:val="1"/>
      </w:pPr>
      <w:bookmarkStart w:id="61" w:name="_Toc30009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五、成效分析</w:t>
      </w:r>
      <w:bookmarkEnd w:id="61"/>
    </w:p>
    <w:p>
      <w:pPr>
        <w:pStyle w:val="PO8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1"/>
        <w:snapToGrid w:val="off"/>
        <w:autoSpaceDE w:val="1"/>
        <w:autoSpaceDN w:val="1"/>
      </w:pPr>
      <w:bookmarkStart w:id="62" w:name="_Toc6622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（一）提升自然保护地生态系统质量</w:t>
      </w:r>
      <w:bookmarkEnd w:id="62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整合优化将1102.40公顷森林等生态空间调入自然保护地，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按照“应划尽划，应保尽保”的原则。以生态保护红线优先、国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有林地优先、重点公益林优先的原则，同时为了保持自然生态系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统完整性和生态廊道连通性，将应该保护的地方都保护起来，综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合各要素考虑，逐步筛选，将自然保护地周边适宜的地块纳入自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然保护地体系中。</w:t>
      </w:r>
    </w:p>
    <w:p>
      <w:pPr>
        <w:pStyle w:val="PO8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1"/>
        <w:snapToGrid w:val="off"/>
        <w:autoSpaceDE w:val="1"/>
        <w:autoSpaceDN w:val="1"/>
      </w:pPr>
      <w:bookmarkStart w:id="63" w:name="_Toc27222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（二）优化自然保护地空间分布格局</w:t>
      </w:r>
      <w:bookmarkEnd w:id="63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对调入、调出区域的空间位置进行分析显示，调入、调出空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间主要位于九龙川、红旗岭、白云山周边区域。</w:t>
      </w:r>
    </w:p>
    <w:p>
      <w:pPr>
        <w:numPr>
          <w:ilvl w:val="0"/>
          <w:numId w:val="0"/>
        </w:numPr>
        <w:jc w:val="left"/>
        <w:spacing w:lineRule="atLeast" w:line="600" w:before="0" w:after="0"/>
        <w:ind w:right="0" w:firstLine="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 xml:space="preserve">     整合优化后的自然保护地总体规模保持稳定，但空间布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局有所优化，与县域人口分布规律、自然地理特征、自然资源禀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赋等更加契合。</w:t>
      </w:r>
      <w:r>
        <w:rPr>
          <w:color w:val="auto"/>
          <w:position w:val="0"/>
          <w:sz w:val="28"/>
          <w:szCs w:val="28"/>
          <w:highlight w:val="none"/>
          <w:rFonts w:ascii="方正仿宋_GB2312" w:eastAsia="方正仿宋_GB2312" w:hAnsi="方正仿宋_GB2312" w:hint="default"/>
        </w:rPr>
        <w:t xml:space="preserve">                   </w:t>
      </w:r>
    </w:p>
    <w:p>
      <w:pPr>
        <w:pStyle w:val="PO8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1"/>
        <w:snapToGrid w:val="off"/>
        <w:autoSpaceDE w:val="1"/>
        <w:autoSpaceDN w:val="1"/>
      </w:pPr>
      <w:bookmarkStart w:id="64" w:name="_Toc4583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（三）夯实自然保护地监督管理基础</w:t>
      </w:r>
      <w:bookmarkEnd w:id="64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整合优化摸清了我国自然保护地数量、结构、分布等基本情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况，全面掌握了自然保护地内人口分布、土地分类、矿产开发等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经济社会现状，形成了统一完备的自然保护地基础信息数据库，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并为每一个自然保护地制作了范围及分区空间矢量图，构建了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全国自然保护地空间治理数字化平台。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整合优化后自然保护地之间空间不再重叠，边界范围更加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清晰、类型定位更加明确、功能分区更加科学，管控规则和管理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制度将更加合理、完善，为依法、高效开展自然保护地监测、评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估、考核、执法、监管等奠定了扎实的基础。</w:t>
      </w:r>
    </w:p>
    <w:p>
      <w:pPr>
        <w:pStyle w:val="PO8"/>
        <w:numPr>
          <w:ilvl w:val="0"/>
          <w:numId w:val="0"/>
        </w:numPr>
        <w:jc w:val="both"/>
        <w:spacing w:lineRule="atLeast" w:line="600" w:before="0" w:after="0"/>
        <w:ind w:right="0" w:firstLine="643"/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1"/>
        <w:snapToGrid w:val="off"/>
        <w:autoSpaceDE w:val="1"/>
        <w:autoSpaceDN w:val="1"/>
      </w:pPr>
      <w:bookmarkStart w:id="65" w:name="_Toc5046"/>
      <w:r>
        <w:rPr>
          <w:b w:val="1"/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（四）促进构建国土空间开发保护新格局</w:t>
      </w:r>
      <w:bookmarkEnd w:id="65"/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整合优化从自然保护地内调出耕地及永久基本农田、人工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商品林、矿业权、开发区和城镇村、项目设施用地等空间矛盾冲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突，与《国土空间规划》编制和“三区三线”划定统筹部署、协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同推进，成果无缝对接，合理布局生产、生活、生态空间。</w:t>
      </w:r>
    </w:p>
    <w:p>
      <w:pPr>
        <w:numPr>
          <w:ilvl w:val="0"/>
          <w:numId w:val="0"/>
        </w:numPr>
        <w:jc w:val="both"/>
        <w:spacing w:lineRule="atLeast" w:line="600" w:before="0" w:after="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整合优化后自然保护地与国土空间规划纲要“三区四带”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生态功能区格局更趋一致，有利于全面保护重要生态区域和典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型自然生态系统、推动山水林田湖草沙一体化保护和系统治理，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有利于落实国土空间用途管制制度、构建国土空间开发保护新</w:t>
      </w:r>
      <w:r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t>格局。</w:t>
      </w:r>
    </w:p>
    <w:p>
      <w:pPr>
        <w:numPr>
          <w:ilvl w:val="0"/>
          <w:numId w:val="0"/>
        </w:numPr>
        <w:jc w:val="both"/>
        <w:spacing w:lineRule="atLeast" w:line="600" w:before="120" w:after="12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1"/>
        <w:snapToGrid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tLeast" w:line="600" w:before="120" w:after="120"/>
        <w:ind w:right="0" w:firstLine="640"/>
        <w:rPr>
          <w:color w:val="auto"/>
          <w:position w:val="0"/>
          <w:sz w:val="32"/>
          <w:szCs w:val="32"/>
          <w:highlight w:val="none"/>
          <w:rFonts w:ascii="方正仿宋_GB2312" w:eastAsia="方正仿宋_GB2312" w:hAnsi="方正仿宋_GB2312" w:hint="default"/>
        </w:rPr>
        <w:outlineLvl w:val="1"/>
        <w:snapToGrid w:val="off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tLeast" w:line="600" w:before="0" w:after="0"/>
        <w:ind w:right="0" w:firstLine="0"/>
        <w:rPr>
          <w:color w:val="auto"/>
          <w:position w:val="0"/>
          <w:sz w:val="28"/>
          <w:szCs w:val="28"/>
          <w:highlight w:val="none"/>
          <w:rFonts w:ascii="方正仿宋_GB2312" w:eastAsia="方正仿宋_GB2312" w:hAnsi="方正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highlight w:val="none"/>
          <w:rFonts w:ascii="方正仿宋_GB2312" w:eastAsia="方正仿宋_GB2312" w:hAnsi="方正仿宋_GB2312" w:hint="default"/>
        </w:rPr>
        <w:t xml:space="preserve">附表1             整合优化后自然保护地陆域海域面积</w:t>
      </w:r>
    </w:p>
    <w:p>
      <w:pPr>
        <w:pStyle w:val="PO153"/>
        <w:numPr>
          <w:ilvl w:val="0"/>
          <w:numId w:val="0"/>
        </w:numPr>
        <w:jc w:val="right"/>
        <w:spacing w:lineRule="auto" w:line="240" w:before="0" w:after="0"/>
        <w:ind w:right="0" w:firstLine="360"/>
        <w:rPr>
          <w:color w:val="auto"/>
          <w:position w:val="0"/>
          <w:sz w:val="18"/>
          <w:szCs w:val="18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  <w:r>
        <w:rPr>
          <w:color w:val="auto"/>
          <w:position w:val="0"/>
          <w:sz w:val="18"/>
          <w:szCs w:val="18"/>
          <w:highlight w:val="none"/>
          <w:rFonts w:ascii="方正仿宋_GB2312" w:eastAsia="方正仿宋_GB2312" w:hAnsi="方正仿宋_GB2312" w:hint="default"/>
        </w:rPr>
        <w:t>单位：公顷</w:t>
      </w:r>
    </w:p>
    <w:tbl>
      <w:tblID w:val="0"/>
      <w:tblPr>
        <w:tblStyle w:val="PO37"/>
        <w:tblpPr w:leftFromText="180" w:rightFromText="180" w:vertAnchor="text" w:horzAnchor="page" w:tblpX="1603" w:tblpY="88"/>
        <w:tblOverlap w:val="nev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50" w:type="dxa"/>
        <w:tblLook w:val="000000" w:firstRow="0" w:lastRow="0" w:firstColumn="0" w:lastColumn="0" w:noHBand="0" w:noVBand="0"/>
        <w:tblLayout w:type="fixed"/>
      </w:tblPr>
      <w:tblGrid>
        <w:gridCol w:w="330"/>
        <w:gridCol w:w="3809"/>
        <w:gridCol w:w="1096"/>
        <w:gridCol w:w="1189"/>
        <w:gridCol w:w="1192"/>
        <w:gridCol w:w="1334"/>
      </w:tblGrid>
      <w:tr>
        <w:trPr>
          <w:trHeight w:hRule="exact" w:val="312"/>
        </w:trPr>
        <w:tc>
          <w:tcPr>
            <w:tcW w:type="dxa" w:w="330"/>
            <w:vAlign w:val="center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　</w:t>
            </w:r>
          </w:p>
        </w:tc>
        <w:tc>
          <w:tcPr>
            <w:tcW w:type="dxa" w:w="3809"/>
            <w:vAlign w:val="center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行政区</w:t>
            </w:r>
          </w:p>
        </w:tc>
        <w:tc>
          <w:tcPr>
            <w:tcW w:type="dxa" w:w="4811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自然保护地面积</w:t>
            </w:r>
          </w:p>
        </w:tc>
      </w:tr>
      <w:tr>
        <w:trPr>
          <w:trHeight w:hRule="exact" w:val="877"/>
        </w:trPr>
        <w:tc>
          <w:tcPr>
            <w:tcW w:type="dxa" w:w="330"/>
            <w:vAlign w:val="center"/>
            <w:vMerge/>
            <w:shd w:val="clear" w:color="000000"/>
          </w:tcPr>
          <w:p/>
        </w:tc>
        <w:tc>
          <w:tcPr>
            <w:tcW w:type="dxa" w:w="3809"/>
            <w:vAlign w:val="center"/>
            <w:vMerge/>
            <w:shd w:val="clear" w:color="000000"/>
          </w:tcPr>
          <w:p/>
        </w:tc>
        <w:tc>
          <w:tcPr>
            <w:tcW w:type="dxa" w:w="109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总面积</w:t>
            </w:r>
          </w:p>
        </w:tc>
        <w:tc>
          <w:tcPr>
            <w:tcW w:type="dxa" w:w="118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陆域面积</w:t>
            </w:r>
          </w:p>
        </w:tc>
        <w:tc>
          <w:tcPr>
            <w:tcW w:type="dxa" w:w="1192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海域面积</w:t>
            </w:r>
          </w:p>
        </w:tc>
        <w:tc>
          <w:tcPr>
            <w:tcW w:type="dxa" w:w="1334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保护地陆域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占县域陆域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国土面积比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例</w:t>
            </w:r>
          </w:p>
        </w:tc>
      </w:tr>
      <w:tr>
        <w:trPr>
          <w:trHeight w:hRule="exact" w:val="305"/>
        </w:trPr>
        <w:tc>
          <w:tcPr>
            <w:tcW w:type="dxa" w:w="4139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总计</w:t>
            </w:r>
          </w:p>
        </w:tc>
        <w:tc>
          <w:tcPr>
            <w:tcW w:type="dxa" w:w="109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15462.43</w:t>
            </w:r>
          </w:p>
        </w:tc>
        <w:tc>
          <w:tcPr>
            <w:tcW w:type="dxa" w:w="118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15462.43</w:t>
            </w:r>
          </w:p>
        </w:tc>
        <w:tc>
          <w:tcPr>
            <w:tcW w:type="dxa" w:w="1192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0</w:t>
            </w:r>
          </w:p>
        </w:tc>
        <w:tc>
          <w:tcPr>
            <w:tcW w:type="dxa" w:w="1334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5.66%</w:t>
            </w:r>
          </w:p>
        </w:tc>
      </w:tr>
      <w:tr>
        <w:trPr>
          <w:trHeight w:hRule="exact" w:val="359"/>
        </w:trPr>
        <w:tc>
          <w:tcPr>
            <w:tcW w:type="dxa" w:w="33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1</w:t>
            </w:r>
          </w:p>
        </w:tc>
        <w:tc>
          <w:tcPr>
            <w:tcW w:type="dxa" w:w="380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辽宁鞍山白云山地方级自然保护区</w:t>
            </w:r>
          </w:p>
        </w:tc>
        <w:tc>
          <w:tcPr>
            <w:tcW w:type="dxa" w:w="109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8258.9</w:t>
            </w:r>
          </w:p>
        </w:tc>
        <w:tc>
          <w:tcPr>
            <w:tcW w:type="dxa" w:w="118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8258.9</w:t>
            </w:r>
          </w:p>
        </w:tc>
        <w:tc>
          <w:tcPr>
            <w:tcW w:type="dxa" w:w="1192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0</w:t>
            </w:r>
          </w:p>
        </w:tc>
        <w:tc>
          <w:tcPr>
            <w:tcW w:type="dxa" w:w="1334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3.02%</w:t>
            </w:r>
          </w:p>
        </w:tc>
      </w:tr>
      <w:tr>
        <w:trPr>
          <w:trHeight w:hRule="exact" w:val="312"/>
        </w:trPr>
        <w:tc>
          <w:tcPr>
            <w:tcW w:type="dxa" w:w="33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</w:t>
            </w:r>
          </w:p>
        </w:tc>
        <w:tc>
          <w:tcPr>
            <w:tcW w:type="dxa" w:w="380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辽宁鞍山九龙川地方级自然保护区</w:t>
            </w:r>
          </w:p>
        </w:tc>
        <w:tc>
          <w:tcPr>
            <w:tcW w:type="dxa" w:w="109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2733.95</w:t>
            </w:r>
          </w:p>
        </w:tc>
        <w:tc>
          <w:tcPr>
            <w:tcW w:type="dxa" w:w="118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2733.95</w:t>
            </w:r>
          </w:p>
        </w:tc>
        <w:tc>
          <w:tcPr>
            <w:tcW w:type="dxa" w:w="1192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0</w:t>
            </w:r>
          </w:p>
        </w:tc>
        <w:tc>
          <w:tcPr>
            <w:tcW w:type="dxa" w:w="1334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1.00%</w:t>
            </w:r>
          </w:p>
        </w:tc>
      </w:tr>
      <w:tr>
        <w:trPr>
          <w:trHeight w:hRule="exact" w:val="312"/>
        </w:trPr>
        <w:tc>
          <w:tcPr>
            <w:tcW w:type="dxa" w:w="33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3</w:t>
            </w:r>
          </w:p>
        </w:tc>
        <w:tc>
          <w:tcPr>
            <w:tcW w:type="dxa" w:w="380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辽宁鞍山三岔河地方级湿地公园</w:t>
            </w:r>
          </w:p>
        </w:tc>
        <w:tc>
          <w:tcPr>
            <w:tcW w:type="dxa" w:w="109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1858.84</w:t>
            </w:r>
          </w:p>
        </w:tc>
        <w:tc>
          <w:tcPr>
            <w:tcW w:type="dxa" w:w="118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1858.84</w:t>
            </w:r>
          </w:p>
        </w:tc>
        <w:tc>
          <w:tcPr>
            <w:tcW w:type="dxa" w:w="1192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0</w:t>
            </w:r>
          </w:p>
        </w:tc>
        <w:tc>
          <w:tcPr>
            <w:tcW w:type="dxa" w:w="1334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0.68%</w:t>
            </w:r>
          </w:p>
        </w:tc>
      </w:tr>
      <w:tr>
        <w:trPr>
          <w:trHeight w:hRule="exact" w:val="312"/>
        </w:trPr>
        <w:tc>
          <w:tcPr>
            <w:tcW w:type="dxa" w:w="33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4</w:t>
            </w:r>
          </w:p>
        </w:tc>
        <w:tc>
          <w:tcPr>
            <w:tcW w:type="dxa" w:w="380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辽宁鞍山红旗岭地方级森林公园</w:t>
            </w:r>
          </w:p>
        </w:tc>
        <w:tc>
          <w:tcPr>
            <w:tcW w:type="dxa" w:w="109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2610.74</w:t>
            </w:r>
          </w:p>
        </w:tc>
        <w:tc>
          <w:tcPr>
            <w:tcW w:type="dxa" w:w="118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2610.74</w:t>
            </w:r>
          </w:p>
        </w:tc>
        <w:tc>
          <w:tcPr>
            <w:tcW w:type="dxa" w:w="1192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0</w:t>
            </w:r>
          </w:p>
        </w:tc>
        <w:tc>
          <w:tcPr>
            <w:tcW w:type="dxa" w:w="1334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autoSpaceDE w:val="1"/>
              <w:autoSpaceDN w:val="1"/>
            </w:pPr>
            <w:r>
              <w:rPr>
                <w:i w:val="0"/>
                <w:color w:val="auto"/>
                <w:position w:val="0"/>
                <w:sz w:val="21"/>
                <w:szCs w:val="21"/>
                <w:u w:val="none"/>
                <w:highlight w:val="none"/>
                <w:rFonts w:ascii="方正仿宋_GB2312" w:eastAsia="方正仿宋_GB2312" w:hAnsi="方正仿宋_GB2312" w:hint="default"/>
              </w:rPr>
              <w:t>0.96%</w:t>
            </w:r>
          </w:p>
        </w:tc>
      </w:tr>
    </w:tbl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highlight w:val="none"/>
          <w:rFonts w:ascii="方正仿宋_GB2312" w:eastAsia="方正仿宋_GB2312" w:hAnsi="方正仿宋_GB2312" w:hint="default"/>
        </w:rPr>
        <w:t xml:space="preserve">附表2             整合优化前后自然保护地情况对比</w:t>
      </w:r>
    </w:p>
    <w:p>
      <w:pPr>
        <w:numPr>
          <w:ilvl w:val="0"/>
          <w:numId w:val="0"/>
        </w:numPr>
        <w:jc w:val="right"/>
        <w:spacing w:lineRule="exact" w:line="300" w:before="0" w:after="0"/>
        <w:ind w:right="0" w:firstLine="2186"/>
        <w:rPr>
          <w:color w:val="auto"/>
          <w:position w:val="0"/>
          <w:sz w:val="24"/>
          <w:szCs w:val="24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highlight w:val="none"/>
          <w:rFonts w:ascii="方正仿宋_GB2312" w:eastAsia="方正仿宋_GB2312" w:hAnsi="方正仿宋_GB2312" w:hint="default"/>
        </w:rPr>
        <w:t>单位：个，公顷</w:t>
      </w:r>
    </w:p>
    <w:tbl>
      <w:tblID w:val="0"/>
      <w:tblPr>
        <w:tblStyle w:val="PO37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50" w:type="dxa"/>
        <w:jc w:val="center"/>
        <w:tblLook w:val="000000" w:firstRow="0" w:lastRow="0" w:firstColumn="0" w:lastColumn="0" w:noHBand="0" w:noVBand="0"/>
        <w:tblLayout w:type="fixed"/>
      </w:tblPr>
      <w:tblGrid>
        <w:gridCol w:w="1896"/>
        <w:gridCol w:w="846"/>
        <w:gridCol w:w="638"/>
        <w:gridCol w:w="1151"/>
        <w:gridCol w:w="1896"/>
        <w:gridCol w:w="846"/>
        <w:gridCol w:w="638"/>
        <w:gridCol w:w="1039"/>
      </w:tblGrid>
      <w:tr>
        <w:trPr>
          <w:trHeight w:hRule="exact" w:val="312"/>
        </w:trPr>
        <w:tc>
          <w:tcPr>
            <w:tcW w:type="dxa" w:w="4531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整合优化前</w:t>
            </w:r>
          </w:p>
        </w:tc>
        <w:tc>
          <w:tcPr>
            <w:tcW w:type="dxa" w:w="4419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整合优化后</w:t>
            </w:r>
          </w:p>
        </w:tc>
      </w:tr>
      <w:tr>
        <w:trPr>
          <w:trHeight w:hRule="exact" w:val="312"/>
        </w:trPr>
        <w:tc>
          <w:tcPr>
            <w:tcW w:type="dxa" w:w="2742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自然保护地类型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数量</w:t>
            </w: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面积</w:t>
            </w:r>
          </w:p>
        </w:tc>
        <w:tc>
          <w:tcPr>
            <w:tcW w:type="dxa" w:w="2742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自然保护地类型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数量</w:t>
            </w: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面积</w:t>
            </w:r>
          </w:p>
        </w:tc>
      </w:tr>
      <w:tr>
        <w:trPr>
          <w:trHeight w:hRule="exact" w:val="312"/>
        </w:trPr>
        <w:tc>
          <w:tcPr>
            <w:tcW w:type="dxa" w:w="2742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2742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国家公园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自然保护区</w:t>
            </w:r>
          </w:p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小计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3</w:t>
            </w: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18565.75</w:t>
            </w:r>
          </w:p>
        </w:tc>
        <w:tc>
          <w:tcPr>
            <w:tcW w:type="dxa" w:w="1896"/>
            <w:vAlign w:val="center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自然保护区</w:t>
            </w:r>
          </w:p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小计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</w:t>
            </w: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10992.8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5</w:t>
            </w: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省级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</w:t>
            </w: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16700.02</w:t>
            </w:r>
          </w:p>
        </w:tc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地方级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</w:t>
            </w: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10992.8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5</w:t>
            </w: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市县级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</w:t>
            </w: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1865.73</w:t>
            </w:r>
          </w:p>
        </w:tc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96"/>
            <w:vAlign w:val="center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自然公园</w:t>
            </w:r>
          </w:p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小计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</w:t>
            </w: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4469.58</w:t>
            </w: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地方级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</w:t>
            </w: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4469.58</w:t>
            </w: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风景名胜区</w:t>
            </w:r>
          </w:p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小计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96"/>
            <w:vAlign w:val="center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风景名胜区</w:t>
            </w:r>
          </w:p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小计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地方级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地方级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森林公园</w:t>
            </w:r>
          </w:p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小计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</w:t>
            </w: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4356.03</w:t>
            </w:r>
          </w:p>
        </w:tc>
        <w:tc>
          <w:tcPr>
            <w:tcW w:type="dxa" w:w="1896"/>
            <w:vAlign w:val="center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森林公园</w:t>
            </w:r>
          </w:p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小计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</w:t>
            </w: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2610.74</w:t>
            </w: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地方级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</w:t>
            </w: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4356.03</w:t>
            </w:r>
          </w:p>
        </w:tc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地方级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</w:t>
            </w: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2610.74</w:t>
            </w: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地质公园</w:t>
            </w:r>
          </w:p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小计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96"/>
            <w:vAlign w:val="center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地质公园</w:t>
            </w:r>
          </w:p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小计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地方级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地方级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湿地公园</w:t>
            </w:r>
          </w:p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小计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96"/>
            <w:vAlign w:val="center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湿地公园</w:t>
            </w:r>
          </w:p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小计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</w:t>
            </w: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1858.84</w:t>
            </w: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地方级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地方级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</w:t>
            </w: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1858.84</w:t>
            </w: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海洋特别保护区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（含海洋公园）</w:t>
            </w:r>
          </w:p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小计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96"/>
            <w:vAlign w:val="center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海洋公园</w:t>
            </w:r>
          </w:p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小计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地方级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地方级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沙漠（石漠）公园</w:t>
            </w:r>
          </w:p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小计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96"/>
            <w:vAlign w:val="center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沙漠（石漠）公园</w:t>
            </w:r>
          </w:p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小计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国家级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51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896"/>
            <w:vAlign w:val="center"/>
            <w:vMerge/>
            <w:shd w:val="clear" w:color="000000"/>
          </w:tcPr>
          <w:p/>
        </w:tc>
        <w:tc>
          <w:tcPr>
            <w:tcW w:type="dxa" w:w="846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地方级</w:t>
            </w:r>
          </w:p>
        </w:tc>
        <w:tc>
          <w:tcPr>
            <w:tcW w:type="dxa" w:w="638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039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</w:tr>
      <w:tr>
        <w:trPr>
          <w:trHeight w:hRule="exact" w:val="312"/>
        </w:trPr>
        <w:tc>
          <w:tcPr>
            <w:tcW w:type="dxa" w:w="1896"/>
            <w:vAlign w:val="center"/>
            <w:tcBorders>
              <w:bottom w:val="single" w:color="auto" w:sz="12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合计</w:t>
            </w:r>
          </w:p>
        </w:tc>
        <w:tc>
          <w:tcPr>
            <w:tcW w:type="dxa" w:w="846"/>
            <w:vAlign w:val="center"/>
            <w:tcBorders>
              <w:bottom w:val="single" w:color="auto" w:sz="12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638"/>
            <w:vAlign w:val="center"/>
            <w:tcBorders>
              <w:bottom w:val="single" w:color="auto" w:sz="12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151"/>
            <w:vAlign w:val="center"/>
            <w:tcBorders>
              <w:bottom w:val="single" w:color="auto" w:sz="12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2"/>
                <w:szCs w:val="22"/>
                <w:u w:val="none"/>
                <w:highlight w:val="none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22921.78</w:t>
            </w:r>
          </w:p>
        </w:tc>
        <w:tc>
          <w:tcPr>
            <w:tcW w:type="dxa" w:w="1896"/>
            <w:vAlign w:val="center"/>
            <w:tcBorders>
              <w:bottom w:val="single" w:color="auto" w:sz="12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846"/>
            <w:vAlign w:val="center"/>
            <w:tcBorders>
              <w:bottom w:val="single" w:color="auto" w:sz="12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638"/>
            <w:vAlign w:val="center"/>
            <w:tcBorders>
              <w:bottom w:val="single" w:color="auto" w:sz="12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tLeast" w:line="30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039"/>
            <w:vAlign w:val="center"/>
            <w:tcBorders>
              <w:bottom w:val="single" w:color="auto" w:sz="12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i w:val="0"/>
                <w:color w:val="auto"/>
                <w:position w:val="0"/>
                <w:sz w:val="22"/>
                <w:szCs w:val="22"/>
                <w:u w:val="none"/>
                <w:highlight w:val="none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15462.4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方正仿宋_GB2312" w:eastAsia="方正仿宋_GB2312" w:hAnsi="方正仿宋_GB2312" w:hint="default"/>
              </w:rPr>
              <w:t>3</w:t>
            </w:r>
          </w:p>
        </w:tc>
      </w:tr>
    </w:tbl>
    <w:p>
      <w:pPr>
        <w:numPr>
          <w:ilvl w:val="0"/>
          <w:numId w:val="0"/>
        </w:numPr>
        <w:jc w:val="left"/>
        <w:spacing w:lineRule="atLeast" w:line="500" w:before="0" w:after="0"/>
        <w:ind w:right="0" w:firstLine="0"/>
        <w:rPr>
          <w:b w:val="1"/>
          <w:color w:val="auto"/>
          <w:position w:val="0"/>
          <w:sz w:val="24"/>
          <w:szCs w:val="24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tLeast" w:line="500" w:before="0" w:after="0"/>
        <w:ind w:right="0" w:firstLine="0"/>
        <w:rPr>
          <w:b w:val="1"/>
          <w:color w:val="auto"/>
          <w:position w:val="0"/>
          <w:sz w:val="24"/>
          <w:szCs w:val="24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tLeast" w:line="500" w:before="0" w:after="0"/>
        <w:ind w:right="0" w:firstLine="0"/>
        <w:rPr>
          <w:b w:val="1"/>
          <w:color w:val="auto"/>
          <w:position w:val="0"/>
          <w:sz w:val="24"/>
          <w:szCs w:val="24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tLeast" w:line="500" w:before="0" w:after="0"/>
        <w:ind w:right="0" w:firstLine="0"/>
        <w:rPr>
          <w:b w:val="1"/>
          <w:color w:val="auto"/>
          <w:position w:val="0"/>
          <w:sz w:val="24"/>
          <w:szCs w:val="24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tLeast" w:line="500" w:before="0" w:after="0"/>
        <w:ind w:right="0" w:firstLine="0"/>
        <w:rPr>
          <w:b w:val="1"/>
          <w:color w:val="auto"/>
          <w:position w:val="0"/>
          <w:sz w:val="24"/>
          <w:szCs w:val="24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tLeast" w:line="500" w:before="0" w:after="0"/>
        <w:ind w:right="0" w:firstLine="0"/>
        <w:rPr>
          <w:b w:val="1"/>
          <w:color w:val="auto"/>
          <w:position w:val="0"/>
          <w:sz w:val="24"/>
          <w:szCs w:val="24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tLeast" w:line="500" w:before="0" w:after="0"/>
        <w:ind w:right="0" w:firstLine="0"/>
        <w:rPr>
          <w:b w:val="1"/>
          <w:color w:val="auto"/>
          <w:position w:val="0"/>
          <w:sz w:val="24"/>
          <w:szCs w:val="24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tLeast" w:line="500" w:before="0" w:after="0"/>
        <w:ind w:right="0" w:firstLine="0"/>
        <w:rPr>
          <w:b w:val="1"/>
          <w:color w:val="auto"/>
          <w:position w:val="0"/>
          <w:sz w:val="24"/>
          <w:szCs w:val="24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tLeast" w:line="500" w:before="0" w:after="0"/>
        <w:ind w:right="0" w:firstLine="0"/>
        <w:rPr>
          <w:b w:val="1"/>
          <w:color w:val="auto"/>
          <w:position w:val="0"/>
          <w:sz w:val="24"/>
          <w:szCs w:val="24"/>
          <w:highlight w:val="none"/>
          <w:rFonts w:ascii="方正仿宋_GB2312" w:eastAsia="方正仿宋_GB2312" w:hAnsi="方正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rStyle w:val="PO0"/>
          <w:spacing w:val="0"/>
          <w:color w:val="auto"/>
          <w:position w:val="0"/>
          <w:sz w:val="20"/>
          <w:szCs w:val="20"/>
          <w:smallCaps w:val="0"/>
          <w:rFonts w:ascii="Calibri" w:eastAsia="宋体" w:hAnsi="宋体" w:hint="default"/>
        </w:rPr>
        <w:snapToGrid w:val="off"/>
        <w:autoSpaceDE w:val="1"/>
        <w:autoSpaceDN w:val="1"/>
      </w:pPr>
    </w:p>
    <w:sectPr>
      <w:pgSz w:w="11910" w:h="16840"/>
      <w:pgMar w:top="2098" w:left="1588" w:bottom="1985" w:right="1588" w:header="0" w:footer="998" w:gutter="0"/>
      <w:pgNumType w:fmt="decimal"/>
      <w:docGrid w:type="default" w:linePitch="299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等线 Light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等线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楷体_GB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6"/>
      <w:numPr>
        <w:ilvl w:val="0"/>
        <w:numId w:val="0"/>
      </w:numPr>
      <w:jc w:val="center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等线" w:eastAsia="Times New Roman" w:hAnsi="Times New Roman" w:hint="default"/>
      </w:rPr>
      <w:snapToGrid w:val="off"/>
      <w:autoSpaceDE w:val="1"/>
      <w:autoSpaceDN w:val="1"/>
    </w:pPr>
    <w:r>
      <w:rPr>
        <w:color w:val="auto"/>
        <w:position w:val="0"/>
        <w:sz w:val="18"/>
        <w:szCs w:val="18"/>
        <w:rFonts w:ascii="等线" w:eastAsia="Times New Roman" w:hAnsi="Times New Roman" w:hint="default"/>
      </w:rPr>
      <w:fldChar w:fldCharType="begin"/>
    </w:r>
    <w:r>
      <w:instrText>PAGE  \* MERGEFORMAT</w:instrText>
    </w:r>
    <w:r>
      <w:fldChar w:fldCharType="separate"/>
    </w:r>
    <w:r>
      <w:rPr>
        <w:color w:val="auto"/>
        <w:position w:val="0"/>
        <w:sz w:val="18"/>
        <w:szCs w:val="18"/>
        <w:rFonts w:ascii="等线" w:eastAsia="Times New Roman" w:hAnsi="Times New Roman" w:hint="default"/>
      </w:rPr>
      <w:t>16</w:t>
    </w:r>
    <w:r>
      <w:rPr>
        <w:color w:val="auto"/>
        <w:position w:val="0"/>
        <w:sz w:val="18"/>
        <w:szCs w:val="18"/>
        <w:rFonts w:ascii="等线" w:eastAsia="Times New Roman" w:hAnsi="Times New Roman" w:hint="default"/>
      </w:rPr>
      <w:fldChar w:fldCharType="end"/>
    </w:r>
  </w:p>
  <w:p>
    <w:pPr>
      <w:pStyle w:val="PO156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等线" w:eastAsia="Times New Roman" w:hAnsi="Times New Roman" w:hint="default"/>
      </w:rPr>
      <w:snapToGrid w:val="off"/>
      <w:autoSpaceDE w:val="1"/>
      <w:autoSpaceDN w:val="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6"/>
      <w:numPr>
        <w:ilvl w:val="0"/>
        <w:numId w:val="0"/>
      </w:numPr>
      <w:jc w:val="center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等线" w:eastAsia="Times New Roman" w:hAnsi="Times New Roman" w:hint="default"/>
      </w:rPr>
      <w:snapToGrid w:val="off"/>
      <w:autoSpaceDE w:val="1"/>
      <w:autoSpaceDN w:val="1"/>
    </w:pPr>
  </w:p>
  <w:p>
    <w:pPr>
      <w:pStyle w:val="PO156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等线" w:eastAsia="Times New Roman" w:hAnsi="Times New Roman" w:hint="default"/>
      </w:rPr>
      <w:snapToGrid w:val="off"/>
      <w:autoSpaceDE w:val="1"/>
      <w:autoSpaceDN w:val="1"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7"/>
      <w:numPr>
        <w:ilvl w:val="0"/>
        <w:numId w:val="0"/>
      </w:numPr>
      <w:jc w:val="center"/>
      <w:spacing w:lineRule="auto" w:line="240" w:before="0" w:after="0"/>
      <w:pBdr>
        <w:bottom w:val="nil" w:sz="0" w:space="0" w:color="000000"/>
      </w:pBdr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等线" w:eastAsia="Times New Roman" w:hAnsi="Times New Roman" w:hint="default"/>
      </w:rPr>
      <w:snapToGrid w:val="off"/>
      <w:autoSpaceDE w:val="1"/>
      <w:autoSpaceDN w:val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7"/>
      <w:numPr>
        <w:ilvl w:val="0"/>
        <w:numId w:val="0"/>
      </w:numPr>
      <w:jc w:val="center"/>
      <w:spacing w:lineRule="auto" w:line="240" w:before="0" w:after="0"/>
      <w:pBdr>
        <w:bottom w:val="nil" w:sz="0" w:space="0" w:color="000000"/>
      </w:pBdr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等线" w:eastAsia="Times New Roman" w:hAnsi="Times New Roman" w:hint="default"/>
      </w:rPr>
      <w:snapToGrid w:val="off"/>
      <w:autoSpaceDE w:val="1"/>
      <w:autoSpaceDN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space"/>
      <w:lvlText w:val="%1."/>
    </w:lvl>
    <w:lvl w:ilvl="1">
      <w:lvlJc w:val="left"/>
      <w:numFmt w:val="decimal"/>
      <w:start w:val="1"/>
      <w:suff w:val="space"/>
      <w:lvlText w:val="%1."/>
    </w:lvl>
    <w:lvl w:ilvl="2">
      <w:lvlJc w:val="left"/>
      <w:numFmt w:val="decimal"/>
      <w:start w:val="1"/>
      <w:suff w:val="space"/>
      <w:lvlText w:val="%1."/>
    </w:lvl>
    <w:lvl w:ilvl="3">
      <w:lvlJc w:val="left"/>
      <w:numFmt w:val="decimal"/>
      <w:start w:val="1"/>
      <w:suff w:val="space"/>
      <w:lvlText w:val="%1."/>
    </w:lvl>
    <w:lvl w:ilvl="4">
      <w:lvlJc w:val="left"/>
      <w:numFmt w:val="decimal"/>
      <w:start w:val="1"/>
      <w:suff w:val="space"/>
      <w:lvlText w:val="%1."/>
    </w:lvl>
    <w:lvl w:ilvl="5">
      <w:lvlJc w:val="left"/>
      <w:numFmt w:val="decimal"/>
      <w:start w:val="1"/>
      <w:suff w:val="space"/>
      <w:lvlText w:val="%1."/>
    </w:lvl>
    <w:lvl w:ilvl="6">
      <w:lvlJc w:val="left"/>
      <w:numFmt w:val="decimal"/>
      <w:start w:val="1"/>
      <w:suff w:val="space"/>
      <w:lvlText w:val="%1."/>
    </w:lvl>
    <w:lvl w:ilvl="7">
      <w:lvlJc w:val="left"/>
      <w:numFmt w:val="decimal"/>
      <w:start w:val="1"/>
      <w:suff w:val="space"/>
      <w:lvlText w:val="%1."/>
    </w:lvl>
    <w:lvl w:ilvl="8">
      <w:lvlJc w:val="left"/>
      <w:numFmt w:val="decimal"/>
      <w:start w:val="1"/>
      <w:suff w:val="space"/>
      <w:lvlText w:val="%1.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space"/>
      <w:lvlText w:val="%1."/>
    </w:lvl>
    <w:lvl w:ilvl="1">
      <w:lvlJc w:val="left"/>
      <w:numFmt w:val="decimal"/>
      <w:start w:val="1"/>
      <w:suff w:val="space"/>
      <w:lvlText w:val="%1."/>
    </w:lvl>
    <w:lvl w:ilvl="2">
      <w:lvlJc w:val="left"/>
      <w:numFmt w:val="decimal"/>
      <w:start w:val="1"/>
      <w:suff w:val="space"/>
      <w:lvlText w:val="%1."/>
    </w:lvl>
    <w:lvl w:ilvl="3">
      <w:lvlJc w:val="left"/>
      <w:numFmt w:val="decimal"/>
      <w:start w:val="1"/>
      <w:suff w:val="space"/>
      <w:lvlText w:val="%1."/>
    </w:lvl>
    <w:lvl w:ilvl="4">
      <w:lvlJc w:val="left"/>
      <w:numFmt w:val="decimal"/>
      <w:start w:val="1"/>
      <w:suff w:val="space"/>
      <w:lvlText w:val="%1."/>
    </w:lvl>
    <w:lvl w:ilvl="5">
      <w:lvlJc w:val="left"/>
      <w:numFmt w:val="decimal"/>
      <w:start w:val="1"/>
      <w:suff w:val="space"/>
      <w:lvlText w:val="%1."/>
    </w:lvl>
    <w:lvl w:ilvl="6">
      <w:lvlJc w:val="left"/>
      <w:numFmt w:val="decimal"/>
      <w:start w:val="1"/>
      <w:suff w:val="space"/>
      <w:lvlText w:val="%1."/>
    </w:lvl>
    <w:lvl w:ilvl="7">
      <w:lvlJc w:val="left"/>
      <w:numFmt w:val="decimal"/>
      <w:start w:val="1"/>
      <w:suff w:val="space"/>
      <w:lvlText w:val="%1."/>
    </w:lvl>
    <w:lvl w:ilvl="8">
      <w:lvlJc w:val="left"/>
      <w:numFmt w:val="decimal"/>
      <w:start w:val="1"/>
      <w:suff w:val="space"/>
      <w:lvlText w:val="%1.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rPr>
      <w:rFonts w:ascii="宋体" w:eastAsia="宋体" w:hAnsi="宋体"/>
      <w:shd w:val="clear"/>
      <w:sz w:val="24"/>
      <w:szCs w:val="24"/>
      <w:w w:val="100"/>
    </w:rPr>
  </w:style>
  <w:style w:default="1" w:styleId="PO2" w:type="character">
    <w:name w:val="Default Paragraph Font"/>
    <w:qFormat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basedOn w:val="PO1"/>
    <w:next w:val="PO1"/>
    <w:link w:val="PO168"/>
    <w:qFormat/>
    <w:uiPriority w:val="7"/>
    <w:pPr>
      <w:autoSpaceDE w:val="1"/>
      <w:autoSpaceDN w:val="1"/>
      <w:keepLines/>
      <w:keepNext/>
      <w:widowControl/>
      <w:wordWrap/>
    </w:pPr>
    <w:rPr>
      <w:b/>
      <w:shd w:val="clear"/>
      <w:sz w:val="44"/>
      <w:szCs w:val="44"/>
      <w:w w:val="100"/>
    </w:rPr>
  </w:style>
  <w:style w:styleId="PO8" w:type="paragraph">
    <w:name w:val="heading 2"/>
    <w:basedOn w:val="PO1"/>
    <w:next w:val="PO1"/>
    <w:link w:val="PO169"/>
    <w:qFormat/>
    <w:uiPriority w:val="8"/>
    <w:unhideWhenUsed/>
    <w:pPr>
      <w:autoSpaceDE w:val="1"/>
      <w:autoSpaceDN w:val="1"/>
      <w:keepLines/>
      <w:keepNext/>
      <w:widowControl/>
      <w:wordWrap/>
    </w:pPr>
    <w:rPr>
      <w:rFonts w:ascii="等线 Light" w:eastAsia="等线 Light" w:hAnsi="等线 Light"/>
      <w:b/>
      <w:shd w:val="clear"/>
      <w:sz w:val="32"/>
      <w:szCs w:val="32"/>
      <w:w w:val="100"/>
    </w:rPr>
  </w:style>
  <w:style w:styleId="PO9" w:type="paragraph">
    <w:name w:val="heading 3"/>
    <w:basedOn w:val="PO8"/>
    <w:next w:val="PO1"/>
    <w:link w:val="PO170"/>
    <w:qFormat/>
    <w:uiPriority w:val="9"/>
    <w:unhideWhenUsed/>
    <w:pPr>
      <w:autoSpaceDE w:val="1"/>
      <w:autoSpaceDN w:val="1"/>
      <w:jc w:val="both"/>
      <w:keepLines/>
      <w:keepNext/>
      <w:wordWrap/>
    </w:pPr>
    <w:rPr>
      <w:rFonts w:ascii="等线" w:eastAsia="Times New Roman" w:hAnsi="等线"/>
      <w:shd w:val="clear"/>
      <w:sz w:val="32"/>
      <w:szCs w:val="32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jc w:val="both"/>
      <w:wordWrap/>
    </w:pPr>
    <w:rPr>
      <w:rFonts w:ascii="等线" w:eastAsia="Times New Roman" w:hAnsi="等线"/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basedOn w:val="PO1"/>
    <w:next w:val="PO1"/>
    <w:qFormat/>
    <w:uiPriority w:val="28"/>
    <w:unhideWhenUsed/>
    <w:pPr>
      <w:autoSpaceDE w:val="1"/>
      <w:autoSpaceDN w:val="1"/>
      <w:jc w:val="both"/>
      <w:tabs>
        <w:tab w:val="right" w:leader="dot" w:pos="8724"/>
      </w:tabs>
      <w:wordWrap/>
    </w:pPr>
    <w:rPr>
      <w:rFonts w:ascii="等线" w:eastAsia="Times New Roman" w:hAnsi="等线"/>
      <w:shd w:val="clear"/>
      <w:sz w:val="21"/>
      <w:szCs w:val="21"/>
      <w:w w:val="100"/>
    </w:rPr>
  </w:style>
  <w:style w:styleId="PO29" w:type="paragraph">
    <w:name w:val="toc 2"/>
    <w:basedOn w:val="PO1"/>
    <w:next w:val="PO1"/>
    <w:qFormat/>
    <w:uiPriority w:val="29"/>
    <w:unhideWhenUsed/>
    <w:pPr>
      <w:autoSpaceDE w:val="1"/>
      <w:autoSpaceDN w:val="1"/>
      <w:ind w:left="420" w:firstLine="0"/>
      <w:jc w:val="both"/>
      <w:tabs>
        <w:tab w:val="right" w:leader="dot" w:pos="8724"/>
      </w:tabs>
      <w:wordWrap/>
    </w:pPr>
    <w:rPr>
      <w:rFonts w:ascii="方正楷体_GBK" w:eastAsia="方正楷体_GBK" w:hAnsi="方正楷体_GBK"/>
      <w:shd w:val="clear"/>
      <w:sz w:val="21"/>
      <w:szCs w:val="21"/>
      <w:w w:val="100"/>
    </w:rPr>
  </w:style>
  <w:style w:styleId="PO30" w:type="paragraph">
    <w:name w:val="toc 3"/>
    <w:basedOn w:val="PO1"/>
    <w:next w:val="PO1"/>
    <w:qFormat/>
    <w:uiPriority w:val="30"/>
    <w:unhideWhenUsed/>
    <w:pPr>
      <w:autoSpaceDE w:val="1"/>
      <w:autoSpaceDN w:val="1"/>
      <w:ind w:left="840" w:firstLine="0"/>
      <w:jc w:val="both"/>
      <w:wordWrap/>
    </w:pPr>
    <w:rPr>
      <w:rFonts w:ascii="等线" w:eastAsia="Times New Roman" w:hAnsi="等线"/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basedOn w:val="PO3"/>
    <w:qFormat/>
    <w:uiPriority w:val="38"/>
    <w:pPr>
      <w:autoSpaceDE w:val="1"/>
      <w:autoSpaceDN w:val="1"/>
      <w:jc w:val="both"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</w:tblPr>
  </w:style>
  <w:style w:styleId="PO152" w:type="paragraph">
    <w:name w:val="annotation text"/>
    <w:basedOn w:val="PO1"/>
    <w:qFormat/>
    <w:uiPriority w:val="152"/>
    <w:semiHidden/>
    <w:unhideWhenUsed/>
  </w:style>
  <w:style w:styleId="PO153" w:type="paragraph">
    <w:name w:val="Body Text"/>
    <w:basedOn w:val="PO1"/>
    <w:link w:val="PO171"/>
    <w:qFormat/>
    <w:uiPriority w:val="153"/>
    <w:unhideWhenUsed/>
    <w:pPr>
      <w:autoSpaceDE w:val="1"/>
      <w:autoSpaceDN w:val="1"/>
      <w:jc w:val="both"/>
      <w:wordWrap/>
    </w:pPr>
    <w:rPr>
      <w:rFonts w:ascii="等线" w:eastAsia="Times New Roman" w:hAnsi="等线"/>
      <w:shd w:val="clear"/>
      <w:sz w:val="21"/>
      <w:szCs w:val="21"/>
      <w:w w:val="100"/>
    </w:rPr>
  </w:style>
  <w:style w:styleId="PO154" w:type="paragraph">
    <w:name w:val="Date"/>
    <w:basedOn w:val="PO1"/>
    <w:next w:val="PO1"/>
    <w:link w:val="PO166"/>
    <w:qFormat/>
    <w:uiPriority w:val="154"/>
    <w:semiHidden/>
    <w:unhideWhenUsed/>
    <w:pPr>
      <w:autoSpaceDE w:val="1"/>
      <w:autoSpaceDN w:val="1"/>
      <w:ind w:left="100" w:firstLine="0"/>
      <w:jc w:val="both"/>
      <w:wordWrap/>
    </w:pPr>
    <w:rPr>
      <w:rFonts w:ascii="等线" w:eastAsia="Times New Roman" w:hAnsi="等线"/>
      <w:shd w:val="clear"/>
      <w:sz w:val="21"/>
      <w:szCs w:val="21"/>
      <w:w w:val="100"/>
    </w:rPr>
  </w:style>
  <w:style w:styleId="PO155" w:type="paragraph">
    <w:name w:val="Balloon Text"/>
    <w:basedOn w:val="PO1"/>
    <w:link w:val="PO165"/>
    <w:qFormat/>
    <w:uiPriority w:val="155"/>
    <w:semiHidden/>
    <w:unhideWhenUsed/>
    <w:pPr>
      <w:autoSpaceDE w:val="1"/>
      <w:autoSpaceDN w:val="1"/>
      <w:jc w:val="both"/>
      <w:wordWrap/>
    </w:pPr>
    <w:rPr>
      <w:rFonts w:ascii="等线" w:eastAsia="Times New Roman" w:hAnsi="等线"/>
      <w:shd w:val="clear"/>
      <w:sz w:val="18"/>
      <w:szCs w:val="18"/>
      <w:w w:val="100"/>
    </w:rPr>
  </w:style>
  <w:style w:styleId="PO156" w:type="paragraph">
    <w:name w:val="footer"/>
    <w:basedOn w:val="PO1"/>
    <w:link w:val="PO164"/>
    <w:qFormat/>
    <w:uiPriority w:val="156"/>
    <w:unhideWhenUsed/>
    <w:pPr>
      <w:autoSpaceDE w:val="1"/>
      <w:autoSpaceDN w:val="1"/>
      <w:tabs>
        <w:tab w:val="center" w:pos="4153"/>
        <w:tab w:val="right" w:pos="8306"/>
      </w:tabs>
      <w:wordWrap/>
    </w:pPr>
    <w:rPr>
      <w:rFonts w:ascii="等线" w:eastAsia="Times New Roman" w:hAnsi="等线"/>
      <w:shd w:val="clear"/>
      <w:sz w:val="18"/>
      <w:szCs w:val="18"/>
      <w:w w:val="100"/>
    </w:rPr>
  </w:style>
  <w:style w:styleId="PO157" w:type="paragraph">
    <w:name w:val="header"/>
    <w:basedOn w:val="PO1"/>
    <w:link w:val="PO163"/>
    <w:qFormat/>
    <w:uiPriority w:val="157"/>
    <w:unhideWhenUsed/>
    <w:pPr>
      <w:autoSpaceDE w:val="1"/>
      <w:autoSpaceDN w:val="1"/>
      <w:jc w:val="center"/>
      <w:tabs>
        <w:tab w:val="center" w:pos="4153"/>
        <w:tab w:val="right" w:pos="8306"/>
      </w:tabs>
      <w:wordWrap/>
    </w:pPr>
    <w:rPr>
      <w:rFonts w:ascii="等线" w:eastAsia="Times New Roman" w:hAnsi="等线"/>
      <w:shd w:val="clear"/>
      <w:sz w:val="18"/>
      <w:szCs w:val="18"/>
      <w:w w:val="100"/>
    </w:rPr>
  </w:style>
  <w:style w:styleId="PO158" w:type="paragraph">
    <w:name w:val="footnote text"/>
    <w:basedOn w:val="PO1"/>
    <w:link w:val="PO181"/>
    <w:qFormat/>
    <w:uiPriority w:val="158"/>
    <w:semiHidden/>
    <w:unhideWhenUsed/>
    <w:pPr>
      <w:autoSpaceDE w:val="1"/>
      <w:autoSpaceDN w:val="1"/>
      <w:wordWrap/>
    </w:pPr>
    <w:rPr>
      <w:rFonts w:ascii="等线" w:eastAsia="Times New Roman" w:hAnsi="等线"/>
      <w:shd w:val="clear"/>
      <w:sz w:val="18"/>
      <w:szCs w:val="18"/>
      <w:w w:val="100"/>
    </w:rPr>
  </w:style>
  <w:style w:styleId="PO159" w:type="paragraph">
    <w:name w:val="Body Text First Indent"/>
    <w:basedOn w:val="PO153"/>
    <w:link w:val="PO172"/>
    <w:qFormat/>
    <w:uiPriority w:val="159"/>
    <w:pPr>
      <w:autoSpaceDE w:val="1"/>
      <w:autoSpaceDN w:val="1"/>
      <w:ind w:firstLine="420"/>
      <w:widowControl/>
      <w:wordWrap/>
    </w:pPr>
    <w:rPr>
      <w:rFonts w:ascii="Times New Roman" w:eastAsia="楷体" w:hAnsi="Times New Roman"/>
      <w:shd w:val="clear"/>
      <w:sz w:val="28"/>
      <w:szCs w:val="28"/>
      <w:w w:val="100"/>
    </w:rPr>
  </w:style>
  <w:style w:styleId="PO160" w:type="character">
    <w:name w:val="Hyperlink"/>
    <w:basedOn w:val="PO2"/>
    <w:qFormat/>
    <w:uiPriority w:val="160"/>
    <w:unhideWhenUsed/>
    <w:rPr>
      <w:color w:val="0000FF"/>
      <w:shd w:val="clear"/>
      <w:sz w:val="20"/>
      <w:szCs w:val="20"/>
      <w:u w:val="single"/>
      <w:w w:val="100"/>
    </w:rPr>
  </w:style>
  <w:style w:styleId="PO161" w:type="character">
    <w:name w:val="annotation reference"/>
    <w:basedOn w:val="PO2"/>
    <w:qFormat/>
    <w:uiPriority w:val="161"/>
    <w:semiHidden/>
    <w:unhideWhenUsed/>
    <w:rPr>
      <w:shd w:val="clear"/>
      <w:sz w:val="21"/>
      <w:szCs w:val="21"/>
      <w:w w:val="100"/>
    </w:rPr>
  </w:style>
  <w:style w:styleId="PO162" w:type="character">
    <w:name w:val="footnote reference"/>
    <w:basedOn w:val="PO2"/>
    <w:qFormat/>
    <w:uiPriority w:val="162"/>
    <w:semiHidden/>
    <w:unhideWhenUsed/>
    <w:rPr>
      <w:shd w:val="clear"/>
      <w:sz w:val="20"/>
      <w:szCs w:val="20"/>
      <w:vertAlign w:val="superscript"/>
      <w:w w:val="100"/>
    </w:rPr>
  </w:style>
  <w:style w:customStyle="1" w:styleId="PO163" w:type="character">
    <w:name w:val="页眉 Char"/>
    <w:basedOn w:val="PO2"/>
    <w:link w:val="PO157"/>
    <w:qFormat/>
    <w:uiPriority w:val="163"/>
    <w:rPr>
      <w:rFonts w:ascii="等线" w:eastAsia="Times New Roman" w:hAnsi="等线"/>
      <w:shd w:val="clear"/>
      <w:sz w:val="18"/>
      <w:szCs w:val="18"/>
      <w:w w:val="100"/>
    </w:rPr>
  </w:style>
  <w:style w:customStyle="1" w:styleId="PO164" w:type="character">
    <w:name w:val="页脚 Char"/>
    <w:basedOn w:val="PO2"/>
    <w:link w:val="PO156"/>
    <w:qFormat/>
    <w:uiPriority w:val="164"/>
    <w:rPr>
      <w:rFonts w:ascii="等线" w:eastAsia="Times New Roman" w:hAnsi="等线"/>
      <w:shd w:val="clear"/>
      <w:sz w:val="18"/>
      <w:szCs w:val="18"/>
      <w:w w:val="100"/>
    </w:rPr>
  </w:style>
  <w:style w:customStyle="1" w:styleId="PO165" w:type="character">
    <w:name w:val="批注框文本 Char"/>
    <w:basedOn w:val="PO2"/>
    <w:link w:val="PO155"/>
    <w:qFormat/>
    <w:uiPriority w:val="165"/>
    <w:semiHidden/>
    <w:rPr>
      <w:rFonts w:ascii="等线" w:eastAsia="Times New Roman" w:hAnsi="等线"/>
      <w:shd w:val="clear"/>
      <w:sz w:val="18"/>
      <w:szCs w:val="18"/>
      <w:w w:val="100"/>
    </w:rPr>
  </w:style>
  <w:style w:customStyle="1" w:styleId="PO166" w:type="character">
    <w:name w:val="日期 Char"/>
    <w:basedOn w:val="PO2"/>
    <w:link w:val="PO154"/>
    <w:qFormat/>
    <w:uiPriority w:val="166"/>
    <w:semiHidden/>
    <w:rPr>
      <w:rFonts w:ascii="等线" w:eastAsia="Times New Roman" w:hAnsi="等线"/>
      <w:shd w:val="clear"/>
      <w:sz w:val="20"/>
      <w:szCs w:val="20"/>
      <w:w w:val="100"/>
    </w:rPr>
  </w:style>
  <w:style w:customStyle="1" w:styleId="PO167" w:type="paragraph">
    <w:name w:val="正文1"/>
    <w:basedOn w:val="PO1"/>
    <w:qFormat/>
    <w:uiPriority w:val="167"/>
    <w:pPr>
      <w:autoSpaceDE w:val="1"/>
      <w:autoSpaceDN w:val="1"/>
      <w:ind w:firstLine="200"/>
      <w:widowControl/>
      <w:wordWrap/>
    </w:pPr>
    <w:rPr>
      <w:rFonts w:ascii="Times New Roman" w:eastAsia="仿宋" w:hAnsi="Times New Roman"/>
      <w:shd w:val="clear"/>
      <w:sz w:val="28"/>
      <w:szCs w:val="28"/>
      <w:w w:val="100"/>
    </w:rPr>
  </w:style>
  <w:style w:customStyle="1" w:styleId="PO168" w:type="character">
    <w:name w:val="标题 1 Char"/>
    <w:basedOn w:val="PO2"/>
    <w:link w:val="PO7"/>
    <w:qFormat/>
    <w:uiPriority w:val="168"/>
    <w:rPr>
      <w:rFonts w:ascii="宋体" w:eastAsia="宋体" w:hAnsi="宋体"/>
      <w:b/>
      <w:shd w:val="clear"/>
      <w:sz w:val="44"/>
      <w:szCs w:val="44"/>
      <w:w w:val="100"/>
    </w:rPr>
  </w:style>
  <w:style w:customStyle="1" w:styleId="PO169" w:type="character">
    <w:name w:val="标题 2 Char"/>
    <w:basedOn w:val="PO2"/>
    <w:link w:val="PO8"/>
    <w:qFormat/>
    <w:uiPriority w:val="169"/>
    <w:rPr>
      <w:rFonts w:ascii="等线 Light" w:eastAsia="等线 Light" w:hAnsi="等线 Light"/>
      <w:b/>
      <w:shd w:val="clear"/>
      <w:sz w:val="32"/>
      <w:szCs w:val="32"/>
      <w:w w:val="100"/>
    </w:rPr>
  </w:style>
  <w:style w:customStyle="1" w:styleId="PO170" w:type="character">
    <w:name w:val="标题 3 Char"/>
    <w:basedOn w:val="PO2"/>
    <w:link w:val="PO9"/>
    <w:qFormat/>
    <w:uiPriority w:val="170"/>
    <w:rPr>
      <w:rFonts w:ascii="等线" w:eastAsia="Times New Roman" w:hAnsi="等线"/>
      <w:b/>
      <w:shd w:val="clear"/>
      <w:sz w:val="32"/>
      <w:szCs w:val="32"/>
      <w:w w:val="100"/>
    </w:rPr>
  </w:style>
  <w:style w:customStyle="1" w:styleId="PO171" w:type="character">
    <w:name w:val="正文文本 Char"/>
    <w:basedOn w:val="PO2"/>
    <w:link w:val="PO153"/>
    <w:qFormat/>
    <w:uiPriority w:val="171"/>
    <w:rPr>
      <w:rFonts w:ascii="等线" w:eastAsia="Times New Roman" w:hAnsi="等线"/>
      <w:shd w:val="clear"/>
      <w:sz w:val="20"/>
      <w:szCs w:val="20"/>
      <w:w w:val="100"/>
    </w:rPr>
  </w:style>
  <w:style w:customStyle="1" w:styleId="PO172" w:type="character">
    <w:name w:val="正文首行缩进 Char"/>
    <w:basedOn w:val="PO171"/>
    <w:link w:val="PO159"/>
    <w:qFormat/>
    <w:uiPriority w:val="172"/>
    <w:rPr>
      <w:rFonts w:ascii="Times New Roman" w:eastAsia="Times New Roman" w:hAnsi="Times New Roman"/>
      <w:shd w:val="clear"/>
      <w:sz w:val="28"/>
      <w:szCs w:val="28"/>
      <w:w w:val="100"/>
    </w:rPr>
  </w:style>
  <w:style w:customStyle="1" w:styleId="PO173" w:type="character">
    <w:name w:val="font01"/>
    <w:basedOn w:val="PO2"/>
    <w:qFormat/>
    <w:uiPriority w:val="173"/>
    <w:rPr>
      <w:color w:val="000000"/>
      <w:rFonts w:ascii="宋体" w:eastAsia="宋体" w:hAnsi="宋体"/>
      <w:shd w:val="clear"/>
      <w:sz w:val="22"/>
      <w:szCs w:val="22"/>
      <w:u w:val="none"/>
      <w:w w:val="100"/>
    </w:rPr>
  </w:style>
  <w:style w:customStyle="1" w:styleId="PO174" w:type="character">
    <w:name w:val="font11"/>
    <w:basedOn w:val="PO2"/>
    <w:qFormat/>
    <w:uiPriority w:val="174"/>
    <w:rPr>
      <w:color w:val="000000"/>
      <w:rFonts w:ascii="宋体" w:eastAsia="宋体" w:hAnsi="宋体"/>
      <w:shd w:val="clear"/>
      <w:sz w:val="24"/>
      <w:szCs w:val="24"/>
      <w:u w:val="none"/>
      <w:w w:val="100"/>
    </w:rPr>
  </w:style>
  <w:style w:customStyle="1" w:styleId="PO175" w:type="character">
    <w:name w:val="font21"/>
    <w:basedOn w:val="PO2"/>
    <w:qFormat/>
    <w:uiPriority w:val="175"/>
    <w:rPr>
      <w:color w:val="000000"/>
      <w:rFonts w:ascii="Times New Roman" w:eastAsia="Times New Roman" w:hAnsi="Times New Roman"/>
      <w:shd w:val="clear"/>
      <w:sz w:val="18"/>
      <w:szCs w:val="18"/>
      <w:u w:val="none"/>
      <w:w w:val="100"/>
    </w:rPr>
  </w:style>
  <w:style w:customStyle="1" w:styleId="PO176" w:type="character">
    <w:name w:val="font31"/>
    <w:basedOn w:val="PO2"/>
    <w:qFormat/>
    <w:uiPriority w:val="176"/>
    <w:rPr>
      <w:color w:val="000000"/>
      <w:rFonts w:ascii="Times New Roman" w:eastAsia="Times New Roman" w:hAnsi="Times New Roman"/>
      <w:shd w:val="clear"/>
      <w:sz w:val="18"/>
      <w:szCs w:val="18"/>
      <w:u w:val="none"/>
      <w:w w:val="100"/>
    </w:rPr>
  </w:style>
  <w:style w:customStyle="1" w:styleId="PO177" w:type="character">
    <w:name w:val="font41"/>
    <w:basedOn w:val="PO2"/>
    <w:qFormat/>
    <w:uiPriority w:val="177"/>
    <w:rPr>
      <w:color w:val="000000"/>
      <w:rFonts w:ascii="宋体" w:eastAsia="宋体" w:hAnsi="宋体"/>
      <w:b/>
      <w:shd w:val="clear"/>
      <w:sz w:val="18"/>
      <w:szCs w:val="18"/>
      <w:u w:val="none"/>
      <w:w w:val="100"/>
    </w:rPr>
  </w:style>
  <w:style w:customStyle="1" w:styleId="PO178" w:type="character">
    <w:name w:val="font51"/>
    <w:basedOn w:val="PO2"/>
    <w:qFormat/>
    <w:uiPriority w:val="178"/>
    <w:rPr>
      <w:color w:val="000000"/>
      <w:rFonts w:ascii="宋体" w:eastAsia="宋体" w:hAnsi="宋体"/>
      <w:shd w:val="clear"/>
      <w:sz w:val="18"/>
      <w:szCs w:val="18"/>
      <w:u w:val="none"/>
      <w:w w:val="100"/>
    </w:rPr>
  </w:style>
  <w:style w:customStyle="1" w:styleId="PO179" w:type="character">
    <w:name w:val="font71"/>
    <w:basedOn w:val="PO2"/>
    <w:qFormat/>
    <w:uiPriority w:val="179"/>
    <w:rPr>
      <w:color w:val="000000"/>
      <w:rFonts w:ascii="宋体" w:eastAsia="宋体" w:hAnsi="宋体"/>
      <w:shd w:val="clear"/>
      <w:sz w:val="15"/>
      <w:szCs w:val="15"/>
      <w:u w:val="none"/>
      <w:w w:val="100"/>
    </w:rPr>
  </w:style>
  <w:style w:customStyle="1" w:styleId="PO180" w:type="paragraph">
    <w:name w:val="TOC 标题1"/>
    <w:basedOn w:val="PO7"/>
    <w:next w:val="PO1"/>
    <w:qFormat/>
    <w:uiPriority w:val="180"/>
    <w:unhideWhenUsed/>
    <w:pPr>
      <w:autoSpaceDE w:val="1"/>
      <w:autoSpaceDN w:val="1"/>
      <w:widowControl/>
      <w:wordWrap/>
    </w:pPr>
    <w:rPr>
      <w:color w:val="2F5496" w:themeColor="accent1" w:themeShade="BF"/>
      <w:rFonts w:ascii="等线 Light" w:eastAsia="等线 Light" w:hAnsi="等线 Light"/>
      <w:b w:val="0"/>
      <w:shd w:val="clear"/>
      <w:sz w:val="32"/>
      <w:szCs w:val="32"/>
      <w:w w:val="100"/>
    </w:rPr>
  </w:style>
  <w:style w:customStyle="1" w:styleId="PO181" w:type="character">
    <w:name w:val="脚注文本 Char"/>
    <w:basedOn w:val="PO2"/>
    <w:link w:val="PO158"/>
    <w:qFormat/>
    <w:uiPriority w:val="181"/>
    <w:semiHidden/>
    <w:rPr>
      <w:rFonts w:ascii="等线" w:eastAsia="Times New Roman" w:hAnsi="等线"/>
      <w:shd w:val="clear"/>
      <w:sz w:val="18"/>
      <w:szCs w:val="18"/>
      <w:w w:val="100"/>
    </w:rPr>
  </w:style>
  <w:style w:customStyle="1" w:styleId="PO182" w:type="paragraph">
    <w:name w:val="0正文"/>
    <w:basedOn w:val="PO1"/>
    <w:qFormat/>
    <w:uiPriority w:val="182"/>
    <w:pPr>
      <w:autoSpaceDE w:val="1"/>
      <w:autoSpaceDN w:val="1"/>
      <w:wordWrap/>
    </w:pPr>
    <w:rPr>
      <w:rFonts w:ascii="Times New Roman" w:eastAsia="宋体" w:hAnsi="Times New Roman"/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3.xml"></Relationship><Relationship Id="rId6" Type="http://schemas.openxmlformats.org/officeDocument/2006/relationships/header" Target="header2.xml"></Relationship><Relationship Id="rId7" Type="http://schemas.openxmlformats.org/officeDocument/2006/relationships/footer" Target="footer4.xml"></Relationship><Relationship Id="rId8" Type="http://schemas.openxmlformats.org/officeDocument/2006/relationships/footer" Target="footer26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11764</Characters>
  <CharactersWithSpaces>0</CharactersWithSpaces>
  <Company>SkyUN.Org</Company>
  <DocSecurity>0</DocSecurity>
  <HyperlinksChanged>false</HyperlinksChanged>
  <Lines>138</Lines>
  <LinksUpToDate>false</LinksUpToDate>
  <Pages>22</Pages>
  <Paragraphs>38</Paragraphs>
  <Words>10640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liu zengli</dc:creator>
  <cp:lastModifiedBy/>
  <dcterms:modified xsi:type="dcterms:W3CDTF">2023-03-16T11:09:26Z</dcterms:modified>
</cp:coreProperties>
</file>