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kern w:val="0"/>
          <w:sz w:val="44"/>
          <w:szCs w:val="44"/>
          <w:lang w:eastAsia="zh-CN"/>
        </w:rPr>
        <w:t>《整改方案》第</w:t>
      </w:r>
      <w:r>
        <w:rPr>
          <w:rFonts w:hint="eastAsia" w:ascii="黑体" w:eastAsia="黑体" w:cs="黑体"/>
          <w:b/>
          <w:bCs/>
          <w:kern w:val="0"/>
          <w:sz w:val="44"/>
          <w:szCs w:val="44"/>
          <w:lang w:val="en-US" w:eastAsia="zh-CN"/>
        </w:rPr>
        <w:t>10项整改任务整改结果公示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eastAsia="zh-CN"/>
        </w:rPr>
      </w:pP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一、整改任务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 xml:space="preserve">问题编号 </w:t>
      </w:r>
      <w:r>
        <w:rPr>
          <w:rStyle w:val="6"/>
          <w:rFonts w:hint="default" w:ascii="仿宋_GB2312" w:hAnsi="仿宋_GB2312" w:eastAsia="仿宋_GB2312" w:cs="仿宋_GB2312"/>
          <w:color w:val="auto"/>
        </w:rPr>
        <w:t>任务10（115-</w:t>
      </w:r>
      <w:r>
        <w:rPr>
          <w:rStyle w:val="6"/>
          <w:rFonts w:hint="eastAsia" w:ascii="仿宋_GB2312" w:hAnsi="仿宋_GB2312" w:eastAsia="仿宋_GB2312" w:cs="仿宋_GB2312"/>
          <w:color w:val="auto"/>
        </w:rPr>
        <w:t>52</w:t>
      </w:r>
      <w:r>
        <w:rPr>
          <w:rStyle w:val="6"/>
          <w:rFonts w:hint="default" w:ascii="仿宋_GB2312" w:hAnsi="仿宋_GB2312" w:eastAsia="仿宋_GB2312" w:cs="仿宋_GB2312"/>
          <w:color w:val="auto"/>
        </w:rPr>
        <w:t>）：秋冬季和春耕前秸秆露天焚烧时有发生，2020年4月全省秸秆焚烧火点数高达1900余个，导致全省 PM2.5浓度同比上升10微克/立方米。</w:t>
      </w:r>
    </w:p>
    <w:p>
      <w:pPr>
        <w:ind w:firstLine="640"/>
        <w:rPr>
          <w:rFonts w:hint="default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二、整改目标</w:t>
      </w:r>
    </w:p>
    <w:p>
      <w:pPr>
        <w:ind w:firstLine="56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有效减少秸秆露天焚烧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。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三、整改措施</w:t>
      </w:r>
    </w:p>
    <w:p>
      <w:pPr>
        <w:spacing w:line="560" w:lineRule="exact"/>
        <w:ind w:firstLine="640" w:firstLineChars="200"/>
        <w:rPr>
          <w:rStyle w:val="6"/>
          <w:rFonts w:hint="default" w:ascii="仿宋_GB2312" w:hAnsi="仿宋_GB2312" w:eastAsia="仿宋_GB2312" w:cs="仿宋_GB2312"/>
          <w:color w:val="auto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（一）开展秸秆“五化利用”，切实提高秸秆综合利用水平；增加秸秆离田储运站建设，除保护性耕作试点项目外，提高秸秆离田率。2021年度，保护性耕作试点项目内秸秆全部还田（禁止焚烧），其余耕地秸秆全部离田，</w:t>
      </w: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2021年</w:t>
      </w:r>
      <w:r>
        <w:rPr>
          <w:rStyle w:val="6"/>
          <w:rFonts w:hint="default" w:ascii="仿宋_GB2312" w:hAnsi="仿宋_GB2312" w:eastAsia="仿宋_GB2312" w:cs="仿宋_GB2312"/>
          <w:color w:val="auto"/>
        </w:rPr>
        <w:t>年底前完成，消除秸秆露天焚烧隐患。</w:t>
      </w:r>
    </w:p>
    <w:p>
      <w:pPr>
        <w:spacing w:line="560" w:lineRule="exact"/>
        <w:ind w:firstLine="640" w:firstLineChars="200"/>
        <w:rPr>
          <w:rStyle w:val="6"/>
          <w:rFonts w:hint="default" w:ascii="仿宋_GB2312" w:hAnsi="仿宋_GB2312" w:eastAsia="仿宋_GB2312" w:cs="仿宋_GB2312"/>
          <w:color w:val="auto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（二）严格落实三级网格值守制度，压紧压实秸秆禁烧工作责任，及时发现和查处露天焚烧行为，对重点时段、重点地区、重点部位进行不间断巡查，确保秸秆禁烧工作“空间覆盖无空白，职责落实无盲点，监督管理无缝隙”。</w:t>
      </w:r>
    </w:p>
    <w:p>
      <w:pPr>
        <w:spacing w:line="560" w:lineRule="exact"/>
        <w:ind w:firstLine="640" w:firstLineChars="200"/>
        <w:rPr>
          <w:rStyle w:val="6"/>
          <w:rFonts w:hint="default" w:ascii="仿宋_GB2312" w:hAnsi="仿宋_GB2312" w:eastAsia="仿宋_GB2312" w:cs="仿宋_GB2312"/>
          <w:color w:val="auto"/>
        </w:rPr>
      </w:pP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（三）</w:t>
      </w:r>
      <w:r>
        <w:rPr>
          <w:rStyle w:val="6"/>
          <w:rFonts w:hint="default" w:ascii="仿宋_GB2312" w:hAnsi="仿宋_GB2312" w:eastAsia="仿宋_GB2312" w:cs="仿宋_GB2312"/>
          <w:color w:val="auto"/>
        </w:rPr>
        <w:t>广泛开展秸秆禁烧宣传教育，推动全社会支持和参与秸秆禁烧工作，切实将管控政策宣贯到田间地头，营造禁烧舆论氛围。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四、整改主要工作及成效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（一）整改措施</w:t>
      </w:r>
    </w:p>
    <w:p>
      <w:pPr>
        <w:ind w:firstLine="640" w:firstLineChars="200"/>
        <w:rPr>
          <w:rStyle w:val="6"/>
          <w:rFonts w:hint="default" w:ascii="楷体" w:hAnsi="楷体" w:eastAsia="楷体" w:cs="楷体"/>
          <w:color w:val="auto"/>
        </w:rPr>
      </w:pP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1.</w:t>
      </w:r>
      <w:r>
        <w:rPr>
          <w:rStyle w:val="6"/>
          <w:rFonts w:hint="default" w:ascii="楷体" w:hAnsi="楷体" w:eastAsia="楷体" w:cs="楷体"/>
          <w:color w:val="auto"/>
        </w:rPr>
        <w:t>开展秸秆“五化利用”，切实提高秸秆综合利用水平；增加秸秆离田储运站建设，除保护性耕作试点项目外，提高秸秆离田率。2021年度，保护性耕作试点项目内秸秆全部还田（禁止焚烧），其余耕地秸秆全部离田，</w:t>
      </w: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2021年</w:t>
      </w:r>
      <w:r>
        <w:rPr>
          <w:rStyle w:val="6"/>
          <w:rFonts w:hint="default" w:ascii="楷体" w:hAnsi="楷体" w:eastAsia="楷体" w:cs="楷体"/>
          <w:color w:val="auto"/>
        </w:rPr>
        <w:t>年底前完成，消除秸秆露天焚烧隐患。</w:t>
      </w:r>
    </w:p>
    <w:p>
      <w:pPr>
        <w:spacing w:line="560" w:lineRule="exact"/>
        <w:ind w:firstLine="640" w:firstLineChars="200"/>
        <w:rPr>
          <w:rStyle w:val="6"/>
          <w:rFonts w:hint="default" w:ascii="仿宋_GB2312" w:hAnsi="仿宋_GB2312" w:eastAsia="仿宋_GB2312" w:cs="仿宋_GB2312"/>
          <w:color w:val="auto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海城市不断推进秸秆“五化利用”能力，根据2020年秸秆资源台账建设的数据，全市秸秆肥料化、饲料化、燃料化、基料化、原料化利用量达到41.9万吨，秸秆综合利用率达到95.06%。为推进2021年秸秆综合利用工作，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我</w:t>
      </w:r>
      <w:r>
        <w:rPr>
          <w:rStyle w:val="6"/>
          <w:rFonts w:hint="default" w:ascii="仿宋_GB2312" w:hAnsi="仿宋_GB2312" w:eastAsia="仿宋_GB2312" w:cs="仿宋_GB2312"/>
          <w:color w:val="auto"/>
        </w:rPr>
        <w:t>市制定了《关于印发&lt;海城市2021年秸秆综合利用实施方案&gt;的通知》，并召开秸秆综合利用部署工作会。截止到2021年12月末，全市建成秸秆规模化储运点9处；各镇、村建立起秸秆还田离田台账；全市秸秆总面积为114.2万亩，除保护性耕作、黑土地保护等秸秆还田面积25.6万亩外，其余88.6万亩秸秆全部离田。</w:t>
      </w:r>
    </w:p>
    <w:p>
      <w:pPr>
        <w:ind w:firstLine="640" w:firstLineChars="200"/>
        <w:rPr>
          <w:rStyle w:val="6"/>
          <w:rFonts w:hint="default" w:ascii="楷体" w:hAnsi="楷体" w:eastAsia="楷体" w:cs="楷体"/>
          <w:color w:val="auto"/>
        </w:rPr>
      </w:pP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2.</w:t>
      </w:r>
      <w:r>
        <w:rPr>
          <w:rStyle w:val="6"/>
          <w:rFonts w:hint="default" w:ascii="楷体" w:hAnsi="楷体" w:eastAsia="楷体" w:cs="楷体"/>
          <w:color w:val="auto"/>
        </w:rPr>
        <w:t>严格落实三级网格值守制度，压紧压实秸秆禁烧工作责任，及时发现和查处露天焚烧行为，对重点时段、重点地区、重点部位进行不间断巡查，确保秸秆禁烧工作“空间覆盖无空白，职责落实无盲点，监督管理无缝隙”。</w:t>
      </w:r>
    </w:p>
    <w:p>
      <w:pPr>
        <w:spacing w:line="560" w:lineRule="exact"/>
        <w:ind w:firstLine="640" w:firstLineChars="200"/>
        <w:rPr>
          <w:rStyle w:val="6"/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海城市制定</w:t>
      </w: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了《海城市2021-2022年秸秆焚烧管控工作方案》（海环委办【2021】49号）、《2021年秋冬季露天焚烧督（巡）查工作方案》（海环委办【2021】72号）两个文件，明确了市、镇、村三级网格值守制度及工作责任，各单位按照文件要求开展落实秸秆焚烧管控工作，制定巡查值班表，对发现的问题及时整改核查，并报上级部门。</w:t>
      </w:r>
    </w:p>
    <w:p>
      <w:pPr>
        <w:spacing w:line="560" w:lineRule="exact"/>
        <w:ind w:firstLine="640" w:firstLineChars="200"/>
        <w:rPr>
          <w:rStyle w:val="6"/>
          <w:rFonts w:hint="default" w:ascii="楷体" w:hAnsi="楷体" w:eastAsia="楷体" w:cs="楷体"/>
          <w:color w:val="auto"/>
        </w:rPr>
      </w:pP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3.</w:t>
      </w:r>
      <w:r>
        <w:rPr>
          <w:rStyle w:val="6"/>
          <w:rFonts w:hint="default" w:ascii="楷体" w:hAnsi="楷体" w:eastAsia="楷体" w:cs="楷体"/>
          <w:color w:val="auto"/>
        </w:rPr>
        <w:t>广泛开展秸秆禁烧宣传教育，推动全社会支持和参与秸秆禁烧工作，切实将管控政策宣贯到田间地头，营造禁烧舆论氛围。</w:t>
      </w:r>
    </w:p>
    <w:p>
      <w:pPr>
        <w:spacing w:line="560" w:lineRule="exact"/>
        <w:ind w:firstLine="640" w:firstLineChars="200"/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海城市</w:t>
      </w: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制定了管控和督（巡）查两个方案，召开了相关部门和各镇区（街道）的全市秸秆管控工作会议。各单位将会议精神迅速传达到每个人，在田间地头，重点道路两侧等醒目位置拉起宣传标语，利用新闻媒体、微信平台广泛宣传，号召全社会支持和参与秸秆禁烧工作，营造社会舆论氛围。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（二）整改取得的成效</w:t>
      </w:r>
    </w:p>
    <w:p>
      <w:pPr>
        <w:spacing w:line="560" w:lineRule="exact"/>
        <w:ind w:firstLine="640" w:firstLineChars="20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开展秸秆“五化利用”，实现了秸秆资源化利用，秸秆肥料化、饲料化、燃料化、基料化、原料化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等秸秆</w:t>
      </w:r>
      <w:r>
        <w:rPr>
          <w:rStyle w:val="6"/>
          <w:rFonts w:hint="default" w:ascii="仿宋_GB2312" w:hAnsi="仿宋_GB2312" w:eastAsia="仿宋_GB2312" w:cs="仿宋_GB2312"/>
          <w:color w:val="auto"/>
        </w:rPr>
        <w:t>综合利用水平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的</w:t>
      </w:r>
      <w:r>
        <w:rPr>
          <w:rStyle w:val="6"/>
          <w:rFonts w:hint="default" w:ascii="仿宋_GB2312" w:hAnsi="仿宋_GB2312" w:eastAsia="仿宋_GB2312" w:cs="仿宋_GB2312"/>
          <w:color w:val="auto"/>
        </w:rPr>
        <w:t>提高，秸秆综合利用率达到90%以上；除秸秆还田地块外，其余地块的秸秆实现了全部离田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，</w:t>
      </w:r>
      <w:r>
        <w:rPr>
          <w:rStyle w:val="6"/>
          <w:rFonts w:hint="default" w:ascii="仿宋_GB2312" w:hAnsi="仿宋_GB2312" w:eastAsia="仿宋_GB2312" w:cs="仿宋_GB2312"/>
          <w:color w:val="auto"/>
        </w:rPr>
        <w:t>切实提高秸秆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还田</w:t>
      </w:r>
      <w:r>
        <w:rPr>
          <w:rStyle w:val="6"/>
          <w:rFonts w:hint="default" w:ascii="仿宋_GB2312" w:hAnsi="仿宋_GB2312" w:eastAsia="仿宋_GB2312" w:cs="仿宋_GB2312"/>
          <w:color w:val="auto"/>
        </w:rPr>
        <w:t>离田率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，</w:t>
      </w:r>
      <w:r>
        <w:rPr>
          <w:rStyle w:val="6"/>
          <w:rFonts w:hint="default" w:ascii="仿宋_GB2312" w:hAnsi="仿宋_GB2312" w:eastAsia="仿宋_GB2312" w:cs="仿宋_GB2312"/>
          <w:color w:val="auto"/>
        </w:rPr>
        <w:t>消除秸秆露天焚烧隐患。</w:t>
      </w: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通过全市各部门的不懈努力，</w:t>
      </w:r>
      <w:r>
        <w:rPr>
          <w:rStyle w:val="6"/>
          <w:rFonts w:hint="default" w:ascii="仿宋_GB2312" w:hAnsi="仿宋_GB2312" w:eastAsia="仿宋_GB2312" w:cs="仿宋_GB2312"/>
          <w:color w:val="auto"/>
        </w:rPr>
        <w:t>秸秆禁烧工作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取得了较好的成效</w:t>
      </w: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，从2021年秋冬季开始，卫星遥感监控数据显示，与去年同期相比，火点大大降低，为保障我市空气质量的改善起到了积极作用。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通过整改，第二轮中央环保督察反馈</w:t>
      </w:r>
      <w:r>
        <w:rPr>
          <w:rFonts w:hint="default" w:ascii="仿宋_GB2312" w:eastAsia="仿宋_GB2312"/>
          <w:sz w:val="32"/>
          <w:szCs w:val="32"/>
          <w:lang w:eastAsia="zh-CN"/>
        </w:rPr>
        <w:t>秋冬季和春耕前秸秆露天焚烧时有发生</w:t>
      </w:r>
      <w:r>
        <w:rPr>
          <w:rFonts w:hint="eastAsia" w:ascii="仿宋_GB2312" w:eastAsia="仿宋_GB2312"/>
          <w:sz w:val="32"/>
          <w:szCs w:val="32"/>
          <w:lang w:eastAsia="zh-CN"/>
        </w:rPr>
        <w:t>问题整改工作取得阶段性成果，各项整改措施落实到位，基本实现整改目标，现已具备整改销号条件。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以上整改情况向社会公示，如有异议，请以书面或电话形式，向市级环保督察整改工作机构反馈。邮寄的以邮戳为准，直接送达的以送达日期为准。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公示时间：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lang w:eastAsia="zh-CN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受理部门：鞍山市</w:t>
      </w:r>
      <w:r>
        <w:rPr>
          <w:rFonts w:hint="eastAsia" w:ascii="仿宋_GB2312" w:eastAsia="仿宋_GB2312"/>
          <w:sz w:val="32"/>
          <w:szCs w:val="32"/>
        </w:rPr>
        <w:t>环境保护督察整改工作领导小组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5234903    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邮寄地址：鞍山市铁东区千山中路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155号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海城市人民政府</w:t>
      </w:r>
    </w:p>
    <w:p>
      <w:pPr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</w:p>
    <w:sectPr>
      <w:pgSz w:w="11906" w:h="16838"/>
      <w:pgMar w:top="1327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427B6"/>
    <w:rsid w:val="000D6D0E"/>
    <w:rsid w:val="01510BCA"/>
    <w:rsid w:val="04C31EB4"/>
    <w:rsid w:val="05AA3638"/>
    <w:rsid w:val="09F41B3F"/>
    <w:rsid w:val="0B0A397A"/>
    <w:rsid w:val="0DC95183"/>
    <w:rsid w:val="0E5A50A2"/>
    <w:rsid w:val="0E886088"/>
    <w:rsid w:val="0F193CE8"/>
    <w:rsid w:val="0FDD19F6"/>
    <w:rsid w:val="0FF92A78"/>
    <w:rsid w:val="10FF25EA"/>
    <w:rsid w:val="112E4611"/>
    <w:rsid w:val="11FC3C7B"/>
    <w:rsid w:val="13B50586"/>
    <w:rsid w:val="15876F1E"/>
    <w:rsid w:val="1690278E"/>
    <w:rsid w:val="18814B3D"/>
    <w:rsid w:val="1C40712F"/>
    <w:rsid w:val="1D0A54DE"/>
    <w:rsid w:val="1FFC0927"/>
    <w:rsid w:val="20CF5F18"/>
    <w:rsid w:val="22992C16"/>
    <w:rsid w:val="23056BE4"/>
    <w:rsid w:val="23153C3E"/>
    <w:rsid w:val="233916C8"/>
    <w:rsid w:val="246C1AD7"/>
    <w:rsid w:val="261E020C"/>
    <w:rsid w:val="2E7110E4"/>
    <w:rsid w:val="2EDE2C2F"/>
    <w:rsid w:val="34BC1629"/>
    <w:rsid w:val="3ECF7E9E"/>
    <w:rsid w:val="3F4028A9"/>
    <w:rsid w:val="488364F8"/>
    <w:rsid w:val="494427B6"/>
    <w:rsid w:val="4D206C5C"/>
    <w:rsid w:val="582B2B1F"/>
    <w:rsid w:val="5BBA61D9"/>
    <w:rsid w:val="5C657C3C"/>
    <w:rsid w:val="5EB43087"/>
    <w:rsid w:val="61890534"/>
    <w:rsid w:val="62734727"/>
    <w:rsid w:val="64393E88"/>
    <w:rsid w:val="66712BBB"/>
    <w:rsid w:val="66BB0D4F"/>
    <w:rsid w:val="67A45DC9"/>
    <w:rsid w:val="68CE0F91"/>
    <w:rsid w:val="6EA52EE2"/>
    <w:rsid w:val="6F7A4321"/>
    <w:rsid w:val="71265794"/>
    <w:rsid w:val="71897AE2"/>
    <w:rsid w:val="729E440C"/>
    <w:rsid w:val="73540F10"/>
    <w:rsid w:val="770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</w:rPr>
  </w:style>
  <w:style w:type="character" w:customStyle="1" w:styleId="5">
    <w:name w:val="fontstyle51"/>
    <w:basedOn w:val="3"/>
    <w:qFormat/>
    <w:uiPriority w:val="0"/>
    <w:rPr>
      <w:rFonts w:hint="default" w:ascii="TimesNewRomanPSMT" w:hAnsi="TimesNewRomanPSMT" w:eastAsia="TimesNewRomanPSMT" w:cs="TimesNewRomanPSMT"/>
      <w:color w:val="000000"/>
      <w:sz w:val="32"/>
      <w:szCs w:val="32"/>
    </w:rPr>
  </w:style>
  <w:style w:type="character" w:customStyle="1" w:styleId="6">
    <w:name w:val="fontstyle41"/>
    <w:basedOn w:val="3"/>
    <w:qFormat/>
    <w:uiPriority w:val="0"/>
    <w:rPr>
      <w:rFonts w:hint="eastAsia"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2022-02-10T13:01:00Z</dcterms:created>
  <dc:creator>M&amp;M</dc:creator>
  <cp:lastModifiedBy>Administrator</cp:lastModifiedBy>
  <dcterms:modified xsi:type="dcterms:W3CDTF">2022-02-17T06:40:18Z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53CE60F82AD240B89661D26658DBC028</vt:lpwstr>
  </property>
</Properties>
</file>