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法律援助中心机构设置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1438910" cy="2100580"/>
            <wp:effectExtent l="0" t="0" r="8890" b="13970"/>
            <wp:docPr id="1" name="图片 1" descr="4748ab004133300b1bc43ba5bf1db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748ab004133300b1bc43ba5bf1db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负责人姓名：陈兴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职务：海城市法律援助中心主任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联系电话：0412-3286148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其他工作人员：均为法律专业毕业，可解答一般性法律问题</w:t>
      </w:r>
    </w:p>
    <w:p>
      <w:pPr>
        <w:rPr>
          <w:rFonts w:hint="default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法律援助职能：贯彻执行国家和省有关法律援助制度的规定；负责全市法律援助工作的指导和管理；受理、审查和批准法律援助申请；组织指派和承办法律援助事务；接待来访，提供法律援助咨询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B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2021-11-03T03:55:49Z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B05233333F1D4A3F87BA35A9401580EB</vt:lpwstr>
  </property>
</Properties>
</file>