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2"/>
        <w:tblpPr w:vertAnchor="page" w:horzAnchor="page" w:tblpX="284" w:tblpY="1503"/>
        <w:tblW w:w="10200" w:type="dxa"/>
        <w:tblCellSpacing w:w="0" w:type="dxa"/>
        <w:tblInd w:w="0" w:type="dxa"/>
        <w:shd w:val="clear" w:color="auto" w:fill="FFFFFF"/>
        <w:tblLayout w:type="fixed"/>
        <w:tblCellMar>
          <w:top w:w="0" w:type="dxa"/>
          <w:left w:w="0" w:type="dxa"/>
          <w:bottom w:w="0" w:type="dxa"/>
          <w:right w:w="0" w:type="dxa"/>
        </w:tblCellMar>
      </w:tblPr>
      <w:tblGrid>
        <w:gridCol w:w="10200"/>
      </w:tblGrid>
      <w:tr>
        <w:tblPrEx>
          <w:shd w:val="clear" w:color="auto" w:fill="FFFFFF"/>
          <w:tblCellMar>
            <w:top w:w="0" w:type="dxa"/>
            <w:left w:w="0" w:type="dxa"/>
            <w:bottom w:w="0" w:type="dxa"/>
            <w:right w:w="0" w:type="dxa"/>
          </w:tblCellMar>
        </w:tblPrEx>
        <w:trPr>
          <w:trHeight w:val="720" w:hRule="atLeast"/>
          <w:tblCellSpacing w:w="0" w:type="dxa"/>
        </w:trPr>
        <w:tc>
          <w:tcPr>
            <w:tcW w:w="10200" w:type="dxa"/>
            <w:shd w:val="clear" w:color="auto" w:fill="FFFFFF"/>
          </w:tcPr>
          <w:p>
            <w:pPr>
              <w:spacing w:line="360" w:lineRule="auto"/>
              <w:jc w:val="center"/>
              <w:rPr>
                <w:rFonts w:hint="eastAsia" w:ascii="黑体" w:hAnsi="黑体" w:eastAsia="黑体" w:cs="黑体"/>
                <w:b/>
                <w:bCs w:val="0"/>
                <w:sz w:val="36"/>
                <w:szCs w:val="36"/>
              </w:rPr>
            </w:pPr>
            <w:r>
              <w:rPr>
                <w:rFonts w:hint="eastAsia" w:ascii="黑体" w:hAnsi="黑体" w:eastAsia="黑体" w:cs="黑体"/>
                <w:b/>
                <w:bCs w:val="0"/>
                <w:i w:val="0"/>
                <w:caps w:val="0"/>
                <w:color w:val="auto"/>
                <w:spacing w:val="0"/>
                <w:kern w:val="0"/>
                <w:sz w:val="36"/>
                <w:szCs w:val="36"/>
                <w:lang w:val="en-US" w:eastAsia="zh-CN" w:bidi="ar"/>
              </w:rPr>
              <w:t>海城市环境保护局对辽宁铧宇废</w:t>
            </w:r>
            <w:r>
              <w:rPr>
                <w:rFonts w:hint="default" w:ascii="黑体" w:hAnsi="黑体" w:eastAsia="黑体" w:cs="黑体"/>
                <w:b/>
                <w:bCs w:val="0"/>
                <w:i w:val="0"/>
                <w:caps w:val="0"/>
                <w:color w:val="auto"/>
                <w:spacing w:val="0"/>
                <w:kern w:val="0"/>
                <w:sz w:val="36"/>
                <w:szCs w:val="36"/>
                <w:lang w:val="en-US" w:eastAsia="zh-CN" w:bidi="ar"/>
              </w:rPr>
              <w:t>旧金属再生利用有</w:t>
            </w:r>
            <w:r>
              <w:rPr>
                <w:rFonts w:hint="eastAsia" w:ascii="黑体" w:hAnsi="黑体" w:eastAsia="黑体" w:cs="黑体"/>
                <w:b/>
                <w:bCs w:val="0"/>
                <w:i w:val="0"/>
                <w:caps w:val="0"/>
                <w:color w:val="auto"/>
                <w:spacing w:val="0"/>
                <w:kern w:val="0"/>
                <w:sz w:val="36"/>
                <w:szCs w:val="36"/>
                <w:lang w:val="en-US" w:eastAsia="zh-CN" w:bidi="ar"/>
              </w:rPr>
              <w:t>限</w:t>
            </w:r>
            <w:r>
              <w:rPr>
                <w:rFonts w:hint="default" w:ascii="黑体" w:hAnsi="黑体" w:eastAsia="黑体" w:cs="黑体"/>
                <w:b/>
                <w:bCs w:val="0"/>
                <w:i w:val="0"/>
                <w:caps w:val="0"/>
                <w:color w:val="auto"/>
                <w:spacing w:val="0"/>
                <w:kern w:val="0"/>
                <w:sz w:val="36"/>
                <w:szCs w:val="36"/>
                <w:lang w:val="en-US" w:eastAsia="zh-CN" w:bidi="ar"/>
              </w:rPr>
              <w:t>公司年处理</w:t>
            </w:r>
            <w:r>
              <w:rPr>
                <w:rFonts w:hint="eastAsia" w:ascii="黑体" w:hAnsi="黑体" w:eastAsia="黑体" w:cs="黑体"/>
                <w:b/>
                <w:bCs w:val="0"/>
                <w:i w:val="0"/>
                <w:caps w:val="0"/>
                <w:color w:val="auto"/>
                <w:spacing w:val="0"/>
                <w:kern w:val="0"/>
                <w:sz w:val="36"/>
                <w:szCs w:val="36"/>
                <w:lang w:val="en-US" w:eastAsia="zh-CN" w:bidi="ar"/>
              </w:rPr>
              <w:t>125</w:t>
            </w:r>
            <w:r>
              <w:rPr>
                <w:rFonts w:hint="default" w:ascii="黑体" w:hAnsi="黑体" w:eastAsia="黑体" w:cs="黑体"/>
                <w:b/>
                <w:bCs w:val="0"/>
                <w:i w:val="0"/>
                <w:caps w:val="0"/>
                <w:color w:val="auto"/>
                <w:spacing w:val="0"/>
                <w:kern w:val="0"/>
                <w:sz w:val="36"/>
                <w:szCs w:val="36"/>
                <w:lang w:val="en-US" w:eastAsia="zh-CN" w:bidi="ar"/>
              </w:rPr>
              <w:t>万吨菱镁矿石浮选建设项目</w:t>
            </w:r>
            <w:r>
              <w:rPr>
                <w:rFonts w:hint="eastAsia" w:ascii="黑体" w:hAnsi="黑体" w:eastAsia="黑体" w:cs="黑体"/>
                <w:b/>
                <w:bCs w:val="0"/>
                <w:kern w:val="0"/>
                <w:sz w:val="36"/>
                <w:szCs w:val="36"/>
              </w:rPr>
              <w:t>拟作出审批意见的公示</w:t>
            </w:r>
          </w:p>
        </w:tc>
      </w:tr>
      <w:tr>
        <w:tblPrEx>
          <w:shd w:val="clear" w:color="auto" w:fill="FFFFFF"/>
          <w:tblCellMar>
            <w:top w:w="0" w:type="dxa"/>
            <w:left w:w="0" w:type="dxa"/>
            <w:bottom w:w="0" w:type="dxa"/>
            <w:right w:w="0" w:type="dxa"/>
          </w:tblCellMar>
        </w:tblPrEx>
        <w:trPr>
          <w:trHeight w:val="9093" w:hRule="atLeast"/>
          <w:tblCellSpacing w:w="0" w:type="dxa"/>
        </w:trPr>
        <w:tc>
          <w:tcPr>
            <w:tcW w:w="10200" w:type="dxa"/>
            <w:tcBorders>
              <w:bottom w:val="single" w:color="auto" w:sz="4" w:space="0"/>
            </w:tcBorders>
            <w:shd w:val="clear" w:color="auto" w:fill="FFFFFF"/>
            <w:tcMar>
              <w:left w:w="270" w:type="dxa"/>
              <w:right w:w="270" w:type="dxa"/>
            </w:tcMar>
          </w:tcPr>
          <w:p>
            <w:pPr>
              <w:keepNext w:val="0"/>
              <w:keepLines w:val="0"/>
              <w:widowControl/>
              <w:suppressLineNumbers w:val="0"/>
              <w:spacing w:before="0" w:beforeAutospacing="0" w:after="0" w:afterAutospacing="0" w:line="23" w:lineRule="atLeast"/>
              <w:ind w:left="0" w:right="0" w:firstLine="420" w:firstLineChars="200"/>
              <w:jc w:val="both"/>
              <w:rPr>
                <w:rFonts w:hint="eastAsia"/>
              </w:rPr>
            </w:pPr>
            <w:bookmarkStart w:id="311" w:name="_GoBack"/>
            <w:bookmarkEnd w:id="311"/>
            <w:r>
              <w:rPr>
                <w:rFonts w:hint="eastAsia"/>
              </w:rPr>
              <w:t>根据建设项目环境影响评价审批程序的有关规定，经审议，我局拟对</w:t>
            </w:r>
            <w:r>
              <w:rPr>
                <w:rFonts w:hint="eastAsia"/>
                <w:lang w:val="en-US" w:eastAsia="zh-CN"/>
              </w:rPr>
              <w:t>辽宁铧宇废</w:t>
            </w:r>
            <w:r>
              <w:rPr>
                <w:rFonts w:hint="default"/>
                <w:lang w:val="en-US" w:eastAsia="zh-CN"/>
              </w:rPr>
              <w:t>旧金属再生利用有</w:t>
            </w:r>
            <w:r>
              <w:rPr>
                <w:rFonts w:hint="eastAsia"/>
                <w:lang w:val="en-US" w:eastAsia="zh-CN"/>
              </w:rPr>
              <w:t>限</w:t>
            </w:r>
            <w:r>
              <w:rPr>
                <w:rFonts w:hint="default"/>
                <w:lang w:val="en-US" w:eastAsia="zh-CN"/>
              </w:rPr>
              <w:t>公司年处理</w:t>
            </w:r>
            <w:r>
              <w:rPr>
                <w:rFonts w:hint="eastAsia"/>
                <w:lang w:val="en-US" w:eastAsia="zh-CN"/>
              </w:rPr>
              <w:t>125</w:t>
            </w:r>
            <w:r>
              <w:rPr>
                <w:rFonts w:hint="default"/>
                <w:lang w:val="en-US" w:eastAsia="zh-CN"/>
              </w:rPr>
              <w:t>万吨菱镁矿石浮选建设项目</w:t>
            </w:r>
            <w:r>
              <w:rPr>
                <w:rFonts w:hint="eastAsia"/>
              </w:rPr>
              <w:t>环境影响评价文件作出审批意见。为保证审批意见的严肃性和公正性，现将建设项目环境影响评价文件的基本情况予以公示。公示期20</w:t>
            </w:r>
            <w:r>
              <w:rPr>
                <w:rFonts w:hint="eastAsia"/>
                <w:lang w:val="en-US" w:eastAsia="zh-CN"/>
              </w:rPr>
              <w:t>20</w:t>
            </w:r>
            <w:r>
              <w:rPr>
                <w:rFonts w:hint="eastAsia"/>
              </w:rPr>
              <w:t>年</w:t>
            </w:r>
            <w:r>
              <w:rPr>
                <w:rFonts w:hint="eastAsia"/>
                <w:lang w:val="en-US" w:eastAsia="zh-CN"/>
              </w:rPr>
              <w:t>11</w:t>
            </w:r>
            <w:r>
              <w:rPr>
                <w:rFonts w:hint="eastAsia"/>
              </w:rPr>
              <w:t>月</w:t>
            </w:r>
            <w:r>
              <w:rPr>
                <w:rFonts w:hint="eastAsia"/>
                <w:lang w:val="en-US" w:eastAsia="zh-CN"/>
              </w:rPr>
              <w:t>19</w:t>
            </w:r>
            <w:r>
              <w:rPr>
                <w:rFonts w:hint="eastAsia"/>
              </w:rPr>
              <w:t>日-20</w:t>
            </w:r>
            <w:r>
              <w:rPr>
                <w:rFonts w:hint="eastAsia"/>
                <w:lang w:val="en-US" w:eastAsia="zh-CN"/>
              </w:rPr>
              <w:t>20</w:t>
            </w:r>
            <w:r>
              <w:rPr>
                <w:rFonts w:hint="eastAsia"/>
              </w:rPr>
              <w:t>年</w:t>
            </w:r>
            <w:r>
              <w:rPr>
                <w:rFonts w:hint="eastAsia"/>
                <w:lang w:val="en-US" w:eastAsia="zh-CN"/>
              </w:rPr>
              <w:t>11</w:t>
            </w:r>
            <w:r>
              <w:rPr>
                <w:rFonts w:hint="eastAsia"/>
              </w:rPr>
              <w:t>月</w:t>
            </w:r>
            <w:r>
              <w:rPr>
                <w:rFonts w:hint="eastAsia"/>
                <w:lang w:val="en-US" w:eastAsia="zh-CN"/>
              </w:rPr>
              <w:t>25</w:t>
            </w:r>
            <w:r>
              <w:rPr>
                <w:rFonts w:hint="eastAsia"/>
              </w:rPr>
              <w:t>日（</w:t>
            </w:r>
            <w:r>
              <w:rPr>
                <w:rFonts w:hint="eastAsia"/>
                <w:lang w:val="en-US" w:eastAsia="zh-CN"/>
              </w:rPr>
              <w:t>5</w:t>
            </w:r>
            <w:r>
              <w:rPr>
                <w:rFonts w:hint="eastAsia"/>
              </w:rPr>
              <w:t>个工作日）。</w:t>
            </w:r>
          </w:p>
          <w:p>
            <w:pPr>
              <w:keepNext w:val="0"/>
              <w:keepLines w:val="0"/>
              <w:widowControl/>
              <w:suppressLineNumbers w:val="0"/>
              <w:spacing w:before="0" w:beforeAutospacing="0" w:after="0" w:afterAutospacing="0" w:line="23" w:lineRule="atLeast"/>
              <w:ind w:left="0" w:right="0" w:firstLine="420" w:firstLineChars="200"/>
              <w:jc w:val="both"/>
              <w:rPr>
                <w:rFonts w:hint="eastAsia"/>
              </w:rPr>
            </w:pPr>
            <w:r>
              <w:rPr>
                <w:rFonts w:hint="eastAsia"/>
              </w:rPr>
              <w:t>电话：0412-3162793    0412-3208021</w:t>
            </w:r>
          </w:p>
          <w:p>
            <w:pPr>
              <w:keepNext w:val="0"/>
              <w:keepLines w:val="0"/>
              <w:widowControl/>
              <w:suppressLineNumbers w:val="0"/>
              <w:spacing w:before="0" w:beforeAutospacing="0" w:after="0" w:afterAutospacing="0" w:line="23" w:lineRule="atLeast"/>
              <w:ind w:left="0" w:right="0" w:firstLine="420" w:firstLineChars="200"/>
              <w:jc w:val="both"/>
              <w:rPr>
                <w:rFonts w:hint="eastAsia"/>
              </w:rPr>
            </w:pPr>
            <w:r>
              <w:rPr>
                <w:rFonts w:hint="eastAsia"/>
              </w:rPr>
              <w:t>传真：0412-3162793</w:t>
            </w:r>
          </w:p>
          <w:p>
            <w:pPr>
              <w:keepNext w:val="0"/>
              <w:keepLines w:val="0"/>
              <w:widowControl/>
              <w:suppressLineNumbers w:val="0"/>
              <w:spacing w:before="0" w:beforeAutospacing="0" w:after="0" w:afterAutospacing="0" w:line="23" w:lineRule="atLeast"/>
              <w:ind w:left="0" w:right="0" w:firstLine="420" w:firstLineChars="200"/>
              <w:jc w:val="both"/>
              <w:rPr>
                <w:rFonts w:hint="eastAsia"/>
              </w:rPr>
            </w:pPr>
            <w:r>
              <w:rPr>
                <w:rFonts w:hint="eastAsia"/>
              </w:rPr>
              <w:t>通讯地址：海城市北顺城路34号   海城市环境保护局审批科（114200）</w:t>
            </w:r>
          </w:p>
          <w:p>
            <w:pPr>
              <w:pStyle w:val="31"/>
              <w:rPr>
                <w:rFonts w:hint="eastAsia"/>
              </w:rPr>
            </w:pPr>
            <w:r>
              <w:rPr>
                <w:rFonts w:hint="eastAsia"/>
              </w:rPr>
              <w:t>听证权利告知：依据《中华人民共和国行政许可法》，自公示起</w:t>
            </w:r>
            <w:r>
              <w:rPr>
                <w:rFonts w:hint="eastAsia"/>
                <w:lang w:val="en-US" w:eastAsia="zh-CN"/>
              </w:rPr>
              <w:t>5</w:t>
            </w:r>
            <w:r>
              <w:rPr>
                <w:rFonts w:hint="eastAsia"/>
                <w:lang w:eastAsia="zh-CN"/>
              </w:rPr>
              <w:t>个工作日</w:t>
            </w:r>
            <w:r>
              <w:rPr>
                <w:rFonts w:hint="eastAsia"/>
              </w:rPr>
              <w:t>内申请人、利害关系人可提出听证申请。</w:t>
            </w:r>
          </w:p>
          <w:tbl>
            <w:tblPr>
              <w:tblStyle w:val="32"/>
              <w:tblW w:w="9803" w:type="dxa"/>
              <w:tblInd w:w="0" w:type="dxa"/>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
            <w:tblGrid>
              <w:gridCol w:w="442"/>
              <w:gridCol w:w="420"/>
              <w:gridCol w:w="435"/>
              <w:gridCol w:w="375"/>
              <w:gridCol w:w="440"/>
              <w:gridCol w:w="1718"/>
              <w:gridCol w:w="5973"/>
            </w:tblGrid>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rPr>
                <w:trHeight w:val="1213" w:hRule="atLeast"/>
              </w:trPr>
              <w:tc>
                <w:tcPr>
                  <w:tcW w:w="442" w:type="dxa"/>
                  <w:tcBorders>
                    <w:top w:val="single" w:color="auto" w:sz="8" w:space="0"/>
                    <w:left w:val="single" w:color="auto" w:sz="8" w:space="0"/>
                    <w:bottom w:val="single" w:color="auto" w:sz="8" w:space="0"/>
                    <w:right w:val="single" w:color="auto" w:sz="8" w:space="0"/>
                  </w:tcBorders>
                  <w:shd w:val="clear" w:color="auto" w:fill="auto"/>
                  <w:tcMar>
                    <w:left w:w="108" w:type="dxa"/>
                    <w:right w:w="108" w:type="dxa"/>
                  </w:tcMar>
                  <w:vAlign w:val="center"/>
                </w:tcPr>
                <w:p>
                  <w:pPr>
                    <w:pStyle w:val="27"/>
                    <w:widowControl/>
                    <w:spacing w:beforeAutospacing="0" w:afterAutospacing="0" w:line="23" w:lineRule="atLeast"/>
                    <w:jc w:val="both"/>
                  </w:pPr>
                  <w:r>
                    <w:t>序号</w:t>
                  </w:r>
                </w:p>
              </w:tc>
              <w:tc>
                <w:tcPr>
                  <w:tcW w:w="420" w:type="dxa"/>
                  <w:tcBorders>
                    <w:top w:val="single" w:color="auto" w:sz="8" w:space="0"/>
                    <w:left w:val="nil"/>
                    <w:bottom w:val="single" w:color="auto" w:sz="8" w:space="0"/>
                    <w:right w:val="single" w:color="auto" w:sz="8" w:space="0"/>
                  </w:tcBorders>
                  <w:shd w:val="clear" w:color="auto" w:fill="auto"/>
                  <w:tcMar>
                    <w:left w:w="108" w:type="dxa"/>
                    <w:right w:w="108" w:type="dxa"/>
                  </w:tcMar>
                  <w:vAlign w:val="center"/>
                </w:tcPr>
                <w:p>
                  <w:pPr>
                    <w:pStyle w:val="27"/>
                    <w:widowControl/>
                    <w:spacing w:beforeAutospacing="0" w:afterAutospacing="0" w:line="23" w:lineRule="atLeast"/>
                    <w:jc w:val="both"/>
                  </w:pPr>
                  <w:r>
                    <w:t>项目名称</w:t>
                  </w:r>
                </w:p>
              </w:tc>
              <w:tc>
                <w:tcPr>
                  <w:tcW w:w="435" w:type="dxa"/>
                  <w:tcBorders>
                    <w:top w:val="single" w:color="auto" w:sz="8" w:space="0"/>
                    <w:left w:val="nil"/>
                    <w:bottom w:val="single" w:color="auto" w:sz="8" w:space="0"/>
                    <w:right w:val="single" w:color="auto" w:sz="8" w:space="0"/>
                  </w:tcBorders>
                  <w:shd w:val="clear" w:color="auto" w:fill="auto"/>
                  <w:tcMar>
                    <w:left w:w="108" w:type="dxa"/>
                    <w:right w:w="108" w:type="dxa"/>
                  </w:tcMar>
                  <w:vAlign w:val="center"/>
                </w:tcPr>
                <w:p>
                  <w:pPr>
                    <w:pStyle w:val="27"/>
                    <w:widowControl/>
                    <w:spacing w:beforeAutospacing="0" w:afterAutospacing="0" w:line="23" w:lineRule="atLeast"/>
                    <w:jc w:val="both"/>
                  </w:pPr>
                  <w:r>
                    <w:t>建设地点</w:t>
                  </w:r>
                </w:p>
              </w:tc>
              <w:tc>
                <w:tcPr>
                  <w:tcW w:w="375" w:type="dxa"/>
                  <w:tcBorders>
                    <w:top w:val="single" w:color="auto" w:sz="8" w:space="0"/>
                    <w:left w:val="nil"/>
                    <w:bottom w:val="single" w:color="auto" w:sz="8" w:space="0"/>
                    <w:right w:val="single" w:color="auto" w:sz="8" w:space="0"/>
                  </w:tcBorders>
                  <w:shd w:val="clear" w:color="auto" w:fill="auto"/>
                  <w:tcMar>
                    <w:left w:w="108" w:type="dxa"/>
                    <w:right w:w="108" w:type="dxa"/>
                  </w:tcMar>
                  <w:vAlign w:val="center"/>
                </w:tcPr>
                <w:p>
                  <w:pPr>
                    <w:pStyle w:val="27"/>
                    <w:widowControl/>
                    <w:spacing w:beforeAutospacing="0" w:afterAutospacing="0" w:line="23" w:lineRule="atLeast"/>
                    <w:jc w:val="both"/>
                  </w:pPr>
                  <w:r>
                    <w:t>建设单位</w:t>
                  </w:r>
                </w:p>
              </w:tc>
              <w:tc>
                <w:tcPr>
                  <w:tcW w:w="440" w:type="dxa"/>
                  <w:tcBorders>
                    <w:top w:val="single" w:color="auto" w:sz="8" w:space="0"/>
                    <w:left w:val="nil"/>
                    <w:bottom w:val="single" w:color="auto" w:sz="8" w:space="0"/>
                    <w:right w:val="single" w:color="auto" w:sz="8" w:space="0"/>
                  </w:tcBorders>
                  <w:shd w:val="clear" w:color="auto" w:fill="auto"/>
                  <w:tcMar>
                    <w:left w:w="108" w:type="dxa"/>
                    <w:right w:w="108" w:type="dxa"/>
                  </w:tcMar>
                  <w:vAlign w:val="center"/>
                </w:tcPr>
                <w:p>
                  <w:pPr>
                    <w:pStyle w:val="27"/>
                    <w:widowControl/>
                    <w:spacing w:beforeAutospacing="0" w:afterAutospacing="0" w:line="23" w:lineRule="atLeast"/>
                    <w:jc w:val="both"/>
                  </w:pPr>
                  <w:r>
                    <w:t>环评机构</w:t>
                  </w:r>
                </w:p>
              </w:tc>
              <w:tc>
                <w:tcPr>
                  <w:tcW w:w="1718" w:type="dxa"/>
                  <w:tcBorders>
                    <w:top w:val="single" w:color="auto" w:sz="8" w:space="0"/>
                    <w:left w:val="nil"/>
                    <w:bottom w:val="single" w:color="auto" w:sz="8" w:space="0"/>
                    <w:right w:val="single" w:color="auto" w:sz="8" w:space="0"/>
                  </w:tcBorders>
                  <w:shd w:val="clear" w:color="auto" w:fill="auto"/>
                  <w:tcMar>
                    <w:left w:w="108" w:type="dxa"/>
                    <w:right w:w="108" w:type="dxa"/>
                  </w:tcMar>
                  <w:vAlign w:val="center"/>
                </w:tcPr>
                <w:p>
                  <w:pPr>
                    <w:pStyle w:val="27"/>
                    <w:widowControl/>
                    <w:spacing w:beforeAutospacing="0" w:afterAutospacing="0" w:line="23" w:lineRule="atLeast"/>
                    <w:jc w:val="center"/>
                  </w:pPr>
                  <w:r>
                    <w:t>建设项目概况</w:t>
                  </w:r>
                </w:p>
              </w:tc>
              <w:tc>
                <w:tcPr>
                  <w:tcW w:w="5973" w:type="dxa"/>
                  <w:tcBorders>
                    <w:top w:val="single" w:color="auto" w:sz="8" w:space="0"/>
                    <w:left w:val="nil"/>
                    <w:bottom w:val="single" w:color="auto" w:sz="8" w:space="0"/>
                    <w:right w:val="single" w:color="auto" w:sz="8" w:space="0"/>
                  </w:tcBorders>
                  <w:shd w:val="clear" w:color="auto" w:fill="auto"/>
                  <w:tcMar>
                    <w:left w:w="108" w:type="dxa"/>
                    <w:right w:w="108" w:type="dxa"/>
                  </w:tcMar>
                  <w:vAlign w:val="center"/>
                </w:tcPr>
                <w:p>
                  <w:pPr>
                    <w:pStyle w:val="27"/>
                    <w:widowControl/>
                    <w:spacing w:beforeAutospacing="0" w:afterAutospacing="0" w:line="23" w:lineRule="atLeast"/>
                    <w:jc w:val="center"/>
                  </w:pPr>
                  <w:r>
                    <w:t>主要对策和措施</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rPr>
                <w:trHeight w:val="3172" w:hRule="atLeast"/>
              </w:trPr>
              <w:tc>
                <w:tcPr>
                  <w:tcW w:w="442" w:type="dxa"/>
                  <w:tcBorders>
                    <w:top w:val="nil"/>
                    <w:left w:val="single" w:color="auto" w:sz="8" w:space="0"/>
                    <w:bottom w:val="nil"/>
                    <w:right w:val="single" w:color="auto" w:sz="8" w:space="0"/>
                  </w:tcBorders>
                  <w:shd w:val="clear" w:color="auto" w:fill="auto"/>
                  <w:tcMar>
                    <w:left w:w="108" w:type="dxa"/>
                    <w:right w:w="108" w:type="dxa"/>
                  </w:tcMar>
                  <w:vAlign w:val="center"/>
                </w:tcPr>
                <w:p>
                  <w:pPr>
                    <w:pStyle w:val="27"/>
                    <w:widowControl/>
                    <w:spacing w:beforeAutospacing="0" w:afterAutospacing="0" w:line="240" w:lineRule="auto"/>
                    <w:jc w:val="both"/>
                    <w:rPr>
                      <w:rFonts w:hint="eastAsia"/>
                    </w:rPr>
                  </w:pPr>
                  <w:r>
                    <w:rPr>
                      <w:rFonts w:hint="eastAsia"/>
                    </w:rPr>
                    <w:t>1</w:t>
                  </w:r>
                </w:p>
              </w:tc>
              <w:tc>
                <w:tcPr>
                  <w:tcW w:w="420" w:type="dxa"/>
                  <w:tcBorders>
                    <w:top w:val="nil"/>
                    <w:left w:val="nil"/>
                    <w:bottom w:val="nil"/>
                    <w:right w:val="single" w:color="auto" w:sz="8" w:space="0"/>
                  </w:tcBorders>
                  <w:shd w:val="clear" w:color="auto" w:fill="FFFFFF"/>
                  <w:tcMar>
                    <w:left w:w="108" w:type="dxa"/>
                    <w:right w:w="108" w:type="dxa"/>
                  </w:tcMar>
                  <w:vAlign w:val="center"/>
                </w:tcPr>
                <w:p>
                  <w:pPr>
                    <w:pStyle w:val="2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leftChars="0" w:right="0" w:rightChars="0"/>
                    <w:jc w:val="both"/>
                    <w:rPr>
                      <w:rFonts w:hint="eastAsia"/>
                      <w:lang w:val="en-US" w:eastAsia="zh-CN"/>
                    </w:rPr>
                  </w:pPr>
                  <w:r>
                    <w:rPr>
                      <w:rFonts w:ascii="TT284o02" w:hAnsi="TT284o02" w:eastAsia="TT284o02" w:cs="TT284o02"/>
                      <w:color w:val="000000"/>
                      <w:kern w:val="0"/>
                      <w:sz w:val="24"/>
                      <w:szCs w:val="24"/>
                      <w:lang w:val="en-US" w:eastAsia="zh-CN" w:bidi="ar"/>
                    </w:rPr>
                    <w:t>辽宁铧宇</w:t>
                  </w:r>
                  <w:r>
                    <w:rPr>
                      <w:rFonts w:ascii="TT284o00" w:hAnsi="TT284o00" w:eastAsia="TT284o00" w:cs="TT284o00"/>
                      <w:color w:val="000000"/>
                      <w:kern w:val="0"/>
                      <w:sz w:val="24"/>
                      <w:szCs w:val="24"/>
                      <w:lang w:val="en-US" w:eastAsia="zh-CN" w:bidi="ar"/>
                    </w:rPr>
                    <w:t>废</w:t>
                  </w:r>
                  <w:r>
                    <w:rPr>
                      <w:rFonts w:hint="default" w:ascii="TT284o02" w:hAnsi="TT284o02" w:eastAsia="TT284o02" w:cs="TT284o02"/>
                      <w:color w:val="000000"/>
                      <w:kern w:val="0"/>
                      <w:sz w:val="24"/>
                      <w:szCs w:val="24"/>
                      <w:lang w:val="en-US" w:eastAsia="zh-CN" w:bidi="ar"/>
                    </w:rPr>
                    <w:t>旧金属</w:t>
                  </w:r>
                  <w:r>
                    <w:rPr>
                      <w:rFonts w:hint="default" w:ascii="TT284o00" w:hAnsi="TT284o00" w:eastAsia="TT284o00" w:cs="TT284o00"/>
                      <w:color w:val="000000"/>
                      <w:kern w:val="0"/>
                      <w:sz w:val="24"/>
                      <w:szCs w:val="24"/>
                      <w:lang w:val="en-US" w:eastAsia="zh-CN" w:bidi="ar"/>
                    </w:rPr>
                    <w:t>再生利用有</w:t>
                  </w:r>
                  <w:r>
                    <w:rPr>
                      <w:rFonts w:ascii="TT284o01" w:hAnsi="TT284o01" w:eastAsia="TT284o01" w:cs="TT284o01"/>
                      <w:color w:val="000000"/>
                      <w:kern w:val="0"/>
                      <w:sz w:val="24"/>
                      <w:szCs w:val="24"/>
                      <w:lang w:val="en-US" w:eastAsia="zh-CN" w:bidi="ar"/>
                    </w:rPr>
                    <w:t>限</w:t>
                  </w:r>
                  <w:r>
                    <w:rPr>
                      <w:rFonts w:hint="default" w:ascii="TT284o00" w:hAnsi="TT284o00" w:eastAsia="TT284o00" w:cs="TT284o00"/>
                      <w:color w:val="000000"/>
                      <w:kern w:val="0"/>
                      <w:sz w:val="24"/>
                      <w:szCs w:val="24"/>
                      <w:lang w:val="en-US" w:eastAsia="zh-CN" w:bidi="ar"/>
                    </w:rPr>
                    <w:t>公</w:t>
                  </w:r>
                  <w:r>
                    <w:rPr>
                      <w:rFonts w:hint="default" w:ascii="TT284o02" w:hAnsi="TT284o02" w:eastAsia="TT284o02" w:cs="TT284o02"/>
                      <w:color w:val="000000"/>
                      <w:kern w:val="0"/>
                      <w:sz w:val="24"/>
                      <w:szCs w:val="24"/>
                      <w:lang w:val="en-US" w:eastAsia="zh-CN" w:bidi="ar"/>
                    </w:rPr>
                    <w:t>司</w:t>
                  </w:r>
                  <w:r>
                    <w:rPr>
                      <w:rFonts w:hint="default" w:ascii="TT284o00" w:hAnsi="TT284o00" w:eastAsia="TT284o00" w:cs="TT284o00"/>
                      <w:color w:val="000000"/>
                      <w:kern w:val="0"/>
                      <w:sz w:val="24"/>
                      <w:szCs w:val="24"/>
                      <w:lang w:val="en-US" w:eastAsia="zh-CN" w:bidi="ar"/>
                    </w:rPr>
                    <w:t>年处</w:t>
                  </w:r>
                  <w:r>
                    <w:rPr>
                      <w:rFonts w:hint="default" w:ascii="TT284o01" w:hAnsi="TT284o01" w:eastAsia="TT284o01" w:cs="TT284o01"/>
                      <w:color w:val="000000"/>
                      <w:kern w:val="0"/>
                      <w:sz w:val="24"/>
                      <w:szCs w:val="24"/>
                      <w:lang w:val="en-US" w:eastAsia="zh-CN" w:bidi="ar"/>
                    </w:rPr>
                    <w:t>理</w:t>
                  </w:r>
                  <w:r>
                    <w:rPr>
                      <w:rFonts w:hint="eastAsia" w:ascii="宋体" w:hAnsi="宋体" w:eastAsia="宋体" w:cs="宋体"/>
                      <w:color w:val="000000"/>
                      <w:kern w:val="0"/>
                      <w:sz w:val="24"/>
                      <w:szCs w:val="24"/>
                      <w:lang w:val="en-US" w:eastAsia="zh-CN" w:bidi="ar"/>
                    </w:rPr>
                    <w:t>125</w:t>
                  </w:r>
                  <w:r>
                    <w:rPr>
                      <w:rFonts w:hint="default" w:ascii="TT284o00" w:hAnsi="TT284o00" w:eastAsia="TT284o00" w:cs="TT284o00"/>
                      <w:color w:val="000000"/>
                      <w:kern w:val="0"/>
                      <w:sz w:val="24"/>
                      <w:szCs w:val="24"/>
                      <w:lang w:val="en-US" w:eastAsia="zh-CN" w:bidi="ar"/>
                    </w:rPr>
                    <w:t>万吨菱镁矿石浮选</w:t>
                  </w:r>
                  <w:r>
                    <w:rPr>
                      <w:rFonts w:hint="default" w:ascii="TT284o01" w:hAnsi="TT284o01" w:eastAsia="TT284o01" w:cs="TT284o01"/>
                      <w:color w:val="000000"/>
                      <w:kern w:val="0"/>
                      <w:sz w:val="24"/>
                      <w:szCs w:val="24"/>
                      <w:lang w:val="en-US" w:eastAsia="zh-CN" w:bidi="ar"/>
                    </w:rPr>
                    <w:t>建</w:t>
                  </w:r>
                  <w:r>
                    <w:rPr>
                      <w:rFonts w:hint="default" w:ascii="TT284o00" w:hAnsi="TT284o00" w:eastAsia="TT284o00" w:cs="TT284o00"/>
                      <w:color w:val="000000"/>
                      <w:kern w:val="0"/>
                      <w:sz w:val="24"/>
                      <w:szCs w:val="24"/>
                      <w:lang w:val="en-US" w:eastAsia="zh-CN" w:bidi="ar"/>
                    </w:rPr>
                    <w:t>设</w:t>
                  </w:r>
                  <w:r>
                    <w:rPr>
                      <w:rFonts w:hint="default" w:ascii="TT284o01" w:hAnsi="TT284o01" w:eastAsia="TT284o01" w:cs="TT284o01"/>
                      <w:color w:val="000000"/>
                      <w:kern w:val="0"/>
                      <w:sz w:val="24"/>
                      <w:szCs w:val="24"/>
                      <w:lang w:val="en-US" w:eastAsia="zh-CN" w:bidi="ar"/>
                    </w:rPr>
                    <w:t>项</w:t>
                  </w:r>
                  <w:r>
                    <w:rPr>
                      <w:rFonts w:hint="default" w:ascii="TT284o00" w:hAnsi="TT284o00" w:eastAsia="TT284o00" w:cs="TT284o00"/>
                      <w:color w:val="000000"/>
                      <w:kern w:val="0"/>
                      <w:sz w:val="24"/>
                      <w:szCs w:val="24"/>
                      <w:lang w:val="en-US" w:eastAsia="zh-CN" w:bidi="ar"/>
                    </w:rPr>
                    <w:t>目</w:t>
                  </w:r>
                </w:p>
              </w:tc>
              <w:tc>
                <w:tcPr>
                  <w:tcW w:w="435" w:type="dxa"/>
                  <w:tcBorders>
                    <w:top w:val="nil"/>
                    <w:left w:val="nil"/>
                    <w:bottom w:val="nil"/>
                    <w:right w:val="single" w:color="auto" w:sz="8" w:space="0"/>
                  </w:tcBorders>
                  <w:shd w:val="clear" w:color="auto" w:fill="FFFFFF"/>
                  <w:tcMar>
                    <w:left w:w="108" w:type="dxa"/>
                    <w:right w:w="108" w:type="dxa"/>
                  </w:tcMar>
                  <w:vAlign w:val="center"/>
                </w:tcPr>
                <w:p>
                  <w:pPr>
                    <w:keepNext w:val="0"/>
                    <w:keepLines w:val="0"/>
                    <w:widowControl/>
                    <w:suppressLineNumbers w:val="0"/>
                    <w:jc w:val="center"/>
                    <w:rPr>
                      <w:rFonts w:ascii="TT284o02" w:hAnsi="TT284o02" w:eastAsia="TT284o02" w:cs="TT284o02"/>
                      <w:color w:val="000000"/>
                      <w:kern w:val="0"/>
                      <w:sz w:val="24"/>
                      <w:szCs w:val="24"/>
                      <w:lang w:val="en-US" w:eastAsia="zh-CN" w:bidi="ar"/>
                    </w:rPr>
                  </w:pPr>
                  <w:r>
                    <w:rPr>
                      <w:rFonts w:ascii="TT284o02" w:hAnsi="TT284o02" w:eastAsia="TT284o02" w:cs="TT284o02"/>
                      <w:color w:val="000000"/>
                      <w:kern w:val="0"/>
                      <w:sz w:val="24"/>
                      <w:szCs w:val="24"/>
                      <w:lang w:val="en-US" w:eastAsia="zh-CN" w:bidi="ar"/>
                    </w:rPr>
                    <w:t>海城市</w:t>
                  </w:r>
                  <w:r>
                    <w:rPr>
                      <w:rFonts w:hint="default" w:ascii="TT284o02" w:hAnsi="TT284o02" w:eastAsia="TT284o02" w:cs="TT284o02"/>
                      <w:color w:val="000000"/>
                      <w:kern w:val="0"/>
                      <w:sz w:val="24"/>
                      <w:szCs w:val="24"/>
                      <w:lang w:val="en-US" w:eastAsia="zh-CN" w:bidi="ar"/>
                    </w:rPr>
                    <w:t>八里镇铧子峪村</w:t>
                  </w:r>
                </w:p>
                <w:p>
                  <w:pPr>
                    <w:pStyle w:val="2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leftChars="0" w:right="0" w:rightChars="0"/>
                    <w:jc w:val="center"/>
                    <w:rPr>
                      <w:rFonts w:hint="eastAsia"/>
                      <w:lang w:val="en-US" w:eastAsia="zh-CN"/>
                    </w:rPr>
                  </w:pPr>
                </w:p>
              </w:tc>
              <w:tc>
                <w:tcPr>
                  <w:tcW w:w="375" w:type="dxa"/>
                  <w:tcBorders>
                    <w:top w:val="nil"/>
                    <w:left w:val="nil"/>
                    <w:bottom w:val="nil"/>
                    <w:right w:val="single" w:color="auto" w:sz="8" w:space="0"/>
                  </w:tcBorders>
                  <w:shd w:val="clear" w:color="auto" w:fill="FFFFFF"/>
                  <w:tcMar>
                    <w:left w:w="108" w:type="dxa"/>
                    <w:right w:w="108" w:type="dxa"/>
                  </w:tcMar>
                  <w:vAlign w:val="center"/>
                </w:tcPr>
                <w:p>
                  <w:pPr>
                    <w:keepNext w:val="0"/>
                    <w:keepLines w:val="0"/>
                    <w:widowControl/>
                    <w:suppressLineNumbers w:val="0"/>
                    <w:jc w:val="left"/>
                  </w:pPr>
                  <w:r>
                    <w:rPr>
                      <w:rFonts w:ascii="TT284o02" w:hAnsi="TT284o02" w:eastAsia="TT284o02" w:cs="TT284o02"/>
                      <w:color w:val="000000"/>
                      <w:kern w:val="0"/>
                      <w:sz w:val="24"/>
                      <w:szCs w:val="24"/>
                      <w:lang w:val="en-US" w:eastAsia="zh-CN" w:bidi="ar"/>
                    </w:rPr>
                    <w:t>辽宁铧</w:t>
                  </w:r>
                  <w:r>
                    <w:rPr>
                      <w:rFonts w:ascii="TT284o00" w:hAnsi="TT284o00" w:eastAsia="TT284o00" w:cs="TT284o00"/>
                      <w:color w:val="000000"/>
                      <w:kern w:val="0"/>
                      <w:sz w:val="24"/>
                      <w:szCs w:val="24"/>
                      <w:lang w:val="en-US" w:eastAsia="zh-CN" w:bidi="ar"/>
                    </w:rPr>
                    <w:t>宇废</w:t>
                  </w:r>
                  <w:r>
                    <w:rPr>
                      <w:rFonts w:hint="default" w:ascii="TT284o02" w:hAnsi="TT284o02" w:eastAsia="TT284o02" w:cs="TT284o02"/>
                      <w:color w:val="000000"/>
                      <w:kern w:val="0"/>
                      <w:sz w:val="24"/>
                      <w:szCs w:val="24"/>
                      <w:lang w:val="en-US" w:eastAsia="zh-CN" w:bidi="ar"/>
                    </w:rPr>
                    <w:t>旧金属</w:t>
                  </w:r>
                  <w:r>
                    <w:rPr>
                      <w:rFonts w:hint="default" w:ascii="TT284o00" w:hAnsi="TT284o00" w:eastAsia="TT284o00" w:cs="TT284o00"/>
                      <w:color w:val="000000"/>
                      <w:kern w:val="0"/>
                      <w:sz w:val="24"/>
                      <w:szCs w:val="24"/>
                      <w:lang w:val="en-US" w:eastAsia="zh-CN" w:bidi="ar"/>
                    </w:rPr>
                    <w:t>再生利用有</w:t>
                  </w:r>
                  <w:r>
                    <w:rPr>
                      <w:rFonts w:ascii="TT284o01" w:hAnsi="TT284o01" w:eastAsia="TT284o01" w:cs="TT284o01"/>
                      <w:color w:val="000000"/>
                      <w:kern w:val="0"/>
                      <w:sz w:val="24"/>
                      <w:szCs w:val="24"/>
                      <w:lang w:val="en-US" w:eastAsia="zh-CN" w:bidi="ar"/>
                    </w:rPr>
                    <w:t>限</w:t>
                  </w:r>
                  <w:r>
                    <w:rPr>
                      <w:rFonts w:hint="default" w:ascii="TT284o00" w:hAnsi="TT284o00" w:eastAsia="TT284o00" w:cs="TT284o00"/>
                      <w:color w:val="000000"/>
                      <w:kern w:val="0"/>
                      <w:sz w:val="24"/>
                      <w:szCs w:val="24"/>
                      <w:lang w:val="en-US" w:eastAsia="zh-CN" w:bidi="ar"/>
                    </w:rPr>
                    <w:t>公</w:t>
                  </w:r>
                  <w:r>
                    <w:rPr>
                      <w:rFonts w:hint="default" w:ascii="TT284o02" w:hAnsi="TT284o02" w:eastAsia="TT284o02" w:cs="TT284o02"/>
                      <w:color w:val="000000"/>
                      <w:kern w:val="0"/>
                      <w:sz w:val="24"/>
                      <w:szCs w:val="24"/>
                      <w:lang w:val="en-US" w:eastAsia="zh-CN" w:bidi="ar"/>
                    </w:rPr>
                    <w:t>司</w:t>
                  </w:r>
                </w:p>
                <w:p>
                  <w:pPr>
                    <w:pStyle w:val="2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leftChars="0" w:right="0" w:rightChars="0"/>
                    <w:jc w:val="both"/>
                    <w:rPr>
                      <w:rFonts w:hint="eastAsia"/>
                      <w:lang w:val="en-US" w:eastAsia="zh-CN"/>
                    </w:rPr>
                  </w:pPr>
                </w:p>
              </w:tc>
              <w:tc>
                <w:tcPr>
                  <w:tcW w:w="440" w:type="dxa"/>
                  <w:tcBorders>
                    <w:top w:val="nil"/>
                    <w:left w:val="nil"/>
                    <w:bottom w:val="nil"/>
                    <w:right w:val="single" w:color="auto" w:sz="8" w:space="0"/>
                  </w:tcBorders>
                  <w:shd w:val="clear" w:color="auto" w:fill="FFFFFF"/>
                  <w:tcMar>
                    <w:left w:w="108" w:type="dxa"/>
                    <w:right w:w="108" w:type="dxa"/>
                  </w:tcMar>
                  <w:vAlign w:val="center"/>
                </w:tcPr>
                <w:p>
                  <w:pPr>
                    <w:pStyle w:val="2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leftChars="0" w:right="0" w:rightChars="0"/>
                    <w:jc w:val="left"/>
                    <w:rPr>
                      <w:rFonts w:hint="eastAsia"/>
                      <w:lang w:val="en-US" w:eastAsia="zh-CN"/>
                    </w:rPr>
                  </w:pPr>
                  <w:r>
                    <w:rPr>
                      <w:rFonts w:hint="eastAsia" w:ascii="宋体" w:hAnsi="宋体" w:eastAsia="宋体" w:cs="宋体"/>
                      <w:i w:val="0"/>
                      <w:caps w:val="0"/>
                      <w:color w:val="42413C"/>
                      <w:spacing w:val="0"/>
                      <w:kern w:val="2"/>
                      <w:sz w:val="24"/>
                      <w:szCs w:val="24"/>
                      <w:shd w:val="clear" w:fill="FFFFFF"/>
                      <w:lang w:val="en-US" w:eastAsia="zh-CN" w:bidi="ar-SA"/>
                    </w:rPr>
                    <w:t>中冶焦耐（大连）工程技术有限公司</w:t>
                  </w:r>
                </w:p>
              </w:tc>
              <w:tc>
                <w:tcPr>
                  <w:tcW w:w="1718" w:type="dxa"/>
                  <w:tcBorders>
                    <w:top w:val="nil"/>
                    <w:left w:val="nil"/>
                    <w:bottom w:val="nil"/>
                    <w:right w:val="single" w:color="auto" w:sz="8" w:space="0"/>
                  </w:tcBorders>
                  <w:shd w:val="clear" w:color="auto" w:fill="auto"/>
                  <w:tcMar>
                    <w:left w:w="108" w:type="dxa"/>
                    <w:right w:w="108" w:type="dxa"/>
                  </w:tcMar>
                  <w:vAlign w:val="top"/>
                </w:tcPr>
                <w:p>
                  <w:pPr>
                    <w:pStyle w:val="2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leftChars="0" w:right="0" w:rightChars="0"/>
                    <w:jc w:val="both"/>
                    <w:rPr>
                      <w:rFonts w:hint="eastAsia" w:cs="Times New Roman" w:asciiTheme="minorHAnsi" w:hAnsiTheme="minorHAnsi" w:eastAsiaTheme="minorEastAsia"/>
                      <w:kern w:val="0"/>
                      <w:sz w:val="24"/>
                      <w:szCs w:val="24"/>
                      <w:lang w:val="en-US" w:eastAsia="zh-CN" w:bidi="ar-SA"/>
                    </w:rPr>
                  </w:pPr>
                  <w:r>
                    <w:rPr>
                      <w:rFonts w:hint="eastAsia" w:cs="Times New Roman" w:asciiTheme="minorHAnsi" w:hAnsiTheme="minorHAnsi" w:eastAsiaTheme="minorEastAsia"/>
                      <w:kern w:val="0"/>
                      <w:sz w:val="24"/>
                      <w:szCs w:val="24"/>
                      <w:lang w:val="en-US" w:eastAsia="zh-CN" w:bidi="ar-SA"/>
                    </w:rPr>
                    <w:t>本项目位于海城市八里镇铧子峪村现华宇集团现有厂区院内，占地面积</w:t>
                  </w:r>
                  <w:bookmarkStart w:id="0" w:name="_Hlk34147327"/>
                  <w:r>
                    <w:rPr>
                      <w:rFonts w:hint="eastAsia" w:cs="Times New Roman" w:asciiTheme="minorHAnsi" w:hAnsiTheme="minorHAnsi" w:eastAsiaTheme="minorEastAsia"/>
                      <w:kern w:val="0"/>
                      <w:sz w:val="24"/>
                      <w:szCs w:val="24"/>
                      <w:lang w:val="en-US" w:eastAsia="zh-CN" w:bidi="ar-SA"/>
                    </w:rPr>
                    <w:t>30000m</w:t>
                  </w:r>
                  <w:r>
                    <w:rPr>
                      <w:rFonts w:hint="eastAsia" w:cs="Times New Roman" w:asciiTheme="minorHAnsi" w:hAnsiTheme="minorHAnsi" w:eastAsiaTheme="minorEastAsia"/>
                      <w:kern w:val="0"/>
                      <w:sz w:val="24"/>
                      <w:szCs w:val="24"/>
                      <w:vertAlign w:val="superscript"/>
                      <w:lang w:val="en-US" w:eastAsia="zh-CN" w:bidi="ar-SA"/>
                    </w:rPr>
                    <w:t>2</w:t>
                  </w:r>
                  <w:bookmarkEnd w:id="0"/>
                  <w:r>
                    <w:rPr>
                      <w:rFonts w:hint="eastAsia" w:cs="Times New Roman" w:asciiTheme="minorHAnsi" w:hAnsiTheme="minorHAnsi" w:eastAsiaTheme="minorEastAsia"/>
                      <w:kern w:val="0"/>
                      <w:sz w:val="24"/>
                      <w:szCs w:val="24"/>
                      <w:lang w:val="en-US" w:eastAsia="zh-CN" w:bidi="ar-SA"/>
                    </w:rPr>
                    <w:t>，建筑面积11334m</w:t>
                  </w:r>
                  <w:r>
                    <w:rPr>
                      <w:rFonts w:hint="eastAsia" w:cs="Times New Roman" w:asciiTheme="minorHAnsi" w:hAnsiTheme="minorHAnsi" w:eastAsiaTheme="minorEastAsia"/>
                      <w:kern w:val="0"/>
                      <w:sz w:val="24"/>
                      <w:szCs w:val="24"/>
                      <w:vertAlign w:val="superscript"/>
                      <w:lang w:val="en-US" w:eastAsia="zh-CN" w:bidi="ar-SA"/>
                    </w:rPr>
                    <w:t>2</w:t>
                  </w:r>
                  <w:r>
                    <w:rPr>
                      <w:rFonts w:hint="eastAsia" w:cs="Times New Roman" w:asciiTheme="minorHAnsi" w:hAnsiTheme="minorHAnsi" w:eastAsiaTheme="minorEastAsia"/>
                      <w:kern w:val="0"/>
                      <w:sz w:val="24"/>
                      <w:szCs w:val="24"/>
                      <w:lang w:val="en-US" w:eastAsia="zh-CN" w:bidi="ar-SA"/>
                    </w:rPr>
                    <w:t>,总投资6000万元，其中环保投资626万元。建设内容主要包括新建原料库、破碎车间、磨浮车间、药剂车间、过滤浓缩车间、压滤车间、精矿库、尾矿库等建筑物；新建年处理125万吨菱镁矿石浮选生产线及配套环保等相关设施，生产产品及规模为年处理菱镁矿125万吨，年产优质菱镁矿精矿粉100万吨、尾矿粉25万吨。</w:t>
                  </w:r>
                </w:p>
              </w:tc>
              <w:tc>
                <w:tcPr>
                  <w:tcW w:w="5973" w:type="dxa"/>
                  <w:tcBorders>
                    <w:top w:val="nil"/>
                    <w:left w:val="nil"/>
                    <w:bottom w:val="nil"/>
                    <w:right w:val="single" w:color="auto" w:sz="8" w:space="0"/>
                  </w:tcBorders>
                  <w:shd w:val="clear" w:color="auto" w:fill="auto"/>
                  <w:tcMar>
                    <w:left w:w="108" w:type="dxa"/>
                    <w:right w:w="108" w:type="dxa"/>
                  </w:tcMar>
                  <w:vAlign w:val="center"/>
                </w:tcPr>
                <w:p>
                  <w:pPr>
                    <w:spacing w:line="240" w:lineRule="auto"/>
                    <w:ind w:firstLine="480" w:firstLineChars="200"/>
                    <w:rPr>
                      <w:rFonts w:hint="eastAsia" w:cs="Times New Roman" w:asciiTheme="minorHAnsi" w:hAnsiTheme="minorHAnsi" w:eastAsiaTheme="minorEastAsia"/>
                      <w:kern w:val="0"/>
                      <w:sz w:val="24"/>
                      <w:szCs w:val="24"/>
                      <w:lang w:val="en-US" w:eastAsia="zh-CN" w:bidi="ar-SA"/>
                    </w:rPr>
                  </w:pPr>
                  <w:r>
                    <w:rPr>
                      <w:rFonts w:hint="eastAsia" w:cs="Times New Roman" w:asciiTheme="minorHAnsi" w:hAnsiTheme="minorHAnsi" w:eastAsiaTheme="minorEastAsia"/>
                      <w:kern w:val="0"/>
                      <w:sz w:val="24"/>
                      <w:szCs w:val="24"/>
                      <w:lang w:val="en-US" w:eastAsia="zh-CN" w:bidi="ar-SA"/>
                    </w:rPr>
                    <w:t>1、建设单位要高度重视本项目的环保工作，认真落实“报告书”提出的各项污染防治对策，切实落实各项污染治理措施，确保各污染物稳定达标排放。</w:t>
                  </w:r>
                </w:p>
                <w:p>
                  <w:pPr>
                    <w:spacing w:line="240" w:lineRule="auto"/>
                    <w:ind w:firstLine="480" w:firstLineChars="200"/>
                    <w:rPr>
                      <w:rFonts w:hint="eastAsia" w:cs="Times New Roman" w:asciiTheme="minorHAnsi" w:hAnsiTheme="minorHAnsi" w:eastAsiaTheme="minorEastAsia"/>
                      <w:kern w:val="0"/>
                      <w:sz w:val="24"/>
                      <w:szCs w:val="24"/>
                      <w:lang w:val="en-US" w:eastAsia="zh-CN" w:bidi="ar-SA"/>
                    </w:rPr>
                  </w:pPr>
                  <w:r>
                    <w:rPr>
                      <w:rFonts w:hint="eastAsia" w:cs="Times New Roman" w:asciiTheme="minorHAnsi" w:hAnsiTheme="minorHAnsi" w:eastAsiaTheme="minorEastAsia"/>
                      <w:kern w:val="0"/>
                      <w:sz w:val="24"/>
                      <w:szCs w:val="24"/>
                      <w:lang w:val="en-US" w:eastAsia="zh-CN" w:bidi="ar-SA"/>
                    </w:rPr>
                    <w:t>2、加强施工期环境管理，全面及时落实施工期污染防治措施，有效控制施工期对周围环境的不利影响，并做好对地下隐蔽工程的防渗监理工作，防范环境风险，确保环境安全。</w:t>
                  </w:r>
                </w:p>
                <w:p>
                  <w:pPr>
                    <w:snapToGrid w:val="0"/>
                    <w:spacing w:line="240" w:lineRule="auto"/>
                    <w:ind w:firstLine="480" w:firstLineChars="200"/>
                    <w:rPr>
                      <w:rFonts w:hint="eastAsia" w:cs="Times New Roman" w:asciiTheme="minorHAnsi" w:hAnsiTheme="minorHAnsi" w:eastAsiaTheme="minorEastAsia"/>
                      <w:kern w:val="0"/>
                      <w:sz w:val="24"/>
                      <w:szCs w:val="24"/>
                      <w:lang w:val="en-US" w:eastAsia="zh-CN" w:bidi="ar-SA"/>
                    </w:rPr>
                  </w:pPr>
                  <w:r>
                    <w:rPr>
                      <w:rFonts w:hint="eastAsia" w:cs="Times New Roman" w:asciiTheme="minorHAnsi" w:hAnsiTheme="minorHAnsi" w:eastAsiaTheme="minorEastAsia"/>
                      <w:kern w:val="0"/>
                      <w:sz w:val="24"/>
                      <w:szCs w:val="24"/>
                      <w:lang w:val="en-US" w:eastAsia="zh-CN" w:bidi="ar-SA"/>
                    </w:rPr>
                    <w:t>3、做好项目与周边敏感区防护。建设单位须按照“报告书”提出的环境防护距离等相关要求，积极配合地方政府做好环境防护距离范围内规划控制工作，不得规划、建设居民区、学校、医院等敏感目标。</w:t>
                  </w:r>
                </w:p>
                <w:p>
                  <w:pPr>
                    <w:spacing w:line="240" w:lineRule="auto"/>
                    <w:ind w:firstLine="480" w:firstLineChars="200"/>
                    <w:rPr>
                      <w:rFonts w:hint="eastAsia" w:cs="Times New Roman" w:asciiTheme="minorHAnsi" w:hAnsiTheme="minorHAnsi" w:eastAsiaTheme="minorEastAsia"/>
                      <w:kern w:val="0"/>
                      <w:sz w:val="24"/>
                      <w:szCs w:val="24"/>
                      <w:lang w:val="en-US" w:eastAsia="zh-CN" w:bidi="ar-SA"/>
                    </w:rPr>
                  </w:pPr>
                  <w:r>
                    <w:rPr>
                      <w:rFonts w:hint="eastAsia" w:cs="Times New Roman" w:asciiTheme="minorHAnsi" w:hAnsiTheme="minorHAnsi" w:eastAsiaTheme="minorEastAsia"/>
                      <w:kern w:val="0"/>
                      <w:sz w:val="24"/>
                      <w:szCs w:val="24"/>
                      <w:lang w:val="en-US" w:eastAsia="zh-CN" w:bidi="ar-SA"/>
                    </w:rPr>
                    <w:t>4、全面落实大气污染防治措施。严格按照“报告书”提出的大气污染防治对策及措施执行，确保生产工艺中原料破碎、筛分、转运等生产工序产尘采取负压收集+布袋除尘器净化处理后，外排废气中颗粒物浓度满足《辽宁省镁质</w:t>
                  </w:r>
                  <w:r>
                    <w:rPr>
                      <w:rFonts w:hint="eastAsia" w:cs="Times New Roman" w:asciiTheme="minorHAnsi" w:hAnsiTheme="minorHAnsi" w:eastAsiaTheme="minorEastAsia"/>
                      <w:kern w:val="0"/>
                      <w:sz w:val="24"/>
                      <w:szCs w:val="24"/>
                      <w:lang w:val="en-US" w:eastAsia="zh-CN" w:bidi="ar-SA"/>
                    </w:rPr>
                    <w:fldChar w:fldCharType="begin"/>
                  </w:r>
                  <w:r>
                    <w:rPr>
                      <w:rFonts w:hint="eastAsia" w:cs="Times New Roman" w:asciiTheme="minorHAnsi" w:hAnsiTheme="minorHAnsi" w:eastAsiaTheme="minorEastAsia"/>
                      <w:kern w:val="0"/>
                      <w:sz w:val="24"/>
                      <w:szCs w:val="24"/>
                      <w:lang w:val="en-US" w:eastAsia="zh-CN" w:bidi="ar-SA"/>
                    </w:rPr>
                    <w:instrText xml:space="preserve"> HYPERLINK "http://www.nhcl.com.cn/news/224008.html" \t "_blank" </w:instrText>
                  </w:r>
                  <w:r>
                    <w:rPr>
                      <w:rFonts w:hint="eastAsia" w:cs="Times New Roman" w:asciiTheme="minorHAnsi" w:hAnsiTheme="minorHAnsi" w:eastAsiaTheme="minorEastAsia"/>
                      <w:kern w:val="0"/>
                      <w:sz w:val="24"/>
                      <w:szCs w:val="24"/>
                      <w:lang w:val="en-US" w:eastAsia="zh-CN" w:bidi="ar-SA"/>
                    </w:rPr>
                    <w:fldChar w:fldCharType="separate"/>
                  </w:r>
                  <w:r>
                    <w:rPr>
                      <w:rFonts w:hint="eastAsia" w:cs="Times New Roman" w:asciiTheme="minorHAnsi" w:hAnsiTheme="minorHAnsi" w:eastAsiaTheme="minorEastAsia"/>
                      <w:kern w:val="0"/>
                      <w:sz w:val="24"/>
                      <w:szCs w:val="24"/>
                      <w:lang w:val="en-US" w:eastAsia="zh-CN" w:bidi="ar-SA"/>
                    </w:rPr>
                    <w:t>耐火材料</w:t>
                  </w:r>
                  <w:r>
                    <w:rPr>
                      <w:rFonts w:hint="eastAsia" w:cs="Times New Roman" w:asciiTheme="minorHAnsi" w:hAnsiTheme="minorHAnsi" w:eastAsiaTheme="minorEastAsia"/>
                      <w:kern w:val="0"/>
                      <w:sz w:val="24"/>
                      <w:szCs w:val="24"/>
                      <w:lang w:val="en-US" w:eastAsia="zh-CN" w:bidi="ar-SA"/>
                    </w:rPr>
                    <w:fldChar w:fldCharType="end"/>
                  </w:r>
                  <w:r>
                    <w:rPr>
                      <w:rFonts w:hint="eastAsia" w:cs="Times New Roman" w:asciiTheme="minorHAnsi" w:hAnsiTheme="minorHAnsi" w:eastAsiaTheme="minorEastAsia"/>
                      <w:kern w:val="0"/>
                      <w:sz w:val="24"/>
                      <w:szCs w:val="24"/>
                      <w:lang w:val="en-US" w:eastAsia="zh-CN" w:bidi="ar-SA"/>
                    </w:rPr>
                    <w:t>工业大气污染物排放标准》（DB21/3011-2018）表2中排放浓度限值要求。各生产工序均须在封闭车间内进行；原料及成品入封闭库内存放，严禁露天堆放；做好厂区内道路的硬化和地面的绿化工作，并对硬化后地面及车间内地面及时采取吸尘和洒水抑尘措施；制定严格的车辆管理制度，对运输车辆采取加盖篷布或使用带盖箱体密封车等措施，采取有效措施后，确保项目厂界外四周颗粒物浓度满足《辽宁省镁质</w:t>
                  </w:r>
                  <w:r>
                    <w:rPr>
                      <w:rFonts w:hint="eastAsia" w:cs="Times New Roman" w:asciiTheme="minorHAnsi" w:hAnsiTheme="minorHAnsi" w:eastAsiaTheme="minorEastAsia"/>
                      <w:kern w:val="0"/>
                      <w:sz w:val="24"/>
                      <w:szCs w:val="24"/>
                      <w:lang w:val="en-US" w:eastAsia="zh-CN" w:bidi="ar-SA"/>
                    </w:rPr>
                    <w:fldChar w:fldCharType="begin"/>
                  </w:r>
                  <w:r>
                    <w:rPr>
                      <w:rFonts w:hint="eastAsia" w:cs="Times New Roman" w:asciiTheme="minorHAnsi" w:hAnsiTheme="minorHAnsi" w:eastAsiaTheme="minorEastAsia"/>
                      <w:kern w:val="0"/>
                      <w:sz w:val="24"/>
                      <w:szCs w:val="24"/>
                      <w:lang w:val="en-US" w:eastAsia="zh-CN" w:bidi="ar-SA"/>
                    </w:rPr>
                    <w:instrText xml:space="preserve"> HYPERLINK "http://www.nhcl.com.cn/news/224008.html" \t "_blank" </w:instrText>
                  </w:r>
                  <w:r>
                    <w:rPr>
                      <w:rFonts w:hint="eastAsia" w:cs="Times New Roman" w:asciiTheme="minorHAnsi" w:hAnsiTheme="minorHAnsi" w:eastAsiaTheme="minorEastAsia"/>
                      <w:kern w:val="0"/>
                      <w:sz w:val="24"/>
                      <w:szCs w:val="24"/>
                      <w:lang w:val="en-US" w:eastAsia="zh-CN" w:bidi="ar-SA"/>
                    </w:rPr>
                    <w:fldChar w:fldCharType="separate"/>
                  </w:r>
                  <w:r>
                    <w:rPr>
                      <w:rFonts w:hint="eastAsia" w:cs="Times New Roman" w:asciiTheme="minorHAnsi" w:hAnsiTheme="minorHAnsi" w:eastAsiaTheme="minorEastAsia"/>
                      <w:kern w:val="0"/>
                      <w:sz w:val="24"/>
                      <w:szCs w:val="24"/>
                      <w:lang w:val="en-US" w:eastAsia="zh-CN" w:bidi="ar-SA"/>
                    </w:rPr>
                    <w:t>耐火材料</w:t>
                  </w:r>
                  <w:r>
                    <w:rPr>
                      <w:rFonts w:hint="eastAsia" w:cs="Times New Roman" w:asciiTheme="minorHAnsi" w:hAnsiTheme="minorHAnsi" w:eastAsiaTheme="minorEastAsia"/>
                      <w:kern w:val="0"/>
                      <w:sz w:val="24"/>
                      <w:szCs w:val="24"/>
                      <w:lang w:val="en-US" w:eastAsia="zh-CN" w:bidi="ar-SA"/>
                    </w:rPr>
                    <w:fldChar w:fldCharType="end"/>
                  </w:r>
                  <w:r>
                    <w:rPr>
                      <w:rFonts w:hint="eastAsia" w:cs="Times New Roman" w:asciiTheme="minorHAnsi" w:hAnsiTheme="minorHAnsi" w:eastAsiaTheme="minorEastAsia"/>
                      <w:kern w:val="0"/>
                      <w:sz w:val="24"/>
                      <w:szCs w:val="24"/>
                      <w:lang w:val="en-US" w:eastAsia="zh-CN" w:bidi="ar-SA"/>
                    </w:rPr>
                    <w:t>工业大气污染物排放标准》（DB21/3011-2018）表3中厂界颗粒物排放浓度限值要求。</w:t>
                  </w:r>
                </w:p>
                <w:p>
                  <w:pPr>
                    <w:keepNext w:val="0"/>
                    <w:keepLines w:val="0"/>
                    <w:widowControl/>
                    <w:suppressLineNumbers w:val="0"/>
                    <w:spacing w:line="240" w:lineRule="auto"/>
                    <w:ind w:firstLine="480" w:firstLineChars="200"/>
                    <w:jc w:val="both"/>
                    <w:rPr>
                      <w:rFonts w:hint="eastAsia" w:cs="Times New Roman" w:asciiTheme="minorHAnsi" w:hAnsiTheme="minorHAnsi" w:eastAsiaTheme="minorEastAsia"/>
                      <w:kern w:val="0"/>
                      <w:sz w:val="24"/>
                      <w:szCs w:val="24"/>
                      <w:lang w:val="en-US" w:eastAsia="zh-CN" w:bidi="ar-SA"/>
                    </w:rPr>
                  </w:pPr>
                  <w:r>
                    <w:rPr>
                      <w:rFonts w:hint="eastAsia" w:cs="Times New Roman" w:asciiTheme="minorHAnsi" w:hAnsiTheme="minorHAnsi" w:eastAsiaTheme="minorEastAsia"/>
                      <w:kern w:val="0"/>
                      <w:sz w:val="24"/>
                      <w:szCs w:val="24"/>
                      <w:lang w:val="en-US" w:eastAsia="zh-CN" w:bidi="ar-SA"/>
                    </w:rPr>
                    <w:t>5、加强水环境保护。本项目生产用水循环使用，严禁外排；职工生活污水排入化粪池内堆沤腐熟、定期清掏至附近用于农田或果树施肥，不外排。按照《报告书》中要求，你单位须做好浮选车间、浓缩池、沉淀池、事故池及危废间等防渗区域的防渗工作，避免污染地下水，确保环境安全。</w:t>
                  </w:r>
                </w:p>
                <w:p>
                  <w:pPr>
                    <w:spacing w:line="240" w:lineRule="auto"/>
                    <w:ind w:firstLine="480" w:firstLineChars="200"/>
                    <w:jc w:val="both"/>
                    <w:rPr>
                      <w:rFonts w:hint="eastAsia" w:cs="Times New Roman" w:asciiTheme="minorHAnsi" w:hAnsiTheme="minorHAnsi" w:eastAsiaTheme="minorEastAsia"/>
                      <w:kern w:val="0"/>
                      <w:sz w:val="24"/>
                      <w:szCs w:val="24"/>
                      <w:lang w:val="en-US" w:eastAsia="zh-CN" w:bidi="ar-SA"/>
                    </w:rPr>
                  </w:pPr>
                  <w:r>
                    <w:rPr>
                      <w:rFonts w:hint="eastAsia" w:cs="Times New Roman" w:asciiTheme="minorHAnsi" w:hAnsiTheme="minorHAnsi" w:eastAsiaTheme="minorEastAsia"/>
                      <w:kern w:val="0"/>
                      <w:sz w:val="24"/>
                      <w:szCs w:val="24"/>
                      <w:lang w:val="en-US" w:eastAsia="zh-CN" w:bidi="ar-SA"/>
                    </w:rPr>
                    <w:t>6、落实隔声降噪措施。本项目应优先选用低噪声设备，对主要声源设备采取合理布局、封闭厂房隔声、安装减震垫或设置减震基础、</w:t>
                  </w:r>
                  <w:r>
                    <w:rPr>
                      <w:rFonts w:hint="eastAsia" w:cs="Times New Roman" w:asciiTheme="minorHAnsi" w:hAnsiTheme="minorHAnsi" w:eastAsiaTheme="minorEastAsia"/>
                      <w:kern w:val="0"/>
                      <w:sz w:val="24"/>
                      <w:szCs w:val="24"/>
                      <w:lang w:val="en-US" w:eastAsia="ja-JP" w:bidi="ar-SA"/>
                    </w:rPr>
                    <w:t>在强振设备与管道间采取柔性连接</w:t>
                  </w:r>
                  <w:r>
                    <w:rPr>
                      <w:rFonts w:hint="eastAsia" w:cs="Times New Roman" w:asciiTheme="minorHAnsi" w:hAnsiTheme="minorHAnsi" w:eastAsiaTheme="minorEastAsia"/>
                      <w:kern w:val="0"/>
                      <w:sz w:val="24"/>
                      <w:szCs w:val="24"/>
                      <w:lang w:val="en-US" w:eastAsia="zh-CN" w:bidi="ar-SA"/>
                    </w:rPr>
                    <w:t>等措施，确保厂界四周噪声值满足《工业企业厂界环境噪声排放标准》（GB12348－2008）中2类标准限值要求。</w:t>
                  </w:r>
                </w:p>
                <w:p>
                  <w:pPr>
                    <w:spacing w:line="240" w:lineRule="auto"/>
                    <w:ind w:firstLine="480" w:firstLineChars="200"/>
                    <w:rPr>
                      <w:rFonts w:hint="eastAsia" w:cs="Times New Roman" w:asciiTheme="minorHAnsi" w:hAnsiTheme="minorHAnsi" w:eastAsiaTheme="minorEastAsia"/>
                      <w:kern w:val="0"/>
                      <w:sz w:val="24"/>
                      <w:szCs w:val="24"/>
                      <w:lang w:val="en-US" w:eastAsia="zh-CN" w:bidi="ar-SA"/>
                    </w:rPr>
                  </w:pPr>
                  <w:r>
                    <w:rPr>
                      <w:rFonts w:hint="eastAsia" w:cs="Times New Roman" w:asciiTheme="minorHAnsi" w:hAnsiTheme="minorHAnsi" w:eastAsiaTheme="minorEastAsia"/>
                      <w:kern w:val="0"/>
                      <w:sz w:val="24"/>
                      <w:szCs w:val="24"/>
                      <w:lang w:val="en-US" w:eastAsia="zh-CN" w:bidi="ar-SA"/>
                    </w:rPr>
                    <w:t>7、做好固体废物处置。你单位须严格按照“报告书”中提出的固体废物收集及处理方式执行，采取有效措施后，确保项目产生的固体废物收集及处理分别对应满足《一般工业固体废物贮存、处置场污染控制标准》（GB18599-2001）及修改单和《危险废物贮存污染控制标准》（GB18597-2001）及修改单的相关要求,危险废物须及时交由具有相应危险废物处置资质的部门处理，并向环保部门登记申报，办理转运联单。</w:t>
                  </w:r>
                </w:p>
                <w:p>
                  <w:pPr>
                    <w:spacing w:line="240" w:lineRule="auto"/>
                    <w:ind w:firstLine="480" w:firstLineChars="200"/>
                    <w:rPr>
                      <w:rFonts w:hint="eastAsia" w:cs="Times New Roman" w:asciiTheme="minorHAnsi" w:hAnsiTheme="minorHAnsi" w:eastAsiaTheme="minorEastAsia"/>
                      <w:kern w:val="0"/>
                      <w:sz w:val="24"/>
                      <w:szCs w:val="24"/>
                      <w:lang w:val="en-US" w:eastAsia="zh-CN" w:bidi="ar-SA"/>
                    </w:rPr>
                  </w:pPr>
                  <w:r>
                    <w:rPr>
                      <w:rFonts w:hint="eastAsia" w:cs="Times New Roman" w:asciiTheme="minorHAnsi" w:hAnsiTheme="minorHAnsi" w:eastAsiaTheme="minorEastAsia"/>
                      <w:kern w:val="0"/>
                      <w:sz w:val="24"/>
                      <w:szCs w:val="24"/>
                      <w:lang w:val="en-US" w:eastAsia="zh-CN" w:bidi="ar-SA"/>
                    </w:rPr>
                    <w:t>8、强化环境风险防范与应急管理。建设单位须严格落实“报告书”提出的环境风险防范和应急措施，制定企业突发环境事件应急预案，并定期开展环境风险隐患自查，及时整改存在的问题，消除环境风险隐患。</w:t>
                  </w:r>
                </w:p>
                <w:p>
                  <w:pPr>
                    <w:spacing w:line="240" w:lineRule="auto"/>
                    <w:ind w:firstLine="480" w:firstLineChars="200"/>
                    <w:jc w:val="both"/>
                    <w:rPr>
                      <w:rFonts w:hint="eastAsia" w:cs="Times New Roman" w:asciiTheme="minorHAnsi" w:hAnsiTheme="minorHAnsi" w:eastAsiaTheme="minorEastAsia"/>
                      <w:kern w:val="0"/>
                      <w:sz w:val="24"/>
                      <w:szCs w:val="24"/>
                      <w:lang w:val="en-US" w:eastAsia="zh-CN" w:bidi="ar-SA"/>
                    </w:rPr>
                  </w:pPr>
                  <w:r>
                    <w:rPr>
                      <w:rFonts w:hint="eastAsia" w:cs="Times New Roman" w:asciiTheme="minorHAnsi" w:hAnsiTheme="minorHAnsi" w:eastAsiaTheme="minorEastAsia"/>
                      <w:kern w:val="0"/>
                      <w:sz w:val="24"/>
                      <w:szCs w:val="24"/>
                      <w:lang w:val="en-US" w:eastAsia="zh-CN" w:bidi="ar-SA"/>
                    </w:rPr>
                    <w:t>9、加强环保设施的日常管理工作，强化环保设施的维修、保养，保证环保设施正常运转，并按照监测计划要求定期开展监测工作，确保污染物稳定达标排放。</w:t>
                  </w:r>
                </w:p>
                <w:p>
                  <w:pPr>
                    <w:spacing w:line="240" w:lineRule="auto"/>
                    <w:ind w:firstLine="480" w:firstLineChars="200"/>
                    <w:rPr>
                      <w:rFonts w:hint="eastAsia" w:cs="Times New Roman" w:asciiTheme="minorHAnsi" w:hAnsiTheme="minorHAnsi" w:eastAsiaTheme="minorEastAsia"/>
                      <w:kern w:val="0"/>
                      <w:sz w:val="24"/>
                      <w:szCs w:val="24"/>
                      <w:lang w:val="en-US" w:eastAsia="zh-CN" w:bidi="ar-SA"/>
                    </w:rPr>
                  </w:pPr>
                </w:p>
                <w:p>
                  <w:pPr>
                    <w:pStyle w:val="27"/>
                    <w:widowControl/>
                    <w:spacing w:beforeAutospacing="0" w:afterAutospacing="0" w:line="240" w:lineRule="auto"/>
                    <w:jc w:val="both"/>
                    <w:rPr>
                      <w:rFonts w:hint="eastAsia" w:cs="Times New Roman" w:asciiTheme="minorHAnsi" w:hAnsiTheme="minorHAnsi" w:eastAsiaTheme="minorEastAsia"/>
                      <w:kern w:val="0"/>
                      <w:sz w:val="24"/>
                      <w:szCs w:val="24"/>
                      <w:lang w:val="en-US" w:eastAsia="zh-CN" w:bidi="ar-SA"/>
                    </w:rPr>
                  </w:pPr>
                </w:p>
              </w:tc>
            </w:tr>
          </w:tbl>
          <w:p/>
          <w:p>
            <w:pPr>
              <w:tabs>
                <w:tab w:val="left" w:pos="1965"/>
              </w:tabs>
              <w:bidi w:val="0"/>
              <w:jc w:val="left"/>
              <w:rPr>
                <w:lang w:val="en-US" w:eastAsia="zh-CN"/>
              </w:rPr>
            </w:pPr>
            <w:r>
              <w:rPr>
                <w:rFonts w:hint="eastAsia" w:ascii="宋体" w:hAnsi="宋体" w:eastAsia="宋体" w:cs="宋体"/>
                <w:i w:val="0"/>
                <w:caps w:val="0"/>
                <w:color w:val="0000FF"/>
                <w:spacing w:val="0"/>
                <w:sz w:val="24"/>
                <w:szCs w:val="24"/>
                <w:shd w:val="clear" w:fill="FFFFFF"/>
                <w:lang w:val="en-US" w:eastAsia="zh-CN"/>
              </w:rPr>
              <w:t>附件：辽宁铧宇废</w:t>
            </w:r>
            <w:r>
              <w:rPr>
                <w:rFonts w:hint="default" w:ascii="宋体" w:hAnsi="宋体" w:eastAsia="宋体" w:cs="宋体"/>
                <w:i w:val="0"/>
                <w:caps w:val="0"/>
                <w:color w:val="0000FF"/>
                <w:spacing w:val="0"/>
                <w:sz w:val="24"/>
                <w:szCs w:val="24"/>
                <w:shd w:val="clear" w:fill="FFFFFF"/>
                <w:lang w:val="en-US" w:eastAsia="zh-CN"/>
              </w:rPr>
              <w:t>旧金属再生利用有</w:t>
            </w:r>
            <w:r>
              <w:rPr>
                <w:rFonts w:hint="eastAsia" w:ascii="宋体" w:hAnsi="宋体" w:eastAsia="宋体" w:cs="宋体"/>
                <w:i w:val="0"/>
                <w:caps w:val="0"/>
                <w:color w:val="0000FF"/>
                <w:spacing w:val="0"/>
                <w:sz w:val="24"/>
                <w:szCs w:val="24"/>
                <w:shd w:val="clear" w:fill="FFFFFF"/>
                <w:lang w:val="en-US" w:eastAsia="zh-CN"/>
              </w:rPr>
              <w:t>限</w:t>
            </w:r>
            <w:r>
              <w:rPr>
                <w:rFonts w:hint="default" w:ascii="宋体" w:hAnsi="宋体" w:eastAsia="宋体" w:cs="宋体"/>
                <w:i w:val="0"/>
                <w:caps w:val="0"/>
                <w:color w:val="0000FF"/>
                <w:spacing w:val="0"/>
                <w:sz w:val="24"/>
                <w:szCs w:val="24"/>
                <w:shd w:val="clear" w:fill="FFFFFF"/>
                <w:lang w:val="en-US" w:eastAsia="zh-CN"/>
              </w:rPr>
              <w:t>公司年处理</w:t>
            </w:r>
            <w:r>
              <w:rPr>
                <w:rFonts w:hint="eastAsia" w:ascii="宋体" w:hAnsi="宋体" w:eastAsia="宋体" w:cs="宋体"/>
                <w:i w:val="0"/>
                <w:caps w:val="0"/>
                <w:color w:val="0000FF"/>
                <w:spacing w:val="0"/>
                <w:sz w:val="24"/>
                <w:szCs w:val="24"/>
                <w:shd w:val="clear" w:fill="FFFFFF"/>
                <w:lang w:val="en-US" w:eastAsia="zh-CN"/>
              </w:rPr>
              <w:t>125</w:t>
            </w:r>
            <w:r>
              <w:rPr>
                <w:rFonts w:hint="default" w:ascii="宋体" w:hAnsi="宋体" w:eastAsia="宋体" w:cs="宋体"/>
                <w:i w:val="0"/>
                <w:caps w:val="0"/>
                <w:color w:val="0000FF"/>
                <w:spacing w:val="0"/>
                <w:sz w:val="24"/>
                <w:szCs w:val="24"/>
                <w:shd w:val="clear" w:fill="FFFFFF"/>
                <w:lang w:val="en-US" w:eastAsia="zh-CN"/>
              </w:rPr>
              <w:t>万吨菱镁矿石浮选建设项目</w:t>
            </w:r>
            <w:r>
              <w:rPr>
                <w:rFonts w:hint="eastAsia" w:ascii="宋体" w:hAnsi="宋体" w:eastAsia="宋体" w:cs="宋体"/>
                <w:i w:val="0"/>
                <w:caps w:val="0"/>
                <w:color w:val="0000FF"/>
                <w:spacing w:val="0"/>
                <w:sz w:val="24"/>
                <w:szCs w:val="24"/>
                <w:shd w:val="clear" w:fill="FFFFFF"/>
                <w:lang w:val="en-US" w:eastAsia="zh-CN"/>
              </w:rPr>
              <w:t>环境</w:t>
            </w:r>
            <w:r>
              <w:rPr>
                <w:rFonts w:hint="eastAsia" w:ascii="宋体" w:hAnsi="宋体" w:eastAsia="宋体" w:cs="宋体"/>
                <w:i w:val="0"/>
                <w:caps w:val="0"/>
                <w:color w:val="0000FF"/>
                <w:spacing w:val="0"/>
                <w:sz w:val="24"/>
                <w:szCs w:val="24"/>
                <w:shd w:val="clear" w:fill="FFFFFF"/>
                <w:lang w:eastAsia="zh-CN"/>
              </w:rPr>
              <w:t>影响报告书</w:t>
            </w:r>
          </w:p>
        </w:tc>
      </w:tr>
    </w:tbl>
    <w:p/>
    <w:p>
      <w:pPr>
        <w:pStyle w:val="2"/>
      </w:pPr>
    </w:p>
    <w:p>
      <w:pPr>
        <w:pStyle w:val="2"/>
      </w:pPr>
    </w:p>
    <w:p>
      <w:pPr>
        <w:pStyle w:val="2"/>
      </w:pPr>
    </w:p>
    <w:p>
      <w:pPr>
        <w:pStyle w:val="2"/>
      </w:pPr>
    </w:p>
    <w:p>
      <w:pPr>
        <w:pStyle w:val="2"/>
      </w:pPr>
    </w:p>
    <w:p>
      <w:pPr>
        <w:pStyle w:val="2"/>
      </w:pPr>
    </w:p>
    <w:p>
      <w:pPr>
        <w:pStyle w:val="2"/>
      </w:pPr>
    </w:p>
    <w:p>
      <w:pPr>
        <w:pStyle w:val="2"/>
      </w:pPr>
    </w:p>
    <w:p>
      <w:pPr>
        <w:keepNext w:val="0"/>
        <w:keepLines w:val="0"/>
        <w:widowControl/>
        <w:suppressLineNumbers w:val="0"/>
        <w:snapToGrid w:val="0"/>
        <w:spacing w:before="0" w:beforeAutospacing="0" w:after="0" w:afterAutospacing="0"/>
        <w:ind w:left="0" w:right="0"/>
        <w:jc w:val="center"/>
        <w:rPr>
          <w:rFonts w:hint="eastAsia" w:ascii="楷体_GB2312" w:hAnsi="Times New Roman" w:eastAsia="楷体_GB2312" w:cs="Times New Roman"/>
          <w:color w:val="000000"/>
          <w:sz w:val="44"/>
          <w:szCs w:val="44"/>
          <w:lang w:val="en-US"/>
        </w:rPr>
      </w:pPr>
      <w:r>
        <w:rPr>
          <w:rFonts w:hint="eastAsia" w:ascii="宋体" w:hAnsi="宋体" w:eastAsia="宋体" w:cs="宋体"/>
          <w:snapToGrid w:val="0"/>
          <w:kern w:val="0"/>
          <w:sz w:val="24"/>
          <w:szCs w:val="24"/>
          <w:lang w:val="en-US" w:eastAsia="zh-CN" w:bidi="ar"/>
        </w:rPr>
        <w:drawing>
          <wp:anchor distT="0" distB="0" distL="114300" distR="114300" simplePos="0" relativeHeight="251732992" behindDoc="0" locked="0" layoutInCell="1" allowOverlap="1">
            <wp:simplePos x="0" y="0"/>
            <wp:positionH relativeFrom="column">
              <wp:posOffset>4322445</wp:posOffset>
            </wp:positionH>
            <wp:positionV relativeFrom="paragraph">
              <wp:posOffset>-227965</wp:posOffset>
            </wp:positionV>
            <wp:extent cx="1304290" cy="683895"/>
            <wp:effectExtent l="0" t="0" r="10160" b="1905"/>
            <wp:wrapNone/>
            <wp:docPr id="11" name="图片 2" descr="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标识"/>
                    <pic:cNvPicPr>
                      <a:picLocks noChangeAspect="1"/>
                    </pic:cNvPicPr>
                  </pic:nvPicPr>
                  <pic:blipFill>
                    <a:blip r:embed="rId4"/>
                    <a:stretch>
                      <a:fillRect/>
                    </a:stretch>
                  </pic:blipFill>
                  <pic:spPr>
                    <a:xfrm>
                      <a:off x="0" y="0"/>
                      <a:ext cx="1304290" cy="683895"/>
                    </a:xfrm>
                    <a:prstGeom prst="rect">
                      <a:avLst/>
                    </a:prstGeom>
                    <a:noFill/>
                    <a:ln>
                      <a:noFill/>
                    </a:ln>
                  </pic:spPr>
                </pic:pic>
              </a:graphicData>
            </a:graphic>
          </wp:anchor>
        </w:drawing>
      </w:r>
    </w:p>
    <w:p>
      <w:pPr>
        <w:keepNext w:val="0"/>
        <w:keepLines w:val="0"/>
        <w:widowControl/>
        <w:suppressLineNumbers w:val="0"/>
        <w:snapToGrid w:val="0"/>
        <w:spacing w:before="0" w:beforeAutospacing="0" w:after="0" w:afterAutospacing="0"/>
        <w:ind w:left="0" w:right="0"/>
        <w:jc w:val="center"/>
        <w:rPr>
          <w:rFonts w:hint="eastAsia" w:ascii="楷体_GB2312" w:hAnsi="Times New Roman" w:eastAsia="楷体_GB2312" w:cs="Times New Roman"/>
          <w:color w:val="000000"/>
          <w:sz w:val="44"/>
          <w:szCs w:val="44"/>
          <w:lang w:val="en-US"/>
        </w:rPr>
      </w:pPr>
    </w:p>
    <w:p>
      <w:pPr>
        <w:keepNext w:val="0"/>
        <w:keepLines w:val="0"/>
        <w:widowControl/>
        <w:suppressLineNumbers w:val="0"/>
        <w:snapToGrid w:val="0"/>
        <w:spacing w:before="0" w:beforeAutospacing="0" w:after="0" w:afterAutospacing="0"/>
        <w:ind w:left="0" w:right="0"/>
        <w:jc w:val="center"/>
        <w:rPr>
          <w:rFonts w:hint="eastAsia" w:ascii="楷体_GB2312" w:hAnsi="Times New Roman" w:eastAsia="楷体_GB2312" w:cs="Times New Roman"/>
          <w:color w:val="000000"/>
          <w:sz w:val="44"/>
          <w:szCs w:val="44"/>
          <w:lang w:val="en-US"/>
        </w:rPr>
      </w:pPr>
    </w:p>
    <w:p>
      <w:pPr>
        <w:keepNext w:val="0"/>
        <w:keepLines w:val="0"/>
        <w:widowControl/>
        <w:suppressLineNumbers w:val="0"/>
        <w:snapToGrid w:val="0"/>
        <w:spacing w:before="0" w:beforeAutospacing="0" w:after="0" w:afterAutospacing="0"/>
        <w:ind w:left="0" w:right="0"/>
        <w:jc w:val="center"/>
        <w:rPr>
          <w:rFonts w:hint="default" w:ascii="Times New Roman" w:hAnsi="Times New Roman" w:eastAsia="隶书" w:cs="Times New Roman"/>
          <w:color w:val="000000"/>
          <w:sz w:val="52"/>
          <w:szCs w:val="52"/>
          <w:lang w:val="en-US"/>
        </w:rPr>
      </w:pPr>
      <w:r>
        <w:rPr>
          <w:rFonts w:hint="eastAsia" w:ascii="Times New Roman" w:hAnsi="Times New Roman" w:eastAsia="隶书" w:cs="Times New Roman"/>
          <w:color w:val="000000"/>
          <w:kern w:val="0"/>
          <w:sz w:val="52"/>
          <w:szCs w:val="52"/>
          <w:lang w:val="en-US" w:eastAsia="zh-CN" w:bidi="ar"/>
        </w:rPr>
        <w:t>辽宁铧宇废旧金属再生利用有限公司</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eastAsia="隶书" w:cs="Times New Roman"/>
          <w:color w:val="000000"/>
          <w:sz w:val="52"/>
          <w:szCs w:val="52"/>
          <w:lang w:val="en-US"/>
        </w:rPr>
      </w:pPr>
      <w:r>
        <w:rPr>
          <w:rFonts w:hint="eastAsia" w:ascii="Times New Roman" w:hAnsi="Times New Roman" w:eastAsia="隶书" w:cs="Times New Roman"/>
          <w:color w:val="000000"/>
          <w:kern w:val="0"/>
          <w:sz w:val="52"/>
          <w:szCs w:val="52"/>
          <w:lang w:val="en-US" w:eastAsia="zh-CN" w:bidi="ar"/>
        </w:rPr>
        <w:t>年处理</w:t>
      </w:r>
      <w:r>
        <w:rPr>
          <w:rFonts w:hint="default" w:ascii="Times New Roman" w:hAnsi="Times New Roman" w:eastAsia="隶书" w:cs="Times New Roman"/>
          <w:color w:val="000000"/>
          <w:kern w:val="0"/>
          <w:sz w:val="52"/>
          <w:szCs w:val="52"/>
          <w:lang w:val="en-US" w:eastAsia="zh-CN" w:bidi="ar"/>
        </w:rPr>
        <w:t>125</w:t>
      </w:r>
      <w:r>
        <w:rPr>
          <w:rFonts w:hint="eastAsia" w:ascii="Times New Roman" w:hAnsi="Times New Roman" w:eastAsia="隶书" w:cs="Times New Roman"/>
          <w:color w:val="000000"/>
          <w:kern w:val="0"/>
          <w:sz w:val="52"/>
          <w:szCs w:val="52"/>
          <w:lang w:val="en-US" w:eastAsia="zh-CN" w:bidi="ar"/>
        </w:rPr>
        <w:t>万吨菱镁矿石浮选</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eastAsia="隶书" w:cs="Times New Roman"/>
          <w:color w:val="000000"/>
          <w:sz w:val="52"/>
          <w:szCs w:val="52"/>
          <w:lang w:val="en-US"/>
        </w:rPr>
      </w:pPr>
      <w:r>
        <w:rPr>
          <w:rFonts w:hint="eastAsia" w:ascii="Times New Roman" w:hAnsi="Times New Roman" w:eastAsia="隶书" w:cs="Times New Roman"/>
          <w:color w:val="000000"/>
          <w:kern w:val="0"/>
          <w:sz w:val="52"/>
          <w:szCs w:val="52"/>
          <w:lang w:val="en-US" w:eastAsia="zh-CN" w:bidi="ar"/>
        </w:rPr>
        <w:t>建设项目</w:t>
      </w:r>
    </w:p>
    <w:p>
      <w:pPr>
        <w:keepNext w:val="0"/>
        <w:keepLines w:val="0"/>
        <w:widowControl/>
        <w:suppressLineNumbers w:val="0"/>
        <w:spacing w:before="0" w:beforeAutospacing="0" w:after="0" w:afterAutospacing="0"/>
        <w:ind w:left="0" w:right="0"/>
        <w:jc w:val="center"/>
        <w:rPr>
          <w:rFonts w:hint="default" w:ascii="Times New Roman" w:hAnsi="Times New Roman" w:eastAsia="隶书" w:cs="Times New Roman"/>
          <w:shadow/>
          <w:color w:val="000000"/>
          <w:sz w:val="84"/>
          <w:szCs w:val="84"/>
          <w:lang w:val="en-US"/>
        </w:rPr>
      </w:pPr>
      <w:r>
        <w:rPr>
          <w:rFonts w:hint="eastAsia" w:ascii="Times New Roman" w:hAnsi="Times New Roman" w:eastAsia="隶书" w:cs="Times New Roman"/>
          <w:shadow/>
          <w:color w:val="000000"/>
          <w:kern w:val="0"/>
          <w:sz w:val="84"/>
          <w:szCs w:val="84"/>
          <w:lang w:val="en-US" w:eastAsia="zh-CN" w:bidi="ar"/>
        </w:rPr>
        <w:t>环境影响报告书</w:t>
      </w:r>
    </w:p>
    <w:p>
      <w:pPr>
        <w:keepNext w:val="0"/>
        <w:keepLines w:val="0"/>
        <w:widowControl/>
        <w:suppressLineNumbers w:val="0"/>
        <w:spacing w:before="0" w:beforeAutospacing="0" w:after="0" w:afterAutospacing="0"/>
        <w:ind w:left="0" w:right="0"/>
        <w:jc w:val="center"/>
        <w:rPr>
          <w:rFonts w:hint="default" w:ascii="Times New Roman" w:hAnsi="Times New Roman" w:eastAsia="隶书" w:cs="Times New Roman"/>
          <w:shadow/>
          <w:color w:val="000000"/>
          <w:sz w:val="30"/>
          <w:szCs w:val="30"/>
          <w:lang w:val="en-US"/>
        </w:rPr>
      </w:pPr>
      <w:r>
        <w:rPr>
          <w:rFonts w:hint="eastAsia" w:ascii="Times New Roman" w:hAnsi="Times New Roman" w:eastAsia="隶书" w:cs="Times New Roman"/>
          <w:shadow/>
          <w:color w:val="000000"/>
          <w:kern w:val="0"/>
          <w:sz w:val="30"/>
          <w:szCs w:val="30"/>
          <w:lang w:val="en-US" w:eastAsia="zh-CN" w:bidi="ar"/>
        </w:rPr>
        <w:t>（报批版）</w:t>
      </w:r>
    </w:p>
    <w:p>
      <w:pPr>
        <w:keepNext w:val="0"/>
        <w:keepLines w:val="0"/>
        <w:widowControl/>
        <w:suppressLineNumbers w:val="0"/>
        <w:spacing w:before="0" w:beforeAutospacing="0" w:after="0" w:afterAutospacing="0"/>
        <w:ind w:left="0" w:right="0"/>
        <w:jc w:val="left"/>
        <w:rPr>
          <w:rFonts w:hint="default" w:ascii="Times New Roman" w:hAnsi="Times New Roman" w:eastAsia="阴影黑体-10Point" w:cs="Times New Roman"/>
          <w:b/>
          <w:shadow/>
          <w:color w:val="000000"/>
          <w:sz w:val="52"/>
          <w:szCs w:val="22"/>
          <w:lang w:val="en-US"/>
        </w:rPr>
      </w:pPr>
    </w:p>
    <w:p>
      <w:pPr>
        <w:keepNext w:val="0"/>
        <w:keepLines w:val="0"/>
        <w:widowControl/>
        <w:suppressLineNumbers w:val="0"/>
        <w:spacing w:before="0" w:beforeAutospacing="0" w:after="0" w:afterAutospacing="0"/>
        <w:ind w:left="0" w:right="0"/>
        <w:jc w:val="left"/>
        <w:rPr>
          <w:rFonts w:hint="default" w:ascii="Times New Roman" w:hAnsi="Times New Roman" w:eastAsia="阴影黑体-10Point" w:cs="Times New Roman"/>
          <w:b/>
          <w:shadow/>
          <w:color w:val="000000"/>
          <w:sz w:val="21"/>
          <w:szCs w:val="24"/>
          <w:lang w:val="en-US"/>
        </w:rPr>
      </w:pPr>
    </w:p>
    <w:p>
      <w:pPr>
        <w:keepNext w:val="0"/>
        <w:keepLines w:val="0"/>
        <w:widowControl/>
        <w:suppressLineNumbers w:val="0"/>
        <w:spacing w:before="0" w:beforeAutospacing="0" w:after="0" w:afterAutospacing="0"/>
        <w:ind w:left="0" w:right="0"/>
        <w:jc w:val="left"/>
        <w:rPr>
          <w:rFonts w:hint="default" w:ascii="Times New Roman" w:hAnsi="Times New Roman" w:eastAsia="阴影黑体-10Point" w:cs="Times New Roman"/>
          <w:b/>
          <w:shadow/>
          <w:color w:val="000000"/>
          <w:lang w:val="en-US"/>
        </w:rPr>
      </w:pPr>
    </w:p>
    <w:p>
      <w:pPr>
        <w:keepNext w:val="0"/>
        <w:keepLines w:val="0"/>
        <w:widowControl/>
        <w:suppressLineNumbers w:val="0"/>
        <w:spacing w:before="0" w:beforeAutospacing="0" w:after="0" w:afterAutospacing="0"/>
        <w:ind w:left="0" w:right="0"/>
        <w:jc w:val="left"/>
        <w:rPr>
          <w:rFonts w:hint="default" w:ascii="Times New Roman" w:hAnsi="Times New Roman" w:eastAsia="阴影黑体-10Point" w:cs="Times New Roman"/>
          <w:b/>
          <w:shadow/>
          <w:color w:val="000000"/>
          <w:sz w:val="32"/>
          <w:szCs w:val="32"/>
          <w:lang w:val="en-US"/>
        </w:rPr>
      </w:pPr>
    </w:p>
    <w:p>
      <w:pPr>
        <w:keepNext w:val="0"/>
        <w:keepLines w:val="0"/>
        <w:widowControl/>
        <w:suppressLineNumbers w:val="0"/>
        <w:spacing w:before="0" w:beforeAutospacing="0" w:after="0" w:afterAutospacing="0"/>
        <w:ind w:left="0" w:right="0"/>
        <w:jc w:val="left"/>
        <w:rPr>
          <w:rFonts w:hint="default" w:ascii="Times New Roman" w:hAnsi="Times New Roman" w:eastAsia="阴影黑体-10Point" w:cs="Times New Roman"/>
          <w:b/>
          <w:shadow/>
          <w:color w:val="000000"/>
          <w:sz w:val="32"/>
          <w:szCs w:val="32"/>
          <w:lang w:val="en-US"/>
        </w:rPr>
      </w:pPr>
    </w:p>
    <w:p>
      <w:pPr>
        <w:keepNext w:val="0"/>
        <w:keepLines w:val="0"/>
        <w:widowControl/>
        <w:suppressLineNumbers w:val="0"/>
        <w:spacing w:before="0" w:beforeAutospacing="0" w:after="0" w:afterAutospacing="0"/>
        <w:ind w:left="0" w:right="0"/>
        <w:jc w:val="left"/>
        <w:rPr>
          <w:rFonts w:hint="default" w:ascii="Times New Roman" w:hAnsi="Times New Roman" w:eastAsia="阴影黑体-10Point" w:cs="Times New Roman"/>
          <w:b/>
          <w:shadow/>
          <w:color w:val="000000"/>
          <w:sz w:val="32"/>
          <w:szCs w:val="32"/>
          <w:lang w:val="en-US"/>
        </w:rPr>
      </w:pPr>
    </w:p>
    <w:p>
      <w:pPr>
        <w:keepNext w:val="0"/>
        <w:keepLines w:val="0"/>
        <w:widowControl/>
        <w:suppressLineNumbers w:val="0"/>
        <w:spacing w:before="0" w:beforeAutospacing="0" w:after="0" w:afterAutospacing="0"/>
        <w:ind w:left="0" w:right="0"/>
        <w:jc w:val="left"/>
        <w:rPr>
          <w:rFonts w:hint="default" w:ascii="Times New Roman" w:hAnsi="Times New Roman" w:eastAsia="阴影黑体-10Point" w:cs="Times New Roman"/>
          <w:b/>
          <w:shadow/>
          <w:color w:val="000000"/>
          <w:sz w:val="32"/>
          <w:szCs w:val="32"/>
          <w:lang w:val="en-US"/>
        </w:rPr>
      </w:pPr>
    </w:p>
    <w:p>
      <w:pPr>
        <w:keepNext w:val="0"/>
        <w:keepLines w:val="0"/>
        <w:widowControl/>
        <w:suppressLineNumbers w:val="0"/>
        <w:spacing w:before="0" w:beforeAutospacing="0" w:after="0" w:afterAutospacing="0"/>
        <w:ind w:left="0" w:right="0"/>
        <w:jc w:val="left"/>
        <w:rPr>
          <w:rFonts w:hint="default" w:ascii="Times New Roman" w:hAnsi="Times New Roman" w:eastAsia="阴影黑体-10Point" w:cs="Times New Roman"/>
          <w:b/>
          <w:shadow/>
          <w:color w:val="000000"/>
          <w:sz w:val="32"/>
          <w:szCs w:val="32"/>
          <w:lang w:val="en-US"/>
        </w:rPr>
      </w:pPr>
    </w:p>
    <w:p>
      <w:pPr>
        <w:keepNext w:val="0"/>
        <w:keepLines w:val="0"/>
        <w:widowControl/>
        <w:suppressLineNumbers w:val="0"/>
        <w:spacing w:before="0" w:beforeAutospacing="0" w:after="0" w:afterAutospacing="0"/>
        <w:ind w:left="0" w:right="0"/>
        <w:jc w:val="left"/>
        <w:rPr>
          <w:rFonts w:hint="default" w:ascii="Times New Roman" w:hAnsi="Times New Roman" w:eastAsia="阴影黑体-10Point" w:cs="Times New Roman"/>
          <w:b/>
          <w:shadow/>
          <w:color w:val="000000"/>
          <w:sz w:val="32"/>
          <w:szCs w:val="32"/>
          <w:lang w:val="en-US"/>
        </w:rPr>
      </w:pPr>
    </w:p>
    <w:p>
      <w:pPr>
        <w:keepNext w:val="0"/>
        <w:keepLines w:val="0"/>
        <w:widowControl/>
        <w:suppressLineNumbers w:val="0"/>
        <w:spacing w:before="0" w:beforeAutospacing="0" w:after="0" w:afterAutospacing="0"/>
        <w:ind w:left="0" w:right="0"/>
        <w:jc w:val="left"/>
        <w:rPr>
          <w:rFonts w:hint="default" w:ascii="Times New Roman" w:hAnsi="Times New Roman" w:eastAsia="阴影黑体-10Point" w:cs="Times New Roman"/>
          <w:b/>
          <w:shadow/>
          <w:color w:val="000000"/>
          <w:sz w:val="32"/>
          <w:szCs w:val="32"/>
          <w:lang w:val="en-US"/>
        </w:rPr>
      </w:pPr>
    </w:p>
    <w:p>
      <w:pPr>
        <w:keepNext w:val="0"/>
        <w:keepLines w:val="0"/>
        <w:widowControl/>
        <w:suppressLineNumbers w:val="0"/>
        <w:spacing w:before="0" w:beforeAutospacing="0" w:after="0" w:afterAutospacing="0"/>
        <w:ind w:left="0" w:right="0"/>
        <w:jc w:val="left"/>
        <w:rPr>
          <w:rFonts w:hint="default" w:ascii="Times New Roman" w:hAnsi="Times New Roman" w:eastAsia="阴影黑体-10Point" w:cs="Times New Roman"/>
          <w:b/>
          <w:shadow/>
          <w:color w:val="000000"/>
          <w:sz w:val="32"/>
          <w:szCs w:val="32"/>
          <w:lang w:val="en-US"/>
        </w:rPr>
      </w:pPr>
    </w:p>
    <w:p>
      <w:pPr>
        <w:keepNext w:val="0"/>
        <w:keepLines w:val="0"/>
        <w:widowControl/>
        <w:suppressLineNumbers w:val="0"/>
        <w:spacing w:before="0" w:beforeAutospacing="0" w:after="0" w:afterAutospacing="0"/>
        <w:ind w:left="0" w:right="0"/>
        <w:jc w:val="center"/>
        <w:rPr>
          <w:rFonts w:hint="default" w:ascii="Times New Roman" w:hAnsi="Times New Roman" w:eastAsia="隶书" w:cs="Times New Roman"/>
          <w:color w:val="000000"/>
          <w:sz w:val="36"/>
          <w:szCs w:val="24"/>
          <w:lang w:val="en-US"/>
        </w:rPr>
      </w:pPr>
      <w:r>
        <w:rPr>
          <w:rFonts w:hint="eastAsia" w:ascii="Times New Roman" w:hAnsi="Times New Roman" w:eastAsia="隶书" w:cs="Times New Roman"/>
          <w:color w:val="000000"/>
          <w:kern w:val="0"/>
          <w:sz w:val="36"/>
          <w:szCs w:val="24"/>
          <w:lang w:val="en-US" w:eastAsia="zh-CN" w:bidi="ar"/>
        </w:rPr>
        <w:t>建设单位：辽宁铧宇废旧金属再生利用有限公司</w:t>
      </w:r>
    </w:p>
    <w:p>
      <w:pPr>
        <w:keepNext w:val="0"/>
        <w:keepLines w:val="0"/>
        <w:widowControl/>
        <w:suppressLineNumbers w:val="0"/>
        <w:spacing w:before="0" w:beforeAutospacing="0" w:after="0" w:afterAutospacing="0"/>
        <w:ind w:left="0" w:right="0"/>
        <w:jc w:val="center"/>
        <w:rPr>
          <w:rFonts w:hint="default" w:ascii="Times New Roman" w:hAnsi="Times New Roman" w:eastAsia="隶书" w:cs="Times New Roman"/>
          <w:color w:val="000000"/>
          <w:sz w:val="36"/>
          <w:szCs w:val="24"/>
          <w:lang w:val="en-US"/>
        </w:rPr>
      </w:pPr>
      <w:r>
        <w:rPr>
          <w:rFonts w:hint="eastAsia" w:ascii="Times New Roman" w:hAnsi="Times New Roman" w:eastAsia="隶书" w:cs="Times New Roman"/>
          <w:color w:val="000000"/>
          <w:kern w:val="0"/>
          <w:sz w:val="36"/>
          <w:szCs w:val="24"/>
          <w:lang w:val="en-US" w:eastAsia="zh-CN" w:bidi="ar"/>
        </w:rPr>
        <w:t>评价单位：中冶焦耐（大连）工程技术有限公司</w:t>
      </w:r>
    </w:p>
    <w:p>
      <w:pPr>
        <w:keepNext w:val="0"/>
        <w:keepLines w:val="0"/>
        <w:widowControl/>
        <w:suppressLineNumbers w:val="0"/>
        <w:spacing w:before="0" w:beforeAutospacing="0" w:after="0" w:afterAutospacing="0"/>
        <w:ind w:left="0" w:right="0"/>
        <w:jc w:val="center"/>
        <w:rPr>
          <w:rFonts w:hint="default" w:ascii="Times New Roman" w:hAnsi="Times New Roman" w:eastAsia="隶书" w:cs="Times New Roman"/>
          <w:color w:val="000000"/>
          <w:sz w:val="36"/>
          <w:szCs w:val="22"/>
          <w:lang w:val="en-US"/>
        </w:rPr>
      </w:pP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2"/>
          <w:lang w:val="en-US"/>
        </w:rPr>
      </w:pPr>
      <w:r>
        <w:rPr>
          <w:rFonts w:hint="default" w:ascii="Times New Roman" w:hAnsi="Times New Roman" w:eastAsia="宋体" w:cs="Times New Roman"/>
          <w:b/>
          <w:bCs w:val="0"/>
          <w:color w:val="000000"/>
          <w:kern w:val="0"/>
          <w:sz w:val="32"/>
          <w:szCs w:val="24"/>
          <w:lang w:val="en-US" w:eastAsia="zh-CN" w:bidi="ar"/>
        </w:rPr>
        <w:t>2020</w:t>
      </w:r>
      <w:r>
        <w:rPr>
          <w:rFonts w:hint="eastAsia" w:ascii="Times New Roman" w:hAnsi="Times New Roman" w:eastAsia="宋体" w:cs="Times New Roman"/>
          <w:b/>
          <w:bCs w:val="0"/>
          <w:color w:val="000000"/>
          <w:kern w:val="0"/>
          <w:sz w:val="32"/>
          <w:szCs w:val="24"/>
          <w:lang w:val="en-US" w:eastAsia="zh-CN" w:bidi="ar"/>
        </w:rPr>
        <w:t>年</w:t>
      </w:r>
      <w:r>
        <w:rPr>
          <w:rFonts w:hint="default" w:ascii="Times New Roman" w:hAnsi="Times New Roman" w:eastAsia="宋体" w:cs="Times New Roman"/>
          <w:b/>
          <w:bCs w:val="0"/>
          <w:color w:val="000000"/>
          <w:kern w:val="0"/>
          <w:sz w:val="32"/>
          <w:szCs w:val="24"/>
          <w:lang w:val="en-US" w:eastAsia="zh-CN" w:bidi="ar"/>
        </w:rPr>
        <w:t>09</w:t>
      </w:r>
      <w:r>
        <w:rPr>
          <w:rFonts w:hint="eastAsia" w:ascii="Times New Roman" w:hAnsi="Times New Roman" w:eastAsia="宋体" w:cs="Times New Roman"/>
          <w:b/>
          <w:bCs w:val="0"/>
          <w:color w:val="000000"/>
          <w:kern w:val="0"/>
          <w:sz w:val="32"/>
          <w:szCs w:val="24"/>
          <w:lang w:val="en-US" w:eastAsia="zh-CN" w:bidi="ar"/>
        </w:rPr>
        <w:t>月</w:t>
      </w:r>
    </w:p>
    <w:p>
      <w:pPr>
        <w:rPr>
          <w:rFonts w:hint="default" w:ascii="Times New Roman" w:hAnsi="Times New Roman" w:eastAsia="宋体" w:cs="Times New Roman"/>
          <w:b/>
          <w:bCs w:val="0"/>
          <w:color w:val="000000"/>
          <w:sz w:val="44"/>
          <w:szCs w:val="44"/>
          <w:lang w:val="en-US" w:eastAsia="zh-CN" w:bidi="ar"/>
        </w:rPr>
        <w:sectPr>
          <w:pgSz w:w="11915" w:h="16840"/>
          <w:pgMar w:top="1702" w:right="1702" w:bottom="1702" w:left="1702" w:header="851" w:footer="1077" w:gutter="0"/>
          <w:paperSrc/>
          <w:pgNumType w:fmt="upperRoman" w:start="1"/>
          <w:cols w:space="425" w:num="1"/>
          <w:docGrid w:type="lines" w:linePitch="479" w:charSpace="0"/>
        </w:sectPr>
      </w:pPr>
    </w:p>
    <w:p>
      <w:pPr>
        <w:pStyle w:val="112"/>
        <w:widowControl/>
        <w:rPr>
          <w:rFonts w:hint="default" w:ascii="Times New Roman" w:hAnsi="Times New Roman" w:cs="Times New Roman"/>
          <w:color w:val="000000"/>
          <w:lang w:val="en-US"/>
        </w:rPr>
      </w:pPr>
      <w:r>
        <w:rPr>
          <w:rFonts w:ascii="Times New Roman" w:hAnsi="Times New Roman" w:cs="Times New Roman"/>
          <w:color w:val="000000"/>
          <w:lang w:eastAsia="zh-CN"/>
        </w:rPr>
        <w:t>目</w:t>
      </w:r>
      <w:r>
        <w:rPr>
          <w:rFonts w:hint="default" w:ascii="Times New Roman" w:hAnsi="Times New Roman" w:cs="Times New Roman"/>
          <w:color w:val="000000"/>
          <w:lang w:val="en-US"/>
        </w:rPr>
        <w:t xml:space="preserve">  </w:t>
      </w:r>
      <w:r>
        <w:rPr>
          <w:rFonts w:ascii="Times New Roman" w:hAnsi="Times New Roman" w:cs="Times New Roman"/>
          <w:color w:val="000000"/>
          <w:lang w:eastAsia="zh-CN"/>
        </w:rPr>
        <w:t>录</w:t>
      </w:r>
    </w:p>
    <w:p>
      <w:pPr>
        <w:pStyle w:val="19"/>
        <w:widowControl/>
        <w:rPr>
          <w:rFonts w:eastAsia="等线"/>
          <w:color w:val="000000"/>
          <w:kern w:val="2"/>
          <w:sz w:val="21"/>
          <w:szCs w:val="22"/>
          <w:lang w:val="en-US"/>
        </w:rPr>
      </w:pPr>
      <w:r>
        <w:rPr>
          <w:color w:val="000000"/>
          <w:lang w:val="en-US"/>
        </w:rPr>
        <w:fldChar w:fldCharType="begin"/>
      </w:r>
      <w:r>
        <w:rPr>
          <w:color w:val="000000"/>
          <w:lang w:val="en-US"/>
        </w:rPr>
        <w:instrText xml:space="preserve"> TOC \o "1-2" \h \z \u </w:instrText>
      </w:r>
      <w:r>
        <w:rPr>
          <w:color w:val="000000"/>
          <w:lang w:val="en-US"/>
        </w:rPr>
        <w:fldChar w:fldCharType="separate"/>
      </w:r>
      <w:r>
        <w:rPr>
          <w:rStyle w:val="38"/>
          <w:lang w:val="en-US"/>
        </w:rPr>
        <w:fldChar w:fldCharType="begin"/>
      </w:r>
      <w:r>
        <w:rPr>
          <w:rStyle w:val="38"/>
          <w:lang w:val="en-US"/>
        </w:rPr>
        <w:instrText xml:space="preserve"> HYPERLINK "file:///C:\\Users\\Administrator\\Desktop\\2020年11月19日（1）铧宇废旧金属\\辽宁铧宇废旧金属再生利用有限公司年处理125万吨菱镁矿石浮选建设项目环评影响报告书（报批稿）(1).doc" \l "_Toc41656111" </w:instrText>
      </w:r>
      <w:r>
        <w:rPr>
          <w:rStyle w:val="38"/>
          <w:lang w:val="en-US"/>
        </w:rPr>
        <w:fldChar w:fldCharType="separate"/>
      </w:r>
      <w:r>
        <w:rPr>
          <w:rStyle w:val="38"/>
          <w:rFonts w:hint="eastAsia" w:ascii="Times New Roman" w:hAnsi="Times New Roman" w:eastAsia="宋体" w:cs="宋体"/>
          <w:color w:val="000000"/>
          <w:u w:val="single"/>
          <w:lang w:val="en-US"/>
        </w:rPr>
        <w:t>概述</w:t>
      </w:r>
      <w:r>
        <w:rPr>
          <w:rStyle w:val="38"/>
          <w:vanish w:val="0"/>
          <w:color w:val="000000"/>
          <w:u w:val="none"/>
          <w:lang w:val="en-US"/>
        </w:rPr>
        <w:tab/>
      </w:r>
      <w:r>
        <w:rPr>
          <w:rStyle w:val="38"/>
          <w:vanish w:val="0"/>
          <w:color w:val="000000"/>
          <w:u w:val="none"/>
          <w:lang w:val="en-US"/>
        </w:rPr>
        <w:fldChar w:fldCharType="begin"/>
      </w:r>
      <w:r>
        <w:rPr>
          <w:rStyle w:val="38"/>
          <w:vanish w:val="0"/>
          <w:color w:val="000000"/>
          <w:u w:val="none"/>
          <w:lang w:val="en-US"/>
        </w:rPr>
        <w:instrText xml:space="preserve"> PAGEREF _Toc41656111 \h </w:instrText>
      </w:r>
      <w:r>
        <w:rPr>
          <w:rStyle w:val="38"/>
          <w:vanish w:val="0"/>
          <w:color w:val="000000"/>
          <w:u w:val="none"/>
          <w:lang w:val="en-US"/>
        </w:rPr>
        <w:fldChar w:fldCharType="separate"/>
      </w:r>
      <w:r>
        <w:rPr>
          <w:rStyle w:val="38"/>
          <w:vanish w:val="0"/>
          <w:color w:val="000000"/>
          <w:u w:val="none"/>
          <w:lang w:val="en-US"/>
        </w:rPr>
        <w:t>I</w:t>
      </w:r>
      <w:r>
        <w:rPr>
          <w:rStyle w:val="38"/>
          <w:vanish w:val="0"/>
          <w:color w:val="000000"/>
          <w:u w:val="none"/>
          <w:lang w:val="en-US"/>
        </w:rPr>
        <w:fldChar w:fldCharType="end"/>
      </w:r>
      <w:r>
        <w:rPr>
          <w:rStyle w:val="38"/>
          <w:lang w:val="en-US"/>
        </w:rPr>
        <w:fldChar w:fldCharType="end"/>
      </w:r>
    </w:p>
    <w:p>
      <w:pPr>
        <w:pStyle w:val="19"/>
        <w:widowControl/>
        <w:rPr>
          <w:rFonts w:eastAsia="等线"/>
          <w:color w:val="000000"/>
          <w:kern w:val="2"/>
          <w:sz w:val="21"/>
          <w:szCs w:val="22"/>
          <w:lang w:val="en-US"/>
        </w:rPr>
      </w:pPr>
      <w:r>
        <w:rPr>
          <w:rStyle w:val="38"/>
          <w:lang w:val="en-US"/>
        </w:rPr>
        <w:fldChar w:fldCharType="begin"/>
      </w:r>
      <w:r>
        <w:rPr>
          <w:rStyle w:val="38"/>
          <w:lang w:val="en-US"/>
        </w:rPr>
        <w:instrText xml:space="preserve"> HYPERLINK "file:///C:\\Users\\Administrator\\Desktop\\2020年11月19日（1）铧宇废旧金属\\辽宁铧宇废旧金属再生利用有限公司年处理125万吨菱镁矿石浮选建设项目环评影响报告书（报批稿）(1).doc" \l "_Toc41656112" </w:instrText>
      </w:r>
      <w:r>
        <w:rPr>
          <w:rStyle w:val="38"/>
          <w:lang w:val="en-US"/>
        </w:rPr>
        <w:fldChar w:fldCharType="separate"/>
      </w:r>
      <w:r>
        <w:rPr>
          <w:rStyle w:val="38"/>
          <w:color w:val="000000"/>
          <w:u w:val="single"/>
          <w:lang w:val="en-US"/>
        </w:rPr>
        <w:t xml:space="preserve">1. </w:t>
      </w:r>
      <w:r>
        <w:rPr>
          <w:rStyle w:val="38"/>
          <w:rFonts w:hint="eastAsia" w:ascii="Times New Roman" w:hAnsi="Times New Roman" w:eastAsia="宋体" w:cs="宋体"/>
          <w:color w:val="000000"/>
          <w:u w:val="single"/>
          <w:lang w:val="en-US"/>
        </w:rPr>
        <w:t>总则</w:t>
      </w:r>
      <w:r>
        <w:rPr>
          <w:rStyle w:val="38"/>
          <w:vanish w:val="0"/>
          <w:color w:val="000000"/>
          <w:u w:val="none"/>
          <w:lang w:val="en-US"/>
        </w:rPr>
        <w:tab/>
      </w:r>
      <w:r>
        <w:rPr>
          <w:rStyle w:val="38"/>
          <w:vanish w:val="0"/>
          <w:color w:val="000000"/>
          <w:u w:val="none"/>
          <w:lang w:val="en-US"/>
        </w:rPr>
        <w:fldChar w:fldCharType="begin"/>
      </w:r>
      <w:r>
        <w:rPr>
          <w:rStyle w:val="38"/>
          <w:vanish w:val="0"/>
          <w:color w:val="000000"/>
          <w:u w:val="none"/>
          <w:lang w:val="en-US"/>
        </w:rPr>
        <w:instrText xml:space="preserve"> PAGEREF _Toc41656112 \h </w:instrText>
      </w:r>
      <w:r>
        <w:rPr>
          <w:rStyle w:val="38"/>
          <w:vanish w:val="0"/>
          <w:color w:val="000000"/>
          <w:u w:val="none"/>
          <w:lang w:val="en-US"/>
        </w:rPr>
        <w:fldChar w:fldCharType="separate"/>
      </w:r>
      <w:r>
        <w:rPr>
          <w:rStyle w:val="38"/>
          <w:vanish w:val="0"/>
          <w:color w:val="000000"/>
          <w:u w:val="none"/>
          <w:lang w:val="en-US"/>
        </w:rPr>
        <w:t>1</w:t>
      </w:r>
      <w:r>
        <w:rPr>
          <w:rStyle w:val="38"/>
          <w:vanish w:val="0"/>
          <w:color w:val="000000"/>
          <w:u w:val="none"/>
          <w:lang w:val="en-US"/>
        </w:rPr>
        <w:fldChar w:fldCharType="end"/>
      </w:r>
      <w:r>
        <w:rPr>
          <w:rStyle w:val="38"/>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"_Toc41656113"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1.1 </w:t>
      </w:r>
      <w:r>
        <w:rPr>
          <w:rStyle w:val="38"/>
          <w:rFonts w:hint="eastAsia" w:ascii="Times New Roman" w:hAnsi="Times New Roman" w:eastAsia="宋体" w:cs="宋体"/>
          <w:b w:val="0"/>
          <w:color w:val="000000"/>
          <w:u w:val="single"/>
          <w:lang w:val="en-US"/>
        </w:rPr>
        <w:t>编制依据</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_Toc41656113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"_Toc41656114" </w:instrText>
      </w:r>
      <w:r>
        <w:rPr>
          <w:rStyle w:val="38"/>
          <w:rFonts w:hint="default" w:ascii="Times New Roman" w:hAnsi="Times New Roman" w:cs="Times New Roman"/>
          <w:b w:val="0"/>
          <w:lang w:val="en-US"/>
        </w:rPr>
        <w:fldChar w:fldCharType="separate"/>
      </w:r>
      <w:r>
        <w:rPr>
          <w:rStyle w:val="38"/>
          <w:rFonts w:hint="default" w:ascii="Times New Roman" w:hAnsi="Times New Roman" w:eastAsia="华文新魏" w:cs="Times New Roman"/>
          <w:b w:val="0"/>
          <w:color w:val="000000"/>
          <w:u w:val="single"/>
          <w:lang w:val="en-US"/>
        </w:rPr>
        <w:t xml:space="preserve">1.2 </w:t>
      </w:r>
      <w:r>
        <w:rPr>
          <w:rStyle w:val="38"/>
          <w:rFonts w:hint="eastAsia" w:ascii="Times New Roman" w:hAnsi="Times New Roman" w:eastAsia="宋体" w:cs="宋体"/>
          <w:b w:val="0"/>
          <w:color w:val="000000"/>
          <w:u w:val="single"/>
          <w:lang w:val="en-US"/>
        </w:rPr>
        <w:t>环境影响因素识别及评价因子</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_Toc41656114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6</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"_Toc41656115"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1.3 </w:t>
      </w:r>
      <w:r>
        <w:rPr>
          <w:rStyle w:val="38"/>
          <w:rFonts w:hint="eastAsia" w:ascii="Times New Roman" w:hAnsi="Times New Roman" w:eastAsia="宋体" w:cs="宋体"/>
          <w:b w:val="0"/>
          <w:color w:val="000000"/>
          <w:u w:val="single"/>
          <w:lang w:val="en-US"/>
        </w:rPr>
        <w:t>环境功能区划</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_Toc41656115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7</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"_Toc41656116"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1.4 </w:t>
      </w:r>
      <w:r>
        <w:rPr>
          <w:rStyle w:val="38"/>
          <w:rFonts w:hint="eastAsia" w:ascii="Times New Roman" w:hAnsi="Times New Roman" w:eastAsia="宋体" w:cs="宋体"/>
          <w:b w:val="0"/>
          <w:color w:val="000000"/>
          <w:u w:val="single"/>
          <w:lang w:val="en-US"/>
        </w:rPr>
        <w:t>评价标准</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_Toc41656116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7</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"_Toc41656117"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1.5 </w:t>
      </w:r>
      <w:r>
        <w:rPr>
          <w:rStyle w:val="38"/>
          <w:rFonts w:hint="eastAsia" w:ascii="Times New Roman" w:hAnsi="Times New Roman" w:eastAsia="宋体" w:cs="宋体"/>
          <w:b w:val="0"/>
          <w:color w:val="000000"/>
          <w:u w:val="single"/>
          <w:lang w:val="en-US"/>
        </w:rPr>
        <w:t>评价等级及范围</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_Toc41656117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10</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"_Toc41656118"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1.6 </w:t>
      </w:r>
      <w:r>
        <w:rPr>
          <w:rStyle w:val="38"/>
          <w:rFonts w:hint="eastAsia" w:ascii="Times New Roman" w:hAnsi="Times New Roman" w:eastAsia="宋体" w:cs="宋体"/>
          <w:b w:val="0"/>
          <w:color w:val="000000"/>
          <w:u w:val="single"/>
          <w:lang w:val="en-US"/>
        </w:rPr>
        <w:t>相关规划及政策符合性分析</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_Toc41656118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20</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"_Toc41656119"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1.7 </w:t>
      </w:r>
      <w:r>
        <w:rPr>
          <w:rStyle w:val="38"/>
          <w:rFonts w:hint="eastAsia" w:ascii="Times New Roman" w:hAnsi="Times New Roman" w:eastAsia="宋体" w:cs="宋体"/>
          <w:b w:val="0"/>
          <w:color w:val="000000"/>
          <w:u w:val="single"/>
          <w:lang w:val="en-US"/>
        </w:rPr>
        <w:t>主要环境保护目标</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_Toc41656119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33</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19"/>
        <w:widowControl/>
        <w:rPr>
          <w:rFonts w:eastAsia="等线"/>
          <w:color w:val="000000"/>
          <w:kern w:val="2"/>
          <w:sz w:val="21"/>
          <w:szCs w:val="22"/>
          <w:lang w:val="en-US"/>
        </w:rPr>
      </w:pPr>
      <w:r>
        <w:rPr>
          <w:rStyle w:val="38"/>
          <w:lang w:val="en-US"/>
        </w:rPr>
        <w:fldChar w:fldCharType="begin"/>
      </w:r>
      <w:r>
        <w:rPr>
          <w:rStyle w:val="38"/>
          <w:lang w:val="en-US"/>
        </w:rPr>
        <w:instrText xml:space="preserve"> HYPERLINK "file:///C:\\Users\\Administrator\\Desktop\\2020年11月19日（1）铧宇废旧金属\\辽宁铧宇废旧金属再生利用有限公司年处理125万吨菱镁矿石浮选建设项目环评影响报告书（报批稿）(1).doc" \l "_Toc41656120" </w:instrText>
      </w:r>
      <w:r>
        <w:rPr>
          <w:rStyle w:val="38"/>
          <w:lang w:val="en-US"/>
        </w:rPr>
        <w:fldChar w:fldCharType="separate"/>
      </w:r>
      <w:r>
        <w:rPr>
          <w:rStyle w:val="38"/>
          <w:color w:val="000000"/>
          <w:u w:val="single"/>
          <w:lang w:val="en-US"/>
        </w:rPr>
        <w:t xml:space="preserve">2. </w:t>
      </w:r>
      <w:r>
        <w:rPr>
          <w:rStyle w:val="38"/>
          <w:rFonts w:hint="eastAsia" w:ascii="Times New Roman" w:hAnsi="Times New Roman" w:eastAsia="宋体" w:cs="宋体"/>
          <w:color w:val="000000"/>
          <w:u w:val="single"/>
          <w:lang w:val="en-US"/>
        </w:rPr>
        <w:t>现有工程概况</w:t>
      </w:r>
      <w:r>
        <w:rPr>
          <w:rStyle w:val="38"/>
          <w:vanish w:val="0"/>
          <w:color w:val="000000"/>
          <w:u w:val="none"/>
          <w:lang w:val="en-US"/>
        </w:rPr>
        <w:tab/>
      </w:r>
      <w:r>
        <w:rPr>
          <w:rStyle w:val="38"/>
          <w:vanish w:val="0"/>
          <w:color w:val="000000"/>
          <w:u w:val="none"/>
          <w:lang w:val="en-US"/>
        </w:rPr>
        <w:fldChar w:fldCharType="begin"/>
      </w:r>
      <w:r>
        <w:rPr>
          <w:rStyle w:val="38"/>
          <w:vanish w:val="0"/>
          <w:color w:val="000000"/>
          <w:u w:val="none"/>
          <w:lang w:val="en-US"/>
        </w:rPr>
        <w:instrText xml:space="preserve"> PAGEREF _Toc41656120 \h </w:instrText>
      </w:r>
      <w:r>
        <w:rPr>
          <w:rStyle w:val="38"/>
          <w:vanish w:val="0"/>
          <w:color w:val="000000"/>
          <w:u w:val="none"/>
          <w:lang w:val="en-US"/>
        </w:rPr>
        <w:fldChar w:fldCharType="separate"/>
      </w:r>
      <w:r>
        <w:rPr>
          <w:rStyle w:val="38"/>
          <w:vanish w:val="0"/>
          <w:color w:val="000000"/>
          <w:u w:val="none"/>
          <w:lang w:val="en-US"/>
        </w:rPr>
        <w:t>36</w:t>
      </w:r>
      <w:r>
        <w:rPr>
          <w:rStyle w:val="38"/>
          <w:vanish w:val="0"/>
          <w:color w:val="000000"/>
          <w:u w:val="none"/>
          <w:lang w:val="en-US"/>
        </w:rPr>
        <w:fldChar w:fldCharType="end"/>
      </w:r>
      <w:r>
        <w:rPr>
          <w:rStyle w:val="38"/>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"_Toc41656121"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2.1 </w:t>
      </w:r>
      <w:r>
        <w:rPr>
          <w:rStyle w:val="38"/>
          <w:rFonts w:hint="eastAsia" w:ascii="Times New Roman" w:hAnsi="Times New Roman" w:eastAsia="宋体" w:cs="宋体"/>
          <w:b w:val="0"/>
          <w:color w:val="000000"/>
          <w:u w:val="single"/>
          <w:lang w:val="en-US"/>
        </w:rPr>
        <w:t>项目概况</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_Toc41656121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36</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"_Toc41656122"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2.2 </w:t>
      </w:r>
      <w:r>
        <w:rPr>
          <w:rStyle w:val="38"/>
          <w:rFonts w:hint="eastAsia" w:ascii="Times New Roman" w:hAnsi="Times New Roman" w:eastAsia="宋体" w:cs="宋体"/>
          <w:b w:val="0"/>
          <w:color w:val="000000"/>
          <w:u w:val="single"/>
          <w:lang w:val="en-US"/>
        </w:rPr>
        <w:t>现有工程产品方案</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_Toc41656122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38</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"_Toc41656123"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2.3 </w:t>
      </w:r>
      <w:r>
        <w:rPr>
          <w:rStyle w:val="38"/>
          <w:rFonts w:hint="eastAsia" w:ascii="Times New Roman" w:hAnsi="Times New Roman" w:eastAsia="宋体" w:cs="宋体"/>
          <w:b w:val="0"/>
          <w:color w:val="000000"/>
          <w:u w:val="single"/>
          <w:lang w:val="en-US"/>
        </w:rPr>
        <w:t>现有工程主要原辅材料</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_Toc41656123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38</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"_Toc41656124"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2.4 </w:t>
      </w:r>
      <w:r>
        <w:rPr>
          <w:rStyle w:val="38"/>
          <w:rFonts w:hint="eastAsia" w:ascii="Times New Roman" w:hAnsi="Times New Roman" w:eastAsia="宋体" w:cs="宋体"/>
          <w:b w:val="0"/>
          <w:color w:val="000000"/>
          <w:u w:val="single"/>
          <w:lang w:val="en-US"/>
        </w:rPr>
        <w:t>现有工程主要生产设备</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_Toc41656124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39</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"_Toc41656125"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2.5 </w:t>
      </w:r>
      <w:r>
        <w:rPr>
          <w:rStyle w:val="38"/>
          <w:rFonts w:hint="eastAsia" w:ascii="Times New Roman" w:hAnsi="Times New Roman" w:eastAsia="宋体" w:cs="宋体"/>
          <w:b w:val="0"/>
          <w:color w:val="000000"/>
          <w:u w:val="single"/>
          <w:lang w:val="en-US"/>
        </w:rPr>
        <w:t>现有工程公辅工程</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_Toc41656125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39</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"_Toc41656126"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2.6 </w:t>
      </w:r>
      <w:r>
        <w:rPr>
          <w:rStyle w:val="38"/>
          <w:rFonts w:hint="eastAsia" w:ascii="Times New Roman" w:hAnsi="Times New Roman" w:eastAsia="宋体" w:cs="宋体"/>
          <w:b w:val="0"/>
          <w:color w:val="000000"/>
          <w:u w:val="single"/>
          <w:lang w:val="en-US"/>
        </w:rPr>
        <w:t>现有工程生产工艺简述</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_Toc41656126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41</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"_Toc41656127"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2.7 </w:t>
      </w:r>
      <w:r>
        <w:rPr>
          <w:rStyle w:val="38"/>
          <w:rFonts w:hint="eastAsia" w:ascii="Times New Roman" w:hAnsi="Times New Roman" w:eastAsia="宋体" w:cs="宋体"/>
          <w:b w:val="0"/>
          <w:color w:val="000000"/>
          <w:u w:val="single"/>
          <w:lang w:val="en-US"/>
        </w:rPr>
        <w:t>现有工程劳动定员与工作制度</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_Toc41656127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42</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"_Toc41656128"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2.8 </w:t>
      </w:r>
      <w:r>
        <w:rPr>
          <w:rStyle w:val="38"/>
          <w:rFonts w:hint="eastAsia" w:ascii="Times New Roman" w:hAnsi="Times New Roman" w:eastAsia="宋体" w:cs="宋体"/>
          <w:b w:val="0"/>
          <w:color w:val="000000"/>
          <w:u w:val="single"/>
          <w:lang w:val="en-US"/>
        </w:rPr>
        <w:t>现有工程污染源及环保治理措施</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_Toc41656128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42</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"_Toc41656129"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2.9 </w:t>
      </w:r>
      <w:r>
        <w:rPr>
          <w:rStyle w:val="38"/>
          <w:rFonts w:hint="eastAsia" w:ascii="Times New Roman" w:hAnsi="Times New Roman" w:eastAsia="宋体" w:cs="宋体"/>
          <w:b w:val="0"/>
          <w:color w:val="000000"/>
          <w:u w:val="single"/>
          <w:lang w:val="en-US"/>
        </w:rPr>
        <w:t>现有工程污染物排放量汇总</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_Toc41656129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43</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"_Toc41656130"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2.10 </w:t>
      </w:r>
      <w:r>
        <w:rPr>
          <w:rStyle w:val="38"/>
          <w:rFonts w:hint="eastAsia" w:ascii="Times New Roman" w:hAnsi="Times New Roman" w:eastAsia="宋体" w:cs="宋体"/>
          <w:b w:val="0"/>
          <w:color w:val="000000"/>
          <w:u w:val="single"/>
          <w:lang w:val="en-US"/>
        </w:rPr>
        <w:t>现有环保问题及</w:t>
      </w:r>
      <w:r>
        <w:rPr>
          <w:rStyle w:val="38"/>
          <w:rFonts w:hint="default" w:ascii="Times New Roman" w:hAnsi="Times New Roman" w:cs="Times New Roman"/>
          <w:b w:val="0"/>
          <w:color w:val="000000"/>
          <w:u w:val="single"/>
          <w:lang w:val="en-US"/>
        </w:rPr>
        <w:t>“</w:t>
      </w:r>
      <w:r>
        <w:rPr>
          <w:rStyle w:val="38"/>
          <w:rFonts w:hint="eastAsia" w:ascii="Times New Roman" w:hAnsi="Times New Roman" w:eastAsia="宋体" w:cs="宋体"/>
          <w:b w:val="0"/>
          <w:color w:val="000000"/>
          <w:u w:val="single"/>
          <w:lang w:val="en-US"/>
        </w:rPr>
        <w:t>以新带老</w:t>
      </w:r>
      <w:r>
        <w:rPr>
          <w:rStyle w:val="38"/>
          <w:rFonts w:hint="default" w:ascii="Times New Roman" w:hAnsi="Times New Roman" w:cs="Times New Roman"/>
          <w:b w:val="0"/>
          <w:color w:val="000000"/>
          <w:u w:val="single"/>
          <w:lang w:val="en-US"/>
        </w:rPr>
        <w:t>”</w:t>
      </w:r>
      <w:r>
        <w:rPr>
          <w:rStyle w:val="38"/>
          <w:rFonts w:hint="eastAsia" w:ascii="Times New Roman" w:hAnsi="Times New Roman" w:eastAsia="宋体" w:cs="宋体"/>
          <w:b w:val="0"/>
          <w:color w:val="000000"/>
          <w:u w:val="single"/>
          <w:lang w:val="en-US"/>
        </w:rPr>
        <w:t>整改措施</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_Toc41656130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44</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19"/>
        <w:widowControl/>
        <w:rPr>
          <w:rFonts w:eastAsia="等线"/>
          <w:color w:val="000000"/>
          <w:kern w:val="2"/>
          <w:sz w:val="21"/>
          <w:szCs w:val="22"/>
          <w:lang w:val="en-US"/>
        </w:rPr>
      </w:pPr>
      <w:r>
        <w:rPr>
          <w:rStyle w:val="38"/>
          <w:lang w:val="en-US"/>
        </w:rPr>
        <w:fldChar w:fldCharType="begin"/>
      </w:r>
      <w:r>
        <w:rPr>
          <w:rStyle w:val="38"/>
          <w:lang w:val="en-US"/>
        </w:rPr>
        <w:instrText xml:space="preserve"> HYPERLINK "file:///C:\\Users\\Administrator\\Desktop\\2020年11月19日（1）铧宇废旧金属\\辽宁铧宇废旧金属再生利用有限公司年处理125万吨菱镁矿石浮选建设项目环评影响报告书（报批稿）(1).doc" \l "_Toc41656131" </w:instrText>
      </w:r>
      <w:r>
        <w:rPr>
          <w:rStyle w:val="38"/>
          <w:lang w:val="en-US"/>
        </w:rPr>
        <w:fldChar w:fldCharType="separate"/>
      </w:r>
      <w:r>
        <w:rPr>
          <w:rStyle w:val="38"/>
          <w:color w:val="000000"/>
          <w:u w:val="single"/>
          <w:lang w:val="en-US"/>
        </w:rPr>
        <w:t xml:space="preserve">3. </w:t>
      </w:r>
      <w:r>
        <w:rPr>
          <w:rStyle w:val="38"/>
          <w:rFonts w:hint="eastAsia" w:ascii="Times New Roman" w:hAnsi="Times New Roman" w:eastAsia="宋体" w:cs="宋体"/>
          <w:color w:val="000000"/>
          <w:u w:val="single"/>
          <w:lang w:val="en-US"/>
        </w:rPr>
        <w:t>工程分析</w:t>
      </w:r>
      <w:r>
        <w:rPr>
          <w:rStyle w:val="38"/>
          <w:vanish w:val="0"/>
          <w:color w:val="000000"/>
          <w:u w:val="none"/>
          <w:lang w:val="en-US"/>
        </w:rPr>
        <w:tab/>
      </w:r>
      <w:r>
        <w:rPr>
          <w:rStyle w:val="38"/>
          <w:vanish w:val="0"/>
          <w:color w:val="000000"/>
          <w:u w:val="none"/>
          <w:lang w:val="en-US"/>
        </w:rPr>
        <w:fldChar w:fldCharType="begin"/>
      </w:r>
      <w:r>
        <w:rPr>
          <w:rStyle w:val="38"/>
          <w:vanish w:val="0"/>
          <w:color w:val="000000"/>
          <w:u w:val="none"/>
          <w:lang w:val="en-US"/>
        </w:rPr>
        <w:instrText xml:space="preserve"> PAGEREF _Toc41656131 \h </w:instrText>
      </w:r>
      <w:r>
        <w:rPr>
          <w:rStyle w:val="38"/>
          <w:vanish w:val="0"/>
          <w:color w:val="000000"/>
          <w:u w:val="none"/>
          <w:lang w:val="en-US"/>
        </w:rPr>
        <w:fldChar w:fldCharType="separate"/>
      </w:r>
      <w:r>
        <w:rPr>
          <w:rStyle w:val="38"/>
          <w:vanish w:val="0"/>
          <w:color w:val="000000"/>
          <w:u w:val="none"/>
          <w:lang w:val="en-US"/>
        </w:rPr>
        <w:t>46</w:t>
      </w:r>
      <w:r>
        <w:rPr>
          <w:rStyle w:val="38"/>
          <w:vanish w:val="0"/>
          <w:color w:val="000000"/>
          <w:u w:val="none"/>
          <w:lang w:val="en-US"/>
        </w:rPr>
        <w:fldChar w:fldCharType="end"/>
      </w:r>
      <w:r>
        <w:rPr>
          <w:rStyle w:val="38"/>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"_Toc41656132"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3.1 </w:t>
      </w:r>
      <w:r>
        <w:rPr>
          <w:rStyle w:val="38"/>
          <w:rFonts w:hint="eastAsia" w:ascii="Times New Roman" w:hAnsi="Times New Roman" w:eastAsia="宋体" w:cs="宋体"/>
          <w:b w:val="0"/>
          <w:color w:val="000000"/>
          <w:u w:val="single"/>
          <w:lang w:val="en-US"/>
        </w:rPr>
        <w:t>建设项目概况</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_Toc41656132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46</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"_Toc41656133"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3.2 </w:t>
      </w:r>
      <w:r>
        <w:rPr>
          <w:rStyle w:val="38"/>
          <w:rFonts w:hint="eastAsia" w:ascii="Times New Roman" w:hAnsi="Times New Roman" w:eastAsia="宋体" w:cs="宋体"/>
          <w:b w:val="0"/>
          <w:color w:val="000000"/>
          <w:u w:val="single"/>
          <w:lang w:val="en-US"/>
        </w:rPr>
        <w:t>影响因素分析</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_Toc41656133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57</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"_Toc41656134"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3.3 </w:t>
      </w:r>
      <w:r>
        <w:rPr>
          <w:rStyle w:val="38"/>
          <w:rFonts w:hint="eastAsia" w:ascii="Times New Roman" w:hAnsi="Times New Roman" w:eastAsia="宋体" w:cs="宋体"/>
          <w:b w:val="0"/>
          <w:color w:val="000000"/>
          <w:u w:val="single"/>
          <w:lang w:val="en-US"/>
        </w:rPr>
        <w:t>主要污染源、污染物及控制措施</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_Toc41656134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64</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"_Toc41656135"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3.4 </w:t>
      </w:r>
      <w:r>
        <w:rPr>
          <w:rStyle w:val="38"/>
          <w:rFonts w:hint="eastAsia" w:ascii="Times New Roman" w:hAnsi="Times New Roman" w:eastAsia="宋体" w:cs="宋体"/>
          <w:b w:val="0"/>
          <w:color w:val="000000"/>
          <w:u w:val="single"/>
          <w:lang w:val="en-US"/>
        </w:rPr>
        <w:t>污染物排放情况</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_Toc41656135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85</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19"/>
        <w:widowControl/>
        <w:rPr>
          <w:rFonts w:eastAsia="等线"/>
          <w:color w:val="000000"/>
          <w:kern w:val="2"/>
          <w:sz w:val="21"/>
          <w:szCs w:val="22"/>
          <w:lang w:val="en-US"/>
        </w:rPr>
      </w:pPr>
      <w:r>
        <w:rPr>
          <w:rStyle w:val="38"/>
          <w:lang w:val="en-US"/>
        </w:rPr>
        <w:fldChar w:fldCharType="begin"/>
      </w:r>
      <w:r>
        <w:rPr>
          <w:rStyle w:val="38"/>
          <w:lang w:val="en-US"/>
        </w:rPr>
        <w:instrText xml:space="preserve"> HYPERLINK "file:///C:\\Users\\Administrator\\Desktop\\2020年11月19日（1）铧宇废旧金属\\辽宁铧宇废旧金属再生利用有限公司年处理125万吨菱镁矿石浮选建设项目环评影响报告书（报批稿）(1).doc" \l "_Toc41656136" </w:instrText>
      </w:r>
      <w:r>
        <w:rPr>
          <w:rStyle w:val="38"/>
          <w:lang w:val="en-US"/>
        </w:rPr>
        <w:fldChar w:fldCharType="separate"/>
      </w:r>
      <w:r>
        <w:rPr>
          <w:rStyle w:val="38"/>
          <w:color w:val="000000"/>
          <w:u w:val="single"/>
          <w:lang w:val="en-US"/>
        </w:rPr>
        <w:t xml:space="preserve">4. </w:t>
      </w:r>
      <w:r>
        <w:rPr>
          <w:rStyle w:val="38"/>
          <w:rFonts w:hint="eastAsia" w:ascii="Times New Roman" w:hAnsi="Times New Roman" w:eastAsia="宋体" w:cs="宋体"/>
          <w:color w:val="000000"/>
          <w:u w:val="single"/>
          <w:lang w:val="en-US"/>
        </w:rPr>
        <w:t>环境现状调查与评价</w:t>
      </w:r>
      <w:r>
        <w:rPr>
          <w:rStyle w:val="38"/>
          <w:vanish w:val="0"/>
          <w:color w:val="000000"/>
          <w:u w:val="none"/>
          <w:lang w:val="en-US"/>
        </w:rPr>
        <w:tab/>
      </w:r>
      <w:r>
        <w:rPr>
          <w:rStyle w:val="38"/>
          <w:vanish w:val="0"/>
          <w:color w:val="000000"/>
          <w:u w:val="none"/>
          <w:lang w:val="en-US"/>
        </w:rPr>
        <w:fldChar w:fldCharType="begin"/>
      </w:r>
      <w:r>
        <w:rPr>
          <w:rStyle w:val="38"/>
          <w:vanish w:val="0"/>
          <w:color w:val="000000"/>
          <w:u w:val="none"/>
          <w:lang w:val="en-US"/>
        </w:rPr>
        <w:instrText xml:space="preserve"> PAGEREF _Toc41656136 \h </w:instrText>
      </w:r>
      <w:r>
        <w:rPr>
          <w:rStyle w:val="38"/>
          <w:vanish w:val="0"/>
          <w:color w:val="000000"/>
          <w:u w:val="none"/>
          <w:lang w:val="en-US"/>
        </w:rPr>
        <w:fldChar w:fldCharType="separate"/>
      </w:r>
      <w:r>
        <w:rPr>
          <w:rStyle w:val="38"/>
          <w:vanish w:val="0"/>
          <w:color w:val="000000"/>
          <w:u w:val="none"/>
          <w:lang w:val="en-US"/>
        </w:rPr>
        <w:t>88</w:t>
      </w:r>
      <w:r>
        <w:rPr>
          <w:rStyle w:val="38"/>
          <w:vanish w:val="0"/>
          <w:color w:val="000000"/>
          <w:u w:val="none"/>
          <w:lang w:val="en-US"/>
        </w:rPr>
        <w:fldChar w:fldCharType="end"/>
      </w:r>
      <w:r>
        <w:rPr>
          <w:rStyle w:val="38"/>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"_Toc41656137" </w:instrText>
      </w:r>
      <w:r>
        <w:rPr>
          <w:rStyle w:val="38"/>
          <w:rFonts w:hint="default" w:ascii="Times New Roman" w:hAnsi="Times New Roman" w:cs="Times New Roman"/>
          <w:b w:val="0"/>
          <w:lang w:val="en-US"/>
        </w:rPr>
        <w:fldChar w:fldCharType="separate"/>
      </w:r>
      <w:r>
        <w:rPr>
          <w:rStyle w:val="38"/>
          <w:rFonts w:hint="default" w:ascii="Times New Roman" w:hAnsi="Times New Roman" w:eastAsia="华文新魏" w:cs="Times New Roman"/>
          <w:b w:val="0"/>
          <w:color w:val="000000"/>
          <w:u w:val="single"/>
          <w:lang w:val="en-US"/>
        </w:rPr>
        <w:t xml:space="preserve">4.1 </w:t>
      </w:r>
      <w:r>
        <w:rPr>
          <w:rStyle w:val="38"/>
          <w:rFonts w:hint="eastAsia" w:ascii="Times New Roman" w:hAnsi="Times New Roman" w:eastAsia="宋体" w:cs="宋体"/>
          <w:b w:val="0"/>
          <w:color w:val="000000"/>
          <w:u w:val="single"/>
          <w:lang w:val="en-US"/>
        </w:rPr>
        <w:t>自然环境概况</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_Toc41656137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88</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"_Toc41656138"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4.2 </w:t>
      </w:r>
      <w:r>
        <w:rPr>
          <w:rStyle w:val="38"/>
          <w:rFonts w:hint="eastAsia" w:ascii="Times New Roman" w:hAnsi="Times New Roman" w:eastAsia="宋体" w:cs="宋体"/>
          <w:b w:val="0"/>
          <w:color w:val="000000"/>
          <w:u w:val="single"/>
          <w:lang w:val="en-US"/>
        </w:rPr>
        <w:t>环境质量现状调查</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_Toc41656138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92</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"_Toc41656139"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4.3 </w:t>
      </w:r>
      <w:r>
        <w:rPr>
          <w:rStyle w:val="38"/>
          <w:rFonts w:hint="eastAsia" w:ascii="Times New Roman" w:hAnsi="Times New Roman" w:eastAsia="宋体" w:cs="宋体"/>
          <w:b w:val="0"/>
          <w:color w:val="000000"/>
          <w:u w:val="single"/>
          <w:lang w:val="en-US"/>
        </w:rPr>
        <w:t>区域污染源调查</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_Toc41656139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104</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19"/>
        <w:widowControl/>
        <w:rPr>
          <w:rFonts w:eastAsia="等线"/>
          <w:color w:val="000000"/>
          <w:kern w:val="2"/>
          <w:sz w:val="21"/>
          <w:szCs w:val="22"/>
          <w:lang w:val="en-US"/>
        </w:rPr>
      </w:pPr>
      <w:r>
        <w:rPr>
          <w:rStyle w:val="38"/>
          <w:lang w:val="en-US"/>
        </w:rPr>
        <w:fldChar w:fldCharType="begin"/>
      </w:r>
      <w:r>
        <w:rPr>
          <w:rStyle w:val="38"/>
          <w:lang w:val="en-US"/>
        </w:rPr>
        <w:instrText xml:space="preserve"> HYPERLINK "file:///C:\\Users\\Administrator\\Desktop\\2020年11月19日（1）铧宇废旧金属\\辽宁铧宇废旧金属再生利用有限公司年处理125万吨菱镁矿石浮选建设项目环评影响报告书（报批稿）(1).doc" \l "_Toc41656140" </w:instrText>
      </w:r>
      <w:r>
        <w:rPr>
          <w:rStyle w:val="38"/>
          <w:lang w:val="en-US"/>
        </w:rPr>
        <w:fldChar w:fldCharType="separate"/>
      </w:r>
      <w:r>
        <w:rPr>
          <w:rStyle w:val="38"/>
          <w:color w:val="000000"/>
          <w:u w:val="single"/>
          <w:lang w:val="en-US"/>
        </w:rPr>
        <w:t xml:space="preserve">5. </w:t>
      </w:r>
      <w:r>
        <w:rPr>
          <w:rStyle w:val="38"/>
          <w:rFonts w:hint="eastAsia" w:ascii="Times New Roman" w:hAnsi="Times New Roman" w:eastAsia="宋体" w:cs="宋体"/>
          <w:color w:val="000000"/>
          <w:u w:val="single"/>
          <w:lang w:val="en-US"/>
        </w:rPr>
        <w:t>环境影响预测与评价</w:t>
      </w:r>
      <w:r>
        <w:rPr>
          <w:rStyle w:val="38"/>
          <w:vanish w:val="0"/>
          <w:color w:val="000000"/>
          <w:u w:val="none"/>
          <w:lang w:val="en-US"/>
        </w:rPr>
        <w:tab/>
      </w:r>
      <w:r>
        <w:rPr>
          <w:rStyle w:val="38"/>
          <w:vanish w:val="0"/>
          <w:color w:val="000000"/>
          <w:u w:val="none"/>
          <w:lang w:val="en-US"/>
        </w:rPr>
        <w:fldChar w:fldCharType="begin"/>
      </w:r>
      <w:r>
        <w:rPr>
          <w:rStyle w:val="38"/>
          <w:vanish w:val="0"/>
          <w:color w:val="000000"/>
          <w:u w:val="none"/>
          <w:lang w:val="en-US"/>
        </w:rPr>
        <w:instrText xml:space="preserve"> PAGEREF _Toc41656140 \h </w:instrText>
      </w:r>
      <w:r>
        <w:rPr>
          <w:rStyle w:val="38"/>
          <w:vanish w:val="0"/>
          <w:color w:val="000000"/>
          <w:u w:val="none"/>
          <w:lang w:val="en-US"/>
        </w:rPr>
        <w:fldChar w:fldCharType="separate"/>
      </w:r>
      <w:r>
        <w:rPr>
          <w:rStyle w:val="38"/>
          <w:vanish w:val="0"/>
          <w:color w:val="000000"/>
          <w:u w:val="none"/>
          <w:lang w:val="en-US"/>
        </w:rPr>
        <w:t>105</w:t>
      </w:r>
      <w:r>
        <w:rPr>
          <w:rStyle w:val="38"/>
          <w:vanish w:val="0"/>
          <w:color w:val="000000"/>
          <w:u w:val="none"/>
          <w:lang w:val="en-US"/>
        </w:rPr>
        <w:fldChar w:fldCharType="end"/>
      </w:r>
      <w:r>
        <w:rPr>
          <w:rStyle w:val="38"/>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"_Toc41656141"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5.1 </w:t>
      </w:r>
      <w:r>
        <w:rPr>
          <w:rStyle w:val="38"/>
          <w:rFonts w:hint="eastAsia" w:ascii="Times New Roman" w:hAnsi="Times New Roman" w:eastAsia="宋体" w:cs="宋体"/>
          <w:b w:val="0"/>
          <w:color w:val="000000"/>
          <w:u w:val="single"/>
          <w:lang w:val="en-US"/>
        </w:rPr>
        <w:t>施工期环境影响评价</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_Toc41656141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105</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"_Toc41656142"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5.2 </w:t>
      </w:r>
      <w:r>
        <w:rPr>
          <w:rStyle w:val="38"/>
          <w:rFonts w:hint="eastAsia" w:ascii="Times New Roman" w:hAnsi="Times New Roman" w:eastAsia="宋体" w:cs="宋体"/>
          <w:b w:val="0"/>
          <w:color w:val="000000"/>
          <w:u w:val="single"/>
          <w:lang w:val="en-US"/>
        </w:rPr>
        <w:t>运营期大气环境影响预测与评价</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_Toc41656142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108</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"_Toc41656143"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5.3 </w:t>
      </w:r>
      <w:r>
        <w:rPr>
          <w:rStyle w:val="38"/>
          <w:rFonts w:hint="eastAsia" w:ascii="Times New Roman" w:hAnsi="Times New Roman" w:eastAsia="宋体" w:cs="宋体"/>
          <w:b w:val="0"/>
          <w:color w:val="000000"/>
          <w:u w:val="single"/>
          <w:lang w:val="en-US"/>
        </w:rPr>
        <w:t>运营期噪声影响预测与评价</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_Toc41656143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132</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"_Toc41656144"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5.4 </w:t>
      </w:r>
      <w:r>
        <w:rPr>
          <w:rStyle w:val="38"/>
          <w:rFonts w:hint="eastAsia" w:ascii="Times New Roman" w:hAnsi="Times New Roman" w:eastAsia="宋体" w:cs="宋体"/>
          <w:b w:val="0"/>
          <w:color w:val="000000"/>
          <w:u w:val="single"/>
          <w:lang w:val="en-US"/>
        </w:rPr>
        <w:t>运营期地表水环境影响分析</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_Toc41656144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139</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"_Toc41656145"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5.5 </w:t>
      </w:r>
      <w:r>
        <w:rPr>
          <w:rStyle w:val="38"/>
          <w:rFonts w:hint="eastAsia" w:ascii="Times New Roman" w:hAnsi="Times New Roman" w:eastAsia="宋体" w:cs="宋体"/>
          <w:b w:val="0"/>
          <w:color w:val="000000"/>
          <w:u w:val="single"/>
          <w:lang w:val="en-US"/>
        </w:rPr>
        <w:t>运营期地下水环境影响分析</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_Toc41656145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140</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"_Toc41656146"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5.6 </w:t>
      </w:r>
      <w:r>
        <w:rPr>
          <w:rStyle w:val="38"/>
          <w:rFonts w:hint="eastAsia" w:ascii="Times New Roman" w:hAnsi="Times New Roman" w:eastAsia="宋体" w:cs="宋体"/>
          <w:b w:val="0"/>
          <w:color w:val="000000"/>
          <w:u w:val="single"/>
          <w:lang w:val="en-US"/>
        </w:rPr>
        <w:t>运营期固体废物环境影响分析</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_Toc41656146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143</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"_Toc41656147"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5.7 </w:t>
      </w:r>
      <w:r>
        <w:rPr>
          <w:rStyle w:val="38"/>
          <w:rFonts w:hint="eastAsia" w:ascii="Times New Roman" w:hAnsi="Times New Roman" w:eastAsia="宋体" w:cs="宋体"/>
          <w:b w:val="0"/>
          <w:color w:val="000000"/>
          <w:u w:val="single"/>
          <w:lang w:val="en-US"/>
        </w:rPr>
        <w:t>环境风险评价</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_Toc41656147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147</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19"/>
        <w:widowControl/>
        <w:rPr>
          <w:rFonts w:eastAsia="等线"/>
          <w:color w:val="000000"/>
          <w:kern w:val="2"/>
          <w:sz w:val="21"/>
          <w:szCs w:val="22"/>
          <w:lang w:val="en-US"/>
        </w:rPr>
      </w:pPr>
      <w:r>
        <w:rPr>
          <w:rStyle w:val="38"/>
          <w:lang w:val="en-US"/>
        </w:rPr>
        <w:fldChar w:fldCharType="begin"/>
      </w:r>
      <w:r>
        <w:rPr>
          <w:rStyle w:val="38"/>
          <w:lang w:val="en-US"/>
        </w:rPr>
        <w:instrText xml:space="preserve"> HYPERLINK "file:///C:\\Users\\Administrator\\Desktop\\2020年11月19日（1）铧宇废旧金属\\辽宁铧宇废旧金属再生利用有限公司年处理125万吨菱镁矿石浮选建设项目环评影响报告书（报批稿）(1).doc" \l "_Toc41656148" </w:instrText>
      </w:r>
      <w:r>
        <w:rPr>
          <w:rStyle w:val="38"/>
          <w:lang w:val="en-US"/>
        </w:rPr>
        <w:fldChar w:fldCharType="separate"/>
      </w:r>
      <w:r>
        <w:rPr>
          <w:rStyle w:val="38"/>
          <w:color w:val="000000"/>
          <w:u w:val="single"/>
          <w:lang w:val="en-US"/>
        </w:rPr>
        <w:t xml:space="preserve">6. </w:t>
      </w:r>
      <w:r>
        <w:rPr>
          <w:rStyle w:val="38"/>
          <w:rFonts w:hint="eastAsia" w:ascii="Times New Roman" w:hAnsi="Times New Roman" w:eastAsia="宋体" w:cs="宋体"/>
          <w:color w:val="000000"/>
          <w:u w:val="single"/>
          <w:lang w:val="en-US"/>
        </w:rPr>
        <w:t>环境保护措施及其可行性论证</w:t>
      </w:r>
      <w:r>
        <w:rPr>
          <w:rStyle w:val="38"/>
          <w:vanish w:val="0"/>
          <w:color w:val="000000"/>
          <w:u w:val="none"/>
          <w:lang w:val="en-US"/>
        </w:rPr>
        <w:tab/>
      </w:r>
      <w:r>
        <w:rPr>
          <w:rStyle w:val="38"/>
          <w:vanish w:val="0"/>
          <w:color w:val="000000"/>
          <w:u w:val="none"/>
          <w:lang w:val="en-US"/>
        </w:rPr>
        <w:fldChar w:fldCharType="begin"/>
      </w:r>
      <w:r>
        <w:rPr>
          <w:rStyle w:val="38"/>
          <w:vanish w:val="0"/>
          <w:color w:val="000000"/>
          <w:u w:val="none"/>
          <w:lang w:val="en-US"/>
        </w:rPr>
        <w:instrText xml:space="preserve"> PAGEREF _Toc41656148 \h </w:instrText>
      </w:r>
      <w:r>
        <w:rPr>
          <w:rStyle w:val="38"/>
          <w:vanish w:val="0"/>
          <w:color w:val="000000"/>
          <w:u w:val="none"/>
          <w:lang w:val="en-US"/>
        </w:rPr>
        <w:fldChar w:fldCharType="separate"/>
      </w:r>
      <w:r>
        <w:rPr>
          <w:rStyle w:val="38"/>
          <w:vanish w:val="0"/>
          <w:color w:val="000000"/>
          <w:u w:val="none"/>
          <w:lang w:val="en-US"/>
        </w:rPr>
        <w:t>153</w:t>
      </w:r>
      <w:r>
        <w:rPr>
          <w:rStyle w:val="38"/>
          <w:vanish w:val="0"/>
          <w:color w:val="000000"/>
          <w:u w:val="none"/>
          <w:lang w:val="en-US"/>
        </w:rPr>
        <w:fldChar w:fldCharType="end"/>
      </w:r>
      <w:r>
        <w:rPr>
          <w:rStyle w:val="38"/>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"_Toc41656149"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6.1 </w:t>
      </w:r>
      <w:r>
        <w:rPr>
          <w:rStyle w:val="38"/>
          <w:rFonts w:hint="eastAsia" w:ascii="Times New Roman" w:hAnsi="Times New Roman" w:eastAsia="宋体" w:cs="宋体"/>
          <w:b w:val="0"/>
          <w:color w:val="000000"/>
          <w:u w:val="single"/>
          <w:lang w:val="en-US"/>
        </w:rPr>
        <w:t>施工期污染防治措施</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_Toc41656149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153</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"_Toc41656150"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6.2 </w:t>
      </w:r>
      <w:r>
        <w:rPr>
          <w:rStyle w:val="38"/>
          <w:rFonts w:hint="eastAsia" w:ascii="Times New Roman" w:hAnsi="Times New Roman" w:eastAsia="宋体" w:cs="宋体"/>
          <w:b w:val="0"/>
          <w:color w:val="000000"/>
          <w:u w:val="single"/>
          <w:lang w:val="en-US"/>
        </w:rPr>
        <w:t>营运期环境保护措施及可行性分析</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_Toc41656150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156</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"_Toc41656151"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6.3 “</w:t>
      </w:r>
      <w:r>
        <w:rPr>
          <w:rStyle w:val="38"/>
          <w:rFonts w:hint="eastAsia" w:ascii="Times New Roman" w:hAnsi="Times New Roman" w:eastAsia="宋体" w:cs="宋体"/>
          <w:b w:val="0"/>
          <w:color w:val="000000"/>
          <w:u w:val="single"/>
          <w:lang w:val="en-US"/>
        </w:rPr>
        <w:t>三同时</w:t>
      </w:r>
      <w:r>
        <w:rPr>
          <w:rStyle w:val="38"/>
          <w:rFonts w:hint="default" w:ascii="Times New Roman" w:hAnsi="Times New Roman" w:cs="Times New Roman"/>
          <w:b w:val="0"/>
          <w:color w:val="000000"/>
          <w:u w:val="single"/>
          <w:lang w:val="en-US"/>
        </w:rPr>
        <w:t>”</w:t>
      </w:r>
      <w:r>
        <w:rPr>
          <w:rStyle w:val="38"/>
          <w:rFonts w:hint="eastAsia" w:ascii="Times New Roman" w:hAnsi="Times New Roman" w:eastAsia="宋体" w:cs="宋体"/>
          <w:b w:val="0"/>
          <w:color w:val="000000"/>
          <w:u w:val="single"/>
          <w:lang w:val="en-US"/>
        </w:rPr>
        <w:t>验收要求</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_Toc41656151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168</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"_Toc41656152"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6.4 </w:t>
      </w:r>
      <w:r>
        <w:rPr>
          <w:rStyle w:val="38"/>
          <w:rFonts w:hint="eastAsia" w:ascii="Times New Roman" w:hAnsi="Times New Roman" w:eastAsia="宋体" w:cs="宋体"/>
          <w:b w:val="0"/>
          <w:color w:val="000000"/>
          <w:u w:val="single"/>
          <w:lang w:val="en-US"/>
        </w:rPr>
        <w:t>环保投资概算</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_Toc41656152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169</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19"/>
        <w:widowControl/>
        <w:rPr>
          <w:rFonts w:eastAsia="等线"/>
          <w:color w:val="000000"/>
          <w:kern w:val="2"/>
          <w:sz w:val="21"/>
          <w:szCs w:val="22"/>
          <w:lang w:val="en-US"/>
        </w:rPr>
      </w:pPr>
      <w:r>
        <w:rPr>
          <w:rStyle w:val="38"/>
          <w:lang w:val="en-US"/>
        </w:rPr>
        <w:fldChar w:fldCharType="begin"/>
      </w:r>
      <w:r>
        <w:rPr>
          <w:rStyle w:val="38"/>
          <w:lang w:val="en-US"/>
        </w:rPr>
        <w:instrText xml:space="preserve"> HYPERLINK "file:///C:\\Users\\Administrator\\Desktop\\2020年11月19日（1）铧宇废旧金属\\辽宁铧宇废旧金属再生利用有限公司年处理125万吨菱镁矿石浮选建设项目环评影响报告书（报批稿）(1).doc" \l "_Toc41656153" </w:instrText>
      </w:r>
      <w:r>
        <w:rPr>
          <w:rStyle w:val="38"/>
          <w:lang w:val="en-US"/>
        </w:rPr>
        <w:fldChar w:fldCharType="separate"/>
      </w:r>
      <w:r>
        <w:rPr>
          <w:rStyle w:val="38"/>
          <w:color w:val="000000"/>
          <w:u w:val="single"/>
          <w:lang w:val="en-US"/>
        </w:rPr>
        <w:t xml:space="preserve">7. </w:t>
      </w:r>
      <w:r>
        <w:rPr>
          <w:rStyle w:val="38"/>
          <w:rFonts w:hint="eastAsia" w:ascii="Times New Roman" w:hAnsi="Times New Roman" w:eastAsia="宋体" w:cs="宋体"/>
          <w:color w:val="000000"/>
          <w:u w:val="single"/>
          <w:lang w:val="en-US"/>
        </w:rPr>
        <w:t>环境影响经济损益分析</w:t>
      </w:r>
      <w:r>
        <w:rPr>
          <w:rStyle w:val="38"/>
          <w:vanish w:val="0"/>
          <w:color w:val="000000"/>
          <w:u w:val="none"/>
          <w:lang w:val="en-US"/>
        </w:rPr>
        <w:tab/>
      </w:r>
      <w:r>
        <w:rPr>
          <w:rStyle w:val="38"/>
          <w:vanish w:val="0"/>
          <w:color w:val="000000"/>
          <w:u w:val="none"/>
          <w:lang w:val="en-US"/>
        </w:rPr>
        <w:fldChar w:fldCharType="begin"/>
      </w:r>
      <w:r>
        <w:rPr>
          <w:rStyle w:val="38"/>
          <w:vanish w:val="0"/>
          <w:color w:val="000000"/>
          <w:u w:val="none"/>
          <w:lang w:val="en-US"/>
        </w:rPr>
        <w:instrText xml:space="preserve"> PAGEREF _Toc41656153 \h </w:instrText>
      </w:r>
      <w:r>
        <w:rPr>
          <w:rStyle w:val="38"/>
          <w:vanish w:val="0"/>
          <w:color w:val="000000"/>
          <w:u w:val="none"/>
          <w:lang w:val="en-US"/>
        </w:rPr>
        <w:fldChar w:fldCharType="separate"/>
      </w:r>
      <w:r>
        <w:rPr>
          <w:rStyle w:val="38"/>
          <w:vanish w:val="0"/>
          <w:color w:val="000000"/>
          <w:u w:val="none"/>
          <w:lang w:val="en-US"/>
        </w:rPr>
        <w:t>170</w:t>
      </w:r>
      <w:r>
        <w:rPr>
          <w:rStyle w:val="38"/>
          <w:vanish w:val="0"/>
          <w:color w:val="000000"/>
          <w:u w:val="none"/>
          <w:lang w:val="en-US"/>
        </w:rPr>
        <w:fldChar w:fldCharType="end"/>
      </w:r>
      <w:r>
        <w:rPr>
          <w:rStyle w:val="38"/>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"_Toc41656154"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7.1 </w:t>
      </w:r>
      <w:r>
        <w:rPr>
          <w:rStyle w:val="38"/>
          <w:rFonts w:hint="eastAsia" w:ascii="Times New Roman" w:hAnsi="Times New Roman" w:eastAsia="宋体" w:cs="宋体"/>
          <w:b w:val="0"/>
          <w:color w:val="000000"/>
          <w:u w:val="single"/>
          <w:lang w:val="en-US"/>
        </w:rPr>
        <w:t>费用</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_Toc41656154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171</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"_Toc41656155"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7.2 </w:t>
      </w:r>
      <w:r>
        <w:rPr>
          <w:rStyle w:val="38"/>
          <w:rFonts w:hint="eastAsia" w:ascii="Times New Roman" w:hAnsi="Times New Roman" w:eastAsia="宋体" w:cs="宋体"/>
          <w:b w:val="0"/>
          <w:color w:val="000000"/>
          <w:u w:val="single"/>
          <w:lang w:val="en-US"/>
        </w:rPr>
        <w:t>效益</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_Toc41656155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172</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"_Toc41656156"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7.3 </w:t>
      </w:r>
      <w:r>
        <w:rPr>
          <w:rStyle w:val="38"/>
          <w:rFonts w:hint="eastAsia" w:ascii="Times New Roman" w:hAnsi="Times New Roman" w:eastAsia="宋体" w:cs="宋体"/>
          <w:b w:val="0"/>
          <w:color w:val="000000"/>
          <w:u w:val="single"/>
          <w:lang w:val="en-US"/>
        </w:rPr>
        <w:t>环境影响经济损益分析结论</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_Toc41656156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174</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19"/>
        <w:widowControl/>
        <w:rPr>
          <w:rFonts w:eastAsia="等线"/>
          <w:color w:val="000000"/>
          <w:kern w:val="2"/>
          <w:sz w:val="21"/>
          <w:szCs w:val="22"/>
          <w:lang w:val="en-US"/>
        </w:rPr>
      </w:pPr>
      <w:r>
        <w:rPr>
          <w:rStyle w:val="38"/>
          <w:lang w:val="en-US"/>
        </w:rPr>
        <w:fldChar w:fldCharType="begin"/>
      </w:r>
      <w:r>
        <w:rPr>
          <w:rStyle w:val="38"/>
          <w:lang w:val="en-US"/>
        </w:rPr>
        <w:instrText xml:space="preserve"> HYPERLINK "file:///C:\\Users\\Administrator\\Desktop\\2020年11月19日（1）铧宇废旧金属\\辽宁铧宇废旧金属再生利用有限公司年处理125万吨菱镁矿石浮选建设项目环评影响报告书（报批稿）(1).doc" \l "_Toc41656157" </w:instrText>
      </w:r>
      <w:r>
        <w:rPr>
          <w:rStyle w:val="38"/>
          <w:lang w:val="en-US"/>
        </w:rPr>
        <w:fldChar w:fldCharType="separate"/>
      </w:r>
      <w:r>
        <w:rPr>
          <w:rStyle w:val="38"/>
          <w:color w:val="000000"/>
          <w:u w:val="single"/>
          <w:lang w:val="en-US"/>
        </w:rPr>
        <w:t xml:space="preserve">8. </w:t>
      </w:r>
      <w:r>
        <w:rPr>
          <w:rStyle w:val="38"/>
          <w:rFonts w:hint="eastAsia" w:ascii="Times New Roman" w:hAnsi="Times New Roman" w:eastAsia="宋体" w:cs="宋体"/>
          <w:color w:val="000000"/>
          <w:u w:val="single"/>
          <w:lang w:val="en-US"/>
        </w:rPr>
        <w:t>环境管理与监测计划</w:t>
      </w:r>
      <w:r>
        <w:rPr>
          <w:rStyle w:val="38"/>
          <w:vanish w:val="0"/>
          <w:color w:val="000000"/>
          <w:u w:val="none"/>
          <w:lang w:val="en-US"/>
        </w:rPr>
        <w:tab/>
      </w:r>
      <w:r>
        <w:rPr>
          <w:rStyle w:val="38"/>
          <w:vanish w:val="0"/>
          <w:color w:val="000000"/>
          <w:u w:val="none"/>
          <w:lang w:val="en-US"/>
        </w:rPr>
        <w:fldChar w:fldCharType="begin"/>
      </w:r>
      <w:r>
        <w:rPr>
          <w:rStyle w:val="38"/>
          <w:vanish w:val="0"/>
          <w:color w:val="000000"/>
          <w:u w:val="none"/>
          <w:lang w:val="en-US"/>
        </w:rPr>
        <w:instrText xml:space="preserve"> PAGEREF _Toc41656157 \h </w:instrText>
      </w:r>
      <w:r>
        <w:rPr>
          <w:rStyle w:val="38"/>
          <w:vanish w:val="0"/>
          <w:color w:val="000000"/>
          <w:u w:val="none"/>
          <w:lang w:val="en-US"/>
        </w:rPr>
        <w:fldChar w:fldCharType="separate"/>
      </w:r>
      <w:r>
        <w:rPr>
          <w:rStyle w:val="38"/>
          <w:vanish w:val="0"/>
          <w:color w:val="000000"/>
          <w:u w:val="none"/>
          <w:lang w:val="en-US"/>
        </w:rPr>
        <w:t>175</w:t>
      </w:r>
      <w:r>
        <w:rPr>
          <w:rStyle w:val="38"/>
          <w:vanish w:val="0"/>
          <w:color w:val="000000"/>
          <w:u w:val="none"/>
          <w:lang w:val="en-US"/>
        </w:rPr>
        <w:fldChar w:fldCharType="end"/>
      </w:r>
      <w:r>
        <w:rPr>
          <w:rStyle w:val="38"/>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"_Toc41656158"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8.1 </w:t>
      </w:r>
      <w:r>
        <w:rPr>
          <w:rStyle w:val="38"/>
          <w:rFonts w:hint="eastAsia" w:ascii="Times New Roman" w:hAnsi="Times New Roman" w:eastAsia="宋体" w:cs="宋体"/>
          <w:b w:val="0"/>
          <w:color w:val="000000"/>
          <w:u w:val="single"/>
          <w:lang w:val="en-US"/>
        </w:rPr>
        <w:t>环境管理</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_Toc41656158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175</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"_Toc41656159"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8.2 </w:t>
      </w:r>
      <w:r>
        <w:rPr>
          <w:rStyle w:val="38"/>
          <w:rFonts w:hint="eastAsia" w:ascii="Times New Roman" w:hAnsi="Times New Roman" w:eastAsia="宋体" w:cs="宋体"/>
          <w:b w:val="0"/>
          <w:color w:val="000000"/>
          <w:u w:val="single"/>
          <w:lang w:val="en-US"/>
        </w:rPr>
        <w:t>污染物排放清单</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_Toc41656159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177</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"_Toc41656160"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8.3 </w:t>
      </w:r>
      <w:r>
        <w:rPr>
          <w:rStyle w:val="38"/>
          <w:rFonts w:hint="eastAsia" w:ascii="Times New Roman" w:hAnsi="Times New Roman" w:eastAsia="宋体" w:cs="宋体"/>
          <w:b w:val="0"/>
          <w:color w:val="000000"/>
          <w:u w:val="single"/>
          <w:lang w:val="en-US"/>
        </w:rPr>
        <w:t>总量控制指标</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_Toc41656160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179</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"_Toc41656161"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8.4 </w:t>
      </w:r>
      <w:r>
        <w:rPr>
          <w:rStyle w:val="38"/>
          <w:rFonts w:hint="eastAsia" w:ascii="Times New Roman" w:hAnsi="Times New Roman" w:eastAsia="宋体" w:cs="宋体"/>
          <w:b w:val="0"/>
          <w:color w:val="000000"/>
          <w:u w:val="single"/>
          <w:lang w:val="en-US"/>
        </w:rPr>
        <w:t>监测计划</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_Toc41656161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179</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"_Toc41656162"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8.5 </w:t>
      </w:r>
      <w:r>
        <w:rPr>
          <w:rStyle w:val="38"/>
          <w:rFonts w:hint="eastAsia" w:ascii="Times New Roman" w:hAnsi="Times New Roman" w:eastAsia="宋体" w:cs="宋体"/>
          <w:b w:val="0"/>
          <w:color w:val="000000"/>
          <w:u w:val="single"/>
          <w:lang w:val="en-US"/>
        </w:rPr>
        <w:t>环境信息公开制度</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_Toc41656162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180</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"_Toc41656163"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8.6 </w:t>
      </w:r>
      <w:r>
        <w:rPr>
          <w:rStyle w:val="38"/>
          <w:rFonts w:hint="eastAsia" w:ascii="Times New Roman" w:hAnsi="Times New Roman" w:eastAsia="宋体" w:cs="宋体"/>
          <w:b w:val="0"/>
          <w:color w:val="000000"/>
          <w:u w:val="single"/>
          <w:lang w:val="en-US"/>
        </w:rPr>
        <w:t>排污口规范化管理</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_Toc41656163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181</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19"/>
        <w:widowControl/>
        <w:rPr>
          <w:rFonts w:eastAsia="等线"/>
          <w:color w:val="000000"/>
          <w:kern w:val="2"/>
          <w:sz w:val="21"/>
          <w:szCs w:val="22"/>
          <w:lang w:val="en-US"/>
        </w:rPr>
      </w:pPr>
      <w:r>
        <w:rPr>
          <w:rStyle w:val="38"/>
          <w:lang w:val="en-US"/>
        </w:rPr>
        <w:fldChar w:fldCharType="begin"/>
      </w:r>
      <w:r>
        <w:rPr>
          <w:rStyle w:val="38"/>
          <w:lang w:val="en-US"/>
        </w:rPr>
        <w:instrText xml:space="preserve"> HYPERLINK "file:///C:\\Users\\Administrator\\Desktop\\2020年11月19日（1）铧宇废旧金属\\辽宁铧宇废旧金属再生利用有限公司年处理125万吨菱镁矿石浮选建设项目环评影响报告书（报批稿）(1).doc" \l "_Toc41656164" </w:instrText>
      </w:r>
      <w:r>
        <w:rPr>
          <w:rStyle w:val="38"/>
          <w:lang w:val="en-US"/>
        </w:rPr>
        <w:fldChar w:fldCharType="separate"/>
      </w:r>
      <w:r>
        <w:rPr>
          <w:rStyle w:val="38"/>
          <w:color w:val="000000"/>
          <w:u w:val="single"/>
          <w:lang w:val="en-US"/>
        </w:rPr>
        <w:t xml:space="preserve">9. </w:t>
      </w:r>
      <w:r>
        <w:rPr>
          <w:rStyle w:val="38"/>
          <w:rFonts w:hint="eastAsia" w:ascii="Times New Roman" w:hAnsi="Times New Roman" w:eastAsia="宋体" w:cs="宋体"/>
          <w:color w:val="000000"/>
          <w:u w:val="single"/>
          <w:lang w:val="en-US"/>
        </w:rPr>
        <w:t>评价结论</w:t>
      </w:r>
      <w:r>
        <w:rPr>
          <w:rStyle w:val="38"/>
          <w:vanish w:val="0"/>
          <w:color w:val="000000"/>
          <w:u w:val="none"/>
          <w:lang w:val="en-US"/>
        </w:rPr>
        <w:tab/>
      </w:r>
      <w:r>
        <w:rPr>
          <w:rStyle w:val="38"/>
          <w:vanish w:val="0"/>
          <w:color w:val="000000"/>
          <w:u w:val="none"/>
          <w:lang w:val="en-US"/>
        </w:rPr>
        <w:fldChar w:fldCharType="begin"/>
      </w:r>
      <w:r>
        <w:rPr>
          <w:rStyle w:val="38"/>
          <w:vanish w:val="0"/>
          <w:color w:val="000000"/>
          <w:u w:val="none"/>
          <w:lang w:val="en-US"/>
        </w:rPr>
        <w:instrText xml:space="preserve"> PAGEREF _Toc41656164 \h </w:instrText>
      </w:r>
      <w:r>
        <w:rPr>
          <w:rStyle w:val="38"/>
          <w:vanish w:val="0"/>
          <w:color w:val="000000"/>
          <w:u w:val="none"/>
          <w:lang w:val="en-US"/>
        </w:rPr>
        <w:fldChar w:fldCharType="separate"/>
      </w:r>
      <w:r>
        <w:rPr>
          <w:rStyle w:val="38"/>
          <w:vanish w:val="0"/>
          <w:color w:val="000000"/>
          <w:u w:val="none"/>
          <w:lang w:val="en-US"/>
        </w:rPr>
        <w:t>185</w:t>
      </w:r>
      <w:r>
        <w:rPr>
          <w:rStyle w:val="38"/>
          <w:vanish w:val="0"/>
          <w:color w:val="000000"/>
          <w:u w:val="none"/>
          <w:lang w:val="en-US"/>
        </w:rPr>
        <w:fldChar w:fldCharType="end"/>
      </w:r>
      <w:r>
        <w:rPr>
          <w:rStyle w:val="38"/>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"_Toc41656165"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9.1 </w:t>
      </w:r>
      <w:r>
        <w:rPr>
          <w:rStyle w:val="38"/>
          <w:rFonts w:hint="eastAsia" w:ascii="Times New Roman" w:hAnsi="Times New Roman" w:eastAsia="宋体" w:cs="宋体"/>
          <w:b w:val="0"/>
          <w:color w:val="000000"/>
          <w:u w:val="single"/>
          <w:lang w:val="en-US"/>
        </w:rPr>
        <w:t>项目概况</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_Toc41656165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185</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"_Toc41656166"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9.2 </w:t>
      </w:r>
      <w:r>
        <w:rPr>
          <w:rStyle w:val="38"/>
          <w:rFonts w:hint="eastAsia" w:ascii="Times New Roman" w:hAnsi="Times New Roman" w:eastAsia="宋体" w:cs="宋体"/>
          <w:b w:val="0"/>
          <w:color w:val="000000"/>
          <w:u w:val="single"/>
          <w:lang w:val="en-US"/>
        </w:rPr>
        <w:t>环境质量现状评价结论</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_Toc41656166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185</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"_Toc41656167"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9.3 </w:t>
      </w:r>
      <w:r>
        <w:rPr>
          <w:rStyle w:val="38"/>
          <w:rFonts w:hint="eastAsia" w:ascii="Times New Roman" w:hAnsi="Times New Roman" w:eastAsia="宋体" w:cs="宋体"/>
          <w:b w:val="0"/>
          <w:color w:val="000000"/>
          <w:u w:val="single"/>
          <w:lang w:val="en-US"/>
        </w:rPr>
        <w:t>环境影响源及污染物排放情况结论</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_Toc41656167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186</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"_Toc41656168"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9.4 </w:t>
      </w:r>
      <w:r>
        <w:rPr>
          <w:rStyle w:val="38"/>
          <w:rFonts w:hint="eastAsia" w:ascii="Times New Roman" w:hAnsi="Times New Roman" w:eastAsia="宋体" w:cs="宋体"/>
          <w:b w:val="0"/>
          <w:color w:val="000000"/>
          <w:u w:val="single"/>
          <w:lang w:val="en-US"/>
        </w:rPr>
        <w:t>环境影响预测评价结论</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_Toc41656168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188</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"_Toc41656169"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9.5 </w:t>
      </w:r>
      <w:r>
        <w:rPr>
          <w:rStyle w:val="38"/>
          <w:rFonts w:hint="eastAsia" w:ascii="Times New Roman" w:hAnsi="Times New Roman" w:eastAsia="宋体" w:cs="宋体"/>
          <w:b w:val="0"/>
          <w:color w:val="000000"/>
          <w:u w:val="single"/>
          <w:lang w:val="en-US"/>
        </w:rPr>
        <w:t>环保措施可行性结论</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_Toc41656169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190</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"_Toc41656170"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9.6 </w:t>
      </w:r>
      <w:r>
        <w:rPr>
          <w:rStyle w:val="38"/>
          <w:rFonts w:hint="eastAsia" w:ascii="Times New Roman" w:hAnsi="Times New Roman" w:eastAsia="宋体" w:cs="宋体"/>
          <w:b w:val="0"/>
          <w:color w:val="000000"/>
          <w:u w:val="single"/>
          <w:lang w:val="en-US"/>
        </w:rPr>
        <w:t>环境风险评价结论</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_Toc41656170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191</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"_Toc41656171"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9.7 </w:t>
      </w:r>
      <w:r>
        <w:rPr>
          <w:rStyle w:val="38"/>
          <w:rFonts w:hint="eastAsia" w:ascii="Times New Roman" w:hAnsi="Times New Roman" w:eastAsia="宋体" w:cs="宋体"/>
          <w:b w:val="0"/>
          <w:color w:val="000000"/>
          <w:u w:val="single"/>
          <w:lang w:val="en-US"/>
        </w:rPr>
        <w:t>公众参与结论</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_Toc41656171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192</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"_Toc41656172"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9.8 </w:t>
      </w:r>
      <w:r>
        <w:rPr>
          <w:rStyle w:val="38"/>
          <w:rFonts w:hint="eastAsia" w:ascii="Times New Roman" w:hAnsi="Times New Roman" w:eastAsia="宋体" w:cs="宋体"/>
          <w:b w:val="0"/>
          <w:color w:val="000000"/>
          <w:u w:val="single"/>
          <w:lang w:val="en-US"/>
        </w:rPr>
        <w:t>环境影响经济损益分析结论</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_Toc41656172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193</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"_Toc41656173"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9.9 </w:t>
      </w:r>
      <w:r>
        <w:rPr>
          <w:rStyle w:val="38"/>
          <w:rFonts w:hint="eastAsia" w:ascii="Times New Roman" w:hAnsi="Times New Roman" w:eastAsia="宋体" w:cs="宋体"/>
          <w:b w:val="0"/>
          <w:color w:val="000000"/>
          <w:u w:val="single"/>
          <w:lang w:val="en-US"/>
        </w:rPr>
        <w:t>环境管理与监测计划结论</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_Toc41656173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193</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pStyle w:val="24"/>
        <w:widowControl/>
        <w:adjustRightInd w:val="0"/>
        <w:snapToGrid w:val="0"/>
        <w:ind w:left="0"/>
        <w:rPr>
          <w:rFonts w:hint="default" w:ascii="Times New Roman" w:hAnsi="Times New Roman" w:eastAsia="等线" w:cs="Times New Roman"/>
          <w:b w:val="0"/>
          <w:color w:val="000000"/>
          <w:kern w:val="2"/>
          <w:sz w:val="21"/>
          <w:szCs w:val="22"/>
          <w:lang w:val="en-US"/>
        </w:rPr>
      </w:pPr>
      <w:r>
        <w:rPr>
          <w:rStyle w:val="38"/>
          <w:rFonts w:hint="default" w:ascii="Times New Roman" w:hAnsi="Times New Roman" w:cs="Times New Roman"/>
          <w:b w:val="0"/>
          <w:lang w:val="en-US"/>
        </w:rPr>
        <w:fldChar w:fldCharType="begin"/>
      </w:r>
      <w:r>
        <w:rPr>
          <w:rStyle w:val="38"/>
          <w:rFonts w:hint="default" w:ascii="Times New Roman" w:hAnsi="Times New Roman" w:cs="Times New Roman"/>
          <w:b w:val="0"/>
          <w:lang w:val="en-US"/>
        </w:rPr>
        <w:instrText xml:space="preserve"> HYPERLINK "file:///C:\\Users\\Administrator\\Desktop\\2020年11月19日（1）铧宇废旧金属\\辽宁铧宇废旧金属再生利用有限公司年处理125万吨菱镁矿石浮选建设项目环评影响报告书（报批稿）(1).doc" \l "_Toc41656174" </w:instrText>
      </w:r>
      <w:r>
        <w:rPr>
          <w:rStyle w:val="38"/>
          <w:rFonts w:hint="default" w:ascii="Times New Roman" w:hAnsi="Times New Roman" w:cs="Times New Roman"/>
          <w:b w:val="0"/>
          <w:lang w:val="en-US"/>
        </w:rPr>
        <w:fldChar w:fldCharType="separate"/>
      </w:r>
      <w:r>
        <w:rPr>
          <w:rStyle w:val="38"/>
          <w:rFonts w:hint="default" w:ascii="Times New Roman" w:hAnsi="Times New Roman" w:cs="Times New Roman"/>
          <w:b w:val="0"/>
          <w:color w:val="000000"/>
          <w:u w:val="single"/>
          <w:lang w:val="en-US"/>
        </w:rPr>
        <w:t xml:space="preserve">9.10 </w:t>
      </w:r>
      <w:r>
        <w:rPr>
          <w:rStyle w:val="38"/>
          <w:rFonts w:hint="eastAsia" w:ascii="Times New Roman" w:hAnsi="Times New Roman" w:eastAsia="宋体" w:cs="宋体"/>
          <w:b w:val="0"/>
          <w:color w:val="000000"/>
          <w:u w:val="single"/>
          <w:lang w:val="en-US"/>
        </w:rPr>
        <w:t>可行性评价结论</w:t>
      </w:r>
      <w:r>
        <w:rPr>
          <w:rStyle w:val="38"/>
          <w:rFonts w:hint="default" w:ascii="Times New Roman" w:hAnsi="Times New Roman" w:cs="Times New Roman"/>
          <w:b w:val="0"/>
          <w:vanish w:val="0"/>
          <w:color w:val="000000"/>
          <w:u w:val="none"/>
          <w:lang w:val="en-US"/>
        </w:rPr>
        <w:tab/>
      </w:r>
      <w:r>
        <w:rPr>
          <w:rStyle w:val="38"/>
          <w:rFonts w:hint="default" w:ascii="Times New Roman" w:hAnsi="Times New Roman" w:cs="Times New Roman"/>
          <w:b w:val="0"/>
          <w:vanish w:val="0"/>
          <w:color w:val="000000"/>
          <w:u w:val="none"/>
          <w:lang w:val="en-US"/>
        </w:rPr>
        <w:fldChar w:fldCharType="begin"/>
      </w:r>
      <w:r>
        <w:rPr>
          <w:rStyle w:val="38"/>
          <w:rFonts w:hint="default" w:ascii="Times New Roman" w:hAnsi="Times New Roman" w:cs="Times New Roman"/>
          <w:b w:val="0"/>
          <w:vanish w:val="0"/>
          <w:color w:val="000000"/>
          <w:u w:val="none"/>
          <w:lang w:val="en-US"/>
        </w:rPr>
        <w:instrText xml:space="preserve"> PAGEREF _Toc41656174 \h </w:instrText>
      </w:r>
      <w:r>
        <w:rPr>
          <w:rStyle w:val="38"/>
          <w:rFonts w:hint="default" w:ascii="Times New Roman" w:hAnsi="Times New Roman" w:cs="Times New Roman"/>
          <w:b w:val="0"/>
          <w:vanish w:val="0"/>
          <w:color w:val="000000"/>
          <w:u w:val="none"/>
          <w:lang w:val="en-US"/>
        </w:rPr>
        <w:fldChar w:fldCharType="separate"/>
      </w:r>
      <w:r>
        <w:rPr>
          <w:rStyle w:val="38"/>
          <w:rFonts w:hint="default" w:ascii="Times New Roman" w:hAnsi="Times New Roman" w:cs="Times New Roman"/>
          <w:b w:val="0"/>
          <w:vanish w:val="0"/>
          <w:color w:val="000000"/>
          <w:u w:val="none"/>
          <w:lang w:val="en-US"/>
        </w:rPr>
        <w:t>193</w:t>
      </w:r>
      <w:r>
        <w:rPr>
          <w:rStyle w:val="38"/>
          <w:rFonts w:hint="default" w:ascii="Times New Roman" w:hAnsi="Times New Roman" w:cs="Times New Roman"/>
          <w:b w:val="0"/>
          <w:vanish w:val="0"/>
          <w:color w:val="000000"/>
          <w:u w:val="none"/>
          <w:lang w:val="en-US"/>
        </w:rPr>
        <w:fldChar w:fldCharType="end"/>
      </w:r>
      <w:r>
        <w:rPr>
          <w:rStyle w:val="38"/>
          <w:rFonts w:hint="default" w:ascii="Times New Roman" w:hAnsi="Times New Roman" w:cs="Times New Roman"/>
          <w:b w:val="0"/>
          <w:lang w:val="en-US"/>
        </w:rPr>
        <w:fldChar w:fldCharType="end"/>
      </w:r>
    </w:p>
    <w:p>
      <w:pPr>
        <w:keepNext w:val="0"/>
        <w:keepLines w:val="0"/>
        <w:widowControl/>
        <w:suppressLineNumbers w:val="0"/>
        <w:adjustRightInd w:val="0"/>
        <w:snapToGrid w:val="0"/>
        <w:spacing w:before="0" w:beforeAutospacing="0" w:after="0" w:afterAutospacing="0" w:line="360" w:lineRule="auto"/>
        <w:ind w:left="0" w:right="0"/>
        <w:jc w:val="left"/>
        <w:rPr>
          <w:rFonts w:hint="default" w:ascii="Times New Roman" w:hAnsi="Times New Roman" w:cs="Times New Roman"/>
          <w:color w:val="000000"/>
          <w:sz w:val="21"/>
          <w:szCs w:val="21"/>
          <w:lang w:val="en-US"/>
        </w:rPr>
      </w:pPr>
      <w:r>
        <w:rPr>
          <w:rFonts w:hint="default" w:ascii="Times New Roman" w:hAnsi="Times New Roman" w:eastAsia="宋体" w:cs="Times New Roman"/>
          <w:caps/>
          <w:color w:val="000000"/>
          <w:kern w:val="0"/>
          <w:sz w:val="24"/>
          <w:szCs w:val="24"/>
          <w:lang w:val="en-US" w:eastAsia="zh-CN" w:bidi="ar"/>
        </w:rPr>
        <w:fldChar w:fldCharType="end"/>
      </w:r>
    </w:p>
    <w:p>
      <w:pPr>
        <w:keepNext w:val="0"/>
        <w:keepLines w:val="0"/>
        <w:widowControl/>
        <w:suppressLineNumbers w:val="0"/>
        <w:spacing w:before="0" w:beforeAutospacing="0" w:after="0" w:afterAutospacing="0"/>
        <w:ind w:left="0" w:right="6" w:firstLine="674" w:firstLineChars="321"/>
        <w:jc w:val="left"/>
        <w:rPr>
          <w:rFonts w:hint="default" w:ascii="Times New Roman" w:hAnsi="Times New Roman" w:cs="Times New Roman"/>
          <w:color w:val="000000"/>
          <w:sz w:val="21"/>
          <w:szCs w:val="21"/>
          <w:lang w:val="en-US"/>
        </w:rPr>
      </w:pPr>
    </w:p>
    <w:p>
      <w:pPr>
        <w:rPr>
          <w:rFonts w:hint="default" w:ascii="Times New Roman" w:hAnsi="Times New Roman" w:eastAsia="宋体" w:cs="Times New Roman"/>
          <w:color w:val="000000"/>
          <w:sz w:val="24"/>
          <w:szCs w:val="24"/>
          <w:lang w:val="en-US" w:eastAsia="zh-CN" w:bidi="ar"/>
        </w:rPr>
        <w:sectPr>
          <w:pgSz w:w="11915" w:h="16840"/>
          <w:pgMar w:top="1702" w:right="1702" w:bottom="1702" w:left="1702" w:header="851" w:footer="1077" w:gutter="0"/>
          <w:paperSrc/>
          <w:pgNumType w:fmt="upperRoman" w:start="1"/>
          <w:cols w:space="425" w:num="1"/>
          <w:docGrid w:type="lines" w:linePitch="479" w:charSpace="0"/>
        </w:sectPr>
      </w:pPr>
    </w:p>
    <w:p>
      <w:pPr>
        <w:pStyle w:val="7"/>
        <w:widowControl/>
        <w:rPr>
          <w:rFonts w:hint="default" w:ascii="Times New Roman" w:hAnsi="Times New Roman" w:cs="Times New Roman"/>
          <w:color w:val="000000"/>
          <w:lang/>
        </w:rPr>
      </w:pPr>
      <w:bookmarkStart w:id="1" w:name="_Toc41656111"/>
      <w:r>
        <w:rPr>
          <w:rFonts w:ascii="Times New Roman" w:hAnsi="Times New Roman" w:cs="Times New Roman"/>
          <w:color w:val="000000"/>
          <w:lang/>
        </w:rPr>
        <w:t>概述</w:t>
      </w:r>
      <w:bookmarkEnd w:id="1"/>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）项目由来</w:t>
      </w:r>
    </w:p>
    <w:p>
      <w:pPr>
        <w:keepNext w:val="0"/>
        <w:keepLines w:val="0"/>
        <w:widowControl w:val="0"/>
        <w:suppressLineNumbers w:val="0"/>
        <w:autoSpaceDE w:val="0"/>
        <w:autoSpaceDN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辽宁菱镁矿资源以储量大、品质优而闻名于世，主要集中在大石桥至海城一带，储量约占全国的</w:t>
      </w:r>
      <w:r>
        <w:rPr>
          <w:rFonts w:hint="default" w:ascii="Times New Roman" w:hAnsi="Times New Roman" w:eastAsia="宋体" w:cs="Times New Roman"/>
          <w:color w:val="000000"/>
          <w:kern w:val="0"/>
          <w:sz w:val="24"/>
          <w:szCs w:val="24"/>
          <w:lang w:val="en-US" w:eastAsia="zh-CN" w:bidi="ar"/>
        </w:rPr>
        <w:t>80</w:t>
      </w:r>
      <w:r>
        <w:rPr>
          <w:rFonts w:hint="eastAsia" w:ascii="Times New Roman" w:hAnsi="Times New Roman" w:eastAsia="宋体" w:cs="Times New Roman"/>
          <w:color w:val="000000"/>
          <w:kern w:val="0"/>
          <w:sz w:val="24"/>
          <w:szCs w:val="24"/>
          <w:lang w:val="en-US" w:eastAsia="zh-CN" w:bidi="ar"/>
        </w:rPr>
        <w:t>％。虽然我省菱镁矿储量丰富，但镁矿资源不可再生、总量有限，特别是能够生产优质高纯镁砂的特级矿石可采储量所占比例较小，导致菱镁矿开采企业大多采用掠夺式的开采方式，采富弃贫，大量</w:t>
      </w:r>
      <w:r>
        <w:rPr>
          <w:rFonts w:hint="default" w:ascii="Times New Roman" w:hAnsi="Times New Roman" w:eastAsia="宋体" w:cs="Times New Roman"/>
          <w:color w:val="000000"/>
          <w:kern w:val="0"/>
          <w:sz w:val="24"/>
          <w:szCs w:val="24"/>
          <w:lang w:val="en-US" w:eastAsia="zh-CN" w:bidi="ar"/>
        </w:rPr>
        <w:t>SiO</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Times New Roman" w:hAnsi="Times New Roman" w:eastAsia="宋体" w:cs="Times New Roman"/>
          <w:color w:val="000000"/>
          <w:kern w:val="0"/>
          <w:sz w:val="24"/>
          <w:szCs w:val="24"/>
          <w:lang w:val="en-US" w:eastAsia="zh-CN" w:bidi="ar"/>
        </w:rPr>
        <w:t>和</w:t>
      </w:r>
      <w:r>
        <w:rPr>
          <w:rFonts w:hint="default" w:ascii="Times New Roman" w:hAnsi="Times New Roman" w:eastAsia="宋体" w:cs="Times New Roman"/>
          <w:color w:val="000000"/>
          <w:kern w:val="0"/>
          <w:sz w:val="24"/>
          <w:szCs w:val="24"/>
          <w:lang w:val="en-US" w:eastAsia="zh-CN" w:bidi="ar"/>
        </w:rPr>
        <w:t>CaO</w:t>
      </w:r>
      <w:r>
        <w:rPr>
          <w:rFonts w:hint="eastAsia" w:ascii="Times New Roman" w:hAnsi="Times New Roman" w:eastAsia="宋体" w:cs="Times New Roman"/>
          <w:color w:val="000000"/>
          <w:kern w:val="0"/>
          <w:sz w:val="24"/>
          <w:szCs w:val="24"/>
          <w:lang w:val="en-US" w:eastAsia="zh-CN" w:bidi="ar"/>
        </w:rPr>
        <w:t>等杂质含量较高的低品位菱镁矿被废弃，由此缩短了矿山服务年限、占用了较多土地（仅海城市低品位菱镁矿堆存量即有几百万吨），严重影响当地的环境。</w:t>
      </w:r>
    </w:p>
    <w:p>
      <w:pPr>
        <w:keepNext w:val="0"/>
        <w:keepLines w:val="0"/>
        <w:widowControl w:val="0"/>
        <w:suppressLineNumbers w:val="0"/>
        <w:autoSpaceDE w:val="0"/>
        <w:autoSpaceDN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辽宁铧宇废旧金属再生利用有限公司（以下简称“铧宇公司”）是海城华宇集团下属子公司之一，海城华宇集团始建于</w:t>
      </w:r>
      <w:r>
        <w:rPr>
          <w:rFonts w:hint="default" w:ascii="Times New Roman" w:hAnsi="Times New Roman" w:eastAsia="宋体" w:cs="Times New Roman"/>
          <w:color w:val="000000"/>
          <w:kern w:val="0"/>
          <w:sz w:val="24"/>
          <w:szCs w:val="24"/>
          <w:lang w:val="en-US" w:eastAsia="zh-CN" w:bidi="ar"/>
        </w:rPr>
        <w:t>1987</w:t>
      </w:r>
      <w:r>
        <w:rPr>
          <w:rFonts w:hint="eastAsia" w:ascii="Times New Roman" w:hAnsi="Times New Roman" w:eastAsia="宋体" w:cs="Times New Roman"/>
          <w:color w:val="000000"/>
          <w:kern w:val="0"/>
          <w:sz w:val="24"/>
          <w:szCs w:val="24"/>
          <w:lang w:val="en-US" w:eastAsia="zh-CN" w:bidi="ar"/>
        </w:rPr>
        <w:t>年，前身是村办企业，位于海城市八里镇铧子峪村，占地面积</w:t>
      </w:r>
      <w:r>
        <w:rPr>
          <w:rFonts w:hint="default" w:ascii="Times New Roman" w:hAnsi="Times New Roman" w:eastAsia="宋体" w:cs="Times New Roman"/>
          <w:color w:val="000000"/>
          <w:kern w:val="0"/>
          <w:sz w:val="24"/>
          <w:szCs w:val="24"/>
          <w:lang w:val="en-US" w:eastAsia="zh-CN" w:bidi="ar"/>
        </w:rPr>
        <w:t>40</w:t>
      </w:r>
      <w:r>
        <w:rPr>
          <w:rFonts w:hint="eastAsia" w:ascii="Times New Roman" w:hAnsi="Times New Roman" w:eastAsia="宋体" w:cs="Times New Roman"/>
          <w:color w:val="000000"/>
          <w:kern w:val="0"/>
          <w:sz w:val="24"/>
          <w:szCs w:val="24"/>
          <w:lang w:val="en-US" w:eastAsia="zh-CN" w:bidi="ar"/>
        </w:rPr>
        <w:t>万</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。华宇集团自有菱镁矿山一座，已探明储量达亿吨，由于多年来的不断开采，优质品位逐年减少。辽宁铧宇废旧金属再生利用有限公司开展低品位菱镁石浮选项目的建设，通过反浮选工艺，有效去除矿石中的</w:t>
      </w:r>
      <w:r>
        <w:rPr>
          <w:rFonts w:hint="default" w:ascii="Times New Roman" w:hAnsi="Times New Roman" w:eastAsia="宋体" w:cs="Times New Roman"/>
          <w:color w:val="000000"/>
          <w:kern w:val="0"/>
          <w:sz w:val="24"/>
          <w:szCs w:val="24"/>
          <w:lang w:val="en-US" w:eastAsia="zh-CN" w:bidi="ar"/>
        </w:rPr>
        <w:t>SiO</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CaO</w:t>
      </w:r>
      <w:r>
        <w:rPr>
          <w:rFonts w:hint="eastAsia" w:ascii="Times New Roman" w:hAnsi="Times New Roman" w:eastAsia="宋体" w:cs="Times New Roman"/>
          <w:color w:val="000000"/>
          <w:kern w:val="0"/>
          <w:sz w:val="24"/>
          <w:szCs w:val="24"/>
          <w:lang w:val="en-US" w:eastAsia="zh-CN" w:bidi="ar"/>
        </w:rPr>
        <w:t>等杂质，并按照品位的不同分别获取优质高纯菱镁矿精矿粉和尾矿粉作为产品外售，从而实现公司废弃菱镁矿的资源化综合利用。</w:t>
      </w:r>
    </w:p>
    <w:p>
      <w:pPr>
        <w:keepNext w:val="0"/>
        <w:keepLines w:val="0"/>
        <w:widowControl w:val="0"/>
        <w:suppressLineNumbers w:val="0"/>
        <w:autoSpaceDE w:val="0"/>
        <w:autoSpaceDN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铧宇公司现有项目位于辽宁省鞍山市海城市八里镇铧子峪村，</w:t>
      </w:r>
      <w:r>
        <w:rPr>
          <w:rFonts w:hint="eastAsia" w:ascii="宋体" w:hAnsi="宋体" w:eastAsia="宋体" w:cs="宋体"/>
          <w:color w:val="000000"/>
          <w:kern w:val="0"/>
          <w:sz w:val="24"/>
          <w:szCs w:val="24"/>
          <w:lang w:val="en-US" w:eastAsia="zh-CN" w:bidi="ar"/>
        </w:rPr>
        <w:t>年处理</w:t>
      </w:r>
      <w:r>
        <w:rPr>
          <w:rFonts w:hint="eastAsia" w:ascii="Times New Roman" w:hAnsi="Times New Roman" w:eastAsia="宋体" w:cs="Times New Roman"/>
          <w:color w:val="000000"/>
          <w:kern w:val="0"/>
          <w:sz w:val="24"/>
          <w:szCs w:val="24"/>
          <w:lang w:val="en-US" w:eastAsia="zh-CN" w:bidi="ar"/>
        </w:rPr>
        <w:t>低品位菱镁矿石</w:t>
      </w:r>
      <w:r>
        <w:rPr>
          <w:rFonts w:hint="default" w:ascii="Times New Roman" w:hAnsi="Times New Roman" w:eastAsia="宋体" w:cs="Times New Roman"/>
          <w:color w:val="000000"/>
          <w:kern w:val="0"/>
          <w:sz w:val="24"/>
          <w:szCs w:val="24"/>
          <w:lang w:val="en-US" w:eastAsia="zh-CN" w:bidi="ar"/>
        </w:rPr>
        <w:t>20</w:t>
      </w:r>
      <w:r>
        <w:rPr>
          <w:rFonts w:hint="eastAsia" w:ascii="Times New Roman" w:hAnsi="Times New Roman" w:eastAsia="宋体" w:cs="Times New Roman"/>
          <w:color w:val="000000"/>
          <w:kern w:val="0"/>
          <w:sz w:val="24"/>
          <w:szCs w:val="24"/>
          <w:lang w:val="en-US" w:eastAsia="zh-CN" w:bidi="ar"/>
        </w:rPr>
        <w:t>万吨，占地面积</w:t>
      </w:r>
      <w:r>
        <w:rPr>
          <w:rFonts w:hint="default" w:ascii="Times New Roman" w:hAnsi="Times New Roman" w:eastAsia="宋体" w:cs="Times New Roman"/>
          <w:color w:val="000000"/>
          <w:kern w:val="0"/>
          <w:sz w:val="24"/>
          <w:szCs w:val="24"/>
          <w:lang w:val="en-US" w:eastAsia="zh-CN" w:bidi="ar"/>
        </w:rPr>
        <w:t>20000 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，总建筑面积</w:t>
      </w:r>
      <w:r>
        <w:rPr>
          <w:rFonts w:hint="default" w:ascii="Times New Roman" w:hAnsi="Times New Roman" w:eastAsia="宋体" w:cs="Times New Roman"/>
          <w:color w:val="000000"/>
          <w:kern w:val="0"/>
          <w:sz w:val="24"/>
          <w:szCs w:val="24"/>
          <w:lang w:val="en-US" w:eastAsia="zh-CN" w:bidi="ar"/>
        </w:rPr>
        <w:t>6732 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，包括细磨、分级、浮选、浓缩、过滤等工序。该项目已于</w:t>
      </w:r>
      <w:r>
        <w:rPr>
          <w:rFonts w:hint="default" w:ascii="Times New Roman" w:hAnsi="Times New Roman" w:eastAsia="宋体" w:cs="Times New Roman"/>
          <w:color w:val="000000"/>
          <w:kern w:val="0"/>
          <w:sz w:val="24"/>
          <w:szCs w:val="24"/>
          <w:lang w:val="en-US" w:eastAsia="zh-CN" w:bidi="ar"/>
        </w:rPr>
        <w:t>2009</w:t>
      </w:r>
      <w:r>
        <w:rPr>
          <w:rFonts w:hint="eastAsia" w:ascii="Times New Roman" w:hAnsi="Times New Roman" w:eastAsia="宋体" w:cs="Times New Roman"/>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7</w:t>
      </w:r>
      <w:r>
        <w:rPr>
          <w:rFonts w:hint="eastAsia" w:ascii="Times New Roman" w:hAnsi="Times New Roman" w:eastAsia="宋体" w:cs="Times New Roman"/>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日以海环保发</w:t>
      </w:r>
      <w:r>
        <w:rPr>
          <w:rFonts w:hint="default" w:ascii="Times New Roman" w:hAnsi="Times New Roman" w:eastAsia="宋体" w:cs="Times New Roman"/>
          <w:color w:val="000000"/>
          <w:kern w:val="0"/>
          <w:sz w:val="24"/>
          <w:szCs w:val="24"/>
          <w:lang w:val="en-US" w:eastAsia="zh-CN" w:bidi="ar"/>
        </w:rPr>
        <w:t>[2009]52</w:t>
      </w:r>
      <w:r>
        <w:rPr>
          <w:rFonts w:hint="eastAsia" w:ascii="Times New Roman" w:hAnsi="Times New Roman" w:eastAsia="宋体" w:cs="Times New Roman"/>
          <w:color w:val="000000"/>
          <w:kern w:val="0"/>
          <w:sz w:val="24"/>
          <w:szCs w:val="24"/>
          <w:lang w:val="en-US" w:eastAsia="zh-CN" w:bidi="ar"/>
        </w:rPr>
        <w:t>号文件《关于辽宁铧宇废旧金属再生利用有限公司菱镁石矿山废料资源化再利用工程项目环境影响报告书的批复》取得批复文件，并于</w:t>
      </w:r>
      <w:r>
        <w:rPr>
          <w:rFonts w:hint="default" w:ascii="Times New Roman" w:hAnsi="Times New Roman" w:eastAsia="宋体" w:cs="Times New Roman"/>
          <w:color w:val="000000"/>
          <w:kern w:val="0"/>
          <w:sz w:val="24"/>
          <w:szCs w:val="24"/>
          <w:lang w:val="en-US" w:eastAsia="zh-CN" w:bidi="ar"/>
        </w:rPr>
        <w:t>2014</w:t>
      </w:r>
      <w:r>
        <w:rPr>
          <w:rFonts w:hint="eastAsia" w:ascii="Times New Roman" w:hAnsi="Times New Roman" w:eastAsia="宋体" w:cs="Times New Roman"/>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8</w:t>
      </w:r>
      <w:r>
        <w:rPr>
          <w:rFonts w:hint="eastAsia" w:ascii="Times New Roman" w:hAnsi="Times New Roman" w:eastAsia="宋体" w:cs="Times New Roman"/>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22</w:t>
      </w:r>
      <w:r>
        <w:rPr>
          <w:rFonts w:hint="eastAsia" w:ascii="Times New Roman" w:hAnsi="Times New Roman" w:eastAsia="宋体" w:cs="Times New Roman"/>
          <w:color w:val="000000"/>
          <w:kern w:val="0"/>
          <w:sz w:val="24"/>
          <w:szCs w:val="24"/>
          <w:lang w:val="en-US" w:eastAsia="zh-CN" w:bidi="ar"/>
        </w:rPr>
        <w:t>日通过环保验收。</w:t>
      </w:r>
    </w:p>
    <w:p>
      <w:pPr>
        <w:keepNext w:val="0"/>
        <w:keepLines w:val="0"/>
        <w:widowControl w:val="0"/>
        <w:suppressLineNumbers w:val="0"/>
        <w:autoSpaceDE w:val="0"/>
        <w:autoSpaceDN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本项目拟在华宇集团现有厂区内扩建浮选生产线，已于</w:t>
      </w:r>
      <w:r>
        <w:rPr>
          <w:rFonts w:hint="default" w:ascii="Times New Roman" w:hAnsi="Times New Roman" w:eastAsia="宋体" w:cs="Times New Roman"/>
          <w:color w:val="000000"/>
          <w:kern w:val="0"/>
          <w:sz w:val="24"/>
          <w:szCs w:val="24"/>
          <w:lang w:val="en-US" w:eastAsia="zh-CN" w:bidi="ar"/>
        </w:rPr>
        <w:t>2019</w:t>
      </w:r>
      <w:r>
        <w:rPr>
          <w:rFonts w:hint="eastAsia" w:ascii="Times New Roman" w:hAnsi="Times New Roman" w:eastAsia="宋体" w:cs="Times New Roman"/>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8</w:t>
      </w:r>
      <w:r>
        <w:rPr>
          <w:rFonts w:hint="eastAsia" w:ascii="Times New Roman" w:hAnsi="Times New Roman" w:eastAsia="宋体" w:cs="Times New Roman"/>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26</w:t>
      </w:r>
      <w:r>
        <w:rPr>
          <w:rFonts w:hint="eastAsia" w:ascii="Times New Roman" w:hAnsi="Times New Roman" w:eastAsia="宋体" w:cs="Times New Roman"/>
          <w:color w:val="000000"/>
          <w:kern w:val="0"/>
          <w:sz w:val="24"/>
          <w:szCs w:val="24"/>
          <w:lang w:val="en-US" w:eastAsia="zh-CN" w:bidi="ar"/>
        </w:rPr>
        <w:t>日以海发改备</w:t>
      </w:r>
      <w:r>
        <w:rPr>
          <w:rFonts w:hint="default" w:ascii="Times New Roman" w:hAnsi="Times New Roman" w:eastAsia="宋体" w:cs="Times New Roman"/>
          <w:color w:val="000000"/>
          <w:kern w:val="0"/>
          <w:sz w:val="24"/>
          <w:szCs w:val="24"/>
          <w:lang w:val="en-US" w:eastAsia="zh-CN" w:bidi="ar"/>
        </w:rPr>
        <w:t>[2019]94</w:t>
      </w:r>
      <w:r>
        <w:rPr>
          <w:rFonts w:hint="eastAsia" w:ascii="Times New Roman" w:hAnsi="Times New Roman" w:eastAsia="宋体" w:cs="Times New Roman"/>
          <w:color w:val="000000"/>
          <w:kern w:val="0"/>
          <w:sz w:val="24"/>
          <w:szCs w:val="24"/>
          <w:lang w:val="en-US" w:eastAsia="zh-CN" w:bidi="ar"/>
        </w:rPr>
        <w:t>号文件</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关于《辽宁铧宇废旧金属再生利用有限公司年处理</w:t>
      </w:r>
      <w:r>
        <w:rPr>
          <w:rFonts w:hint="default" w:ascii="Times New Roman" w:hAnsi="Times New Roman" w:eastAsia="宋体" w:cs="Times New Roman"/>
          <w:color w:val="000000"/>
          <w:kern w:val="0"/>
          <w:sz w:val="24"/>
          <w:szCs w:val="24"/>
          <w:lang w:val="en-US" w:eastAsia="zh-CN" w:bidi="ar"/>
        </w:rPr>
        <w:t>125</w:t>
      </w:r>
      <w:r>
        <w:rPr>
          <w:rFonts w:hint="eastAsia" w:ascii="Times New Roman" w:hAnsi="Times New Roman" w:eastAsia="宋体" w:cs="Times New Roman"/>
          <w:color w:val="000000"/>
          <w:kern w:val="0"/>
          <w:sz w:val="24"/>
          <w:szCs w:val="24"/>
          <w:lang w:val="en-US" w:eastAsia="zh-CN" w:bidi="ar"/>
        </w:rPr>
        <w:t>万吨菱镁矿石浮选建设项目》项目备案证明</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取得备案批件。根据备案内容，本项目占地面积</w:t>
      </w:r>
      <w:r>
        <w:rPr>
          <w:rFonts w:hint="default" w:ascii="Times New Roman" w:hAnsi="Times New Roman" w:eastAsia="宋体" w:cs="Times New Roman"/>
          <w:color w:val="000000"/>
          <w:kern w:val="0"/>
          <w:sz w:val="24"/>
          <w:szCs w:val="24"/>
          <w:lang w:val="en-US" w:eastAsia="zh-CN" w:bidi="ar"/>
        </w:rPr>
        <w:t>30000m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，建设菱镁矿石浮选生产线，设置浮选机、尾矿浓缩机、精矿过滤机、球磨机等设备，项目总投资</w:t>
      </w:r>
      <w:r>
        <w:rPr>
          <w:rFonts w:hint="default" w:ascii="Times New Roman" w:hAnsi="Times New Roman" w:eastAsia="宋体" w:cs="Times New Roman"/>
          <w:color w:val="000000"/>
          <w:kern w:val="0"/>
          <w:sz w:val="24"/>
          <w:szCs w:val="24"/>
          <w:lang w:val="en-US" w:eastAsia="zh-CN" w:bidi="ar"/>
        </w:rPr>
        <w:t>6000</w:t>
      </w:r>
      <w:r>
        <w:rPr>
          <w:rFonts w:hint="eastAsia" w:ascii="Times New Roman" w:hAnsi="Times New Roman" w:eastAsia="宋体" w:cs="Times New Roman"/>
          <w:color w:val="000000"/>
          <w:kern w:val="0"/>
          <w:sz w:val="24"/>
          <w:szCs w:val="24"/>
          <w:lang w:val="en-US" w:eastAsia="zh-CN" w:bidi="ar"/>
        </w:rPr>
        <w:t>万元。</w:t>
      </w:r>
    </w:p>
    <w:p>
      <w:pPr>
        <w:keepNext w:val="0"/>
        <w:keepLines w:val="0"/>
        <w:widowControl w:val="0"/>
        <w:suppressLineNumbers w:val="0"/>
        <w:autoSpaceDE w:val="0"/>
        <w:autoSpaceDN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根据中华人民共和国国务院</w:t>
      </w:r>
      <w:r>
        <w:rPr>
          <w:rFonts w:hint="default" w:ascii="Times New Roman" w:hAnsi="Times New Roman" w:eastAsia="宋体" w:cs="Times New Roman"/>
          <w:color w:val="000000"/>
          <w:kern w:val="0"/>
          <w:sz w:val="24"/>
          <w:szCs w:val="24"/>
          <w:lang w:val="en-US" w:eastAsia="zh-CN" w:bidi="ar"/>
        </w:rPr>
        <w:t>2017</w:t>
      </w:r>
      <w:r>
        <w:rPr>
          <w:rFonts w:hint="eastAsia" w:ascii="Times New Roman" w:hAnsi="Times New Roman" w:eastAsia="宋体" w:cs="Times New Roman"/>
          <w:color w:val="000000"/>
          <w:kern w:val="0"/>
          <w:sz w:val="24"/>
          <w:szCs w:val="24"/>
          <w:lang w:val="en-US" w:eastAsia="zh-CN" w:bidi="ar"/>
        </w:rPr>
        <w:t>年第</w:t>
      </w:r>
      <w:r>
        <w:rPr>
          <w:rFonts w:hint="default" w:ascii="Times New Roman" w:hAnsi="Times New Roman" w:eastAsia="宋体" w:cs="Times New Roman"/>
          <w:color w:val="000000"/>
          <w:kern w:val="0"/>
          <w:sz w:val="24"/>
          <w:szCs w:val="24"/>
          <w:lang w:val="en-US" w:eastAsia="zh-CN" w:bidi="ar"/>
        </w:rPr>
        <w:t>682</w:t>
      </w:r>
      <w:r>
        <w:rPr>
          <w:rFonts w:hint="eastAsia" w:ascii="Times New Roman" w:hAnsi="Times New Roman" w:eastAsia="宋体" w:cs="Times New Roman"/>
          <w:color w:val="000000"/>
          <w:kern w:val="0"/>
          <w:sz w:val="24"/>
          <w:szCs w:val="24"/>
          <w:lang w:val="en-US" w:eastAsia="zh-CN" w:bidi="ar"/>
        </w:rPr>
        <w:t>号令《建设项目环境保护管理条例》中有关要求及《中华人民共和国环境影响评价法》的规定，辽宁铧宇废旧金属再生利用有限公司委托我公司承担本项目的环境影响评价工作。我公司接受委托后，进行了细致的现场踏勘和调研，对相关情况进行了全面调查。在资料收集统计、工程分析、环境影响分析的基础上，根据环境影响评价技术导则和相关规范完成了本项目环境影响报告书的编制工作。</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）项目特点</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本项目为扩建项目，根据《国民经济行业分类》（</w:t>
      </w:r>
      <w:r>
        <w:rPr>
          <w:rFonts w:hint="default" w:ascii="Times New Roman" w:hAnsi="Times New Roman" w:eastAsia="宋体" w:cs="Times New Roman"/>
          <w:color w:val="000000"/>
          <w:kern w:val="0"/>
          <w:sz w:val="24"/>
          <w:szCs w:val="24"/>
          <w:lang w:val="en-US" w:eastAsia="zh-CN" w:bidi="ar"/>
        </w:rPr>
        <w:t>GB/T4754-2017</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2019</w:t>
      </w:r>
      <w:r>
        <w:rPr>
          <w:rFonts w:hint="eastAsia" w:ascii="Times New Roman" w:hAnsi="Times New Roman" w:eastAsia="宋体" w:cs="Times New Roman"/>
          <w:color w:val="000000"/>
          <w:kern w:val="0"/>
          <w:sz w:val="24"/>
          <w:szCs w:val="24"/>
          <w:lang w:val="en-US" w:eastAsia="zh-CN" w:bidi="ar"/>
        </w:rPr>
        <w:t>年修订），属于</w:t>
      </w:r>
      <w:r>
        <w:rPr>
          <w:rFonts w:hint="default" w:ascii="Times New Roman" w:hAnsi="Times New Roman" w:eastAsia="宋体" w:cs="Times New Roman"/>
          <w:color w:val="000000"/>
          <w:kern w:val="0"/>
          <w:sz w:val="24"/>
          <w:szCs w:val="24"/>
          <w:lang w:val="en-US" w:eastAsia="zh-CN" w:bidi="ar"/>
        </w:rPr>
        <w:t>B1099“</w:t>
      </w:r>
      <w:r>
        <w:rPr>
          <w:rFonts w:hint="eastAsia" w:ascii="Times New Roman" w:hAnsi="Times New Roman" w:eastAsia="宋体" w:cs="Times New Roman"/>
          <w:color w:val="000000"/>
          <w:kern w:val="0"/>
          <w:sz w:val="24"/>
          <w:szCs w:val="24"/>
          <w:lang w:val="en-US" w:eastAsia="zh-CN" w:bidi="ar"/>
        </w:rPr>
        <w:t>其他未列明非金属采选</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。根据《建设项目环境影响评价分类管理名录》及生态环境部令第</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号《关于修改</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建设项目环境影响评价分类管理名录</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部分内容的决定》，本项目属于</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石棉及其他非金属矿采选</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，应编制环境影响报告书。</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本项目位于辽宁省鞍山市海城市八里镇铧子峪村，项目场址占地面积</w:t>
      </w:r>
      <w:r>
        <w:rPr>
          <w:rFonts w:hint="default" w:ascii="Times New Roman" w:hAnsi="Times New Roman" w:eastAsia="宋体" w:cs="Times New Roman"/>
          <w:color w:val="000000"/>
          <w:kern w:val="0"/>
          <w:sz w:val="24"/>
          <w:szCs w:val="24"/>
          <w:lang w:val="en-US" w:eastAsia="zh-CN" w:bidi="ar"/>
        </w:rPr>
        <w:t>30000m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。场址边界距离周边最近的范家峪村约</w:t>
      </w:r>
      <w:r>
        <w:rPr>
          <w:rFonts w:hint="default" w:ascii="Times New Roman" w:hAnsi="Times New Roman" w:eastAsia="宋体" w:cs="Times New Roman"/>
          <w:color w:val="000000"/>
          <w:kern w:val="0"/>
          <w:sz w:val="24"/>
          <w:szCs w:val="24"/>
          <w:lang w:val="en-US" w:eastAsia="zh-CN" w:bidi="ar"/>
        </w:rPr>
        <w:t>260m</w:t>
      </w:r>
      <w:r>
        <w:rPr>
          <w:rFonts w:hint="eastAsia" w:ascii="Times New Roman" w:hAnsi="Times New Roman" w:eastAsia="宋体" w:cs="Times New Roman"/>
          <w:color w:val="000000"/>
          <w:kern w:val="0"/>
          <w:sz w:val="24"/>
          <w:szCs w:val="24"/>
          <w:lang w:val="en-US" w:eastAsia="zh-CN" w:bidi="ar"/>
        </w:rPr>
        <w:t>。本项目没有位于自然保护区、风景名胜区、饮用水水源保护区和其他需要特别保护的区域范围内，满足生态功能区保护要求。</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）分析判定相关情况</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根据《产业结构调整指导目录（</w:t>
      </w:r>
      <w:r>
        <w:rPr>
          <w:rFonts w:hint="default" w:ascii="Times New Roman" w:hAnsi="Times New Roman" w:eastAsia="宋体" w:cs="Times New Roman"/>
          <w:color w:val="000000"/>
          <w:kern w:val="0"/>
          <w:sz w:val="24"/>
          <w:szCs w:val="24"/>
          <w:lang w:val="en-US" w:eastAsia="zh-CN" w:bidi="ar"/>
        </w:rPr>
        <w:t>2019</w:t>
      </w:r>
      <w:r>
        <w:rPr>
          <w:rFonts w:hint="eastAsia" w:ascii="Times New Roman" w:hAnsi="Times New Roman" w:eastAsia="宋体" w:cs="Times New Roman"/>
          <w:color w:val="000000"/>
          <w:kern w:val="0"/>
          <w:sz w:val="24"/>
          <w:szCs w:val="24"/>
          <w:lang w:val="en-US" w:eastAsia="zh-CN" w:bidi="ar"/>
        </w:rPr>
        <w:t>年本）》，目录中对鼓励类、限制类和淘汰类的工业建设项目做了明确规定，本项目属于第一类鼓励类第四十三大类环境保护与资源节约综合利用第</w:t>
      </w:r>
      <w:r>
        <w:rPr>
          <w:rFonts w:hint="default" w:ascii="Times New Roman" w:hAnsi="Times New Roman" w:eastAsia="宋体" w:cs="Times New Roman"/>
          <w:color w:val="000000"/>
          <w:kern w:val="0"/>
          <w:sz w:val="24"/>
          <w:szCs w:val="24"/>
          <w:lang w:val="en-US" w:eastAsia="zh-CN" w:bidi="ar"/>
        </w:rPr>
        <w:t>23</w:t>
      </w:r>
      <w:r>
        <w:rPr>
          <w:rFonts w:hint="eastAsia" w:ascii="Times New Roman" w:hAnsi="Times New Roman" w:eastAsia="宋体" w:cs="Times New Roman"/>
          <w:color w:val="000000"/>
          <w:kern w:val="0"/>
          <w:sz w:val="24"/>
          <w:szCs w:val="24"/>
          <w:lang w:val="en-US" w:eastAsia="zh-CN" w:bidi="ar"/>
        </w:rPr>
        <w:t>小项“低品位、复杂、难处理矿开发及综合利用”，符合国家的产业政策。</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本项目浮选生产线属于菱镁矿高效选矿项目，本项目的建设符合省及地方的</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“水十条”及“土十条”相关要求；符合《关于以改善环境质量为核心加强环境影响评价管理的通知》</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环环评</w:t>
      </w:r>
      <w:r>
        <w:rPr>
          <w:rFonts w:hint="default" w:ascii="Times New Roman" w:hAnsi="Times New Roman" w:eastAsia="宋体" w:cs="Times New Roman"/>
          <w:color w:val="000000"/>
          <w:kern w:val="0"/>
          <w:sz w:val="24"/>
          <w:szCs w:val="24"/>
          <w:lang w:val="en-US" w:eastAsia="zh-CN" w:bidi="ar"/>
        </w:rPr>
        <w:t>[2016]150</w:t>
      </w:r>
      <w:r>
        <w:rPr>
          <w:rFonts w:hint="eastAsia" w:ascii="Times New Roman" w:hAnsi="Times New Roman" w:eastAsia="宋体" w:cs="Times New Roman"/>
          <w:color w:val="000000"/>
          <w:kern w:val="0"/>
          <w:sz w:val="24"/>
          <w:szCs w:val="24"/>
          <w:lang w:val="en-US" w:eastAsia="zh-CN" w:bidi="ar"/>
        </w:rPr>
        <w:t>号</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中有关“三线一单”约束作用及“三挂钩”机制的相关要求；符合《国务院关于印发打赢蓝天保卫战三年行动计划的通知》（国发</w:t>
      </w:r>
      <w:r>
        <w:rPr>
          <w:rFonts w:hint="default" w:ascii="Times New Roman" w:hAnsi="Times New Roman" w:eastAsia="宋体" w:cs="Times New Roman"/>
          <w:color w:val="000000"/>
          <w:kern w:val="0"/>
          <w:sz w:val="24"/>
          <w:szCs w:val="24"/>
          <w:lang w:val="en-US" w:eastAsia="zh-CN" w:bidi="ar"/>
        </w:rPr>
        <w:t>[2018]22</w:t>
      </w:r>
      <w:r>
        <w:rPr>
          <w:rFonts w:hint="eastAsia" w:ascii="Times New Roman" w:hAnsi="Times New Roman" w:eastAsia="宋体" w:cs="Times New Roman"/>
          <w:color w:val="000000"/>
          <w:kern w:val="0"/>
          <w:sz w:val="24"/>
          <w:szCs w:val="24"/>
          <w:lang w:val="en-US" w:eastAsia="zh-CN" w:bidi="ar"/>
        </w:rPr>
        <w:t>号）及《鞍山市人民政府关于印发鞍山市打赢蓝天保卫战实施方案的通知》（鞍政</w:t>
      </w:r>
      <w:r>
        <w:rPr>
          <w:rFonts w:hint="default" w:ascii="Times New Roman" w:hAnsi="Times New Roman" w:eastAsia="宋体" w:cs="Times New Roman"/>
          <w:color w:val="000000"/>
          <w:kern w:val="0"/>
          <w:sz w:val="24"/>
          <w:szCs w:val="24"/>
          <w:lang w:val="en-US" w:eastAsia="zh-CN" w:bidi="ar"/>
        </w:rPr>
        <w:t>[2019]11</w:t>
      </w:r>
      <w:r>
        <w:rPr>
          <w:rFonts w:hint="eastAsia" w:ascii="Times New Roman" w:hAnsi="Times New Roman" w:eastAsia="宋体" w:cs="Times New Roman"/>
          <w:color w:val="000000"/>
          <w:kern w:val="0"/>
          <w:sz w:val="24"/>
          <w:szCs w:val="24"/>
          <w:lang w:val="en-US" w:eastAsia="zh-CN" w:bidi="ar"/>
        </w:rPr>
        <w:t>号）中相关要求。因此，本项目与现行环境管理政策相符。</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根据海城市生态保护红线范围，本项目不在生态保护红线内，满足环境质量底线、资源利用上限的要求。</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的建设可行性已通过专家论证，并经海城市镁制品项目建设联合审议领导小组第五次联合审议会议同意该项目立项，根据镁制品项目建设第五次联合审议会议纪要，本项目为浮选类项目，不需要产能和主要污染物排放总量指标置换。本项目已得到海城市发展和改革局的备案证明（海发改备</w:t>
      </w:r>
      <w:r>
        <w:rPr>
          <w:rFonts w:hint="default" w:ascii="Times New Roman" w:hAnsi="Times New Roman" w:eastAsia="宋体" w:cs="Times New Roman"/>
          <w:color w:val="000000"/>
          <w:kern w:val="0"/>
          <w:sz w:val="24"/>
          <w:szCs w:val="24"/>
          <w:lang w:val="en-US" w:eastAsia="zh-CN" w:bidi="ar"/>
        </w:rPr>
        <w:t>[2019]94</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本项目位于海城市八里镇铧子峪村，已取得八里镇镇府出具的关于项目规划选址情况说明，根据该说明，本项目用地符合八里镇镇区规划，同意项目建设。</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综上所述，本项目符合国家、地方产业政策及规划选址要求，也符合《海城市镁制品项目建设指导意见》（海政办发</w:t>
      </w:r>
      <w:r>
        <w:rPr>
          <w:rFonts w:hint="default" w:ascii="Times New Roman" w:hAnsi="Times New Roman" w:eastAsia="宋体" w:cs="Times New Roman"/>
          <w:color w:val="000000"/>
          <w:kern w:val="0"/>
          <w:sz w:val="24"/>
          <w:szCs w:val="24"/>
          <w:lang w:val="en-US" w:eastAsia="zh-CN" w:bidi="ar"/>
        </w:rPr>
        <w:t>[2018]41</w:t>
      </w:r>
      <w:r>
        <w:rPr>
          <w:rFonts w:hint="eastAsia" w:ascii="Times New Roman" w:hAnsi="Times New Roman" w:eastAsia="宋体" w:cs="Times New Roman"/>
          <w:color w:val="000000"/>
          <w:kern w:val="0"/>
          <w:sz w:val="24"/>
          <w:szCs w:val="24"/>
          <w:lang w:val="en-US" w:eastAsia="zh-CN" w:bidi="ar"/>
        </w:rPr>
        <w:t>号）中的相关要求。</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4</w:t>
      </w:r>
      <w:r>
        <w:rPr>
          <w:rFonts w:hint="eastAsia" w:ascii="Times New Roman" w:hAnsi="Times New Roman" w:eastAsia="宋体" w:cs="Times New Roman"/>
          <w:b/>
          <w:bCs w:val="0"/>
          <w:color w:val="000000"/>
          <w:kern w:val="0"/>
          <w:sz w:val="24"/>
          <w:szCs w:val="24"/>
          <w:lang w:val="en-US" w:eastAsia="zh-CN" w:bidi="ar"/>
        </w:rPr>
        <w:t>）关注的主要环境问题及环境影响</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Cs w:val="20"/>
          <w:lang w:val="en-US"/>
        </w:rPr>
      </w:pPr>
      <w:r>
        <w:rPr>
          <w:rFonts w:hint="eastAsia" w:ascii="宋体" w:hAnsi="宋体" w:eastAsia="宋体" w:cs="Times New Roman"/>
          <w:color w:val="000000"/>
          <w:kern w:val="0"/>
          <w:sz w:val="24"/>
          <w:szCs w:val="20"/>
          <w:lang w:val="en-US" w:eastAsia="zh-CN" w:bidi="ar"/>
        </w:rPr>
        <w:t>①</w:t>
      </w:r>
      <w:r>
        <w:rPr>
          <w:rFonts w:hint="eastAsia" w:ascii="Times New Roman" w:hAnsi="Times New Roman" w:eastAsia="宋体" w:cs="Times New Roman"/>
          <w:color w:val="000000"/>
          <w:kern w:val="0"/>
          <w:sz w:val="24"/>
          <w:szCs w:val="20"/>
          <w:lang w:val="en-US" w:eastAsia="zh-CN" w:bidi="ar"/>
        </w:rPr>
        <w:t>关注的主要环境问题：</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Cs w:val="20"/>
          <w:lang w:val="en-US"/>
        </w:rPr>
      </w:pPr>
      <w:r>
        <w:rPr>
          <w:rFonts w:hint="eastAsia" w:ascii="Times New Roman" w:hAnsi="Times New Roman" w:eastAsia="宋体" w:cs="Times New Roman"/>
          <w:color w:val="000000"/>
          <w:kern w:val="0"/>
          <w:sz w:val="24"/>
          <w:szCs w:val="20"/>
          <w:lang w:val="en-US" w:eastAsia="zh-CN" w:bidi="ar"/>
        </w:rPr>
        <w:t>本项目是否符合环境管理政策的要求；</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Cs w:val="20"/>
          <w:lang w:val="en-US"/>
        </w:rPr>
      </w:pPr>
      <w:r>
        <w:rPr>
          <w:rFonts w:hint="eastAsia" w:ascii="Times New Roman" w:hAnsi="Times New Roman" w:eastAsia="宋体" w:cs="Times New Roman"/>
          <w:color w:val="000000"/>
          <w:kern w:val="0"/>
          <w:sz w:val="24"/>
          <w:szCs w:val="20"/>
          <w:lang w:val="en-US" w:eastAsia="zh-CN" w:bidi="ar"/>
        </w:rPr>
        <w:t>本项目所在区域环境质量现状是否可达到相应标准要求；</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Cs w:val="20"/>
          <w:lang w:val="en-US"/>
        </w:rPr>
      </w:pPr>
      <w:r>
        <w:rPr>
          <w:rFonts w:hint="eastAsia" w:ascii="Times New Roman" w:hAnsi="Times New Roman" w:eastAsia="宋体" w:cs="Times New Roman"/>
          <w:color w:val="000000"/>
          <w:kern w:val="0"/>
          <w:sz w:val="24"/>
          <w:szCs w:val="20"/>
          <w:lang w:val="en-US" w:eastAsia="zh-CN" w:bidi="ar"/>
        </w:rPr>
        <w:t>建设规模、污染物排放等是否符合国家标准要求；</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Cs w:val="20"/>
          <w:lang w:val="en-US"/>
        </w:rPr>
      </w:pPr>
      <w:r>
        <w:rPr>
          <w:rFonts w:hint="eastAsia" w:ascii="Times New Roman" w:hAnsi="Times New Roman" w:eastAsia="宋体" w:cs="Times New Roman"/>
          <w:color w:val="000000"/>
          <w:kern w:val="0"/>
          <w:sz w:val="24"/>
          <w:szCs w:val="20"/>
          <w:lang w:val="en-US" w:eastAsia="zh-CN" w:bidi="ar"/>
        </w:rPr>
        <w:t>选址是否符合地方规划及环境功能区划要求；</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Cs w:val="20"/>
          <w:lang w:val="en-US"/>
        </w:rPr>
      </w:pPr>
      <w:r>
        <w:rPr>
          <w:rFonts w:hint="eastAsia" w:ascii="Times New Roman" w:hAnsi="Times New Roman" w:eastAsia="宋体" w:cs="Times New Roman"/>
          <w:color w:val="000000"/>
          <w:kern w:val="0"/>
          <w:sz w:val="24"/>
          <w:szCs w:val="20"/>
          <w:lang w:val="en-US" w:eastAsia="zh-CN" w:bidi="ar"/>
        </w:rPr>
        <w:t>废气、废水防治措施及排放去向、固废处置方式等污染防治措施是否可行；</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Cs w:val="20"/>
          <w:lang w:val="en-US"/>
        </w:rPr>
      </w:pPr>
      <w:r>
        <w:rPr>
          <w:rFonts w:hint="eastAsia" w:ascii="Times New Roman" w:hAnsi="Times New Roman" w:eastAsia="宋体" w:cs="Times New Roman"/>
          <w:color w:val="000000"/>
          <w:kern w:val="0"/>
          <w:sz w:val="24"/>
          <w:szCs w:val="20"/>
          <w:lang w:val="en-US" w:eastAsia="zh-CN" w:bidi="ar"/>
        </w:rPr>
        <w:t>本项目建设后对周边环境的影响是否可接受；</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Cs w:val="20"/>
          <w:lang w:val="en-US"/>
        </w:rPr>
      </w:pPr>
      <w:r>
        <w:rPr>
          <w:rFonts w:hint="eastAsia" w:ascii="Times New Roman" w:hAnsi="Times New Roman" w:eastAsia="宋体" w:cs="Times New Roman"/>
          <w:color w:val="000000"/>
          <w:kern w:val="0"/>
          <w:sz w:val="24"/>
          <w:szCs w:val="20"/>
          <w:lang w:val="en-US" w:eastAsia="zh-CN" w:bidi="ar"/>
        </w:rPr>
        <w:t>对周围环境保护目标的影响程度是否可以接受，尤其是在其卫生防护距离内是否有环境敏感目标等。</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Cs w:val="20"/>
          <w:lang w:val="en-US"/>
        </w:rPr>
      </w:pPr>
      <w:r>
        <w:rPr>
          <w:rFonts w:hint="eastAsia" w:ascii="宋体" w:hAnsi="宋体" w:eastAsia="宋体" w:cs="Times New Roman"/>
          <w:color w:val="000000"/>
          <w:kern w:val="0"/>
          <w:sz w:val="24"/>
          <w:szCs w:val="20"/>
          <w:lang w:val="en-US" w:eastAsia="zh-CN" w:bidi="ar"/>
        </w:rPr>
        <w:t>②</w:t>
      </w:r>
      <w:r>
        <w:rPr>
          <w:rFonts w:hint="eastAsia" w:ascii="Times New Roman" w:hAnsi="Times New Roman" w:eastAsia="宋体" w:cs="Times New Roman"/>
          <w:color w:val="000000"/>
          <w:kern w:val="0"/>
          <w:sz w:val="24"/>
          <w:szCs w:val="20"/>
          <w:lang w:val="en-US" w:eastAsia="zh-CN" w:bidi="ar"/>
        </w:rPr>
        <w:t>环境影响</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Cs w:val="20"/>
          <w:lang w:val="en-US"/>
        </w:rPr>
      </w:pPr>
      <w:r>
        <w:rPr>
          <w:rFonts w:hint="eastAsia" w:ascii="Times New Roman" w:hAnsi="Times New Roman" w:eastAsia="宋体" w:cs="Times New Roman"/>
          <w:color w:val="000000"/>
          <w:kern w:val="0"/>
          <w:sz w:val="24"/>
          <w:szCs w:val="20"/>
          <w:lang w:val="en-US" w:eastAsia="zh-CN" w:bidi="ar"/>
        </w:rPr>
        <w:t>项目运营期会产生废气、废水、噪声、固体废物等环境影响因素。具体内容如下：</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Cs w:val="20"/>
          <w:lang w:val="en-US"/>
        </w:rPr>
      </w:pPr>
      <w:r>
        <w:rPr>
          <w:rFonts w:hint="eastAsia" w:ascii="Times New Roman" w:hAnsi="Times New Roman" w:eastAsia="宋体" w:cs="Times New Roman"/>
          <w:color w:val="000000"/>
          <w:kern w:val="0"/>
          <w:sz w:val="24"/>
          <w:szCs w:val="20"/>
          <w:lang w:val="en-US" w:eastAsia="zh-CN" w:bidi="ar"/>
        </w:rPr>
        <w:t>废气：颗粒物等；</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Cs w:val="20"/>
          <w:lang w:val="en-US"/>
        </w:rPr>
      </w:pPr>
      <w:r>
        <w:rPr>
          <w:rFonts w:hint="eastAsia" w:ascii="Times New Roman" w:hAnsi="Times New Roman" w:eastAsia="宋体" w:cs="Times New Roman"/>
          <w:color w:val="000000"/>
          <w:kern w:val="0"/>
          <w:sz w:val="24"/>
          <w:szCs w:val="20"/>
          <w:lang w:val="en-US" w:eastAsia="zh-CN" w:bidi="ar"/>
        </w:rPr>
        <w:t>废水：</w:t>
      </w:r>
      <w:r>
        <w:rPr>
          <w:rFonts w:hint="default" w:ascii="Times New Roman" w:hAnsi="Times New Roman" w:eastAsia="宋体" w:cs="Times New Roman"/>
          <w:color w:val="000000"/>
          <w:kern w:val="0"/>
          <w:sz w:val="24"/>
          <w:szCs w:val="20"/>
          <w:lang w:val="en-US" w:eastAsia="zh-CN" w:bidi="ar"/>
        </w:rPr>
        <w:t>CODcr</w:t>
      </w:r>
      <w:r>
        <w:rPr>
          <w:rFonts w:hint="eastAsia" w:ascii="Times New Roman" w:hAnsi="Times New Roman" w:eastAsia="宋体" w:cs="Times New Roman"/>
          <w:color w:val="000000"/>
          <w:kern w:val="0"/>
          <w:sz w:val="24"/>
          <w:szCs w:val="20"/>
          <w:lang w:val="en-US" w:eastAsia="zh-CN" w:bidi="ar"/>
        </w:rPr>
        <w:t>、</w:t>
      </w:r>
      <w:r>
        <w:rPr>
          <w:rFonts w:hint="default" w:ascii="Times New Roman" w:hAnsi="Times New Roman" w:eastAsia="宋体" w:cs="Times New Roman"/>
          <w:color w:val="000000"/>
          <w:kern w:val="0"/>
          <w:sz w:val="24"/>
          <w:szCs w:val="20"/>
          <w:lang w:val="en-US" w:eastAsia="zh-CN" w:bidi="ar"/>
        </w:rPr>
        <w:t>SS</w:t>
      </w:r>
      <w:r>
        <w:rPr>
          <w:rFonts w:hint="eastAsia" w:ascii="Times New Roman" w:hAnsi="Times New Roman" w:eastAsia="宋体" w:cs="Times New Roman"/>
          <w:color w:val="000000"/>
          <w:kern w:val="0"/>
          <w:sz w:val="24"/>
          <w:szCs w:val="20"/>
          <w:lang w:val="en-US" w:eastAsia="zh-CN" w:bidi="ar"/>
        </w:rPr>
        <w:t>、</w:t>
      </w:r>
      <w:r>
        <w:rPr>
          <w:rFonts w:hint="default" w:ascii="Times New Roman" w:hAnsi="Times New Roman" w:eastAsia="宋体" w:cs="Times New Roman"/>
          <w:color w:val="000000"/>
          <w:kern w:val="0"/>
          <w:sz w:val="24"/>
          <w:szCs w:val="20"/>
          <w:lang w:val="en-US" w:eastAsia="zh-CN" w:bidi="ar"/>
        </w:rPr>
        <w:t>NH</w:t>
      </w:r>
      <w:r>
        <w:rPr>
          <w:rFonts w:hint="default" w:ascii="Times New Roman" w:hAnsi="Times New Roman" w:eastAsia="宋体" w:cs="Times New Roman"/>
          <w:color w:val="000000"/>
          <w:kern w:val="0"/>
          <w:sz w:val="24"/>
          <w:szCs w:val="20"/>
          <w:vertAlign w:val="subscript"/>
          <w:lang w:val="en-US" w:eastAsia="zh-CN" w:bidi="ar"/>
        </w:rPr>
        <w:t>3</w:t>
      </w:r>
      <w:r>
        <w:rPr>
          <w:rFonts w:hint="default" w:ascii="Times New Roman" w:hAnsi="Times New Roman" w:eastAsia="宋体" w:cs="Times New Roman"/>
          <w:color w:val="000000"/>
          <w:kern w:val="0"/>
          <w:sz w:val="24"/>
          <w:szCs w:val="20"/>
          <w:lang w:val="en-US" w:eastAsia="zh-CN" w:bidi="ar"/>
        </w:rPr>
        <w:t>-N</w:t>
      </w:r>
      <w:r>
        <w:rPr>
          <w:rFonts w:hint="eastAsia" w:ascii="Times New Roman" w:hAnsi="Times New Roman" w:eastAsia="宋体" w:cs="Times New Roman"/>
          <w:color w:val="000000"/>
          <w:kern w:val="0"/>
          <w:sz w:val="24"/>
          <w:szCs w:val="20"/>
          <w:lang w:val="en-US" w:eastAsia="zh-CN" w:bidi="ar"/>
        </w:rPr>
        <w:t>等；</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Cs w:val="20"/>
          <w:lang w:val="en-US"/>
        </w:rPr>
      </w:pPr>
      <w:r>
        <w:rPr>
          <w:rFonts w:hint="eastAsia" w:ascii="Times New Roman" w:hAnsi="Times New Roman" w:eastAsia="宋体" w:cs="Times New Roman"/>
          <w:color w:val="000000"/>
          <w:kern w:val="0"/>
          <w:sz w:val="24"/>
          <w:szCs w:val="20"/>
          <w:lang w:val="en-US" w:eastAsia="zh-CN" w:bidi="ar"/>
        </w:rPr>
        <w:t>噪声：</w:t>
      </w:r>
      <w:r>
        <w:rPr>
          <w:rFonts w:hint="default" w:ascii="Times New Roman" w:hAnsi="Times New Roman" w:eastAsia="宋体" w:cs="Times New Roman"/>
          <w:color w:val="000000"/>
          <w:kern w:val="0"/>
          <w:sz w:val="24"/>
          <w:szCs w:val="20"/>
          <w:lang w:val="en-US" w:eastAsia="zh-CN" w:bidi="ar"/>
        </w:rPr>
        <w:t>Leq(A)</w:t>
      </w:r>
      <w:r>
        <w:rPr>
          <w:rFonts w:hint="eastAsia" w:ascii="Times New Roman" w:hAnsi="Times New Roman" w:eastAsia="宋体" w:cs="Times New Roman"/>
          <w:color w:val="000000"/>
          <w:kern w:val="0"/>
          <w:sz w:val="24"/>
          <w:szCs w:val="20"/>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Cs w:val="20"/>
          <w:lang w:val="en-US"/>
        </w:rPr>
      </w:pPr>
      <w:r>
        <w:rPr>
          <w:rFonts w:hint="eastAsia" w:ascii="Times New Roman" w:hAnsi="Times New Roman" w:eastAsia="宋体" w:cs="Times New Roman"/>
          <w:color w:val="000000"/>
          <w:kern w:val="0"/>
          <w:sz w:val="24"/>
          <w:szCs w:val="20"/>
          <w:lang w:val="en-US" w:eastAsia="zh-CN" w:bidi="ar"/>
        </w:rPr>
        <w:t>固体废物：主要包括危险固废及一般固废。危险固废包括废润滑油桶、废药剂包装桶；一般固废包括布袋除尘灰、球磨机产生的废钢球、振动筛产生的废筛网、循环水池沉淀的矿泥、厂房遮挡粉尘及生活垃圾等。</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5</w:t>
      </w:r>
      <w:r>
        <w:rPr>
          <w:rFonts w:hint="eastAsia" w:ascii="Times New Roman" w:hAnsi="Times New Roman" w:eastAsia="宋体" w:cs="Times New Roman"/>
          <w:b/>
          <w:bCs w:val="0"/>
          <w:color w:val="000000"/>
          <w:kern w:val="0"/>
          <w:sz w:val="24"/>
          <w:szCs w:val="24"/>
          <w:lang w:val="en-US" w:eastAsia="zh-CN" w:bidi="ar"/>
        </w:rPr>
        <w:t>）环境影响评价工作过程</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根据《环境影响评价技术导则</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总纲》（</w:t>
      </w:r>
      <w:r>
        <w:rPr>
          <w:rFonts w:hint="default" w:ascii="Times New Roman" w:hAnsi="Times New Roman" w:eastAsia="宋体" w:cs="Times New Roman"/>
          <w:color w:val="000000"/>
          <w:kern w:val="0"/>
          <w:sz w:val="24"/>
          <w:szCs w:val="24"/>
          <w:lang w:val="en-US" w:eastAsia="zh-CN" w:bidi="ar"/>
        </w:rPr>
        <w:t>HJ 2.1-2016</w:t>
      </w:r>
      <w:r>
        <w:rPr>
          <w:rFonts w:hint="eastAsia" w:ascii="Times New Roman" w:hAnsi="Times New Roman" w:eastAsia="宋体" w:cs="Times New Roman"/>
          <w:color w:val="000000"/>
          <w:kern w:val="0"/>
          <w:sz w:val="24"/>
          <w:szCs w:val="24"/>
          <w:lang w:val="en-US" w:eastAsia="zh-CN" w:bidi="ar"/>
        </w:rPr>
        <w:t>）等相关技术规范的要求，环境影响评价工作一般分为三个阶段，即调查分析和工作方案制定阶段、分析论证和预测评价阶段、环境影响报告书编制阶段，具体工作过程及程序见图</w:t>
      </w:r>
      <w:r>
        <w:rPr>
          <w:rFonts w:hint="default" w:ascii="Times New Roman" w:hAnsi="Times New Roman" w:eastAsia="宋体" w:cs="Times New Roman"/>
          <w:color w:val="000000"/>
          <w:kern w:val="0"/>
          <w:sz w:val="24"/>
          <w:szCs w:val="24"/>
          <w:lang w:val="en-US" w:eastAsia="zh-CN" w:bidi="ar"/>
        </w:rPr>
        <w:t>Ⅰ</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bdr w:val="single" w:color="FFFFFF" w:sz="4" w:space="0"/>
          <w:lang w:val="en-US"/>
        </w:rPr>
      </w:pPr>
      <w:r>
        <w:rPr>
          <w:rFonts w:hint="default" w:ascii="Times New Roman" w:hAnsi="Times New Roman" w:eastAsia="宋体" w:cs="Times New Roman"/>
          <w:color w:val="000000"/>
          <w:kern w:val="0"/>
          <w:sz w:val="24"/>
          <w:szCs w:val="24"/>
          <w:bdr w:val="single" w:color="FFFFFF" w:sz="4" w:space="0"/>
          <w:lang w:val="en-US" w:eastAsia="zh-CN" w:bidi="ar"/>
        </w:rPr>
        <w:drawing>
          <wp:inline distT="0" distB="0" distL="114300" distR="114300">
            <wp:extent cx="4238625" cy="4076700"/>
            <wp:effectExtent l="0" t="0" r="9525"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5"/>
                    <a:srcRect l="4823" t="2702" r="3134" b="3282"/>
                    <a:stretch>
                      <a:fillRect/>
                    </a:stretch>
                  </pic:blipFill>
                  <pic:spPr>
                    <a:xfrm>
                      <a:off x="0" y="0"/>
                      <a:ext cx="4238625" cy="4076700"/>
                    </a:xfrm>
                    <a:prstGeom prst="rect">
                      <a:avLst/>
                    </a:prstGeom>
                    <a:noFill/>
                    <a:ln>
                      <a:noFill/>
                    </a:ln>
                  </pic:spPr>
                </pic:pic>
              </a:graphicData>
            </a:graphic>
          </wp:inline>
        </w:drawing>
      </w:r>
    </w:p>
    <w:p>
      <w:pPr>
        <w:keepNext w:val="0"/>
        <w:keepLines w:val="0"/>
        <w:widowControl/>
        <w:suppressLineNumbers w:val="0"/>
        <w:snapToGri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宋体" w:cs="Times New Roman"/>
          <w:color w:val="000000"/>
          <w:kern w:val="0"/>
          <w:sz w:val="24"/>
          <w:szCs w:val="24"/>
          <w:lang w:val="en-US" w:eastAsia="zh-CN" w:bidi="ar"/>
        </w:rPr>
        <w:t>Ⅰ</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4"/>
          <w:szCs w:val="24"/>
          <w:lang w:val="en-US" w:eastAsia="zh-CN" w:bidi="ar"/>
        </w:rPr>
        <w:t>环境影响评价工作程序图</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eastAsia="黑体" w:cs="Times New Roman"/>
          <w:color w:val="000000"/>
          <w:lang w:val="en-US"/>
        </w:rPr>
      </w:pP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6</w:t>
      </w:r>
      <w:r>
        <w:rPr>
          <w:rFonts w:hint="eastAsia" w:ascii="Times New Roman" w:hAnsi="Times New Roman" w:eastAsia="宋体" w:cs="Times New Roman"/>
          <w:b/>
          <w:bCs w:val="0"/>
          <w:color w:val="000000"/>
          <w:kern w:val="0"/>
          <w:sz w:val="24"/>
          <w:szCs w:val="24"/>
          <w:lang w:val="en-US" w:eastAsia="zh-CN" w:bidi="ar"/>
        </w:rPr>
        <w:t>）环境影响评价主要结论</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本项目建设地点位于海城市八里镇铧子峪村，用地性质为工业用地，本项目的建设符合国家及地方产业政策，符合当地的环境保护规划和经济发展规划。项目在工艺上采取了完善的污染预防措施及相应的污染治理措施，从源头上减少了污染物的产生，采取的污染防治措施经济可行并可做到各项污染物稳定达标排放；根据建设单位提供的公众参与调查材料，被调查的公众对本项目无反对意见；在项目实施过程中严格落实各项污染防治措施和环境管理要求，项目的实施对周围环境质量的影响不大。本项目不存在重大环境制约因素，从环境保护角度分析，本项目建设可行。</w:t>
      </w:r>
    </w:p>
    <w:p>
      <w:pPr>
        <w:rPr>
          <w:rFonts w:hint="default" w:ascii="Times New Roman" w:hAnsi="Times New Roman" w:eastAsia="宋体" w:cs="Times New Roman"/>
          <w:color w:val="000000"/>
          <w:sz w:val="24"/>
          <w:szCs w:val="24"/>
          <w:lang w:val="en-US" w:eastAsia="zh-CN" w:bidi="ar"/>
        </w:rPr>
        <w:sectPr>
          <w:pgSz w:w="11915" w:h="16840"/>
          <w:pgMar w:top="1702" w:right="1702" w:bottom="1702" w:left="1702" w:header="851" w:footer="1077" w:gutter="0"/>
          <w:paperSrc/>
          <w:pgNumType w:fmt="upperRoman" w:start="1"/>
          <w:cols w:space="425" w:num="1"/>
          <w:docGrid w:type="lines" w:linePitch="479" w:charSpace="0"/>
        </w:sectPr>
      </w:pPr>
    </w:p>
    <w:p>
      <w:pPr>
        <w:pStyle w:val="7"/>
        <w:widowControl/>
        <w:rPr>
          <w:rFonts w:hint="default" w:ascii="Times New Roman" w:hAnsi="Times New Roman" w:cs="Times New Roman"/>
          <w:color w:val="000000"/>
          <w:lang/>
        </w:rPr>
      </w:pPr>
      <w:bookmarkStart w:id="2" w:name="_Toc41656112"/>
      <w:bookmarkStart w:id="3" w:name="_Toc175714237"/>
      <w:bookmarkStart w:id="4" w:name="_Toc175711404"/>
      <w:bookmarkStart w:id="5" w:name="_Toc166464709"/>
      <w:bookmarkStart w:id="6" w:name="_Toc158523389"/>
      <w:bookmarkStart w:id="7" w:name="_Toc154570227"/>
      <w:bookmarkStart w:id="8" w:name="_Toc154569840"/>
      <w:bookmarkStart w:id="9" w:name="_Toc153878436"/>
      <w:bookmarkStart w:id="10" w:name="_Toc153007100"/>
      <w:bookmarkStart w:id="11" w:name="_Toc151278901"/>
      <w:bookmarkStart w:id="12" w:name="_Toc151276115"/>
      <w:bookmarkStart w:id="13" w:name="_Toc151200227"/>
      <w:bookmarkStart w:id="14" w:name="_Toc151200067"/>
      <w:r>
        <w:rPr>
          <w:rFonts w:hint="default" w:ascii="Times New Roman" w:hAnsi="Times New Roman" w:cs="Times New Roman"/>
          <w:color w:val="000000"/>
          <w:lang/>
        </w:rPr>
        <w:t xml:space="preserve">1. </w:t>
      </w:r>
      <w:r>
        <w:rPr>
          <w:rFonts w:ascii="Times New Roman" w:hAnsi="Times New Roman" w:cs="Times New Roman"/>
          <w:color w:val="000000"/>
          <w:lang/>
        </w:rPr>
        <w:t>总则</w:t>
      </w:r>
      <w:bookmarkEnd w:id="2"/>
      <w:bookmarkEnd w:id="3"/>
      <w:bookmarkEnd w:id="4"/>
      <w:bookmarkEnd w:id="5"/>
      <w:bookmarkEnd w:id="6"/>
      <w:bookmarkEnd w:id="7"/>
      <w:bookmarkEnd w:id="8"/>
      <w:bookmarkEnd w:id="9"/>
      <w:bookmarkEnd w:id="10"/>
      <w:bookmarkEnd w:id="11"/>
      <w:bookmarkEnd w:id="12"/>
      <w:bookmarkEnd w:id="13"/>
      <w:bookmarkEnd w:id="14"/>
    </w:p>
    <w:p>
      <w:pPr>
        <w:pStyle w:val="8"/>
        <w:widowControl/>
        <w:rPr>
          <w:color w:val="000000"/>
          <w:lang/>
        </w:rPr>
      </w:pPr>
      <w:bookmarkStart w:id="15" w:name="_Toc41656113"/>
      <w:bookmarkStart w:id="16" w:name="_Toc175714239"/>
      <w:bookmarkStart w:id="17" w:name="_Toc175711406"/>
      <w:bookmarkStart w:id="18" w:name="_Toc166464711"/>
      <w:bookmarkStart w:id="19" w:name="_Toc158523391"/>
      <w:bookmarkStart w:id="20" w:name="_Toc154570229"/>
      <w:bookmarkStart w:id="21" w:name="_Toc154569842"/>
      <w:bookmarkStart w:id="22" w:name="_Toc153878438"/>
      <w:bookmarkStart w:id="23" w:name="_Toc153007102"/>
      <w:bookmarkStart w:id="24" w:name="_Toc151278903"/>
      <w:bookmarkStart w:id="25" w:name="_Toc151276117"/>
      <w:bookmarkStart w:id="26" w:name="_Toc151200229"/>
      <w:bookmarkStart w:id="27" w:name="_Toc151200069"/>
      <w:r>
        <w:rPr>
          <w:color w:val="000000"/>
          <w:lang/>
        </w:rPr>
        <w:t xml:space="preserve">1.1 </w:t>
      </w:r>
      <w:r>
        <w:rPr>
          <w:rFonts w:hint="eastAsia" w:ascii="Times New Roman" w:hAnsi="Times New Roman" w:eastAsia="宋体" w:cs="宋体"/>
          <w:color w:val="000000"/>
          <w:lang w:eastAsia="zh-CN"/>
        </w:rPr>
        <w:t>编制依据</w:t>
      </w:r>
      <w:bookmarkEnd w:id="15"/>
      <w:bookmarkEnd w:id="16"/>
      <w:bookmarkEnd w:id="17"/>
      <w:bookmarkEnd w:id="18"/>
      <w:bookmarkEnd w:id="19"/>
      <w:bookmarkEnd w:id="20"/>
      <w:bookmarkEnd w:id="21"/>
      <w:bookmarkEnd w:id="22"/>
      <w:bookmarkEnd w:id="23"/>
      <w:bookmarkEnd w:id="24"/>
      <w:bookmarkEnd w:id="25"/>
      <w:bookmarkEnd w:id="26"/>
      <w:bookmarkEnd w:id="27"/>
    </w:p>
    <w:p>
      <w:pPr>
        <w:pStyle w:val="9"/>
        <w:widowControl/>
        <w:rPr>
          <w:rFonts w:hint="default" w:ascii="Times New Roman" w:hAnsi="Times New Roman" w:cs="Times New Roman"/>
          <w:color w:val="000000"/>
          <w:lang/>
        </w:rPr>
      </w:pPr>
      <w:bookmarkStart w:id="28" w:name="_Toc151276118"/>
      <w:bookmarkStart w:id="29" w:name="_Toc151258699"/>
      <w:bookmarkStart w:id="30" w:name="_Toc151200230"/>
      <w:bookmarkStart w:id="31" w:name="_Toc151200070"/>
      <w:r>
        <w:rPr>
          <w:rFonts w:hint="default" w:ascii="Times New Roman" w:hAnsi="Times New Roman" w:cs="Times New Roman"/>
          <w:color w:val="000000"/>
          <w:lang/>
        </w:rPr>
        <w:t xml:space="preserve">1.1.1 </w:t>
      </w:r>
      <w:bookmarkEnd w:id="28"/>
      <w:bookmarkEnd w:id="29"/>
      <w:bookmarkEnd w:id="30"/>
      <w:bookmarkEnd w:id="31"/>
      <w:r>
        <w:rPr>
          <w:rFonts w:ascii="Times New Roman" w:hAnsi="Times New Roman" w:cs="Times New Roman"/>
          <w:color w:val="000000"/>
          <w:lang/>
        </w:rPr>
        <w:t>法律法规</w:t>
      </w:r>
    </w:p>
    <w:p>
      <w:pPr>
        <w:keepNext w:val="0"/>
        <w:keepLines w:val="0"/>
        <w:widowControl/>
        <w:numPr>
          <w:ilvl w:val="0"/>
          <w:numId w:val="1"/>
        </w:numPr>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《中华人民共和国环境保护法》（</w:t>
      </w:r>
      <w:r>
        <w:rPr>
          <w:rFonts w:hint="default" w:ascii="Times New Roman" w:hAnsi="Times New Roman" w:eastAsia="宋体" w:cs="Times New Roman"/>
          <w:color w:val="000000"/>
          <w:kern w:val="0"/>
          <w:sz w:val="24"/>
          <w:szCs w:val="24"/>
          <w:lang w:val="en-US" w:eastAsia="zh-CN" w:bidi="ar"/>
        </w:rPr>
        <w:t>2015.1.1</w:t>
      </w:r>
      <w:r>
        <w:rPr>
          <w:rFonts w:hint="eastAsia" w:ascii="Times New Roman" w:hAnsi="Times New Roman" w:eastAsia="宋体" w:cs="Times New Roman"/>
          <w:color w:val="000000"/>
          <w:kern w:val="0"/>
          <w:sz w:val="24"/>
          <w:szCs w:val="24"/>
          <w:lang w:val="en-US" w:eastAsia="zh-CN" w:bidi="ar"/>
        </w:rPr>
        <w:t>实施）</w:t>
      </w:r>
    </w:p>
    <w:p>
      <w:pPr>
        <w:keepNext w:val="0"/>
        <w:keepLines w:val="0"/>
        <w:widowControl/>
        <w:numPr>
          <w:ilvl w:val="0"/>
          <w:numId w:val="1"/>
        </w:numPr>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《中华人民共和国环境影响评价法》（</w:t>
      </w:r>
      <w:r>
        <w:rPr>
          <w:rFonts w:hint="default" w:ascii="Times New Roman" w:hAnsi="Times New Roman" w:eastAsia="宋体" w:cs="Times New Roman"/>
          <w:color w:val="000000"/>
          <w:kern w:val="0"/>
          <w:sz w:val="24"/>
          <w:szCs w:val="24"/>
          <w:lang w:val="en-US" w:eastAsia="zh-CN" w:bidi="ar"/>
        </w:rPr>
        <w:t>2018.12.29</w:t>
      </w:r>
      <w:r>
        <w:rPr>
          <w:rFonts w:hint="eastAsia" w:ascii="Times New Roman" w:hAnsi="Times New Roman" w:eastAsia="宋体" w:cs="Times New Roman"/>
          <w:color w:val="000000"/>
          <w:kern w:val="0"/>
          <w:sz w:val="24"/>
          <w:szCs w:val="24"/>
          <w:lang w:val="en-US" w:eastAsia="zh-CN" w:bidi="ar"/>
        </w:rPr>
        <w:t>修正实施）</w:t>
      </w:r>
    </w:p>
    <w:p>
      <w:pPr>
        <w:keepNext w:val="0"/>
        <w:keepLines w:val="0"/>
        <w:widowControl/>
        <w:numPr>
          <w:ilvl w:val="0"/>
          <w:numId w:val="1"/>
        </w:numPr>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《建设项目环境保护管理条例》（</w:t>
      </w:r>
      <w:r>
        <w:rPr>
          <w:rFonts w:hint="default" w:ascii="Times New Roman" w:hAnsi="Times New Roman" w:eastAsia="宋体" w:cs="Times New Roman"/>
          <w:color w:val="000000"/>
          <w:kern w:val="0"/>
          <w:sz w:val="24"/>
          <w:szCs w:val="24"/>
          <w:lang w:val="en-US" w:eastAsia="zh-CN" w:bidi="ar"/>
        </w:rPr>
        <w:t>2017.10.1</w:t>
      </w:r>
      <w:r>
        <w:rPr>
          <w:rFonts w:hint="eastAsia" w:ascii="Times New Roman" w:hAnsi="Times New Roman" w:eastAsia="宋体" w:cs="Times New Roman"/>
          <w:color w:val="000000"/>
          <w:kern w:val="0"/>
          <w:sz w:val="24"/>
          <w:szCs w:val="24"/>
          <w:lang w:val="en-US" w:eastAsia="zh-CN" w:bidi="ar"/>
        </w:rPr>
        <w:t>修改）</w:t>
      </w:r>
    </w:p>
    <w:p>
      <w:pPr>
        <w:keepNext w:val="0"/>
        <w:keepLines w:val="0"/>
        <w:widowControl/>
        <w:numPr>
          <w:ilvl w:val="0"/>
          <w:numId w:val="1"/>
        </w:numPr>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《中华人民共和国噪声污染防治法》（</w:t>
      </w:r>
      <w:r>
        <w:rPr>
          <w:rFonts w:hint="default" w:ascii="Times New Roman" w:hAnsi="Times New Roman" w:eastAsia="宋体" w:cs="Times New Roman"/>
          <w:color w:val="000000"/>
          <w:kern w:val="0"/>
          <w:sz w:val="24"/>
          <w:szCs w:val="24"/>
          <w:lang w:val="en-US" w:eastAsia="zh-CN" w:bidi="ar"/>
        </w:rPr>
        <w:t>2018.12.29</w:t>
      </w:r>
      <w:r>
        <w:rPr>
          <w:rFonts w:hint="eastAsia" w:ascii="Times New Roman" w:hAnsi="Times New Roman" w:eastAsia="宋体" w:cs="Times New Roman"/>
          <w:color w:val="000000"/>
          <w:kern w:val="0"/>
          <w:sz w:val="24"/>
          <w:szCs w:val="24"/>
          <w:lang w:val="en-US" w:eastAsia="zh-CN" w:bidi="ar"/>
        </w:rPr>
        <w:t>修正实施）</w:t>
      </w:r>
    </w:p>
    <w:p>
      <w:pPr>
        <w:keepNext w:val="0"/>
        <w:keepLines w:val="0"/>
        <w:widowControl/>
        <w:numPr>
          <w:ilvl w:val="0"/>
          <w:numId w:val="1"/>
        </w:numPr>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《中华人民共和国大气污染防治法》（</w:t>
      </w:r>
      <w:r>
        <w:rPr>
          <w:rFonts w:hint="default" w:ascii="Times New Roman" w:hAnsi="Times New Roman" w:eastAsia="宋体" w:cs="Times New Roman"/>
          <w:color w:val="000000"/>
          <w:kern w:val="0"/>
          <w:sz w:val="24"/>
          <w:szCs w:val="24"/>
          <w:lang w:val="en-US" w:eastAsia="zh-CN" w:bidi="ar"/>
        </w:rPr>
        <w:t>2018.10.26</w:t>
      </w:r>
      <w:r>
        <w:rPr>
          <w:rFonts w:hint="eastAsia" w:ascii="Times New Roman" w:hAnsi="Times New Roman" w:eastAsia="宋体" w:cs="Times New Roman"/>
          <w:color w:val="000000"/>
          <w:kern w:val="0"/>
          <w:sz w:val="24"/>
          <w:szCs w:val="24"/>
          <w:lang w:val="en-US" w:eastAsia="zh-CN" w:bidi="ar"/>
        </w:rPr>
        <w:t>修正实施）</w:t>
      </w:r>
    </w:p>
    <w:p>
      <w:pPr>
        <w:keepNext w:val="0"/>
        <w:keepLines w:val="0"/>
        <w:widowControl/>
        <w:numPr>
          <w:ilvl w:val="0"/>
          <w:numId w:val="1"/>
        </w:numPr>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《中华人民共和国水污染防治法》（</w:t>
      </w:r>
      <w:r>
        <w:rPr>
          <w:rFonts w:hint="default" w:ascii="Times New Roman" w:hAnsi="Times New Roman" w:eastAsia="宋体" w:cs="Times New Roman"/>
          <w:color w:val="000000"/>
          <w:kern w:val="0"/>
          <w:sz w:val="24"/>
          <w:szCs w:val="24"/>
          <w:lang w:val="en-US" w:eastAsia="zh-CN" w:bidi="ar"/>
        </w:rPr>
        <w:t>2018.1.1</w:t>
      </w:r>
      <w:r>
        <w:rPr>
          <w:rFonts w:hint="eastAsia" w:ascii="Times New Roman" w:hAnsi="Times New Roman" w:eastAsia="宋体" w:cs="Times New Roman"/>
          <w:color w:val="000000"/>
          <w:kern w:val="0"/>
          <w:sz w:val="24"/>
          <w:szCs w:val="24"/>
          <w:lang w:val="en-US" w:eastAsia="zh-CN" w:bidi="ar"/>
        </w:rPr>
        <w:t>修正实施）</w:t>
      </w:r>
    </w:p>
    <w:p>
      <w:pPr>
        <w:keepNext w:val="0"/>
        <w:keepLines w:val="0"/>
        <w:widowControl/>
        <w:numPr>
          <w:ilvl w:val="0"/>
          <w:numId w:val="1"/>
        </w:numPr>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《中华人民共和国固体废物污染环境防治法》（</w:t>
      </w:r>
      <w:r>
        <w:rPr>
          <w:rFonts w:hint="default" w:ascii="Times New Roman" w:hAnsi="Times New Roman" w:eastAsia="宋体" w:cs="Times New Roman"/>
          <w:color w:val="000000"/>
          <w:kern w:val="0"/>
          <w:sz w:val="24"/>
          <w:szCs w:val="24"/>
          <w:lang w:val="en-US" w:eastAsia="zh-CN" w:bidi="ar"/>
        </w:rPr>
        <w:t>2020.4.29</w:t>
      </w:r>
      <w:r>
        <w:rPr>
          <w:rFonts w:hint="eastAsia" w:ascii="Times New Roman" w:hAnsi="Times New Roman" w:eastAsia="宋体" w:cs="Times New Roman"/>
          <w:color w:val="000000"/>
          <w:kern w:val="0"/>
          <w:sz w:val="24"/>
          <w:szCs w:val="24"/>
          <w:lang w:val="en-US" w:eastAsia="zh-CN" w:bidi="ar"/>
        </w:rPr>
        <w:t>修订，</w:t>
      </w:r>
      <w:r>
        <w:rPr>
          <w:rFonts w:hint="default" w:ascii="Times New Roman" w:hAnsi="Times New Roman" w:eastAsia="宋体" w:cs="Times New Roman"/>
          <w:color w:val="000000"/>
          <w:kern w:val="0"/>
          <w:sz w:val="24"/>
          <w:szCs w:val="24"/>
          <w:lang w:val="en-US" w:eastAsia="zh-CN" w:bidi="ar"/>
        </w:rPr>
        <w:t>2020.9.1</w:t>
      </w:r>
      <w:r>
        <w:rPr>
          <w:rFonts w:hint="eastAsia" w:ascii="Times New Roman" w:hAnsi="Times New Roman" w:eastAsia="宋体" w:cs="Times New Roman"/>
          <w:color w:val="000000"/>
          <w:kern w:val="0"/>
          <w:sz w:val="24"/>
          <w:szCs w:val="24"/>
          <w:lang w:val="en-US" w:eastAsia="zh-CN" w:bidi="ar"/>
        </w:rPr>
        <w:t>施行）</w:t>
      </w:r>
    </w:p>
    <w:p>
      <w:pPr>
        <w:keepNext w:val="0"/>
        <w:keepLines w:val="0"/>
        <w:widowControl/>
        <w:numPr>
          <w:ilvl w:val="0"/>
          <w:numId w:val="1"/>
        </w:numPr>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《中华人民共和国清洁生产促进法》（</w:t>
      </w:r>
      <w:r>
        <w:rPr>
          <w:rFonts w:hint="default" w:ascii="Times New Roman" w:hAnsi="Times New Roman" w:eastAsia="宋体" w:cs="Times New Roman"/>
          <w:color w:val="000000"/>
          <w:kern w:val="0"/>
          <w:sz w:val="24"/>
          <w:szCs w:val="24"/>
          <w:lang w:val="en-US" w:eastAsia="zh-CN" w:bidi="ar"/>
        </w:rPr>
        <w:t>2012.7.1</w:t>
      </w:r>
      <w:r>
        <w:rPr>
          <w:rFonts w:hint="eastAsia" w:ascii="Times New Roman" w:hAnsi="Times New Roman" w:eastAsia="宋体" w:cs="Times New Roman"/>
          <w:color w:val="000000"/>
          <w:kern w:val="0"/>
          <w:sz w:val="24"/>
          <w:szCs w:val="24"/>
          <w:lang w:val="en-US" w:eastAsia="zh-CN" w:bidi="ar"/>
        </w:rPr>
        <w:t>实施）</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《中华人民共和国水法》</w:t>
      </w:r>
      <w:r>
        <w:rPr>
          <w:rFonts w:hint="eastAsia" w:ascii="Times New Roman" w:hAnsi="Times New Roman" w:eastAsia="宋体" w:cs="Times New Roman"/>
          <w:color w:val="000000"/>
          <w:kern w:val="0"/>
          <w:sz w:val="24"/>
          <w:szCs w:val="24"/>
          <w:lang w:val="en-US" w:eastAsia="zh-CN" w:bidi="ar"/>
        </w:rPr>
        <w:t>（中华人民共和国主席令第</w:t>
      </w:r>
      <w:r>
        <w:rPr>
          <w:rFonts w:hint="default" w:ascii="Times New Roman" w:hAnsi="Times New Roman" w:eastAsia="宋体" w:cs="Times New Roman"/>
          <w:color w:val="000000"/>
          <w:kern w:val="0"/>
          <w:sz w:val="24"/>
          <w:szCs w:val="24"/>
          <w:lang w:eastAsia="zh-CN" w:bidi="ar"/>
        </w:rPr>
        <w:t>48</w:t>
      </w:r>
      <w:r>
        <w:rPr>
          <w:rFonts w:hint="eastAsia" w:ascii="Times New Roman" w:hAnsi="Times New Roman" w:eastAsia="宋体" w:cs="Times New Roman"/>
          <w:color w:val="000000"/>
          <w:kern w:val="0"/>
          <w:sz w:val="24"/>
          <w:szCs w:val="24"/>
          <w:lang w:val="en-US" w:eastAsia="zh-CN" w:bidi="ar"/>
        </w:rPr>
        <w:t>号，</w:t>
      </w:r>
      <w:r>
        <w:rPr>
          <w:rFonts w:hint="default" w:ascii="Times New Roman" w:hAnsi="Times New Roman" w:eastAsia="宋体" w:cs="Times New Roman"/>
          <w:color w:val="000000"/>
          <w:kern w:val="0"/>
          <w:sz w:val="24"/>
          <w:szCs w:val="24"/>
          <w:lang w:eastAsia="zh-CN" w:bidi="ar"/>
        </w:rPr>
        <w:t>2016.9.1</w:t>
      </w:r>
      <w:r>
        <w:rPr>
          <w:rFonts w:hint="eastAsia" w:ascii="Times New Roman" w:hAnsi="Times New Roman" w:eastAsia="宋体" w:cs="Times New Roman"/>
          <w:color w:val="000000"/>
          <w:kern w:val="0"/>
          <w:sz w:val="24"/>
          <w:szCs w:val="24"/>
          <w:lang w:val="en-US" w:eastAsia="zh-CN" w:bidi="ar"/>
        </w:rPr>
        <w:t>实施）</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《中华人民共和国节约能源法》</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eastAsia="zh-CN" w:bidi="ar"/>
        </w:rPr>
        <w:t>2018.10.26</w:t>
      </w:r>
      <w:r>
        <w:rPr>
          <w:rFonts w:hint="eastAsia" w:ascii="Times New Roman" w:hAnsi="Times New Roman" w:eastAsia="宋体" w:cs="Times New Roman"/>
          <w:color w:val="000000"/>
          <w:kern w:val="0"/>
          <w:sz w:val="24"/>
          <w:szCs w:val="24"/>
          <w:lang w:val="en-US" w:eastAsia="zh-CN" w:bidi="ar"/>
        </w:rPr>
        <w:t>修正实施）</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《中华人民共和国环境保护税法》</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eastAsia="zh-CN" w:bidi="ar"/>
        </w:rPr>
        <w:t>2018.1.1</w:t>
      </w:r>
      <w:r>
        <w:rPr>
          <w:rFonts w:hint="eastAsia" w:ascii="Times New Roman" w:hAnsi="Times New Roman" w:eastAsia="宋体" w:cs="Times New Roman"/>
          <w:color w:val="000000"/>
          <w:kern w:val="0"/>
          <w:sz w:val="24"/>
          <w:szCs w:val="24"/>
          <w:lang w:val="en-US" w:eastAsia="zh-CN" w:bidi="ar"/>
        </w:rPr>
        <w:t>实施）</w:t>
      </w:r>
    </w:p>
    <w:p>
      <w:pPr>
        <w:keepNext w:val="0"/>
        <w:keepLines w:val="0"/>
        <w:widowControl/>
        <w:numPr>
          <w:ilvl w:val="0"/>
          <w:numId w:val="1"/>
        </w:numPr>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《建设项目环境影响评价分类管理名录》（环境保护部令第</w:t>
      </w:r>
      <w:r>
        <w:rPr>
          <w:rFonts w:hint="default" w:ascii="Times New Roman" w:hAnsi="Times New Roman" w:eastAsia="宋体" w:cs="Times New Roman"/>
          <w:color w:val="000000"/>
          <w:kern w:val="0"/>
          <w:sz w:val="24"/>
          <w:szCs w:val="24"/>
          <w:lang w:val="en-US" w:eastAsia="zh-CN" w:bidi="ar"/>
        </w:rPr>
        <w:t>44</w:t>
      </w:r>
      <w:r>
        <w:rPr>
          <w:rFonts w:hint="eastAsia" w:ascii="Times New Roman" w:hAnsi="Times New Roman" w:eastAsia="宋体" w:cs="Times New Roman"/>
          <w:color w:val="000000"/>
          <w:kern w:val="0"/>
          <w:sz w:val="24"/>
          <w:szCs w:val="24"/>
          <w:lang w:val="en-US" w:eastAsia="zh-CN" w:bidi="ar"/>
        </w:rPr>
        <w:t>号，</w:t>
      </w:r>
      <w:r>
        <w:rPr>
          <w:rFonts w:hint="default" w:ascii="Times New Roman" w:hAnsi="Times New Roman" w:eastAsia="宋体" w:cs="Times New Roman"/>
          <w:color w:val="000000"/>
          <w:kern w:val="0"/>
          <w:sz w:val="24"/>
          <w:szCs w:val="24"/>
          <w:lang w:val="en-US" w:eastAsia="zh-CN" w:bidi="ar"/>
        </w:rPr>
        <w:t>2017.9.1</w:t>
      </w:r>
      <w:r>
        <w:rPr>
          <w:rFonts w:hint="eastAsia" w:ascii="Times New Roman" w:hAnsi="Times New Roman" w:eastAsia="宋体" w:cs="Times New Roman"/>
          <w:color w:val="000000"/>
          <w:kern w:val="0"/>
          <w:sz w:val="24"/>
          <w:szCs w:val="24"/>
          <w:lang w:val="en-US" w:eastAsia="zh-CN" w:bidi="ar"/>
        </w:rPr>
        <w:t>实施）</w:t>
      </w:r>
    </w:p>
    <w:p>
      <w:pPr>
        <w:keepNext w:val="0"/>
        <w:keepLines w:val="0"/>
        <w:widowControl/>
        <w:numPr>
          <w:ilvl w:val="0"/>
          <w:numId w:val="1"/>
        </w:numPr>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《关于修改</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建设项目环境影响评价分类管理名录</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部分内容的决定》（生态环境部令第</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号，</w:t>
      </w:r>
      <w:r>
        <w:rPr>
          <w:rFonts w:hint="default" w:ascii="Times New Roman" w:hAnsi="Times New Roman" w:eastAsia="宋体" w:cs="Times New Roman"/>
          <w:color w:val="000000"/>
          <w:kern w:val="0"/>
          <w:sz w:val="24"/>
          <w:szCs w:val="24"/>
          <w:lang w:val="en-US" w:eastAsia="zh-CN" w:bidi="ar"/>
        </w:rPr>
        <w:t>2018.4.28</w:t>
      </w:r>
      <w:r>
        <w:rPr>
          <w:rFonts w:hint="eastAsia" w:ascii="Times New Roman" w:hAnsi="Times New Roman" w:eastAsia="宋体" w:cs="Times New Roman"/>
          <w:color w:val="000000"/>
          <w:kern w:val="0"/>
          <w:sz w:val="24"/>
          <w:szCs w:val="24"/>
          <w:lang w:val="en-US" w:eastAsia="zh-CN" w:bidi="ar"/>
        </w:rPr>
        <w:t>实施）</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《环境保护公众参与办法》（环境保护部令第</w:t>
      </w:r>
      <w:r>
        <w:rPr>
          <w:rFonts w:hint="default" w:ascii="Times New Roman" w:hAnsi="Times New Roman" w:eastAsia="宋体" w:cs="Times New Roman"/>
          <w:color w:val="000000"/>
          <w:kern w:val="0"/>
          <w:sz w:val="24"/>
          <w:szCs w:val="24"/>
          <w:lang w:eastAsia="zh-CN" w:bidi="ar"/>
        </w:rPr>
        <w:t>35</w:t>
      </w:r>
      <w:r>
        <w:rPr>
          <w:rFonts w:hint="eastAsia" w:ascii="Times New Roman" w:hAnsi="Times New Roman" w:eastAsia="宋体" w:cs="Times New Roman"/>
          <w:color w:val="000000"/>
          <w:kern w:val="0"/>
          <w:sz w:val="24"/>
          <w:szCs w:val="24"/>
          <w:lang w:eastAsia="zh-CN" w:bidi="ar"/>
        </w:rPr>
        <w:t>号，</w:t>
      </w:r>
      <w:r>
        <w:rPr>
          <w:rFonts w:hint="default" w:ascii="Times New Roman" w:hAnsi="Times New Roman" w:eastAsia="宋体" w:cs="Times New Roman"/>
          <w:color w:val="000000"/>
          <w:kern w:val="0"/>
          <w:sz w:val="24"/>
          <w:szCs w:val="24"/>
          <w:lang w:eastAsia="zh-CN" w:bidi="ar"/>
        </w:rPr>
        <w:t>2015.9.1</w:t>
      </w:r>
      <w:r>
        <w:rPr>
          <w:rFonts w:hint="eastAsia" w:ascii="Times New Roman" w:hAnsi="Times New Roman" w:eastAsia="宋体" w:cs="Times New Roman"/>
          <w:color w:val="000000"/>
          <w:kern w:val="0"/>
          <w:sz w:val="24"/>
          <w:szCs w:val="24"/>
          <w:lang w:eastAsia="zh-CN" w:bidi="ar"/>
        </w:rPr>
        <w:t>施行）</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《危险化学品安全管理条例》</w:t>
      </w:r>
      <w:r>
        <w:rPr>
          <w:rFonts w:hint="eastAsia"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eastAsia="zh-CN" w:bidi="ar"/>
        </w:rPr>
        <w:t>中华人民共和国国务院令第</w:t>
      </w:r>
      <w:r>
        <w:rPr>
          <w:rFonts w:hint="default" w:ascii="Times New Roman" w:hAnsi="Times New Roman" w:eastAsia="宋体" w:cs="Times New Roman"/>
          <w:color w:val="000000"/>
          <w:kern w:val="0"/>
          <w:sz w:val="24"/>
          <w:szCs w:val="24"/>
          <w:lang w:eastAsia="zh-CN" w:bidi="ar"/>
        </w:rPr>
        <w:t>645</w:t>
      </w:r>
      <w:r>
        <w:rPr>
          <w:rFonts w:hint="eastAsia" w:ascii="Times New Roman" w:hAnsi="Times New Roman" w:eastAsia="宋体" w:cs="Times New Roman"/>
          <w:color w:val="000000"/>
          <w:kern w:val="0"/>
          <w:sz w:val="24"/>
          <w:szCs w:val="24"/>
          <w:lang w:eastAsia="zh-CN" w:bidi="ar"/>
        </w:rPr>
        <w:t>号</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eastAsia="zh-CN" w:bidi="ar"/>
        </w:rPr>
        <w:t>2013.12.7</w:t>
      </w:r>
      <w:r>
        <w:rPr>
          <w:rFonts w:hint="eastAsia" w:ascii="Times New Roman" w:hAnsi="Times New Roman" w:eastAsia="宋体" w:cs="Times New Roman"/>
          <w:color w:val="000000"/>
          <w:kern w:val="0"/>
          <w:sz w:val="24"/>
          <w:szCs w:val="24"/>
          <w:lang w:val="en-US" w:eastAsia="zh-CN" w:bidi="ar"/>
        </w:rPr>
        <w:t>修正实施）</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《环境影响评价公众参与办法》（</w:t>
      </w:r>
      <w:r>
        <w:rPr>
          <w:rFonts w:hint="eastAsia" w:ascii="Times New Roman" w:hAnsi="Times New Roman" w:eastAsia="宋体" w:cs="Times New Roman"/>
          <w:color w:val="000000"/>
          <w:kern w:val="0"/>
          <w:sz w:val="24"/>
          <w:szCs w:val="24"/>
          <w:lang w:val="en-US" w:eastAsia="zh-CN" w:bidi="ar"/>
        </w:rPr>
        <w:t>生态环境部令第</w:t>
      </w:r>
      <w:r>
        <w:rPr>
          <w:rFonts w:hint="default" w:ascii="Times New Roman" w:hAnsi="Times New Roman" w:eastAsia="宋体" w:cs="Times New Roman"/>
          <w:color w:val="000000"/>
          <w:kern w:val="0"/>
          <w:sz w:val="24"/>
          <w:szCs w:val="24"/>
          <w:lang w:eastAsia="zh-CN" w:bidi="ar"/>
        </w:rPr>
        <w:t>4</w:t>
      </w:r>
      <w:r>
        <w:rPr>
          <w:rFonts w:hint="eastAsia" w:ascii="Times New Roman" w:hAnsi="Times New Roman" w:eastAsia="宋体" w:cs="Times New Roman"/>
          <w:color w:val="000000"/>
          <w:kern w:val="0"/>
          <w:sz w:val="24"/>
          <w:szCs w:val="24"/>
          <w:lang w:val="en-US" w:eastAsia="zh-CN" w:bidi="ar"/>
        </w:rPr>
        <w:t>号，</w:t>
      </w:r>
      <w:r>
        <w:rPr>
          <w:rFonts w:hint="default" w:ascii="Times New Roman" w:hAnsi="Times New Roman" w:eastAsia="宋体" w:cs="Times New Roman"/>
          <w:color w:val="000000"/>
          <w:kern w:val="0"/>
          <w:sz w:val="24"/>
          <w:szCs w:val="24"/>
          <w:lang w:eastAsia="zh-CN" w:bidi="ar"/>
        </w:rPr>
        <w:t>2019.1.1</w:t>
      </w:r>
      <w:r>
        <w:rPr>
          <w:rFonts w:hint="eastAsia" w:ascii="Times New Roman" w:hAnsi="Times New Roman" w:eastAsia="宋体" w:cs="Times New Roman"/>
          <w:color w:val="000000"/>
          <w:kern w:val="0"/>
          <w:sz w:val="24"/>
          <w:szCs w:val="24"/>
          <w:lang w:val="en-US" w:eastAsia="zh-CN" w:bidi="ar"/>
        </w:rPr>
        <w:t>施行</w:t>
      </w:r>
      <w:r>
        <w:rPr>
          <w:rFonts w:hint="eastAsia" w:ascii="Times New Roman" w:hAnsi="Times New Roman" w:eastAsia="宋体" w:cs="Times New Roman"/>
          <w:color w:val="000000"/>
          <w:kern w:val="0"/>
          <w:sz w:val="24"/>
          <w:szCs w:val="24"/>
          <w:lang w:eastAsia="zh-CN" w:bidi="ar"/>
        </w:rPr>
        <w:t>）</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《关于发布</w:t>
      </w:r>
      <w:r>
        <w:rPr>
          <w:rFonts w:hint="default" w:ascii="Times New Roman" w:hAnsi="Times New Roman" w:eastAsia="宋体" w:cs="Times New Roman"/>
          <w:color w:val="000000"/>
          <w:kern w:val="0"/>
          <w:sz w:val="24"/>
          <w:szCs w:val="24"/>
          <w:lang w:eastAsia="zh-CN" w:bidi="ar"/>
        </w:rPr>
        <w:t>&lt;</w:t>
      </w:r>
      <w:r>
        <w:rPr>
          <w:rFonts w:hint="eastAsia" w:ascii="Times New Roman" w:hAnsi="Times New Roman" w:eastAsia="宋体" w:cs="Times New Roman"/>
          <w:color w:val="000000"/>
          <w:kern w:val="0"/>
          <w:sz w:val="24"/>
          <w:szCs w:val="24"/>
          <w:lang w:val="en-US" w:eastAsia="zh-CN" w:bidi="ar"/>
        </w:rPr>
        <w:t>环境影响评价公众参与办法</w:t>
      </w:r>
      <w:r>
        <w:rPr>
          <w:rFonts w:hint="default" w:ascii="Times New Roman" w:hAnsi="Times New Roman" w:eastAsia="宋体" w:cs="Times New Roman"/>
          <w:color w:val="000000"/>
          <w:kern w:val="0"/>
          <w:sz w:val="24"/>
          <w:szCs w:val="24"/>
          <w:lang w:eastAsia="zh-CN" w:bidi="ar"/>
        </w:rPr>
        <w:t>&gt;</w:t>
      </w:r>
      <w:r>
        <w:rPr>
          <w:rFonts w:hint="eastAsia" w:ascii="Times New Roman" w:hAnsi="Times New Roman" w:eastAsia="宋体" w:cs="Times New Roman"/>
          <w:color w:val="000000"/>
          <w:kern w:val="0"/>
          <w:sz w:val="24"/>
          <w:szCs w:val="24"/>
          <w:lang w:val="en-US" w:eastAsia="zh-CN" w:bidi="ar"/>
        </w:rPr>
        <w:t>配套文件的公告》（生态环境部公告</w:t>
      </w:r>
      <w:r>
        <w:rPr>
          <w:rFonts w:hint="default" w:ascii="Times New Roman" w:hAnsi="Times New Roman" w:eastAsia="宋体" w:cs="Times New Roman"/>
          <w:color w:val="000000"/>
          <w:kern w:val="0"/>
          <w:sz w:val="24"/>
          <w:szCs w:val="24"/>
          <w:lang w:eastAsia="zh-CN" w:bidi="ar"/>
        </w:rPr>
        <w:t>2018</w:t>
      </w:r>
      <w:r>
        <w:rPr>
          <w:rFonts w:hint="eastAsia" w:ascii="Times New Roman" w:hAnsi="Times New Roman" w:eastAsia="宋体" w:cs="Times New Roman"/>
          <w:color w:val="000000"/>
          <w:kern w:val="0"/>
          <w:sz w:val="24"/>
          <w:szCs w:val="24"/>
          <w:lang w:val="en-US" w:eastAsia="zh-CN" w:bidi="ar"/>
        </w:rPr>
        <w:t>年第</w:t>
      </w:r>
      <w:r>
        <w:rPr>
          <w:rFonts w:hint="default" w:ascii="Times New Roman" w:hAnsi="Times New Roman" w:eastAsia="宋体" w:cs="Times New Roman"/>
          <w:color w:val="000000"/>
          <w:kern w:val="0"/>
          <w:sz w:val="24"/>
          <w:szCs w:val="24"/>
          <w:lang w:eastAsia="zh-CN" w:bidi="ar"/>
        </w:rPr>
        <w:t>48</w:t>
      </w:r>
      <w:r>
        <w:rPr>
          <w:rFonts w:hint="eastAsia" w:ascii="Times New Roman" w:hAnsi="Times New Roman" w:eastAsia="宋体" w:cs="Times New Roman"/>
          <w:color w:val="000000"/>
          <w:kern w:val="0"/>
          <w:sz w:val="24"/>
          <w:szCs w:val="24"/>
          <w:lang w:val="en-US" w:eastAsia="zh-CN" w:bidi="ar"/>
        </w:rPr>
        <w:t>号，</w:t>
      </w:r>
      <w:r>
        <w:rPr>
          <w:rFonts w:hint="default" w:ascii="Times New Roman" w:hAnsi="Times New Roman" w:eastAsia="宋体" w:cs="Times New Roman"/>
          <w:color w:val="000000"/>
          <w:kern w:val="0"/>
          <w:sz w:val="24"/>
          <w:szCs w:val="24"/>
          <w:lang w:eastAsia="zh-CN" w:bidi="ar"/>
        </w:rPr>
        <w:t>2019.1.1</w:t>
      </w:r>
      <w:r>
        <w:rPr>
          <w:rFonts w:hint="eastAsia" w:ascii="Times New Roman" w:hAnsi="Times New Roman" w:eastAsia="宋体" w:cs="Times New Roman"/>
          <w:color w:val="000000"/>
          <w:kern w:val="0"/>
          <w:sz w:val="24"/>
          <w:szCs w:val="24"/>
          <w:lang w:val="en-US" w:eastAsia="zh-CN" w:bidi="ar"/>
        </w:rPr>
        <w:t>施行）</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《国务院关于加强环境保护重点工作的意见》（国发</w:t>
      </w:r>
      <w:r>
        <w:rPr>
          <w:rFonts w:hint="default" w:ascii="Times New Roman" w:hAnsi="Times New Roman" w:eastAsia="宋体" w:cs="Times New Roman"/>
          <w:color w:val="000000"/>
          <w:kern w:val="0"/>
          <w:sz w:val="24"/>
          <w:szCs w:val="24"/>
          <w:lang w:eastAsia="zh-CN" w:bidi="ar"/>
        </w:rPr>
        <w:t>[2011]35</w:t>
      </w:r>
      <w:r>
        <w:rPr>
          <w:rFonts w:hint="eastAsia" w:ascii="Times New Roman" w:hAnsi="Times New Roman" w:eastAsia="宋体" w:cs="Times New Roman"/>
          <w:color w:val="000000"/>
          <w:kern w:val="0"/>
          <w:sz w:val="24"/>
          <w:szCs w:val="24"/>
          <w:lang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《突发环境事件应急管理办法》（原环境保护部令</w:t>
      </w:r>
      <w:r>
        <w:rPr>
          <w:rFonts w:hint="default" w:ascii="Times New Roman" w:hAnsi="Times New Roman" w:eastAsia="宋体" w:cs="Times New Roman"/>
          <w:color w:val="000000"/>
          <w:kern w:val="0"/>
          <w:sz w:val="24"/>
          <w:szCs w:val="24"/>
          <w:lang w:eastAsia="zh-CN" w:bidi="ar"/>
        </w:rPr>
        <w:t>2015</w:t>
      </w:r>
      <w:r>
        <w:rPr>
          <w:rFonts w:hint="eastAsia" w:ascii="Times New Roman" w:hAnsi="Times New Roman" w:eastAsia="宋体" w:cs="Times New Roman"/>
          <w:color w:val="000000"/>
          <w:kern w:val="0"/>
          <w:sz w:val="24"/>
          <w:szCs w:val="24"/>
          <w:lang w:val="en-US" w:eastAsia="zh-CN" w:bidi="ar"/>
        </w:rPr>
        <w:t>年第</w:t>
      </w:r>
      <w:r>
        <w:rPr>
          <w:rFonts w:hint="default" w:ascii="Times New Roman" w:hAnsi="Times New Roman" w:eastAsia="宋体" w:cs="Times New Roman"/>
          <w:color w:val="000000"/>
          <w:kern w:val="0"/>
          <w:sz w:val="24"/>
          <w:szCs w:val="24"/>
          <w:lang w:eastAsia="zh-CN" w:bidi="ar"/>
        </w:rPr>
        <w:t>34</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《关于进一步加强环境影响评价管理防范环境风险的通知》（环发</w:t>
      </w:r>
      <w:r>
        <w:rPr>
          <w:rFonts w:hint="default" w:ascii="Times New Roman" w:hAnsi="Times New Roman" w:eastAsia="宋体" w:cs="Times New Roman"/>
          <w:color w:val="000000"/>
          <w:kern w:val="0"/>
          <w:sz w:val="24"/>
          <w:szCs w:val="24"/>
          <w:lang w:eastAsia="zh-CN" w:bidi="ar"/>
        </w:rPr>
        <w:t>[2012]77</w:t>
      </w:r>
      <w:r>
        <w:rPr>
          <w:rFonts w:hint="eastAsia" w:ascii="Times New Roman" w:hAnsi="Times New Roman" w:eastAsia="宋体" w:cs="Times New Roman"/>
          <w:color w:val="000000"/>
          <w:kern w:val="0"/>
          <w:sz w:val="24"/>
          <w:szCs w:val="24"/>
          <w:lang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《关于切实加强风险防范严格环境影响评价管理的通知》（环发</w:t>
      </w:r>
      <w:r>
        <w:rPr>
          <w:rFonts w:hint="default" w:ascii="Times New Roman" w:hAnsi="Times New Roman" w:eastAsia="宋体" w:cs="Times New Roman"/>
          <w:color w:val="000000"/>
          <w:kern w:val="0"/>
          <w:sz w:val="24"/>
          <w:szCs w:val="24"/>
          <w:lang w:eastAsia="zh-CN" w:bidi="ar"/>
        </w:rPr>
        <w:t>[2012]98</w:t>
      </w:r>
      <w:r>
        <w:rPr>
          <w:rFonts w:hint="eastAsia" w:ascii="Times New Roman" w:hAnsi="Times New Roman" w:eastAsia="宋体" w:cs="Times New Roman"/>
          <w:color w:val="000000"/>
          <w:kern w:val="0"/>
          <w:sz w:val="24"/>
          <w:szCs w:val="24"/>
          <w:lang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《关于推进环境保护公众参与的指导意见》（环办</w:t>
      </w:r>
      <w:r>
        <w:rPr>
          <w:rFonts w:hint="default" w:ascii="Times New Roman" w:hAnsi="Times New Roman" w:eastAsia="宋体" w:cs="Times New Roman"/>
          <w:color w:val="000000"/>
          <w:kern w:val="0"/>
          <w:sz w:val="24"/>
          <w:szCs w:val="24"/>
          <w:lang w:eastAsia="zh-CN" w:bidi="ar"/>
        </w:rPr>
        <w:t>[2014]48</w:t>
      </w:r>
      <w:r>
        <w:rPr>
          <w:rFonts w:hint="eastAsia" w:ascii="Times New Roman" w:hAnsi="Times New Roman" w:eastAsia="宋体" w:cs="Times New Roman"/>
          <w:color w:val="000000"/>
          <w:kern w:val="0"/>
          <w:sz w:val="24"/>
          <w:szCs w:val="24"/>
          <w:lang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《关于切实加强环境影响评价监督管理工作的通知》（环办</w:t>
      </w:r>
      <w:r>
        <w:rPr>
          <w:rFonts w:hint="default" w:ascii="Times New Roman" w:hAnsi="Times New Roman" w:eastAsia="宋体" w:cs="Times New Roman"/>
          <w:color w:val="000000"/>
          <w:kern w:val="0"/>
          <w:sz w:val="24"/>
          <w:szCs w:val="24"/>
          <w:lang w:eastAsia="zh-CN" w:bidi="ar"/>
        </w:rPr>
        <w:t>[2013]104</w:t>
      </w:r>
      <w:r>
        <w:rPr>
          <w:rFonts w:hint="eastAsia" w:ascii="Times New Roman" w:hAnsi="Times New Roman" w:eastAsia="宋体" w:cs="Times New Roman"/>
          <w:color w:val="000000"/>
          <w:kern w:val="0"/>
          <w:sz w:val="24"/>
          <w:szCs w:val="24"/>
          <w:lang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《关于落实大气污染防治行动计划严格环境影响评价准入的通知》（环办</w:t>
      </w:r>
      <w:r>
        <w:rPr>
          <w:rFonts w:hint="default" w:ascii="Times New Roman" w:hAnsi="Times New Roman" w:eastAsia="宋体" w:cs="Times New Roman"/>
          <w:color w:val="000000"/>
          <w:kern w:val="0"/>
          <w:sz w:val="24"/>
          <w:szCs w:val="24"/>
          <w:lang w:eastAsia="zh-CN" w:bidi="ar"/>
        </w:rPr>
        <w:t>[2014]30</w:t>
      </w:r>
      <w:r>
        <w:rPr>
          <w:rFonts w:hint="eastAsia" w:ascii="Times New Roman" w:hAnsi="Times New Roman" w:eastAsia="宋体" w:cs="Times New Roman"/>
          <w:color w:val="000000"/>
          <w:kern w:val="0"/>
          <w:sz w:val="24"/>
          <w:szCs w:val="24"/>
          <w:lang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《建设项目竣工环境保护验收</w:t>
      </w:r>
      <w:r>
        <w:rPr>
          <w:rFonts w:hint="eastAsia" w:ascii="Times New Roman" w:hAnsi="Times New Roman" w:eastAsia="宋体" w:cs="Times New Roman"/>
          <w:color w:val="000000"/>
          <w:kern w:val="0"/>
          <w:sz w:val="24"/>
          <w:szCs w:val="24"/>
          <w:lang w:val="en-US" w:eastAsia="zh-CN" w:bidi="ar"/>
        </w:rPr>
        <w:t>暂行</w:t>
      </w:r>
      <w:r>
        <w:rPr>
          <w:rFonts w:hint="eastAsia" w:ascii="Times New Roman" w:hAnsi="Times New Roman" w:eastAsia="宋体" w:cs="Times New Roman"/>
          <w:color w:val="000000"/>
          <w:kern w:val="0"/>
          <w:sz w:val="24"/>
          <w:szCs w:val="24"/>
          <w:lang w:eastAsia="zh-CN" w:bidi="ar"/>
        </w:rPr>
        <w:t>办法》（</w:t>
      </w:r>
      <w:r>
        <w:rPr>
          <w:rFonts w:hint="eastAsia" w:ascii="Times New Roman" w:hAnsi="Times New Roman" w:eastAsia="宋体" w:cs="Times New Roman"/>
          <w:color w:val="000000"/>
          <w:kern w:val="0"/>
          <w:sz w:val="24"/>
          <w:szCs w:val="24"/>
          <w:lang w:val="en-US" w:eastAsia="zh-CN" w:bidi="ar"/>
        </w:rPr>
        <w:t>国环规环评</w:t>
      </w:r>
      <w:r>
        <w:rPr>
          <w:rFonts w:hint="default" w:ascii="Times New Roman" w:hAnsi="Times New Roman" w:eastAsia="宋体" w:cs="Times New Roman"/>
          <w:color w:val="000000"/>
          <w:kern w:val="0"/>
          <w:sz w:val="24"/>
          <w:szCs w:val="24"/>
          <w:lang w:eastAsia="zh-CN" w:bidi="ar"/>
        </w:rPr>
        <w:t>[2017]4</w:t>
      </w:r>
      <w:r>
        <w:rPr>
          <w:rFonts w:hint="eastAsia" w:ascii="Times New Roman" w:hAnsi="Times New Roman" w:eastAsia="宋体" w:cs="Times New Roman"/>
          <w:color w:val="000000"/>
          <w:kern w:val="0"/>
          <w:sz w:val="24"/>
          <w:szCs w:val="24"/>
          <w:lang w:val="en-US" w:eastAsia="zh-CN" w:bidi="ar"/>
        </w:rPr>
        <w:t>号</w:t>
      </w:r>
      <w:r>
        <w:rPr>
          <w:rFonts w:hint="eastAsia" w:ascii="Times New Roman" w:hAnsi="Times New Roman" w:eastAsia="宋体" w:cs="Times New Roman"/>
          <w:color w:val="000000"/>
          <w:kern w:val="0"/>
          <w:sz w:val="24"/>
          <w:szCs w:val="24"/>
          <w:lang w:eastAsia="zh-CN" w:bidi="ar"/>
        </w:rPr>
        <w:t>）</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《国务院关于印发打赢蓝天保卫战三年行动计划的通知》（国发</w:t>
      </w:r>
      <w:r>
        <w:rPr>
          <w:rFonts w:hint="default" w:ascii="Times New Roman" w:hAnsi="Times New Roman" w:eastAsia="宋体" w:cs="Times New Roman"/>
          <w:color w:val="000000"/>
          <w:kern w:val="0"/>
          <w:sz w:val="24"/>
          <w:szCs w:val="24"/>
          <w:lang w:eastAsia="zh-CN" w:bidi="ar"/>
        </w:rPr>
        <w:t>[2018]22</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《关于以改善环境质量为核心加强环境影响评价管理的通知》（环环评</w:t>
      </w:r>
      <w:r>
        <w:rPr>
          <w:rFonts w:hint="default" w:ascii="Times New Roman" w:hAnsi="Times New Roman" w:eastAsia="宋体" w:cs="Times New Roman"/>
          <w:color w:val="000000"/>
          <w:kern w:val="0"/>
          <w:sz w:val="24"/>
          <w:szCs w:val="24"/>
          <w:lang w:eastAsia="zh-CN" w:bidi="ar"/>
        </w:rPr>
        <w:t>[2016]150</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《关于加强规划环境影响评价与建设项目环境影响评价联动工作的意见》（环发</w:t>
      </w:r>
      <w:r>
        <w:rPr>
          <w:rFonts w:hint="default" w:ascii="Times New Roman" w:hAnsi="Times New Roman" w:eastAsia="宋体" w:cs="Times New Roman"/>
          <w:color w:val="000000"/>
          <w:kern w:val="0"/>
          <w:sz w:val="24"/>
          <w:szCs w:val="24"/>
          <w:lang w:eastAsia="zh-CN" w:bidi="ar"/>
        </w:rPr>
        <w:t>[2015]178</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《中共中央国务院关于全面加强生态环境保护坚决打好污染防治攻坚战的意见》（</w:t>
      </w:r>
      <w:r>
        <w:rPr>
          <w:rFonts w:hint="default" w:ascii="Times New Roman" w:hAnsi="Times New Roman" w:eastAsia="宋体" w:cs="Times New Roman"/>
          <w:color w:val="000000"/>
          <w:kern w:val="0"/>
          <w:sz w:val="24"/>
          <w:szCs w:val="24"/>
          <w:lang w:eastAsia="zh-CN" w:bidi="ar"/>
        </w:rPr>
        <w:t>2018.6.16</w:t>
      </w:r>
      <w:r>
        <w:rPr>
          <w:rFonts w:hint="eastAsia" w:ascii="Times New Roman" w:hAnsi="Times New Roman" w:eastAsia="宋体" w:cs="Times New Roman"/>
          <w:color w:val="000000"/>
          <w:kern w:val="0"/>
          <w:sz w:val="24"/>
          <w:szCs w:val="24"/>
          <w:lang w:val="en-US" w:eastAsia="zh-CN" w:bidi="ar"/>
        </w:rPr>
        <w:t>）</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《关于做好环境影响评价制度与排污许可制衔接相关工作的通知》（环办环评</w:t>
      </w:r>
      <w:r>
        <w:rPr>
          <w:rFonts w:hint="default" w:ascii="Times New Roman" w:hAnsi="Times New Roman" w:eastAsia="宋体" w:cs="Times New Roman"/>
          <w:color w:val="000000"/>
          <w:kern w:val="0"/>
          <w:sz w:val="24"/>
          <w:szCs w:val="24"/>
          <w:lang w:eastAsia="zh-CN" w:bidi="ar"/>
        </w:rPr>
        <w:t>[2017]1709</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《关于印发</w:t>
      </w:r>
      <w:r>
        <w:rPr>
          <w:rFonts w:hint="default" w:ascii="Times New Roman" w:hAnsi="Times New Roman" w:eastAsia="宋体" w:cs="Times New Roman"/>
          <w:color w:val="000000"/>
          <w:kern w:val="0"/>
          <w:sz w:val="24"/>
          <w:szCs w:val="24"/>
          <w:lang w:eastAsia="zh-CN" w:bidi="ar"/>
        </w:rPr>
        <w:t>&lt;2019</w:t>
      </w:r>
      <w:r>
        <w:rPr>
          <w:rFonts w:hint="eastAsia" w:ascii="Times New Roman" w:hAnsi="Times New Roman" w:eastAsia="宋体" w:cs="Times New Roman"/>
          <w:color w:val="000000"/>
          <w:kern w:val="0"/>
          <w:sz w:val="24"/>
          <w:szCs w:val="24"/>
          <w:lang w:val="en-US" w:eastAsia="zh-CN" w:bidi="ar"/>
        </w:rPr>
        <w:t>年全国大气污染防治工作要点的通知</w:t>
      </w:r>
      <w:r>
        <w:rPr>
          <w:rFonts w:hint="default" w:ascii="Times New Roman" w:hAnsi="Times New Roman" w:eastAsia="宋体" w:cs="Times New Roman"/>
          <w:color w:val="000000"/>
          <w:kern w:val="0"/>
          <w:sz w:val="24"/>
          <w:szCs w:val="24"/>
          <w:lang w:eastAsia="zh-CN" w:bidi="ar"/>
        </w:rPr>
        <w:t>&gt;</w:t>
      </w:r>
      <w:r>
        <w:rPr>
          <w:rFonts w:hint="eastAsia" w:ascii="Times New Roman" w:hAnsi="Times New Roman" w:eastAsia="宋体" w:cs="Times New Roman"/>
          <w:color w:val="000000"/>
          <w:kern w:val="0"/>
          <w:sz w:val="24"/>
          <w:szCs w:val="24"/>
          <w:lang w:val="en-US" w:eastAsia="zh-CN" w:bidi="ar"/>
        </w:rPr>
        <w:t>》（环办大气</w:t>
      </w:r>
      <w:r>
        <w:rPr>
          <w:rFonts w:hint="default" w:ascii="Times New Roman" w:hAnsi="Times New Roman" w:eastAsia="宋体" w:cs="Times New Roman"/>
          <w:color w:val="000000"/>
          <w:kern w:val="0"/>
          <w:sz w:val="24"/>
          <w:szCs w:val="24"/>
          <w:lang w:eastAsia="zh-CN" w:bidi="ar"/>
        </w:rPr>
        <w:t>[2019]16</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《环境空气细颗粒物污染综合防治技术政策》（原环境保护部公告</w:t>
      </w:r>
      <w:r>
        <w:rPr>
          <w:rFonts w:hint="default" w:ascii="Times New Roman" w:hAnsi="Times New Roman" w:eastAsia="宋体" w:cs="Times New Roman"/>
          <w:color w:val="000000"/>
          <w:kern w:val="0"/>
          <w:sz w:val="24"/>
          <w:szCs w:val="24"/>
          <w:lang w:eastAsia="zh-CN" w:bidi="ar"/>
        </w:rPr>
        <w:t>2013</w:t>
      </w:r>
      <w:r>
        <w:rPr>
          <w:rFonts w:hint="eastAsia" w:ascii="Times New Roman" w:hAnsi="Times New Roman" w:eastAsia="宋体" w:cs="Times New Roman"/>
          <w:color w:val="000000"/>
          <w:kern w:val="0"/>
          <w:sz w:val="24"/>
          <w:szCs w:val="24"/>
          <w:lang w:val="en-US" w:eastAsia="zh-CN" w:bidi="ar"/>
        </w:rPr>
        <w:t>年第</w:t>
      </w:r>
      <w:r>
        <w:rPr>
          <w:rFonts w:hint="default" w:ascii="Times New Roman" w:hAnsi="Times New Roman" w:eastAsia="宋体" w:cs="Times New Roman"/>
          <w:color w:val="000000"/>
          <w:kern w:val="0"/>
          <w:sz w:val="24"/>
          <w:szCs w:val="24"/>
          <w:lang w:eastAsia="zh-CN" w:bidi="ar"/>
        </w:rPr>
        <w:t>59</w:t>
      </w:r>
      <w:r>
        <w:rPr>
          <w:rFonts w:hint="eastAsia" w:ascii="Times New Roman" w:hAnsi="Times New Roman" w:eastAsia="宋体" w:cs="Times New Roman"/>
          <w:color w:val="000000"/>
          <w:kern w:val="0"/>
          <w:sz w:val="24"/>
          <w:szCs w:val="24"/>
          <w:lang w:val="en-US" w:eastAsia="zh-CN" w:bidi="ar"/>
        </w:rPr>
        <w:t>号，</w:t>
      </w:r>
      <w:r>
        <w:rPr>
          <w:rFonts w:hint="default" w:ascii="Times New Roman" w:hAnsi="Times New Roman" w:eastAsia="宋体" w:cs="Times New Roman"/>
          <w:color w:val="000000"/>
          <w:kern w:val="0"/>
          <w:sz w:val="24"/>
          <w:szCs w:val="24"/>
          <w:lang w:eastAsia="zh-CN" w:bidi="ar"/>
        </w:rPr>
        <w:t>2013.9.13</w:t>
      </w:r>
      <w:r>
        <w:rPr>
          <w:rFonts w:hint="eastAsia" w:ascii="Times New Roman" w:hAnsi="Times New Roman" w:eastAsia="宋体" w:cs="Times New Roman"/>
          <w:color w:val="000000"/>
          <w:kern w:val="0"/>
          <w:sz w:val="24"/>
          <w:szCs w:val="24"/>
          <w:lang w:val="en-US" w:eastAsia="zh-CN" w:bidi="ar"/>
        </w:rPr>
        <w:t>实施）</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《关于发布计算污染物排放量的排污系数和物料衡算方法的公告》（原环境保护部公告</w:t>
      </w:r>
      <w:r>
        <w:rPr>
          <w:rFonts w:hint="default" w:ascii="Times New Roman" w:hAnsi="Times New Roman" w:eastAsia="宋体" w:cs="Times New Roman"/>
          <w:color w:val="000000"/>
          <w:kern w:val="0"/>
          <w:sz w:val="24"/>
          <w:szCs w:val="24"/>
          <w:lang w:eastAsia="zh-CN" w:bidi="ar"/>
        </w:rPr>
        <w:t>2017</w:t>
      </w:r>
      <w:r>
        <w:rPr>
          <w:rFonts w:hint="eastAsia" w:ascii="Times New Roman" w:hAnsi="Times New Roman" w:eastAsia="宋体" w:cs="Times New Roman"/>
          <w:color w:val="000000"/>
          <w:kern w:val="0"/>
          <w:sz w:val="24"/>
          <w:szCs w:val="24"/>
          <w:lang w:val="en-US" w:eastAsia="zh-CN" w:bidi="ar"/>
        </w:rPr>
        <w:t>年第</w:t>
      </w:r>
      <w:r>
        <w:rPr>
          <w:rFonts w:hint="default" w:ascii="Times New Roman" w:hAnsi="Times New Roman" w:eastAsia="宋体" w:cs="Times New Roman"/>
          <w:color w:val="000000"/>
          <w:kern w:val="0"/>
          <w:sz w:val="24"/>
          <w:szCs w:val="24"/>
          <w:lang w:eastAsia="zh-CN" w:bidi="ar"/>
        </w:rPr>
        <w:t>81</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《辽宁省环境保护条例》（</w:t>
      </w:r>
      <w:r>
        <w:rPr>
          <w:rFonts w:hint="default" w:ascii="Times New Roman" w:hAnsi="Times New Roman" w:eastAsia="宋体" w:cs="Times New Roman"/>
          <w:color w:val="000000"/>
          <w:kern w:val="0"/>
          <w:sz w:val="24"/>
          <w:szCs w:val="24"/>
          <w:lang w:val="en-US" w:eastAsia="zh-CN" w:bidi="ar"/>
        </w:rPr>
        <w:t>2018.2.1</w:t>
      </w:r>
      <w:r>
        <w:rPr>
          <w:rFonts w:hint="eastAsia" w:ascii="Times New Roman" w:hAnsi="Times New Roman" w:eastAsia="宋体" w:cs="Times New Roman"/>
          <w:color w:val="000000"/>
          <w:kern w:val="0"/>
          <w:sz w:val="24"/>
          <w:szCs w:val="24"/>
          <w:lang w:val="en-US" w:eastAsia="zh-CN" w:bidi="ar"/>
        </w:rPr>
        <w:t>施行）</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《辽宁省大气污染防治条例》（</w:t>
      </w:r>
      <w:r>
        <w:rPr>
          <w:rFonts w:hint="default" w:ascii="Times New Roman" w:hAnsi="Times New Roman" w:eastAsia="宋体" w:cs="Times New Roman"/>
          <w:color w:val="000000"/>
          <w:kern w:val="0"/>
          <w:sz w:val="24"/>
          <w:szCs w:val="24"/>
          <w:lang w:val="en-US" w:eastAsia="zh-CN" w:bidi="ar"/>
        </w:rPr>
        <w:t>2017.8.1</w:t>
      </w:r>
      <w:r>
        <w:rPr>
          <w:rFonts w:hint="eastAsia" w:ascii="Times New Roman" w:hAnsi="Times New Roman" w:eastAsia="宋体" w:cs="Times New Roman"/>
          <w:color w:val="000000"/>
          <w:kern w:val="0"/>
          <w:sz w:val="24"/>
          <w:szCs w:val="24"/>
          <w:lang w:val="en-US" w:eastAsia="zh-CN" w:bidi="ar"/>
        </w:rPr>
        <w:t>施行）</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《辽宁省地下水资源保护条例》（</w:t>
      </w:r>
      <w:r>
        <w:rPr>
          <w:rFonts w:hint="default" w:ascii="Times New Roman" w:hAnsi="Times New Roman" w:eastAsia="宋体" w:cs="Times New Roman"/>
          <w:color w:val="000000"/>
          <w:kern w:val="0"/>
          <w:sz w:val="24"/>
          <w:szCs w:val="24"/>
          <w:lang w:val="en-US" w:eastAsia="zh-CN" w:bidi="ar"/>
        </w:rPr>
        <w:t>2011.1.11</w:t>
      </w:r>
      <w:r>
        <w:rPr>
          <w:rFonts w:hint="eastAsia" w:ascii="Times New Roman" w:hAnsi="Times New Roman" w:eastAsia="宋体" w:cs="Times New Roman"/>
          <w:color w:val="000000"/>
          <w:kern w:val="0"/>
          <w:sz w:val="24"/>
          <w:szCs w:val="24"/>
          <w:lang w:val="en-US" w:eastAsia="zh-CN" w:bidi="ar"/>
        </w:rPr>
        <w:t>修正）</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《辽宁省固体废物污染环境防治办法》（辽宁省人民政府令第</w:t>
      </w:r>
      <w:r>
        <w:rPr>
          <w:rFonts w:hint="default" w:ascii="Times New Roman" w:hAnsi="Times New Roman" w:eastAsia="宋体" w:cs="Times New Roman"/>
          <w:color w:val="000000"/>
          <w:kern w:val="0"/>
          <w:sz w:val="24"/>
          <w:szCs w:val="24"/>
          <w:lang w:val="en-US" w:eastAsia="zh-CN" w:bidi="ar"/>
        </w:rPr>
        <w:t>286</w:t>
      </w:r>
      <w:r>
        <w:rPr>
          <w:rFonts w:hint="eastAsia" w:ascii="Times New Roman" w:hAnsi="Times New Roman" w:eastAsia="宋体" w:cs="Times New Roman"/>
          <w:color w:val="000000"/>
          <w:kern w:val="0"/>
          <w:sz w:val="24"/>
          <w:szCs w:val="24"/>
          <w:lang w:val="en-US" w:eastAsia="zh-CN" w:bidi="ar"/>
        </w:rPr>
        <w:t>号公布，</w:t>
      </w:r>
      <w:r>
        <w:rPr>
          <w:rFonts w:hint="default" w:ascii="Times New Roman" w:hAnsi="Times New Roman" w:eastAsia="宋体" w:cs="Times New Roman"/>
          <w:color w:val="000000"/>
          <w:kern w:val="0"/>
          <w:sz w:val="24"/>
          <w:szCs w:val="24"/>
          <w:lang w:val="en-US" w:eastAsia="zh-CN" w:bidi="ar"/>
        </w:rPr>
        <w:t>2017.11.29</w:t>
      </w:r>
      <w:r>
        <w:rPr>
          <w:rFonts w:hint="eastAsia" w:ascii="Times New Roman" w:hAnsi="Times New Roman" w:eastAsia="宋体" w:cs="Times New Roman"/>
          <w:color w:val="000000"/>
          <w:kern w:val="0"/>
          <w:sz w:val="24"/>
          <w:szCs w:val="24"/>
          <w:lang w:val="en-US" w:eastAsia="zh-CN" w:bidi="ar"/>
        </w:rPr>
        <w:t>修正）</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《辽宁省污染源自动监控管理办法》（辽环发</w:t>
      </w:r>
      <w:r>
        <w:rPr>
          <w:rFonts w:hint="default" w:ascii="Times New Roman" w:hAnsi="Times New Roman" w:eastAsia="宋体" w:cs="Times New Roman"/>
          <w:color w:val="000000"/>
          <w:kern w:val="0"/>
          <w:sz w:val="24"/>
          <w:szCs w:val="24"/>
          <w:lang w:val="en-US" w:eastAsia="zh-CN" w:bidi="ar"/>
        </w:rPr>
        <w:t>[2015]31</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《辽宁省人民政府政府关于印发辽宁省打赢蓝天保卫战三年行动方案（</w:t>
      </w:r>
      <w:r>
        <w:rPr>
          <w:rFonts w:hint="default" w:ascii="Times New Roman" w:hAnsi="Times New Roman" w:eastAsia="宋体" w:cs="Times New Roman"/>
          <w:color w:val="000000"/>
          <w:kern w:val="0"/>
          <w:sz w:val="24"/>
          <w:szCs w:val="24"/>
          <w:lang w:val="en-US" w:eastAsia="zh-CN" w:bidi="ar"/>
        </w:rPr>
        <w:t>2018-2020</w:t>
      </w:r>
      <w:r>
        <w:rPr>
          <w:rFonts w:hint="eastAsia" w:ascii="Times New Roman" w:hAnsi="Times New Roman" w:eastAsia="宋体" w:cs="Times New Roman"/>
          <w:color w:val="000000"/>
          <w:kern w:val="0"/>
          <w:sz w:val="24"/>
          <w:szCs w:val="24"/>
          <w:lang w:val="en-US" w:eastAsia="zh-CN" w:bidi="ar"/>
        </w:rPr>
        <w:t>年）的通知》（辽政发</w:t>
      </w:r>
      <w:r>
        <w:rPr>
          <w:rFonts w:hint="default" w:ascii="Times New Roman" w:hAnsi="Times New Roman" w:eastAsia="宋体" w:cs="Times New Roman"/>
          <w:color w:val="000000"/>
          <w:kern w:val="0"/>
          <w:sz w:val="24"/>
          <w:szCs w:val="24"/>
          <w:lang w:val="en-US" w:eastAsia="zh-CN" w:bidi="ar"/>
        </w:rPr>
        <w:t>[2018]31</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《中共辽宁省委办公厅、辽宁省人民政府办公厅关于印发</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辽宁省污染防治攻坚战三年专项行动方案（</w:t>
      </w:r>
      <w:r>
        <w:rPr>
          <w:rFonts w:hint="default" w:ascii="Times New Roman" w:hAnsi="Times New Roman" w:eastAsia="宋体" w:cs="Times New Roman"/>
          <w:color w:val="000000"/>
          <w:kern w:val="0"/>
          <w:sz w:val="24"/>
          <w:szCs w:val="24"/>
          <w:lang w:val="en-US" w:eastAsia="zh-CN" w:bidi="ar"/>
        </w:rPr>
        <w:t>2018-2020</w:t>
      </w:r>
      <w:r>
        <w:rPr>
          <w:rFonts w:hint="eastAsia" w:ascii="Times New Roman" w:hAnsi="Times New Roman" w:eastAsia="宋体" w:cs="Times New Roman"/>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的通知》（辽委办发</w:t>
      </w:r>
      <w:r>
        <w:rPr>
          <w:rFonts w:hint="default" w:ascii="Times New Roman" w:hAnsi="Times New Roman" w:eastAsia="宋体" w:cs="Times New Roman"/>
          <w:color w:val="000000"/>
          <w:kern w:val="0"/>
          <w:sz w:val="24"/>
          <w:szCs w:val="24"/>
          <w:lang w:val="en-US" w:eastAsia="zh-CN" w:bidi="ar"/>
        </w:rPr>
        <w:t>[2018]60</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《关于加强建设项目环境影响评价管理和环境风险防范工作的通知》（辽环函</w:t>
      </w:r>
      <w:r>
        <w:rPr>
          <w:rFonts w:hint="default" w:ascii="Times New Roman" w:hAnsi="Times New Roman" w:eastAsia="宋体" w:cs="Times New Roman"/>
          <w:color w:val="000000"/>
          <w:kern w:val="0"/>
          <w:sz w:val="24"/>
          <w:szCs w:val="24"/>
          <w:lang w:val="en-US" w:eastAsia="zh-CN" w:bidi="ar"/>
        </w:rPr>
        <w:t>[2012]346</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《辽宁省人民政府关于加强环境保护重点工作的实施意见》（辽政发</w:t>
      </w:r>
      <w:r>
        <w:rPr>
          <w:rFonts w:hint="default" w:ascii="Times New Roman" w:hAnsi="Times New Roman" w:eastAsia="宋体" w:cs="Times New Roman"/>
          <w:color w:val="000000"/>
          <w:kern w:val="0"/>
          <w:sz w:val="24"/>
          <w:szCs w:val="24"/>
          <w:lang w:val="en-US" w:eastAsia="zh-CN" w:bidi="ar"/>
        </w:rPr>
        <w:t>[2010]39</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《关于全面加强危险废物环境管理有关问题的通知》（辽环发</w:t>
      </w:r>
      <w:r>
        <w:rPr>
          <w:rFonts w:hint="default" w:ascii="Times New Roman" w:hAnsi="Times New Roman" w:eastAsia="宋体" w:cs="Times New Roman"/>
          <w:color w:val="000000"/>
          <w:kern w:val="0"/>
          <w:sz w:val="24"/>
          <w:szCs w:val="24"/>
          <w:lang w:val="en-US" w:eastAsia="zh-CN" w:bidi="ar"/>
        </w:rPr>
        <w:t>[2012]9</w:t>
      </w:r>
      <w:r>
        <w:rPr>
          <w:rFonts w:hint="eastAsia" w:ascii="Times New Roman" w:hAnsi="Times New Roman" w:eastAsia="宋体" w:cs="Times New Roman"/>
          <w:color w:val="000000"/>
          <w:kern w:val="0"/>
          <w:sz w:val="24"/>
          <w:szCs w:val="24"/>
          <w:lang w:val="en-US" w:eastAsia="zh-CN" w:bidi="ar"/>
        </w:rPr>
        <w:t>号，</w:t>
      </w:r>
      <w:r>
        <w:rPr>
          <w:rFonts w:hint="default" w:ascii="Times New Roman" w:hAnsi="Times New Roman" w:eastAsia="宋体" w:cs="Times New Roman"/>
          <w:color w:val="000000"/>
          <w:kern w:val="0"/>
          <w:sz w:val="24"/>
          <w:szCs w:val="24"/>
          <w:lang w:val="en-US" w:eastAsia="zh-CN" w:bidi="ar"/>
        </w:rPr>
        <w:t>2012.3.1</w:t>
      </w:r>
      <w:r>
        <w:rPr>
          <w:rFonts w:hint="eastAsia" w:ascii="Times New Roman" w:hAnsi="Times New Roman" w:eastAsia="宋体" w:cs="Times New Roman"/>
          <w:color w:val="000000"/>
          <w:kern w:val="0"/>
          <w:sz w:val="24"/>
          <w:szCs w:val="24"/>
          <w:lang w:val="en-US" w:eastAsia="zh-CN" w:bidi="ar"/>
        </w:rPr>
        <w:t>）</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《辽宁省镁质材料行业发展指导目录（</w:t>
      </w:r>
      <w:r>
        <w:rPr>
          <w:rFonts w:hint="default" w:ascii="Times New Roman" w:hAnsi="Times New Roman" w:eastAsia="宋体" w:cs="Times New Roman"/>
          <w:color w:val="000000"/>
          <w:kern w:val="0"/>
          <w:sz w:val="24"/>
          <w:szCs w:val="24"/>
          <w:lang w:val="en-US" w:eastAsia="zh-CN" w:bidi="ar"/>
        </w:rPr>
        <w:t>2011</w:t>
      </w:r>
      <w:r>
        <w:rPr>
          <w:rFonts w:hint="eastAsia" w:ascii="Times New Roman" w:hAnsi="Times New Roman" w:eastAsia="宋体" w:cs="Times New Roman"/>
          <w:color w:val="000000"/>
          <w:kern w:val="0"/>
          <w:sz w:val="24"/>
          <w:szCs w:val="24"/>
          <w:lang w:val="en-US" w:eastAsia="zh-CN" w:bidi="ar"/>
        </w:rPr>
        <w:t>年本）》</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《关于印发</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辽宁省镁产业“十三五”发展规划</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（修订）》</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《关于印发</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加强全省镁产业综合治理工作的实施意见</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的通知》（辽镁</w:t>
      </w:r>
      <w:r>
        <w:rPr>
          <w:rFonts w:hint="default" w:ascii="Times New Roman" w:hAnsi="Times New Roman" w:eastAsia="宋体" w:cs="Times New Roman"/>
          <w:color w:val="000000"/>
          <w:kern w:val="0"/>
          <w:sz w:val="24"/>
          <w:szCs w:val="24"/>
          <w:lang w:val="en-US" w:eastAsia="zh-CN" w:bidi="ar"/>
        </w:rPr>
        <w:t>[2017]1</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《辽宁省镁产业结构调整和转型升级指导意见》（辽工特发</w:t>
      </w:r>
      <w:r>
        <w:rPr>
          <w:rFonts w:hint="default" w:ascii="Times New Roman" w:hAnsi="Times New Roman" w:eastAsia="宋体" w:cs="Times New Roman"/>
          <w:color w:val="000000"/>
          <w:kern w:val="0"/>
          <w:sz w:val="24"/>
          <w:szCs w:val="24"/>
          <w:lang w:val="en-US" w:eastAsia="zh-CN" w:bidi="ar"/>
        </w:rPr>
        <w:t>[2018]1</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《关于印发</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辽宁省镁质耐火材料行业规范</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的通知》（辽工特发</w:t>
      </w:r>
      <w:r>
        <w:rPr>
          <w:rFonts w:hint="default" w:ascii="Times New Roman" w:hAnsi="Times New Roman" w:eastAsia="宋体" w:cs="Times New Roman"/>
          <w:color w:val="000000"/>
          <w:kern w:val="0"/>
          <w:sz w:val="24"/>
          <w:szCs w:val="24"/>
          <w:lang w:val="en-US" w:eastAsia="zh-CN" w:bidi="ar"/>
        </w:rPr>
        <w:t>[2018]2</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《鞍山市扬尘污染防治管理条例》（</w:t>
      </w:r>
      <w:r>
        <w:rPr>
          <w:rFonts w:hint="default" w:ascii="Times New Roman" w:hAnsi="Times New Roman" w:eastAsia="宋体" w:cs="Times New Roman"/>
          <w:color w:val="000000"/>
          <w:kern w:val="0"/>
          <w:sz w:val="24"/>
          <w:szCs w:val="24"/>
          <w:lang w:val="en-US" w:eastAsia="zh-CN" w:bidi="ar"/>
        </w:rPr>
        <w:t>2014.1.1</w:t>
      </w:r>
      <w:r>
        <w:rPr>
          <w:rFonts w:hint="eastAsia" w:ascii="Times New Roman" w:hAnsi="Times New Roman" w:eastAsia="宋体" w:cs="Times New Roman"/>
          <w:color w:val="000000"/>
          <w:kern w:val="0"/>
          <w:sz w:val="24"/>
          <w:szCs w:val="24"/>
          <w:lang w:val="en-US" w:eastAsia="zh-CN" w:bidi="ar"/>
        </w:rPr>
        <w:t>施行）</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《鞍山市建设项目环境影响评价工作管理规定》（鞍环保发</w:t>
      </w:r>
      <w:r>
        <w:rPr>
          <w:rFonts w:hint="default" w:ascii="Times New Roman" w:hAnsi="Times New Roman" w:eastAsia="宋体" w:cs="Times New Roman"/>
          <w:color w:val="000000"/>
          <w:kern w:val="0"/>
          <w:sz w:val="24"/>
          <w:szCs w:val="24"/>
          <w:lang w:val="en-US" w:eastAsia="zh-CN" w:bidi="ar"/>
        </w:rPr>
        <w:t>[2002]24</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《鞍山市环境保护条例》（</w:t>
      </w:r>
      <w:r>
        <w:rPr>
          <w:rFonts w:hint="default" w:ascii="Times New Roman" w:hAnsi="Times New Roman" w:eastAsia="宋体" w:cs="Times New Roman"/>
          <w:color w:val="000000"/>
          <w:kern w:val="0"/>
          <w:sz w:val="24"/>
          <w:szCs w:val="24"/>
          <w:lang w:val="en-US" w:eastAsia="zh-CN" w:bidi="ar"/>
        </w:rPr>
        <w:t>2012.3.30</w:t>
      </w:r>
      <w:r>
        <w:rPr>
          <w:rFonts w:hint="eastAsia" w:ascii="Times New Roman" w:hAnsi="Times New Roman" w:eastAsia="宋体" w:cs="Times New Roman"/>
          <w:color w:val="000000"/>
          <w:kern w:val="0"/>
          <w:sz w:val="24"/>
          <w:szCs w:val="24"/>
          <w:lang w:val="en-US" w:eastAsia="zh-CN" w:bidi="ar"/>
        </w:rPr>
        <w:t>修订）</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《鞍山市蓝天工程实施方案》（鞍政发</w:t>
      </w:r>
      <w:r>
        <w:rPr>
          <w:rFonts w:hint="default" w:ascii="Times New Roman" w:hAnsi="Times New Roman" w:eastAsia="宋体" w:cs="Times New Roman"/>
          <w:color w:val="000000"/>
          <w:kern w:val="0"/>
          <w:sz w:val="24"/>
          <w:szCs w:val="24"/>
          <w:lang w:val="en-US" w:eastAsia="zh-CN" w:bidi="ar"/>
        </w:rPr>
        <w:t>[2013]8</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bCs/>
          <w:color w:val="000000"/>
          <w:kern w:val="0"/>
          <w:sz w:val="24"/>
          <w:szCs w:val="24"/>
          <w:lang w:eastAsia="zh-CN" w:bidi="ar"/>
        </w:rPr>
        <w:t>《鞍山市人民政府关于印发鞍山市打赢蓝天保卫战实施方案的通知》（鞍政</w:t>
      </w:r>
      <w:r>
        <w:rPr>
          <w:rFonts w:hint="default"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bCs/>
          <w:color w:val="000000"/>
          <w:kern w:val="0"/>
          <w:sz w:val="24"/>
          <w:szCs w:val="24"/>
          <w:lang w:eastAsia="zh-CN" w:bidi="ar"/>
        </w:rPr>
        <w:t>2019</w:t>
      </w:r>
      <w:r>
        <w:rPr>
          <w:rFonts w:hint="default"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bCs/>
          <w:color w:val="000000"/>
          <w:kern w:val="0"/>
          <w:sz w:val="24"/>
          <w:szCs w:val="24"/>
          <w:lang w:eastAsia="zh-CN" w:bidi="ar"/>
        </w:rPr>
        <w:t>11</w:t>
      </w:r>
      <w:r>
        <w:rPr>
          <w:rFonts w:hint="eastAsia" w:ascii="Times New Roman" w:hAnsi="Times New Roman" w:eastAsia="宋体" w:cs="Times New Roman"/>
          <w:bCs/>
          <w:color w:val="000000"/>
          <w:kern w:val="0"/>
          <w:sz w:val="24"/>
          <w:szCs w:val="24"/>
          <w:lang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《鞍山市人民政府关于印发鞍山市水污染防治工作方案的通知》（鞍政发</w:t>
      </w:r>
      <w:r>
        <w:rPr>
          <w:rFonts w:hint="default" w:ascii="Times New Roman" w:hAnsi="Times New Roman" w:eastAsia="宋体" w:cs="Times New Roman"/>
          <w:color w:val="000000"/>
          <w:kern w:val="0"/>
          <w:sz w:val="24"/>
          <w:szCs w:val="24"/>
          <w:lang w:val="en-US" w:eastAsia="zh-CN" w:bidi="ar"/>
        </w:rPr>
        <w:t>[2016]28</w:t>
      </w:r>
      <w:r>
        <w:rPr>
          <w:rFonts w:hint="eastAsia" w:ascii="Times New Roman" w:hAnsi="Times New Roman" w:eastAsia="宋体" w:cs="Times New Roman"/>
          <w:color w:val="000000"/>
          <w:kern w:val="0"/>
          <w:sz w:val="24"/>
          <w:szCs w:val="24"/>
          <w:lang w:val="en-US" w:eastAsia="zh-CN" w:bidi="ar"/>
        </w:rPr>
        <w:t>号，</w:t>
      </w:r>
      <w:r>
        <w:rPr>
          <w:rFonts w:hint="default" w:ascii="Times New Roman" w:hAnsi="Times New Roman" w:eastAsia="宋体" w:cs="Times New Roman"/>
          <w:color w:val="000000"/>
          <w:kern w:val="0"/>
          <w:sz w:val="24"/>
          <w:szCs w:val="24"/>
          <w:lang w:val="en-US" w:eastAsia="zh-CN" w:bidi="ar"/>
        </w:rPr>
        <w:t>2016.7.13</w:t>
      </w:r>
      <w:r>
        <w:rPr>
          <w:rFonts w:hint="eastAsia" w:ascii="Times New Roman" w:hAnsi="Times New Roman" w:eastAsia="宋体" w:cs="Times New Roman"/>
          <w:color w:val="000000"/>
          <w:kern w:val="0"/>
          <w:sz w:val="24"/>
          <w:szCs w:val="24"/>
          <w:lang w:val="en-US" w:eastAsia="zh-CN" w:bidi="ar"/>
        </w:rPr>
        <w:t>）</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《鞍山市人民政府关于印发鞍山市水污染防治工作方案的通知》（鞍政发</w:t>
      </w:r>
      <w:r>
        <w:rPr>
          <w:rFonts w:hint="default" w:ascii="Times New Roman" w:hAnsi="Times New Roman" w:eastAsia="宋体" w:cs="Times New Roman"/>
          <w:color w:val="000000"/>
          <w:kern w:val="0"/>
          <w:sz w:val="24"/>
          <w:szCs w:val="24"/>
          <w:lang w:val="en-US" w:eastAsia="zh-CN" w:bidi="ar"/>
        </w:rPr>
        <w:t>[2017]6</w:t>
      </w:r>
      <w:r>
        <w:rPr>
          <w:rFonts w:hint="eastAsia" w:ascii="Times New Roman" w:hAnsi="Times New Roman" w:eastAsia="宋体" w:cs="Times New Roman"/>
          <w:color w:val="000000"/>
          <w:kern w:val="0"/>
          <w:sz w:val="24"/>
          <w:szCs w:val="24"/>
          <w:lang w:val="en-US" w:eastAsia="zh-CN" w:bidi="ar"/>
        </w:rPr>
        <w:t>号，</w:t>
      </w:r>
      <w:r>
        <w:rPr>
          <w:rFonts w:hint="default" w:ascii="Times New Roman" w:hAnsi="Times New Roman" w:eastAsia="宋体" w:cs="Times New Roman"/>
          <w:color w:val="000000"/>
          <w:kern w:val="0"/>
          <w:sz w:val="24"/>
          <w:szCs w:val="24"/>
          <w:lang w:val="en-US" w:eastAsia="zh-CN" w:bidi="ar"/>
        </w:rPr>
        <w:t>2017.3.8</w:t>
      </w:r>
      <w:r>
        <w:rPr>
          <w:rFonts w:hint="eastAsia" w:ascii="Times New Roman" w:hAnsi="Times New Roman" w:eastAsia="宋体" w:cs="Times New Roman"/>
          <w:color w:val="000000"/>
          <w:kern w:val="0"/>
          <w:sz w:val="24"/>
          <w:szCs w:val="24"/>
          <w:lang w:val="en-US" w:eastAsia="zh-CN" w:bidi="ar"/>
        </w:rPr>
        <w:t>）</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《关于开展全市镁产业综合治理工作的通知》（鞍镁</w:t>
      </w:r>
      <w:r>
        <w:rPr>
          <w:rFonts w:hint="default" w:ascii="Times New Roman" w:hAnsi="Times New Roman" w:eastAsia="宋体" w:cs="Times New Roman"/>
          <w:color w:val="000000"/>
          <w:kern w:val="0"/>
          <w:sz w:val="24"/>
          <w:szCs w:val="24"/>
          <w:lang w:val="en-US" w:eastAsia="zh-CN" w:bidi="ar"/>
        </w:rPr>
        <w:t>[2016]1</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《关于进一步做好鞍山市镁产业镁砂行业环境治理专项工作的通知》（鞍环领办</w:t>
      </w:r>
      <w:r>
        <w:rPr>
          <w:rFonts w:hint="default" w:ascii="Times New Roman" w:hAnsi="Times New Roman" w:eastAsia="宋体" w:cs="Times New Roman"/>
          <w:color w:val="000000"/>
          <w:kern w:val="0"/>
          <w:sz w:val="24"/>
          <w:szCs w:val="24"/>
          <w:lang w:val="en-US" w:eastAsia="zh-CN" w:bidi="ar"/>
        </w:rPr>
        <w:t>[2017]6</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《关于开展全市镁产业镁砂行业环境治理专项工作的通知》（鞍环保发</w:t>
      </w:r>
      <w:r>
        <w:rPr>
          <w:rFonts w:hint="default" w:ascii="Times New Roman" w:hAnsi="Times New Roman" w:eastAsia="宋体" w:cs="Times New Roman"/>
          <w:color w:val="000000"/>
          <w:kern w:val="0"/>
          <w:sz w:val="24"/>
          <w:szCs w:val="24"/>
          <w:lang w:val="en-US" w:eastAsia="zh-CN" w:bidi="ar"/>
        </w:rPr>
        <w:t>[2016]77</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《海城市人民政府办公室关于印发</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海城市镁制品项目建设指导意见</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的通知》（海政办发</w:t>
      </w:r>
      <w:r>
        <w:rPr>
          <w:rFonts w:hint="default" w:ascii="Times New Roman" w:hAnsi="Times New Roman" w:eastAsia="宋体" w:cs="Times New Roman"/>
          <w:color w:val="000000"/>
          <w:kern w:val="0"/>
          <w:sz w:val="24"/>
          <w:szCs w:val="24"/>
          <w:lang w:val="en-US" w:eastAsia="zh-CN" w:bidi="ar"/>
        </w:rPr>
        <w:t>[2018]41</w:t>
      </w:r>
      <w:r>
        <w:rPr>
          <w:rFonts w:hint="eastAsia" w:ascii="Times New Roman" w:hAnsi="Times New Roman" w:eastAsia="宋体" w:cs="Times New Roman"/>
          <w:color w:val="000000"/>
          <w:kern w:val="0"/>
          <w:sz w:val="24"/>
          <w:szCs w:val="24"/>
          <w:lang w:val="en-US" w:eastAsia="zh-CN" w:bidi="ar"/>
        </w:rPr>
        <w:t>号，</w:t>
      </w:r>
      <w:r>
        <w:rPr>
          <w:rFonts w:hint="default" w:ascii="Times New Roman" w:hAnsi="Times New Roman" w:eastAsia="宋体" w:cs="Times New Roman"/>
          <w:color w:val="000000"/>
          <w:kern w:val="0"/>
          <w:sz w:val="24"/>
          <w:szCs w:val="24"/>
          <w:lang w:val="en-US" w:eastAsia="zh-CN" w:bidi="ar"/>
        </w:rPr>
        <w:t>2018.6.13</w:t>
      </w:r>
      <w:r>
        <w:rPr>
          <w:rFonts w:hint="eastAsia" w:ascii="Times New Roman" w:hAnsi="Times New Roman" w:eastAsia="宋体" w:cs="Times New Roman"/>
          <w:color w:val="000000"/>
          <w:kern w:val="0"/>
          <w:sz w:val="24"/>
          <w:szCs w:val="24"/>
          <w:lang w:val="en-US" w:eastAsia="zh-CN" w:bidi="ar"/>
        </w:rPr>
        <w:t>）</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《辽宁省排污单位自行监测管理办法（试行）》（辽宁省生态环境厅通告</w:t>
      </w:r>
      <w:r>
        <w:rPr>
          <w:rFonts w:hint="default" w:ascii="Times New Roman" w:hAnsi="Times New Roman" w:eastAsia="宋体" w:cs="Times New Roman"/>
          <w:color w:val="000000"/>
          <w:kern w:val="0"/>
          <w:sz w:val="24"/>
          <w:szCs w:val="24"/>
          <w:lang w:val="en-US" w:eastAsia="zh-CN" w:bidi="ar"/>
        </w:rPr>
        <w:t>2020</w:t>
      </w:r>
      <w:r>
        <w:rPr>
          <w:rFonts w:hint="eastAsia" w:ascii="Times New Roman" w:hAnsi="Times New Roman" w:eastAsia="宋体" w:cs="Times New Roman"/>
          <w:color w:val="000000"/>
          <w:kern w:val="0"/>
          <w:sz w:val="24"/>
          <w:szCs w:val="24"/>
          <w:lang w:val="en-US" w:eastAsia="zh-CN" w:bidi="ar"/>
        </w:rPr>
        <w:t>年第</w:t>
      </w:r>
      <w:r>
        <w:rPr>
          <w:rFonts w:hint="default" w:ascii="Times New Roman" w:hAnsi="Times New Roman" w:eastAsia="宋体" w:cs="Times New Roman"/>
          <w:color w:val="000000"/>
          <w:kern w:val="0"/>
          <w:sz w:val="24"/>
          <w:szCs w:val="24"/>
          <w:lang w:val="en-US" w:eastAsia="zh-CN" w:bidi="ar"/>
        </w:rPr>
        <w:t>8</w:t>
      </w:r>
      <w:r>
        <w:rPr>
          <w:rFonts w:hint="eastAsia" w:ascii="Times New Roman" w:hAnsi="Times New Roman" w:eastAsia="宋体" w:cs="Times New Roman"/>
          <w:color w:val="000000"/>
          <w:kern w:val="0"/>
          <w:sz w:val="24"/>
          <w:szCs w:val="24"/>
          <w:lang w:val="en-US" w:eastAsia="zh-CN" w:bidi="ar"/>
        </w:rPr>
        <w:t>号）</w:t>
      </w:r>
    </w:p>
    <w:p>
      <w:pPr>
        <w:pStyle w:val="27"/>
        <w:keepNext w:val="0"/>
        <w:keepLines w:val="0"/>
        <w:widowControl/>
        <w:numPr>
          <w:ilvl w:val="0"/>
          <w:numId w:val="1"/>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《辽宁省总量文件》（辽环综函</w:t>
      </w:r>
      <w:r>
        <w:rPr>
          <w:rFonts w:hint="default" w:ascii="Times New Roman" w:hAnsi="Times New Roman" w:eastAsia="宋体" w:cs="Times New Roman"/>
          <w:color w:val="000000"/>
          <w:kern w:val="0"/>
          <w:sz w:val="24"/>
          <w:szCs w:val="24"/>
          <w:lang w:val="en-US" w:eastAsia="zh-CN" w:bidi="ar"/>
        </w:rPr>
        <w:t>[2020]380</w:t>
      </w:r>
      <w:r>
        <w:rPr>
          <w:rFonts w:hint="eastAsia" w:ascii="Times New Roman" w:hAnsi="Times New Roman" w:eastAsia="宋体" w:cs="Times New Roman"/>
          <w:color w:val="000000"/>
          <w:kern w:val="0"/>
          <w:sz w:val="24"/>
          <w:szCs w:val="24"/>
          <w:lang w:val="en-US" w:eastAsia="zh-CN" w:bidi="ar"/>
        </w:rPr>
        <w:t>号）</w:t>
      </w:r>
    </w:p>
    <w:p>
      <w:pPr>
        <w:pStyle w:val="9"/>
        <w:widowControl/>
        <w:rPr>
          <w:rFonts w:hint="default" w:ascii="Times New Roman" w:hAnsi="Times New Roman" w:cs="Times New Roman"/>
          <w:color w:val="000000"/>
          <w:lang/>
        </w:rPr>
      </w:pPr>
      <w:bookmarkStart w:id="32" w:name="_Toc151276119"/>
      <w:bookmarkStart w:id="33" w:name="_Toc151258700"/>
      <w:bookmarkStart w:id="34" w:name="_Toc151200231"/>
      <w:bookmarkStart w:id="35" w:name="_Toc151200071"/>
      <w:r>
        <w:rPr>
          <w:rFonts w:hint="default" w:ascii="Times New Roman" w:hAnsi="Times New Roman" w:cs="Times New Roman"/>
          <w:color w:val="000000"/>
          <w:lang/>
        </w:rPr>
        <w:t xml:space="preserve">1.1.2 </w:t>
      </w:r>
      <w:r>
        <w:rPr>
          <w:rFonts w:ascii="Times New Roman" w:hAnsi="Times New Roman" w:cs="Times New Roman"/>
          <w:color w:val="000000"/>
          <w:lang/>
        </w:rPr>
        <w:t>技术导则</w:t>
      </w:r>
      <w:bookmarkEnd w:id="32"/>
      <w:bookmarkEnd w:id="33"/>
      <w:bookmarkEnd w:id="34"/>
      <w:bookmarkEnd w:id="35"/>
      <w:r>
        <w:rPr>
          <w:rFonts w:ascii="Times New Roman" w:hAnsi="Times New Roman" w:cs="Times New Roman"/>
          <w:color w:val="000000"/>
          <w:lang/>
        </w:rPr>
        <w:t>及技术指南</w:t>
      </w:r>
    </w:p>
    <w:p>
      <w:pPr>
        <w:keepNext w:val="0"/>
        <w:keepLines w:val="0"/>
        <w:widowControl/>
        <w:numPr>
          <w:ilvl w:val="0"/>
          <w:numId w:val="2"/>
        </w:numPr>
        <w:suppressLineNumbers w:val="0"/>
        <w:spacing w:before="0" w:beforeAutospacing="0" w:after="0" w:afterAutospacing="0" w:line="500" w:lineRule="exact"/>
        <w:ind w:left="902" w:right="0" w:hanging="42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《建设项目环境影响评价技术导则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总纲》（</w:t>
      </w:r>
      <w:r>
        <w:rPr>
          <w:rFonts w:hint="default" w:ascii="Times New Roman" w:hAnsi="Times New Roman" w:eastAsia="宋体" w:cs="Times New Roman"/>
          <w:color w:val="000000"/>
          <w:kern w:val="0"/>
          <w:sz w:val="24"/>
          <w:szCs w:val="24"/>
          <w:lang w:val="en-US" w:eastAsia="zh-CN" w:bidi="ar"/>
        </w:rPr>
        <w:t>HJ2.1-2016</w:t>
      </w:r>
      <w:r>
        <w:rPr>
          <w:rFonts w:hint="eastAsia" w:ascii="Times New Roman" w:hAnsi="Times New Roman" w:eastAsia="宋体" w:cs="Times New Roman"/>
          <w:color w:val="000000"/>
          <w:kern w:val="0"/>
          <w:sz w:val="24"/>
          <w:szCs w:val="24"/>
          <w:lang w:val="en-US" w:eastAsia="zh-CN" w:bidi="ar"/>
        </w:rPr>
        <w:t>）</w:t>
      </w:r>
    </w:p>
    <w:p>
      <w:pPr>
        <w:keepNext w:val="0"/>
        <w:keepLines w:val="0"/>
        <w:widowControl/>
        <w:numPr>
          <w:ilvl w:val="0"/>
          <w:numId w:val="2"/>
        </w:numPr>
        <w:suppressLineNumbers w:val="0"/>
        <w:spacing w:before="0" w:beforeAutospacing="0" w:after="0" w:afterAutospacing="0" w:line="500" w:lineRule="exact"/>
        <w:ind w:left="902" w:right="0" w:hanging="42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大气环境》（</w:t>
      </w:r>
      <w:r>
        <w:rPr>
          <w:rFonts w:hint="default" w:ascii="Times New Roman" w:hAnsi="Times New Roman" w:eastAsia="宋体" w:cs="Times New Roman"/>
          <w:color w:val="000000"/>
          <w:kern w:val="0"/>
          <w:sz w:val="24"/>
          <w:szCs w:val="24"/>
          <w:lang w:val="en-US" w:eastAsia="zh-CN" w:bidi="ar"/>
        </w:rPr>
        <w:t>HJ2.2-2018</w:t>
      </w:r>
      <w:r>
        <w:rPr>
          <w:rFonts w:hint="eastAsia" w:ascii="Times New Roman" w:hAnsi="Times New Roman" w:eastAsia="宋体" w:cs="Times New Roman"/>
          <w:color w:val="000000"/>
          <w:kern w:val="0"/>
          <w:sz w:val="24"/>
          <w:szCs w:val="24"/>
          <w:lang w:val="en-US" w:eastAsia="zh-CN" w:bidi="ar"/>
        </w:rPr>
        <w:t>）</w:t>
      </w:r>
    </w:p>
    <w:p>
      <w:pPr>
        <w:keepNext w:val="0"/>
        <w:keepLines w:val="0"/>
        <w:widowControl/>
        <w:numPr>
          <w:ilvl w:val="0"/>
          <w:numId w:val="2"/>
        </w:numPr>
        <w:suppressLineNumbers w:val="0"/>
        <w:spacing w:before="0" w:beforeAutospacing="0" w:after="0" w:afterAutospacing="0" w:line="500" w:lineRule="exact"/>
        <w:ind w:left="902" w:right="0" w:hanging="42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地表水环境》（</w:t>
      </w:r>
      <w:r>
        <w:rPr>
          <w:rFonts w:hint="default" w:ascii="Times New Roman" w:hAnsi="Times New Roman" w:eastAsia="宋体" w:cs="Times New Roman"/>
          <w:color w:val="000000"/>
          <w:kern w:val="0"/>
          <w:sz w:val="24"/>
          <w:szCs w:val="24"/>
          <w:lang w:val="en-US" w:eastAsia="zh-CN" w:bidi="ar"/>
        </w:rPr>
        <w:t>HJ2.3-2018</w:t>
      </w:r>
      <w:r>
        <w:rPr>
          <w:rFonts w:hint="eastAsia" w:ascii="Times New Roman" w:hAnsi="Times New Roman" w:eastAsia="宋体" w:cs="Times New Roman"/>
          <w:color w:val="000000"/>
          <w:kern w:val="0"/>
          <w:sz w:val="24"/>
          <w:szCs w:val="24"/>
          <w:lang w:val="en-US" w:eastAsia="zh-CN" w:bidi="ar"/>
        </w:rPr>
        <w:t>）</w:t>
      </w:r>
    </w:p>
    <w:p>
      <w:pPr>
        <w:keepNext w:val="0"/>
        <w:keepLines w:val="0"/>
        <w:widowControl/>
        <w:numPr>
          <w:ilvl w:val="0"/>
          <w:numId w:val="2"/>
        </w:numPr>
        <w:suppressLineNumbers w:val="0"/>
        <w:spacing w:before="0" w:beforeAutospacing="0" w:after="0" w:afterAutospacing="0" w:line="500" w:lineRule="exact"/>
        <w:ind w:left="902" w:right="0" w:hanging="42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地下水环境》（</w:t>
      </w:r>
      <w:r>
        <w:rPr>
          <w:rFonts w:hint="default" w:ascii="Times New Roman" w:hAnsi="Times New Roman" w:eastAsia="宋体" w:cs="Times New Roman"/>
          <w:color w:val="000000"/>
          <w:kern w:val="0"/>
          <w:sz w:val="24"/>
          <w:szCs w:val="24"/>
          <w:lang w:val="en-US" w:eastAsia="zh-CN" w:bidi="ar"/>
        </w:rPr>
        <w:t>HJ 610-2016</w:t>
      </w:r>
      <w:r>
        <w:rPr>
          <w:rFonts w:hint="eastAsia" w:ascii="Times New Roman" w:hAnsi="Times New Roman" w:eastAsia="宋体" w:cs="Times New Roman"/>
          <w:color w:val="000000"/>
          <w:kern w:val="0"/>
          <w:sz w:val="24"/>
          <w:szCs w:val="24"/>
          <w:lang w:val="en-US" w:eastAsia="zh-CN" w:bidi="ar"/>
        </w:rPr>
        <w:t>）</w:t>
      </w:r>
    </w:p>
    <w:p>
      <w:pPr>
        <w:keepNext w:val="0"/>
        <w:keepLines w:val="0"/>
        <w:widowControl/>
        <w:numPr>
          <w:ilvl w:val="0"/>
          <w:numId w:val="2"/>
        </w:numPr>
        <w:suppressLineNumbers w:val="0"/>
        <w:spacing w:before="0" w:beforeAutospacing="0" w:after="0" w:afterAutospacing="0" w:line="500" w:lineRule="exact"/>
        <w:ind w:left="902" w:right="0" w:hanging="42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声环境》（</w:t>
      </w:r>
      <w:r>
        <w:rPr>
          <w:rFonts w:hint="default" w:ascii="Times New Roman" w:hAnsi="Times New Roman" w:eastAsia="宋体" w:cs="Times New Roman"/>
          <w:color w:val="000000"/>
          <w:kern w:val="0"/>
          <w:sz w:val="24"/>
          <w:szCs w:val="24"/>
          <w:lang w:val="en-US" w:eastAsia="zh-CN" w:bidi="ar"/>
        </w:rPr>
        <w:t>HJ2.4-2009</w:t>
      </w:r>
      <w:r>
        <w:rPr>
          <w:rFonts w:hint="eastAsia" w:ascii="Times New Roman" w:hAnsi="Times New Roman" w:eastAsia="宋体" w:cs="Times New Roman"/>
          <w:color w:val="000000"/>
          <w:kern w:val="0"/>
          <w:sz w:val="24"/>
          <w:szCs w:val="24"/>
          <w:lang w:val="en-US" w:eastAsia="zh-CN" w:bidi="ar"/>
        </w:rPr>
        <w:t>）</w:t>
      </w:r>
    </w:p>
    <w:p>
      <w:pPr>
        <w:keepNext w:val="0"/>
        <w:keepLines w:val="0"/>
        <w:widowControl/>
        <w:numPr>
          <w:ilvl w:val="0"/>
          <w:numId w:val="2"/>
        </w:numPr>
        <w:suppressLineNumbers w:val="0"/>
        <w:spacing w:before="0" w:beforeAutospacing="0" w:after="0" w:afterAutospacing="0" w:line="500" w:lineRule="exact"/>
        <w:ind w:left="902" w:right="0" w:hanging="42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土壤环境》（</w:t>
      </w:r>
      <w:r>
        <w:rPr>
          <w:rFonts w:hint="default" w:ascii="Times New Roman" w:hAnsi="Times New Roman" w:eastAsia="宋体" w:cs="Times New Roman"/>
          <w:color w:val="000000"/>
          <w:kern w:val="0"/>
          <w:sz w:val="24"/>
          <w:szCs w:val="24"/>
          <w:lang w:val="en-US" w:eastAsia="zh-CN" w:bidi="ar"/>
        </w:rPr>
        <w:t>HJ964-2018</w:t>
      </w:r>
      <w:r>
        <w:rPr>
          <w:rFonts w:hint="eastAsia" w:ascii="Times New Roman" w:hAnsi="Times New Roman" w:eastAsia="宋体" w:cs="Times New Roman"/>
          <w:color w:val="000000"/>
          <w:kern w:val="0"/>
          <w:sz w:val="24"/>
          <w:szCs w:val="24"/>
          <w:lang w:val="en-US" w:eastAsia="zh-CN" w:bidi="ar"/>
        </w:rPr>
        <w:t>）</w:t>
      </w:r>
    </w:p>
    <w:p>
      <w:pPr>
        <w:keepNext w:val="0"/>
        <w:keepLines w:val="0"/>
        <w:widowControl/>
        <w:numPr>
          <w:ilvl w:val="0"/>
          <w:numId w:val="2"/>
        </w:numPr>
        <w:suppressLineNumbers w:val="0"/>
        <w:spacing w:before="0" w:beforeAutospacing="0" w:after="0" w:afterAutospacing="0" w:line="500" w:lineRule="exact"/>
        <w:ind w:left="902" w:right="0" w:hanging="42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《建设项目环境风险评价技术导则》（</w:t>
      </w:r>
      <w:r>
        <w:rPr>
          <w:rFonts w:hint="default" w:ascii="Times New Roman" w:hAnsi="Times New Roman" w:eastAsia="宋体" w:cs="Times New Roman"/>
          <w:color w:val="000000"/>
          <w:kern w:val="0"/>
          <w:sz w:val="24"/>
          <w:szCs w:val="24"/>
          <w:lang w:val="en-US" w:eastAsia="zh-CN" w:bidi="ar"/>
        </w:rPr>
        <w:t>HJ169-2018</w:t>
      </w:r>
      <w:r>
        <w:rPr>
          <w:rFonts w:hint="eastAsia" w:ascii="Times New Roman" w:hAnsi="Times New Roman" w:eastAsia="宋体" w:cs="Times New Roman"/>
          <w:color w:val="000000"/>
          <w:kern w:val="0"/>
          <w:sz w:val="24"/>
          <w:szCs w:val="24"/>
          <w:lang w:val="en-US" w:eastAsia="zh-CN" w:bidi="ar"/>
        </w:rPr>
        <w:t>）</w:t>
      </w:r>
    </w:p>
    <w:p>
      <w:pPr>
        <w:keepNext w:val="0"/>
        <w:keepLines w:val="0"/>
        <w:widowControl/>
        <w:numPr>
          <w:ilvl w:val="0"/>
          <w:numId w:val="2"/>
        </w:numPr>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《建设项目危险废物环境影响评价指南》（环境保护部公告</w:t>
      </w:r>
      <w:r>
        <w:rPr>
          <w:rFonts w:hint="default" w:ascii="Times New Roman" w:hAnsi="Times New Roman" w:eastAsia="宋体" w:cs="Times New Roman"/>
          <w:color w:val="000000"/>
          <w:kern w:val="0"/>
          <w:sz w:val="24"/>
          <w:szCs w:val="24"/>
          <w:lang w:val="en-US" w:eastAsia="zh-CN" w:bidi="ar"/>
        </w:rPr>
        <w:t>2017</w:t>
      </w:r>
      <w:r>
        <w:rPr>
          <w:rFonts w:hint="eastAsia" w:ascii="Times New Roman" w:hAnsi="Times New Roman" w:eastAsia="宋体" w:cs="Times New Roman"/>
          <w:color w:val="000000"/>
          <w:kern w:val="0"/>
          <w:sz w:val="24"/>
          <w:szCs w:val="24"/>
          <w:lang w:val="en-US" w:eastAsia="zh-CN" w:bidi="ar"/>
        </w:rPr>
        <w:t>年第</w:t>
      </w:r>
      <w:r>
        <w:rPr>
          <w:rFonts w:hint="default" w:ascii="Times New Roman" w:hAnsi="Times New Roman" w:eastAsia="宋体" w:cs="Times New Roman"/>
          <w:color w:val="000000"/>
          <w:kern w:val="0"/>
          <w:sz w:val="24"/>
          <w:szCs w:val="24"/>
          <w:lang w:val="en-US" w:eastAsia="zh-CN" w:bidi="ar"/>
        </w:rPr>
        <w:t>43</w:t>
      </w:r>
      <w:r>
        <w:rPr>
          <w:rFonts w:hint="eastAsia" w:ascii="Times New Roman" w:hAnsi="Times New Roman" w:eastAsia="宋体" w:cs="Times New Roman"/>
          <w:color w:val="000000"/>
          <w:kern w:val="0"/>
          <w:sz w:val="24"/>
          <w:szCs w:val="24"/>
          <w:lang w:val="en-US" w:eastAsia="zh-CN" w:bidi="ar"/>
        </w:rPr>
        <w:t>号）</w:t>
      </w:r>
    </w:p>
    <w:p>
      <w:pPr>
        <w:keepNext w:val="0"/>
        <w:keepLines w:val="0"/>
        <w:widowControl/>
        <w:numPr>
          <w:ilvl w:val="0"/>
          <w:numId w:val="2"/>
        </w:numPr>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《企业突发环境事件风险分级方法》（</w:t>
      </w:r>
      <w:r>
        <w:rPr>
          <w:rFonts w:hint="default" w:ascii="Times New Roman" w:hAnsi="Times New Roman" w:eastAsia="宋体" w:cs="Times New Roman"/>
          <w:color w:val="000000"/>
          <w:kern w:val="0"/>
          <w:sz w:val="24"/>
          <w:szCs w:val="24"/>
          <w:lang w:val="en-US" w:eastAsia="zh-CN" w:bidi="ar"/>
        </w:rPr>
        <w:t>HJ941-2018</w:t>
      </w:r>
      <w:r>
        <w:rPr>
          <w:rFonts w:hint="eastAsia" w:ascii="Times New Roman" w:hAnsi="Times New Roman" w:eastAsia="宋体" w:cs="Times New Roman"/>
          <w:color w:val="000000"/>
          <w:kern w:val="0"/>
          <w:sz w:val="24"/>
          <w:szCs w:val="24"/>
          <w:lang w:val="en-US" w:eastAsia="zh-CN" w:bidi="ar"/>
        </w:rPr>
        <w:t>）</w:t>
      </w:r>
    </w:p>
    <w:p>
      <w:pPr>
        <w:keepNext w:val="0"/>
        <w:keepLines w:val="0"/>
        <w:widowControl/>
        <w:numPr>
          <w:ilvl w:val="0"/>
          <w:numId w:val="2"/>
        </w:numPr>
        <w:suppressLineNumbers w:val="0"/>
        <w:spacing w:before="0" w:beforeAutospacing="0" w:after="0" w:afterAutospacing="0" w:line="500" w:lineRule="exact"/>
        <w:ind w:left="902" w:right="0" w:hanging="420"/>
        <w:jc w:val="left"/>
        <w:rPr>
          <w:rFonts w:hint="default" w:ascii="Times New Roman" w:hAnsi="Times New Roman" w:eastAsia="PMingLiU-ExtB" w:cs="Times New Roman"/>
          <w:color w:val="000000"/>
          <w:lang w:val="en-US"/>
        </w:rPr>
      </w:pPr>
      <w:r>
        <w:rPr>
          <w:rFonts w:hint="eastAsia" w:ascii="Times New Roman" w:hAnsi="Times New Roman" w:eastAsia="宋体" w:cs="Times New Roman"/>
          <w:color w:val="000000"/>
          <w:kern w:val="0"/>
          <w:sz w:val="24"/>
          <w:szCs w:val="24"/>
          <w:lang w:val="en-US" w:eastAsia="zh-CN" w:bidi="ar"/>
        </w:rPr>
        <w:t>《排污单位自行监测技术指南总则》（</w:t>
      </w:r>
      <w:r>
        <w:rPr>
          <w:rFonts w:hint="default" w:ascii="Times New Roman" w:hAnsi="Times New Roman" w:eastAsia="宋体" w:cs="Times New Roman"/>
          <w:color w:val="000000"/>
          <w:kern w:val="0"/>
          <w:sz w:val="24"/>
          <w:szCs w:val="24"/>
          <w:lang w:val="en-US" w:eastAsia="zh-CN" w:bidi="ar"/>
        </w:rPr>
        <w:t>HJ819-2017</w:t>
      </w:r>
      <w:r>
        <w:rPr>
          <w:rFonts w:hint="eastAsia" w:ascii="Times New Roman" w:hAnsi="Times New Roman" w:eastAsia="宋体" w:cs="Times New Roman"/>
          <w:color w:val="000000"/>
          <w:kern w:val="0"/>
          <w:sz w:val="24"/>
          <w:szCs w:val="24"/>
          <w:lang w:val="en-US" w:eastAsia="zh-CN" w:bidi="ar"/>
        </w:rPr>
        <w:t>）</w:t>
      </w:r>
    </w:p>
    <w:p>
      <w:pPr>
        <w:pStyle w:val="9"/>
        <w:widowControl/>
        <w:rPr>
          <w:rFonts w:hint="default" w:ascii="Times New Roman" w:hAnsi="Times New Roman" w:cs="Times New Roman"/>
          <w:color w:val="000000"/>
          <w:lang/>
        </w:rPr>
      </w:pPr>
      <w:bookmarkStart w:id="36" w:name="_Toc151276120"/>
      <w:bookmarkStart w:id="37" w:name="_Toc151258701"/>
      <w:bookmarkStart w:id="38" w:name="_Toc151200232"/>
      <w:bookmarkStart w:id="39" w:name="_Toc151200072"/>
      <w:r>
        <w:rPr>
          <w:rFonts w:hint="default" w:ascii="Times New Roman" w:hAnsi="Times New Roman" w:cs="Times New Roman"/>
          <w:color w:val="000000"/>
          <w:lang/>
        </w:rPr>
        <w:t xml:space="preserve">1.1.3 </w:t>
      </w:r>
      <w:r>
        <w:rPr>
          <w:rFonts w:ascii="Times New Roman" w:hAnsi="Times New Roman" w:cs="Times New Roman"/>
          <w:color w:val="000000"/>
          <w:lang/>
        </w:rPr>
        <w:t>规范文件及相关名录</w:t>
      </w:r>
    </w:p>
    <w:p>
      <w:pPr>
        <w:pStyle w:val="27"/>
        <w:keepNext w:val="0"/>
        <w:keepLines w:val="0"/>
        <w:widowControl/>
        <w:numPr>
          <w:ilvl w:val="0"/>
          <w:numId w:val="3"/>
        </w:numPr>
        <w:suppressLineNumbers w:val="0"/>
        <w:adjustRightInd w:val="0"/>
        <w:snapToGrid/>
        <w:spacing w:before="0" w:beforeAutospacing="0" w:after="0" w:afterAutospacing="0" w:line="500" w:lineRule="exact"/>
        <w:ind w:left="902" w:right="0" w:hanging="420" w:firstLineChars="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《产业结构调整</w:t>
      </w:r>
      <w:r>
        <w:rPr>
          <w:rFonts w:hint="eastAsia" w:ascii="Times New Roman" w:hAnsi="Times New Roman" w:eastAsia="宋体" w:cs="Times New Roman"/>
          <w:color w:val="000000"/>
          <w:kern w:val="0"/>
          <w:sz w:val="24"/>
          <w:szCs w:val="24"/>
          <w:lang w:val="en-US" w:eastAsia="zh-CN" w:bidi="ar"/>
        </w:rPr>
        <w:t>指导</w:t>
      </w:r>
      <w:r>
        <w:rPr>
          <w:rFonts w:hint="eastAsia" w:ascii="Times New Roman" w:hAnsi="Times New Roman" w:eastAsia="宋体" w:cs="Times New Roman"/>
          <w:color w:val="000000"/>
          <w:kern w:val="0"/>
          <w:sz w:val="24"/>
          <w:szCs w:val="24"/>
          <w:lang w:eastAsia="zh-CN" w:bidi="ar"/>
        </w:rPr>
        <w:t>目录》（</w:t>
      </w:r>
      <w:r>
        <w:rPr>
          <w:rFonts w:hint="default" w:ascii="Times New Roman" w:hAnsi="Times New Roman" w:eastAsia="宋体" w:cs="Times New Roman"/>
          <w:color w:val="000000"/>
          <w:kern w:val="0"/>
          <w:sz w:val="24"/>
          <w:szCs w:val="24"/>
          <w:lang w:eastAsia="zh-CN" w:bidi="ar"/>
        </w:rPr>
        <w:t>2019</w:t>
      </w:r>
      <w:r>
        <w:rPr>
          <w:rFonts w:hint="eastAsia" w:ascii="Times New Roman" w:hAnsi="Times New Roman" w:eastAsia="宋体" w:cs="Times New Roman"/>
          <w:color w:val="000000"/>
          <w:kern w:val="0"/>
          <w:sz w:val="24"/>
          <w:szCs w:val="24"/>
          <w:lang w:eastAsia="zh-CN" w:bidi="ar"/>
        </w:rPr>
        <w:t>年本）</w:t>
      </w:r>
    </w:p>
    <w:p>
      <w:pPr>
        <w:keepNext w:val="0"/>
        <w:keepLines w:val="0"/>
        <w:widowControl/>
        <w:numPr>
          <w:ilvl w:val="0"/>
          <w:numId w:val="3"/>
        </w:numPr>
        <w:suppressLineNumbers w:val="0"/>
        <w:spacing w:before="0" w:beforeAutospacing="0" w:after="0" w:afterAutospacing="0" w:line="500" w:lineRule="exact"/>
        <w:ind w:left="902" w:right="0" w:hanging="42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《国家危险废物名录（</w:t>
      </w:r>
      <w:r>
        <w:rPr>
          <w:rFonts w:hint="default" w:ascii="Times New Roman" w:hAnsi="Times New Roman" w:eastAsia="宋体" w:cs="Times New Roman"/>
          <w:color w:val="000000"/>
          <w:kern w:val="0"/>
          <w:sz w:val="24"/>
          <w:szCs w:val="24"/>
          <w:lang w:val="en-US" w:eastAsia="zh-CN" w:bidi="ar"/>
        </w:rPr>
        <w:t>2016</w:t>
      </w:r>
      <w:r>
        <w:rPr>
          <w:rFonts w:hint="eastAsia" w:ascii="Times New Roman" w:hAnsi="Times New Roman" w:eastAsia="宋体" w:cs="Times New Roman"/>
          <w:color w:val="000000"/>
          <w:kern w:val="0"/>
          <w:sz w:val="24"/>
          <w:szCs w:val="24"/>
          <w:lang w:val="en-US" w:eastAsia="zh-CN" w:bidi="ar"/>
        </w:rPr>
        <w:t>版）》</w:t>
      </w:r>
    </w:p>
    <w:p>
      <w:pPr>
        <w:keepNext w:val="0"/>
        <w:keepLines w:val="0"/>
        <w:widowControl/>
        <w:numPr>
          <w:ilvl w:val="0"/>
          <w:numId w:val="3"/>
        </w:numPr>
        <w:suppressLineNumbers w:val="0"/>
        <w:spacing w:before="0" w:beforeAutospacing="0" w:after="0" w:afterAutospacing="0" w:line="500" w:lineRule="exact"/>
        <w:ind w:left="902" w:right="0" w:hanging="420"/>
        <w:jc w:val="left"/>
        <w:rPr>
          <w:rFonts w:hint="default" w:ascii="Times New Roman" w:hAnsi="Times New Roman" w:eastAsia="PMingLiU-ExtB" w:cs="Times New Roman"/>
          <w:color w:val="000000"/>
          <w:lang w:val="en-US"/>
        </w:rPr>
      </w:pPr>
      <w:r>
        <w:rPr>
          <w:rFonts w:hint="eastAsia" w:ascii="Times New Roman" w:hAnsi="Times New Roman" w:eastAsia="宋体" w:cs="Times New Roman"/>
          <w:color w:val="000000"/>
          <w:kern w:val="0"/>
          <w:sz w:val="24"/>
          <w:szCs w:val="24"/>
          <w:lang w:val="en-US" w:eastAsia="zh-CN" w:bidi="ar"/>
        </w:rPr>
        <w:t>《危险化学品目录（</w:t>
      </w:r>
      <w:r>
        <w:rPr>
          <w:rFonts w:hint="default" w:ascii="Times New Roman" w:hAnsi="Times New Roman" w:eastAsia="PMingLiU-ExtB" w:cs="Times New Roman"/>
          <w:color w:val="000000"/>
          <w:kern w:val="0"/>
          <w:sz w:val="24"/>
          <w:szCs w:val="24"/>
          <w:lang w:val="en-US" w:eastAsia="zh-CN" w:bidi="ar"/>
        </w:rPr>
        <w:t>201</w:t>
      </w:r>
      <w:r>
        <w:rPr>
          <w:rFonts w:hint="default" w:ascii="Times New Roman" w:hAnsi="Times New Roman" w:eastAsia="等线" w:cs="Times New Roman"/>
          <w:color w:val="000000"/>
          <w:kern w:val="0"/>
          <w:sz w:val="24"/>
          <w:szCs w:val="24"/>
          <w:lang w:val="en-US" w:eastAsia="zh-CN" w:bidi="ar"/>
        </w:rPr>
        <w:t>5</w:t>
      </w:r>
      <w:r>
        <w:rPr>
          <w:rFonts w:hint="eastAsia" w:ascii="Times New Roman" w:hAnsi="Times New Roman" w:eastAsia="宋体" w:cs="Times New Roman"/>
          <w:color w:val="000000"/>
          <w:kern w:val="0"/>
          <w:sz w:val="24"/>
          <w:szCs w:val="24"/>
          <w:lang w:val="en-US" w:eastAsia="zh-CN" w:bidi="ar"/>
        </w:rPr>
        <w:t>版）》</w:t>
      </w:r>
    </w:p>
    <w:p>
      <w:pPr>
        <w:keepNext w:val="0"/>
        <w:keepLines w:val="0"/>
        <w:widowControl/>
        <w:numPr>
          <w:ilvl w:val="0"/>
          <w:numId w:val="3"/>
        </w:numPr>
        <w:suppressLineNumbers w:val="0"/>
        <w:spacing w:before="0" w:beforeAutospacing="0" w:after="0" w:afterAutospacing="0" w:line="500" w:lineRule="exact"/>
        <w:ind w:left="902" w:right="0" w:hanging="420"/>
        <w:jc w:val="left"/>
        <w:rPr>
          <w:rFonts w:hint="default" w:ascii="Times New Roman" w:hAnsi="Times New Roman" w:eastAsia="PMingLiU-ExtB" w:cs="Times New Roman"/>
          <w:color w:val="000000"/>
          <w:lang w:val="en-US"/>
        </w:rPr>
      </w:pPr>
      <w:r>
        <w:rPr>
          <w:rFonts w:hint="eastAsia" w:ascii="Times New Roman" w:hAnsi="Times New Roman" w:eastAsia="宋体" w:cs="Times New Roman"/>
          <w:color w:val="000000"/>
          <w:spacing w:val="4"/>
          <w:kern w:val="0"/>
          <w:sz w:val="24"/>
          <w:szCs w:val="24"/>
          <w:lang w:val="en-US" w:eastAsia="zh-CN" w:bidi="ar"/>
        </w:rPr>
        <w:t>《固定源废气监测技术规范》（</w:t>
      </w:r>
      <w:r>
        <w:rPr>
          <w:rFonts w:hint="default" w:ascii="Times New Roman" w:hAnsi="Times New Roman" w:eastAsia="宋体" w:cs="Times New Roman"/>
          <w:color w:val="000000"/>
          <w:spacing w:val="4"/>
          <w:kern w:val="0"/>
          <w:sz w:val="24"/>
          <w:szCs w:val="24"/>
          <w:lang w:val="en-US" w:eastAsia="zh-CN" w:bidi="ar"/>
        </w:rPr>
        <w:t>HJ/T397-2007</w:t>
      </w:r>
      <w:r>
        <w:rPr>
          <w:rFonts w:hint="eastAsia" w:ascii="Times New Roman" w:hAnsi="Times New Roman" w:eastAsia="宋体" w:cs="Times New Roman"/>
          <w:color w:val="000000"/>
          <w:spacing w:val="4"/>
          <w:kern w:val="0"/>
          <w:sz w:val="24"/>
          <w:szCs w:val="24"/>
          <w:lang w:val="en-US" w:eastAsia="zh-CN" w:bidi="ar"/>
        </w:rPr>
        <w:t>）</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1.1.</w:t>
      </w:r>
      <w:bookmarkEnd w:id="36"/>
      <w:bookmarkEnd w:id="37"/>
      <w:bookmarkEnd w:id="38"/>
      <w:bookmarkEnd w:id="39"/>
      <w:r>
        <w:rPr>
          <w:rFonts w:hint="default" w:ascii="Times New Roman" w:hAnsi="Times New Roman" w:cs="Times New Roman"/>
          <w:color w:val="000000"/>
          <w:lang/>
        </w:rPr>
        <w:t xml:space="preserve">4 </w:t>
      </w:r>
      <w:r>
        <w:rPr>
          <w:rFonts w:ascii="Times New Roman" w:hAnsi="Times New Roman" w:cs="Times New Roman"/>
          <w:color w:val="000000"/>
          <w:lang/>
        </w:rPr>
        <w:t>项目相关文件</w:t>
      </w:r>
      <w:r>
        <w:rPr>
          <w:rFonts w:hint="default" w:ascii="Times New Roman" w:hAnsi="Times New Roman" w:cs="Times New Roman"/>
          <w:color w:val="000000"/>
          <w:lang/>
        </w:rPr>
        <w:t xml:space="preserve"> </w:t>
      </w:r>
    </w:p>
    <w:p>
      <w:pPr>
        <w:pStyle w:val="27"/>
        <w:keepNext w:val="0"/>
        <w:keepLines w:val="0"/>
        <w:widowControl/>
        <w:numPr>
          <w:ilvl w:val="0"/>
          <w:numId w:val="4"/>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关于《辽宁铧宇废旧金属再生利用有限公司年处理</w:t>
      </w:r>
      <w:r>
        <w:rPr>
          <w:rFonts w:hint="default" w:ascii="Times New Roman" w:hAnsi="Times New Roman" w:eastAsia="宋体" w:cs="Times New Roman"/>
          <w:color w:val="000000"/>
          <w:kern w:val="0"/>
          <w:sz w:val="24"/>
          <w:szCs w:val="24"/>
          <w:lang w:eastAsia="zh-CN" w:bidi="ar"/>
        </w:rPr>
        <w:t>125</w:t>
      </w:r>
      <w:r>
        <w:rPr>
          <w:rFonts w:hint="eastAsia" w:ascii="Times New Roman" w:hAnsi="Times New Roman" w:eastAsia="宋体" w:cs="Times New Roman"/>
          <w:color w:val="000000"/>
          <w:kern w:val="0"/>
          <w:sz w:val="24"/>
          <w:szCs w:val="24"/>
          <w:lang w:eastAsia="zh-CN" w:bidi="ar"/>
        </w:rPr>
        <w:t>万吨菱镁矿石浮选建设项目》项目备案证明（海发改备</w:t>
      </w:r>
      <w:r>
        <w:rPr>
          <w:rFonts w:hint="default" w:ascii="Times New Roman" w:hAnsi="Times New Roman" w:eastAsia="宋体" w:cs="Times New Roman"/>
          <w:color w:val="000000"/>
          <w:kern w:val="0"/>
          <w:sz w:val="24"/>
          <w:szCs w:val="24"/>
          <w:lang w:eastAsia="zh-CN" w:bidi="ar"/>
        </w:rPr>
        <w:t>[2019]94</w:t>
      </w:r>
      <w:r>
        <w:rPr>
          <w:rFonts w:hint="eastAsia" w:ascii="Times New Roman" w:hAnsi="Times New Roman" w:eastAsia="宋体" w:cs="Times New Roman"/>
          <w:color w:val="000000"/>
          <w:kern w:val="0"/>
          <w:sz w:val="24"/>
          <w:szCs w:val="24"/>
          <w:lang w:eastAsia="zh-CN" w:bidi="ar"/>
        </w:rPr>
        <w:t>号，</w:t>
      </w:r>
      <w:r>
        <w:rPr>
          <w:rFonts w:hint="default" w:ascii="Times New Roman" w:hAnsi="Times New Roman" w:eastAsia="宋体" w:cs="Times New Roman"/>
          <w:color w:val="000000"/>
          <w:kern w:val="0"/>
          <w:sz w:val="24"/>
          <w:szCs w:val="24"/>
          <w:lang w:eastAsia="zh-CN" w:bidi="ar"/>
        </w:rPr>
        <w:t>2019</w:t>
      </w:r>
      <w:r>
        <w:rPr>
          <w:rFonts w:hint="eastAsia" w:ascii="Times New Roman" w:hAnsi="Times New Roman" w:eastAsia="宋体" w:cs="Times New Roman"/>
          <w:color w:val="000000"/>
          <w:kern w:val="0"/>
          <w:sz w:val="24"/>
          <w:szCs w:val="24"/>
          <w:lang w:eastAsia="zh-CN" w:bidi="ar"/>
        </w:rPr>
        <w:t>年</w:t>
      </w:r>
      <w:r>
        <w:rPr>
          <w:rFonts w:hint="default" w:ascii="Times New Roman" w:hAnsi="Times New Roman" w:eastAsia="宋体" w:cs="Times New Roman"/>
          <w:color w:val="000000"/>
          <w:kern w:val="0"/>
          <w:sz w:val="24"/>
          <w:szCs w:val="24"/>
          <w:lang w:eastAsia="zh-CN" w:bidi="ar"/>
        </w:rPr>
        <w:t>8</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26</w:t>
      </w:r>
      <w:r>
        <w:rPr>
          <w:rFonts w:hint="eastAsia" w:ascii="Times New Roman" w:hAnsi="Times New Roman" w:eastAsia="宋体" w:cs="Times New Roman"/>
          <w:color w:val="000000"/>
          <w:kern w:val="0"/>
          <w:sz w:val="24"/>
          <w:szCs w:val="24"/>
          <w:lang w:eastAsia="zh-CN" w:bidi="ar"/>
        </w:rPr>
        <w:t>日）</w:t>
      </w:r>
    </w:p>
    <w:p>
      <w:pPr>
        <w:pStyle w:val="27"/>
        <w:keepNext w:val="0"/>
        <w:keepLines w:val="0"/>
        <w:widowControl/>
        <w:numPr>
          <w:ilvl w:val="0"/>
          <w:numId w:val="4"/>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《辽宁铧宇废旧金属再生利用有限公司年处理</w:t>
      </w:r>
      <w:r>
        <w:rPr>
          <w:rFonts w:hint="default" w:ascii="Times New Roman" w:hAnsi="Times New Roman" w:eastAsia="宋体" w:cs="Times New Roman"/>
          <w:color w:val="000000"/>
          <w:kern w:val="0"/>
          <w:sz w:val="24"/>
          <w:szCs w:val="24"/>
          <w:lang w:eastAsia="zh-CN" w:bidi="ar"/>
        </w:rPr>
        <w:t>125</w:t>
      </w:r>
      <w:r>
        <w:rPr>
          <w:rFonts w:hint="eastAsia" w:ascii="Times New Roman" w:hAnsi="Times New Roman" w:eastAsia="宋体" w:cs="Times New Roman"/>
          <w:color w:val="000000"/>
          <w:kern w:val="0"/>
          <w:sz w:val="24"/>
          <w:szCs w:val="24"/>
          <w:lang w:eastAsia="zh-CN" w:bidi="ar"/>
        </w:rPr>
        <w:t>万吨菱镁矿石浮选建设项目可行性研究报告》（辽宁</w:t>
      </w:r>
      <w:r>
        <w:rPr>
          <w:rFonts w:hint="eastAsia" w:ascii="Times New Roman" w:hAnsi="Times New Roman" w:eastAsia="宋体" w:cs="Times New Roman"/>
          <w:color w:val="000000"/>
          <w:kern w:val="0"/>
          <w:sz w:val="24"/>
          <w:szCs w:val="24"/>
          <w:lang w:val="en-US" w:eastAsia="zh-CN" w:bidi="ar"/>
        </w:rPr>
        <w:t>瑞尔工程咨询</w:t>
      </w:r>
      <w:r>
        <w:rPr>
          <w:rFonts w:hint="eastAsia" w:ascii="Times New Roman" w:hAnsi="Times New Roman" w:eastAsia="宋体" w:cs="Times New Roman"/>
          <w:color w:val="000000"/>
          <w:kern w:val="0"/>
          <w:sz w:val="24"/>
          <w:szCs w:val="24"/>
          <w:lang w:eastAsia="zh-CN" w:bidi="ar"/>
        </w:rPr>
        <w:t>有限公司，</w:t>
      </w:r>
      <w:r>
        <w:rPr>
          <w:rFonts w:hint="default" w:ascii="Times New Roman" w:hAnsi="Times New Roman" w:eastAsia="宋体" w:cs="Times New Roman"/>
          <w:color w:val="000000"/>
          <w:kern w:val="0"/>
          <w:sz w:val="24"/>
          <w:szCs w:val="24"/>
          <w:lang w:eastAsia="zh-CN" w:bidi="ar"/>
        </w:rPr>
        <w:t>2019</w:t>
      </w:r>
      <w:r>
        <w:rPr>
          <w:rFonts w:hint="eastAsia" w:ascii="Times New Roman" w:hAnsi="Times New Roman" w:eastAsia="宋体" w:cs="Times New Roman"/>
          <w:color w:val="000000"/>
          <w:kern w:val="0"/>
          <w:sz w:val="24"/>
          <w:szCs w:val="24"/>
          <w:lang w:eastAsia="zh-CN" w:bidi="ar"/>
        </w:rPr>
        <w:t>年</w:t>
      </w:r>
      <w:r>
        <w:rPr>
          <w:rFonts w:hint="default" w:ascii="Times New Roman" w:hAnsi="Times New Roman" w:eastAsia="宋体" w:cs="Times New Roman"/>
          <w:color w:val="000000"/>
          <w:kern w:val="0"/>
          <w:sz w:val="24"/>
          <w:szCs w:val="24"/>
          <w:lang w:eastAsia="zh-CN" w:bidi="ar"/>
        </w:rPr>
        <w:t>1</w:t>
      </w:r>
      <w:r>
        <w:rPr>
          <w:rFonts w:hint="eastAsia" w:ascii="Times New Roman" w:hAnsi="Times New Roman" w:eastAsia="宋体" w:cs="Times New Roman"/>
          <w:color w:val="000000"/>
          <w:kern w:val="0"/>
          <w:sz w:val="24"/>
          <w:szCs w:val="24"/>
          <w:lang w:eastAsia="zh-CN" w:bidi="ar"/>
        </w:rPr>
        <w:t>月）</w:t>
      </w:r>
    </w:p>
    <w:p>
      <w:pPr>
        <w:pStyle w:val="27"/>
        <w:keepNext w:val="0"/>
        <w:keepLines w:val="0"/>
        <w:widowControl/>
        <w:numPr>
          <w:ilvl w:val="0"/>
          <w:numId w:val="4"/>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《关于辽宁铧宇废旧金属再生利用有限公司菱镁石矿山废料资源化再利用工程项目环境影响报告书的批复》</w:t>
      </w:r>
      <w:r>
        <w:rPr>
          <w:rFonts w:hint="eastAsia"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eastAsia="zh-CN" w:bidi="ar"/>
        </w:rPr>
        <w:t>海环保发</w:t>
      </w:r>
      <w:r>
        <w:rPr>
          <w:rFonts w:hint="default" w:ascii="Times New Roman" w:hAnsi="Times New Roman" w:eastAsia="宋体" w:cs="Times New Roman"/>
          <w:color w:val="000000"/>
          <w:kern w:val="0"/>
          <w:sz w:val="24"/>
          <w:szCs w:val="24"/>
          <w:lang w:eastAsia="zh-CN" w:bidi="ar"/>
        </w:rPr>
        <w:t>[2009]52</w:t>
      </w:r>
      <w:r>
        <w:rPr>
          <w:rFonts w:hint="eastAsia" w:ascii="Times New Roman" w:hAnsi="Times New Roman" w:eastAsia="宋体" w:cs="Times New Roman"/>
          <w:color w:val="000000"/>
          <w:kern w:val="0"/>
          <w:sz w:val="24"/>
          <w:szCs w:val="24"/>
          <w:lang w:eastAsia="zh-CN" w:bidi="ar"/>
        </w:rPr>
        <w:t>号，</w:t>
      </w:r>
      <w:r>
        <w:rPr>
          <w:rFonts w:hint="default" w:ascii="Times New Roman" w:hAnsi="Times New Roman" w:eastAsia="宋体" w:cs="Times New Roman"/>
          <w:color w:val="000000"/>
          <w:kern w:val="0"/>
          <w:sz w:val="24"/>
          <w:szCs w:val="24"/>
          <w:lang w:eastAsia="zh-CN" w:bidi="ar"/>
        </w:rPr>
        <w:t>2009</w:t>
      </w:r>
      <w:r>
        <w:rPr>
          <w:rFonts w:hint="eastAsia" w:ascii="Times New Roman" w:hAnsi="Times New Roman" w:eastAsia="宋体" w:cs="Times New Roman"/>
          <w:color w:val="000000"/>
          <w:kern w:val="0"/>
          <w:sz w:val="24"/>
          <w:szCs w:val="24"/>
          <w:lang w:eastAsia="zh-CN" w:bidi="ar"/>
        </w:rPr>
        <w:t>年</w:t>
      </w:r>
      <w:r>
        <w:rPr>
          <w:rFonts w:hint="default" w:ascii="Times New Roman" w:hAnsi="Times New Roman" w:eastAsia="宋体" w:cs="Times New Roman"/>
          <w:color w:val="000000"/>
          <w:kern w:val="0"/>
          <w:sz w:val="24"/>
          <w:szCs w:val="24"/>
          <w:lang w:eastAsia="zh-CN" w:bidi="ar"/>
        </w:rPr>
        <w:t>7</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2</w:t>
      </w:r>
      <w:r>
        <w:rPr>
          <w:rFonts w:hint="eastAsia" w:ascii="Times New Roman" w:hAnsi="Times New Roman" w:eastAsia="宋体" w:cs="Times New Roman"/>
          <w:color w:val="000000"/>
          <w:kern w:val="0"/>
          <w:sz w:val="24"/>
          <w:szCs w:val="24"/>
          <w:lang w:eastAsia="zh-CN" w:bidi="ar"/>
        </w:rPr>
        <w:t>日</w:t>
      </w:r>
      <w:r>
        <w:rPr>
          <w:rFonts w:hint="eastAsia" w:ascii="Times New Roman" w:hAnsi="Times New Roman" w:eastAsia="宋体" w:cs="Times New Roman"/>
          <w:color w:val="000000"/>
          <w:kern w:val="0"/>
          <w:sz w:val="24"/>
          <w:szCs w:val="24"/>
          <w:lang w:val="en-US" w:eastAsia="zh-CN" w:bidi="ar"/>
        </w:rPr>
        <w:t>）</w:t>
      </w:r>
    </w:p>
    <w:p>
      <w:pPr>
        <w:pStyle w:val="27"/>
        <w:keepNext w:val="0"/>
        <w:keepLines w:val="0"/>
        <w:widowControl/>
        <w:numPr>
          <w:ilvl w:val="0"/>
          <w:numId w:val="4"/>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《环境影响评价委托书》，辽宁铧宇废旧金属再生利用有限公司，</w:t>
      </w:r>
      <w:r>
        <w:rPr>
          <w:rFonts w:hint="default" w:ascii="Times New Roman" w:hAnsi="Times New Roman" w:eastAsia="宋体" w:cs="Times New Roman"/>
          <w:color w:val="000000"/>
          <w:kern w:val="0"/>
          <w:sz w:val="24"/>
          <w:szCs w:val="24"/>
          <w:lang w:eastAsia="zh-CN" w:bidi="ar"/>
        </w:rPr>
        <w:t>2019</w:t>
      </w:r>
      <w:r>
        <w:rPr>
          <w:rFonts w:hint="eastAsia" w:ascii="Times New Roman" w:hAnsi="Times New Roman" w:eastAsia="宋体" w:cs="Times New Roman"/>
          <w:color w:val="000000"/>
          <w:kern w:val="0"/>
          <w:sz w:val="24"/>
          <w:szCs w:val="24"/>
          <w:lang w:val="en-US" w:eastAsia="zh-CN" w:bidi="ar"/>
        </w:rPr>
        <w:t>年</w:t>
      </w:r>
      <w:r>
        <w:rPr>
          <w:rFonts w:hint="default" w:ascii="Times New Roman" w:hAnsi="Times New Roman" w:eastAsia="宋体" w:cs="Times New Roman"/>
          <w:color w:val="000000"/>
          <w:kern w:val="0"/>
          <w:sz w:val="24"/>
          <w:szCs w:val="24"/>
          <w:lang w:eastAsia="zh-CN" w:bidi="ar"/>
        </w:rPr>
        <w:t>3</w:t>
      </w:r>
      <w:r>
        <w:rPr>
          <w:rFonts w:hint="eastAsia" w:ascii="Times New Roman" w:hAnsi="Times New Roman" w:eastAsia="宋体" w:cs="Times New Roman"/>
          <w:color w:val="000000"/>
          <w:kern w:val="0"/>
          <w:sz w:val="24"/>
          <w:szCs w:val="24"/>
          <w:lang w:val="en-US" w:eastAsia="zh-CN" w:bidi="ar"/>
        </w:rPr>
        <w:t>月</w:t>
      </w:r>
      <w:r>
        <w:rPr>
          <w:rFonts w:hint="default" w:ascii="Times New Roman" w:hAnsi="Times New Roman" w:eastAsia="宋体" w:cs="Times New Roman"/>
          <w:color w:val="000000"/>
          <w:kern w:val="0"/>
          <w:sz w:val="24"/>
          <w:szCs w:val="24"/>
          <w:lang w:eastAsia="zh-CN" w:bidi="ar"/>
        </w:rPr>
        <w:t>5</w:t>
      </w:r>
      <w:r>
        <w:rPr>
          <w:rFonts w:hint="eastAsia" w:ascii="Times New Roman" w:hAnsi="Times New Roman" w:eastAsia="宋体" w:cs="Times New Roman"/>
          <w:color w:val="000000"/>
          <w:kern w:val="0"/>
          <w:sz w:val="24"/>
          <w:szCs w:val="24"/>
          <w:lang w:val="en-US" w:eastAsia="zh-CN" w:bidi="ar"/>
        </w:rPr>
        <w:t>日</w:t>
      </w:r>
      <w:r>
        <w:rPr>
          <w:rFonts w:hint="eastAsia" w:ascii="Times New Roman" w:hAnsi="Times New Roman" w:eastAsia="宋体" w:cs="Times New Roman"/>
          <w:color w:val="000000"/>
          <w:kern w:val="0"/>
          <w:sz w:val="24"/>
          <w:szCs w:val="24"/>
          <w:lang w:eastAsia="zh-CN" w:bidi="ar"/>
        </w:rPr>
        <w:t>；</w:t>
      </w:r>
    </w:p>
    <w:p>
      <w:pPr>
        <w:pStyle w:val="27"/>
        <w:keepNext w:val="0"/>
        <w:keepLines w:val="0"/>
        <w:widowControl/>
        <w:numPr>
          <w:ilvl w:val="0"/>
          <w:numId w:val="4"/>
        </w:numPr>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辽宁铧宇废旧金属再生利用有限公司提供的有关项目的技术资料</w:t>
      </w:r>
    </w:p>
    <w:p>
      <w:pPr>
        <w:pStyle w:val="27"/>
        <w:keepNext w:val="0"/>
        <w:keepLines w:val="0"/>
        <w:widowControl/>
        <w:numPr>
          <w:ilvl w:val="0"/>
          <w:numId w:val="4"/>
        </w:numPr>
        <w:suppressLineNumbers w:val="0"/>
        <w:adjustRightInd w:val="0"/>
        <w:snapToGrid/>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取水证</w:t>
      </w:r>
    </w:p>
    <w:p>
      <w:pPr>
        <w:pStyle w:val="27"/>
        <w:keepNext w:val="0"/>
        <w:keepLines w:val="0"/>
        <w:widowControl/>
        <w:numPr>
          <w:ilvl w:val="0"/>
          <w:numId w:val="4"/>
        </w:numPr>
        <w:suppressLineNumbers w:val="0"/>
        <w:adjustRightInd w:val="0"/>
        <w:snapToGrid/>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土地证</w:t>
      </w:r>
    </w:p>
    <w:p>
      <w:pPr>
        <w:pStyle w:val="8"/>
        <w:widowControl/>
        <w:rPr>
          <w:color w:val="000000"/>
          <w:lang/>
        </w:rPr>
      </w:pPr>
      <w:bookmarkStart w:id="40" w:name="_Toc41656114"/>
      <w:r>
        <w:rPr>
          <w:rFonts w:eastAsia="华文新魏"/>
          <w:color w:val="000000"/>
          <w:lang/>
        </w:rPr>
        <w:t xml:space="preserve">1.2 </w:t>
      </w:r>
      <w:r>
        <w:rPr>
          <w:rFonts w:hint="eastAsia" w:ascii="Times New Roman" w:hAnsi="Times New Roman" w:eastAsia="宋体" w:cs="宋体"/>
          <w:color w:val="000000"/>
          <w:lang w:eastAsia="zh-CN"/>
        </w:rPr>
        <w:t>环境影响因素识别及评价因子</w:t>
      </w:r>
      <w:bookmarkEnd w:id="40"/>
    </w:p>
    <w:p>
      <w:pPr>
        <w:pStyle w:val="9"/>
        <w:widowControl/>
        <w:rPr>
          <w:rFonts w:hint="default" w:ascii="Times New Roman" w:hAnsi="Times New Roman" w:cs="Times New Roman"/>
          <w:color w:val="000000"/>
          <w:lang/>
        </w:rPr>
      </w:pPr>
      <w:bookmarkStart w:id="41" w:name="_Toc175714270"/>
      <w:bookmarkStart w:id="42" w:name="_Toc175711437"/>
      <w:bookmarkStart w:id="43" w:name="_Toc166464738"/>
      <w:r>
        <w:rPr>
          <w:rFonts w:hint="default" w:ascii="Times New Roman" w:hAnsi="Times New Roman" w:cs="Times New Roman"/>
          <w:color w:val="000000"/>
          <w:lang/>
        </w:rPr>
        <w:t xml:space="preserve">1.2.1 </w:t>
      </w:r>
      <w:r>
        <w:rPr>
          <w:rFonts w:ascii="Times New Roman" w:hAnsi="Times New Roman" w:cs="Times New Roman"/>
          <w:color w:val="000000"/>
          <w:lang/>
        </w:rPr>
        <w:t>环境影响因素识别</w:t>
      </w:r>
      <w:bookmarkEnd w:id="41"/>
      <w:bookmarkEnd w:id="42"/>
      <w:bookmarkEnd w:id="43"/>
    </w:p>
    <w:p>
      <w:pPr>
        <w:pStyle w:val="27"/>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根据本项目所在地环境现状调查以及对主要排污环节的分析，采用矩阵法确定项目的环境影响因素，以确定环境影响因子和评价因子，具体见表</w:t>
      </w:r>
      <w:r>
        <w:rPr>
          <w:rFonts w:hint="default" w:ascii="Times New Roman" w:hAnsi="Times New Roman" w:eastAsia="宋体" w:cs="Times New Roman"/>
          <w:color w:val="000000"/>
          <w:kern w:val="0"/>
          <w:sz w:val="24"/>
          <w:szCs w:val="24"/>
          <w:lang w:val="en-US" w:eastAsia="zh-CN" w:bidi="ar"/>
        </w:rPr>
        <w:t>1.2-1</w:t>
      </w:r>
      <w:r>
        <w:rPr>
          <w:rFonts w:hint="eastAsia" w:ascii="Times New Roman" w:hAnsi="Times New Roman" w:eastAsia="宋体" w:cs="Times New Roman"/>
          <w:color w:val="000000"/>
          <w:kern w:val="0"/>
          <w:sz w:val="24"/>
          <w:szCs w:val="24"/>
          <w:lang w:val="en-US" w:eastAsia="zh-CN" w:bidi="ar"/>
        </w:rPr>
        <w:t>。</w:t>
      </w:r>
    </w:p>
    <w:p>
      <w:pPr>
        <w:pStyle w:val="56"/>
        <w:widowControl/>
        <w:snapToGrid/>
        <w:rPr>
          <w:color w:val="000000"/>
          <w:lang w:val="en-US"/>
        </w:rPr>
      </w:pPr>
      <w:r>
        <w:rPr>
          <w:rFonts w:hint="eastAsia" w:ascii="Times New Roman" w:hAnsi="Times New Roman" w:eastAsia="黑体" w:cs="黑体"/>
          <w:color w:val="000000"/>
          <w:lang w:eastAsia="zh-CN"/>
        </w:rPr>
        <w:t>表</w:t>
      </w:r>
      <w:r>
        <w:rPr>
          <w:color w:val="000000"/>
          <w:lang w:val="en-US"/>
        </w:rPr>
        <w:t xml:space="preserve">1.2-1  </w:t>
      </w:r>
      <w:r>
        <w:rPr>
          <w:rFonts w:hint="eastAsia" w:ascii="Times New Roman" w:hAnsi="Times New Roman" w:eastAsia="黑体" w:cs="黑体"/>
          <w:color w:val="000000"/>
          <w:lang w:eastAsia="zh-CN"/>
        </w:rPr>
        <w:t>环境影响矩阵分析</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949"/>
        <w:gridCol w:w="948"/>
        <w:gridCol w:w="947"/>
        <w:gridCol w:w="947"/>
        <w:gridCol w:w="947"/>
        <w:gridCol w:w="948"/>
        <w:gridCol w:w="948"/>
        <w:gridCol w:w="948"/>
        <w:gridCol w:w="947"/>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c>
          <w:tcPr>
            <w:tcW w:w="1897" w:type="dxa"/>
            <w:gridSpan w:val="2"/>
            <w:vMerge w:val="restart"/>
            <w:tcBorders>
              <w:top w:val="thinThickSmallGap" w:color="auto" w:sz="12" w:space="0"/>
              <w:left w:val="nil"/>
              <w:bottom w:val="single" w:color="auto" w:sz="4" w:space="0"/>
              <w:right w:val="single" w:color="auto" w:sz="4"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污染物</w:t>
            </w:r>
          </w:p>
        </w:tc>
        <w:tc>
          <w:tcPr>
            <w:tcW w:w="2841" w:type="dxa"/>
            <w:gridSpan w:val="3"/>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eastAsia="华文新魏"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自然环境</w:t>
            </w:r>
          </w:p>
        </w:tc>
        <w:tc>
          <w:tcPr>
            <w:tcW w:w="1896" w:type="dxa"/>
            <w:gridSpan w:val="2"/>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eastAsia="华文新魏"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生态环境</w:t>
            </w:r>
          </w:p>
        </w:tc>
        <w:tc>
          <w:tcPr>
            <w:tcW w:w="1895" w:type="dxa"/>
            <w:gridSpan w:val="2"/>
            <w:tcBorders>
              <w:top w:val="thinThickSmallGap" w:color="auto" w:sz="12" w:space="0"/>
              <w:left w:val="single" w:color="auto" w:sz="4" w:space="0"/>
              <w:bottom w:val="single" w:color="auto" w:sz="4"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eastAsia="华文新魏"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生活质量</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c>
          <w:tcPr>
            <w:tcW w:w="1897" w:type="dxa"/>
            <w:gridSpan w:val="2"/>
            <w:vMerge w:val="continue"/>
            <w:tcBorders>
              <w:top w:val="thinThickSmallGap" w:color="auto" w:sz="12" w:space="0"/>
              <w:left w:val="nil"/>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947" w:type="dxa"/>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空气</w:t>
            </w:r>
          </w:p>
        </w:tc>
        <w:tc>
          <w:tcPr>
            <w:tcW w:w="947" w:type="dxa"/>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声环境</w:t>
            </w:r>
          </w:p>
        </w:tc>
        <w:tc>
          <w:tcPr>
            <w:tcW w:w="947" w:type="dxa"/>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水环境</w:t>
            </w:r>
          </w:p>
        </w:tc>
        <w:tc>
          <w:tcPr>
            <w:tcW w:w="948" w:type="dxa"/>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土壤</w:t>
            </w:r>
          </w:p>
        </w:tc>
        <w:tc>
          <w:tcPr>
            <w:tcW w:w="948" w:type="dxa"/>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植被</w:t>
            </w:r>
          </w:p>
        </w:tc>
        <w:tc>
          <w:tcPr>
            <w:tcW w:w="948" w:type="dxa"/>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健康</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安全</w:t>
            </w:r>
          </w:p>
        </w:tc>
        <w:tc>
          <w:tcPr>
            <w:tcW w:w="947" w:type="dxa"/>
            <w:tcBorders>
              <w:top w:val="single" w:color="auto" w:sz="4" w:space="0"/>
              <w:left w:val="single" w:color="auto" w:sz="4" w:space="0"/>
              <w:bottom w:val="single" w:color="auto" w:sz="4"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生活</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水平</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949" w:type="dxa"/>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施工期</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废气</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eastAsia="华文新魏"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eastAsia="华文新魏"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eastAsia="华文新魏"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eastAsia="华文新魏"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949"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废水</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949"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噪声</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9"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固废</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eastAsia="华文新魏"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eastAsia="华文新魏"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37" w:hRule="atLeast"/>
        </w:trPr>
        <w:tc>
          <w:tcPr>
            <w:tcW w:w="949" w:type="dxa"/>
            <w:vMerge w:val="restar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运营期</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废气</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49" w:type="dxa"/>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废水</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949" w:type="dxa"/>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噪声</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949" w:type="dxa"/>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4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固废</w:t>
            </w:r>
          </w:p>
        </w:tc>
        <w:tc>
          <w:tcPr>
            <w:tcW w:w="94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94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eastAsia="华文新魏"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eastAsia="华文新魏"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947" w:type="dxa"/>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r>
    </w:tbl>
    <w:p>
      <w:pPr>
        <w:keepNext w:val="0"/>
        <w:keepLines w:val="0"/>
        <w:widowControl/>
        <w:suppressLineNumbers w:val="0"/>
        <w:spacing w:before="0" w:beforeAutospacing="0" w:after="0" w:afterAutospacing="0" w:line="300" w:lineRule="exact"/>
        <w:ind w:left="0" w:right="0"/>
        <w:jc w:val="left"/>
        <w:rPr>
          <w:color w:val="000000"/>
          <w:sz w:val="18"/>
          <w:szCs w:val="18"/>
          <w:lang w:val="en-US"/>
        </w:rPr>
      </w:pPr>
      <w:r>
        <w:rPr>
          <w:rFonts w:hint="eastAsia" w:ascii="宋体" w:hAnsi="宋体" w:eastAsia="宋体" w:cs="宋体"/>
          <w:color w:val="000000"/>
          <w:kern w:val="0"/>
          <w:sz w:val="18"/>
          <w:szCs w:val="18"/>
          <w:lang w:val="en-US" w:eastAsia="zh-CN" w:bidi="ar"/>
        </w:rPr>
        <w:t>0：基本无影响；1：影响较小；2：影响一般；3影响较大；+：增加环境影响；-：减小环境影响；</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 xml:space="preserve">1.2.2 </w:t>
      </w:r>
      <w:r>
        <w:rPr>
          <w:rFonts w:ascii="Times New Roman" w:hAnsi="Times New Roman" w:cs="Times New Roman"/>
          <w:color w:val="000000"/>
          <w:lang/>
        </w:rPr>
        <w:t>评价因子</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本次评价的各评价因子见表</w:t>
      </w:r>
      <w:r>
        <w:rPr>
          <w:rFonts w:hint="default" w:ascii="Times New Roman" w:hAnsi="Times New Roman" w:eastAsia="宋体" w:cs="Times New Roman"/>
          <w:color w:val="000000"/>
          <w:kern w:val="0"/>
          <w:sz w:val="24"/>
          <w:szCs w:val="24"/>
          <w:lang w:val="en-US" w:eastAsia="zh-CN" w:bidi="ar"/>
        </w:rPr>
        <w:t>1.2-2</w:t>
      </w:r>
      <w:r>
        <w:rPr>
          <w:rFonts w:hint="eastAsia" w:ascii="Times New Roman" w:hAnsi="Times New Roman" w:eastAsia="宋体" w:cs="Times New Roman"/>
          <w:color w:val="000000"/>
          <w:kern w:val="0"/>
          <w:sz w:val="24"/>
          <w:szCs w:val="24"/>
          <w:lang w:val="en-US" w:eastAsia="zh-CN" w:bidi="ar"/>
        </w:rPr>
        <w:t>。</w:t>
      </w:r>
    </w:p>
    <w:p>
      <w:pPr>
        <w:pStyle w:val="56"/>
        <w:widowControl/>
        <w:snapToGrid/>
        <w:rPr>
          <w:color w:val="000000"/>
          <w:lang w:val="en-US"/>
        </w:rPr>
      </w:pPr>
      <w:r>
        <w:rPr>
          <w:rFonts w:hint="eastAsia" w:ascii="Times New Roman" w:hAnsi="Times New Roman" w:eastAsia="黑体" w:cs="黑体"/>
          <w:color w:val="000000"/>
          <w:lang w:eastAsia="zh-CN"/>
        </w:rPr>
        <w:t>表</w:t>
      </w:r>
      <w:r>
        <w:rPr>
          <w:color w:val="000000"/>
          <w:lang w:val="en-US"/>
        </w:rPr>
        <w:t xml:space="preserve">1.2-2  </w:t>
      </w:r>
      <w:r>
        <w:rPr>
          <w:rFonts w:hint="eastAsia" w:ascii="Times New Roman" w:hAnsi="Times New Roman" w:eastAsia="黑体" w:cs="黑体"/>
          <w:color w:val="000000"/>
          <w:lang w:eastAsia="zh-CN"/>
        </w:rPr>
        <w:t>评价因子列表</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401"/>
        <w:gridCol w:w="1401"/>
        <w:gridCol w:w="5925"/>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blHeader/>
        </w:trPr>
        <w:tc>
          <w:tcPr>
            <w:tcW w:w="666" w:type="pc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类别</w:t>
            </w:r>
          </w:p>
        </w:tc>
        <w:tc>
          <w:tcPr>
            <w:tcW w:w="850"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项目</w:t>
            </w:r>
          </w:p>
        </w:tc>
        <w:tc>
          <w:tcPr>
            <w:tcW w:w="3484"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评价因子</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666" w:type="pct"/>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w:t>
            </w:r>
          </w:p>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空气</w:t>
            </w:r>
          </w:p>
        </w:tc>
        <w:tc>
          <w:tcPr>
            <w:tcW w:w="85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环境现状</w:t>
            </w:r>
          </w:p>
        </w:tc>
        <w:tc>
          <w:tcPr>
            <w:tcW w:w="3484"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eastAsia="zh-CN" w:bidi="ar"/>
              </w:rPr>
              <w:t>PM</w:t>
            </w:r>
            <w:r>
              <w:rPr>
                <w:rFonts w:hint="default" w:ascii="Times New Roman" w:hAnsi="Times New Roman" w:eastAsia="宋体" w:cs="Times New Roman"/>
                <w:color w:val="000000"/>
                <w:kern w:val="0"/>
                <w:sz w:val="21"/>
                <w:szCs w:val="21"/>
                <w:bdr w:val="none" w:color="auto" w:sz="0" w:space="0"/>
                <w:vertAlign w:val="subscript"/>
                <w:lang w:eastAsia="zh-CN" w:bidi="ar"/>
              </w:rPr>
              <w:t>10</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eastAsia="zh-CN" w:bidi="ar"/>
              </w:rPr>
              <w:t>PM</w:t>
            </w:r>
            <w:r>
              <w:rPr>
                <w:rFonts w:hint="default" w:ascii="Times New Roman" w:hAnsi="Times New Roman" w:eastAsia="宋体" w:cs="Times New Roman"/>
                <w:color w:val="000000"/>
                <w:kern w:val="0"/>
                <w:sz w:val="21"/>
                <w:szCs w:val="21"/>
                <w:bdr w:val="none" w:color="auto" w:sz="0" w:space="0"/>
                <w:vertAlign w:val="subscript"/>
                <w:lang w:eastAsia="zh-CN" w:bidi="ar"/>
              </w:rPr>
              <w:t>2.5</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eastAsia="zh-CN" w:bidi="ar"/>
              </w:rPr>
              <w:t>SO</w:t>
            </w:r>
            <w:r>
              <w:rPr>
                <w:rFonts w:hint="default" w:ascii="Times New Roman" w:hAnsi="Times New Roman" w:eastAsia="宋体" w:cs="Times New Roman"/>
                <w:color w:val="000000"/>
                <w:kern w:val="0"/>
                <w:sz w:val="21"/>
                <w:szCs w:val="21"/>
                <w:bdr w:val="none" w:color="auto" w:sz="0" w:space="0"/>
                <w:vertAlign w:val="subscript"/>
                <w:lang w:eastAsia="zh-CN" w:bidi="ar"/>
              </w:rPr>
              <w:t>2</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eastAsia="zh-CN" w:bidi="ar"/>
              </w:rPr>
              <w:t>NO</w:t>
            </w:r>
            <w:r>
              <w:rPr>
                <w:rFonts w:hint="default" w:ascii="Times New Roman" w:hAnsi="Times New Roman" w:eastAsia="宋体" w:cs="Times New Roman"/>
                <w:color w:val="000000"/>
                <w:kern w:val="0"/>
                <w:sz w:val="21"/>
                <w:szCs w:val="21"/>
                <w:bdr w:val="none" w:color="auto" w:sz="0" w:space="0"/>
                <w:vertAlign w:val="subscript"/>
                <w:lang w:eastAsia="zh-CN" w:bidi="ar"/>
              </w:rPr>
              <w:t>2</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eastAsia="zh-CN" w:bidi="ar"/>
              </w:rPr>
              <w:t>CO</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eastAsia="zh-CN" w:bidi="ar"/>
              </w:rPr>
              <w:t>O</w:t>
            </w:r>
            <w:r>
              <w:rPr>
                <w:rFonts w:hint="default" w:ascii="Times New Roman" w:hAnsi="Times New Roman" w:eastAsia="宋体" w:cs="Times New Roman"/>
                <w:color w:val="000000"/>
                <w:kern w:val="0"/>
                <w:sz w:val="21"/>
                <w:szCs w:val="21"/>
                <w:bdr w:val="none" w:color="auto" w:sz="0" w:space="0"/>
                <w:vertAlign w:val="subscript"/>
                <w:lang w:eastAsia="zh-CN" w:bidi="ar"/>
              </w:rPr>
              <w:t>3</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eastAsia="zh-CN" w:bidi="ar"/>
              </w:rPr>
              <w:t>TSP</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66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85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环境影响</w:t>
            </w:r>
          </w:p>
        </w:tc>
        <w:tc>
          <w:tcPr>
            <w:tcW w:w="3484"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颗粒物</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666"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地下水</w:t>
            </w:r>
          </w:p>
        </w:tc>
        <w:tc>
          <w:tcPr>
            <w:tcW w:w="85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环境现状</w:t>
            </w:r>
          </w:p>
        </w:tc>
        <w:tc>
          <w:tcPr>
            <w:tcW w:w="3484"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p</w:t>
            </w:r>
            <w:r>
              <w:rPr>
                <w:rFonts w:hint="default" w:ascii="Times New Roman" w:hAnsi="Times New Roman" w:eastAsia="宋体" w:cs="Times New Roman"/>
                <w:color w:val="000000"/>
                <w:kern w:val="0"/>
                <w:sz w:val="21"/>
                <w:szCs w:val="21"/>
                <w:bdr w:val="none" w:color="auto" w:sz="0" w:space="0"/>
                <w:lang w:val="en-US" w:eastAsia="zh-CN" w:bidi="ar"/>
              </w:rPr>
              <w:t>H</w:t>
            </w:r>
            <w:r>
              <w:rPr>
                <w:rFonts w:hint="eastAsia" w:ascii="Times New Roman" w:hAnsi="Times New Roman" w:eastAsia="宋体" w:cs="Times New Roman"/>
                <w:color w:val="000000"/>
                <w:kern w:val="0"/>
                <w:sz w:val="21"/>
                <w:szCs w:val="21"/>
                <w:bdr w:val="none" w:color="auto" w:sz="0" w:space="0"/>
                <w:lang w:val="en-US" w:eastAsia="zh-CN" w:bidi="ar"/>
              </w:rPr>
              <w:t>、总硬度、铅、铁、锰、砷、汞、氨氮、耗氧量、挥发性酚类、石油类、亚硝酸盐、硝酸盐氮、溶解性总固体、总硬度、总大肠菌群、细菌总数</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K</w:t>
            </w:r>
            <w:r>
              <w:rPr>
                <w:rFonts w:hint="default" w:ascii="Times New Roman" w:hAnsi="Times New Roman" w:eastAsia="宋体" w:cs="Times New Roman"/>
                <w:color w:val="000000"/>
                <w:kern w:val="0"/>
                <w:sz w:val="21"/>
                <w:szCs w:val="24"/>
                <w:bdr w:val="none" w:color="auto" w:sz="0" w:space="0"/>
                <w:vertAlign w:val="superscript"/>
                <w:lang w:val="en-US" w:eastAsia="zh-CN" w:bidi="ar"/>
              </w:rPr>
              <w:t>+</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Na</w:t>
            </w:r>
            <w:r>
              <w:rPr>
                <w:rFonts w:hint="default" w:ascii="Times New Roman" w:hAnsi="Times New Roman" w:eastAsia="宋体" w:cs="Times New Roman"/>
                <w:color w:val="000000"/>
                <w:kern w:val="0"/>
                <w:sz w:val="21"/>
                <w:szCs w:val="24"/>
                <w:bdr w:val="none" w:color="auto" w:sz="0" w:space="0"/>
                <w:vertAlign w:val="superscript"/>
                <w:lang w:val="en-US" w:eastAsia="zh-CN" w:bidi="ar"/>
              </w:rPr>
              <w:t>+</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Ca</w:t>
            </w:r>
            <w:r>
              <w:rPr>
                <w:rFonts w:hint="default" w:ascii="Times New Roman" w:hAnsi="Times New Roman" w:eastAsia="宋体" w:cs="Times New Roman"/>
                <w:color w:val="000000"/>
                <w:kern w:val="0"/>
                <w:sz w:val="21"/>
                <w:szCs w:val="24"/>
                <w:bdr w:val="none" w:color="auto" w:sz="0" w:space="0"/>
                <w:vertAlign w:val="superscript"/>
                <w:lang w:val="en-US" w:eastAsia="zh-CN" w:bidi="ar"/>
              </w:rPr>
              <w:t>2+</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Mg</w:t>
            </w:r>
            <w:r>
              <w:rPr>
                <w:rFonts w:hint="default" w:ascii="Times New Roman" w:hAnsi="Times New Roman" w:eastAsia="宋体" w:cs="Times New Roman"/>
                <w:color w:val="000000"/>
                <w:kern w:val="0"/>
                <w:sz w:val="21"/>
                <w:szCs w:val="24"/>
                <w:bdr w:val="none" w:color="auto" w:sz="0" w:space="0"/>
                <w:vertAlign w:val="superscript"/>
                <w:lang w:val="en-US" w:eastAsia="zh-CN" w:bidi="ar"/>
              </w:rPr>
              <w:t>2+</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HCO</w:t>
            </w:r>
            <w:r>
              <w:rPr>
                <w:rFonts w:hint="default" w:ascii="Times New Roman" w:hAnsi="Times New Roman" w:eastAsia="宋体" w:cs="Times New Roman"/>
                <w:color w:val="000000"/>
                <w:kern w:val="0"/>
                <w:sz w:val="21"/>
                <w:szCs w:val="24"/>
                <w:bdr w:val="none" w:color="auto" w:sz="0" w:space="0"/>
                <w:vertAlign w:val="superscript"/>
                <w:lang w:val="en-US" w:eastAsia="zh-CN" w:bidi="ar"/>
              </w:rPr>
              <w:t>3-</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CO</w:t>
            </w:r>
            <w:r>
              <w:rPr>
                <w:rFonts w:hint="default" w:ascii="Times New Roman" w:hAnsi="Times New Roman" w:eastAsia="宋体" w:cs="Times New Roman"/>
                <w:color w:val="000000"/>
                <w:kern w:val="0"/>
                <w:sz w:val="21"/>
                <w:szCs w:val="24"/>
                <w:bdr w:val="none" w:color="auto" w:sz="0" w:space="0"/>
                <w:vertAlign w:val="subscript"/>
                <w:lang w:val="en-US" w:eastAsia="zh-CN" w:bidi="ar"/>
              </w:rPr>
              <w:t>3</w:t>
            </w:r>
            <w:r>
              <w:rPr>
                <w:rFonts w:hint="default" w:ascii="Times New Roman" w:hAnsi="Times New Roman" w:eastAsia="宋体" w:cs="Times New Roman"/>
                <w:color w:val="000000"/>
                <w:kern w:val="0"/>
                <w:sz w:val="21"/>
                <w:szCs w:val="24"/>
                <w:bdr w:val="none" w:color="auto" w:sz="0" w:space="0"/>
                <w:vertAlign w:val="superscript"/>
                <w:lang w:val="en-US" w:eastAsia="zh-CN" w:bidi="ar"/>
              </w:rPr>
              <w:t>2-</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Cl</w:t>
            </w:r>
            <w:r>
              <w:rPr>
                <w:rFonts w:hint="default" w:ascii="Times New Roman" w:hAnsi="Times New Roman" w:eastAsia="宋体" w:cs="Times New Roman"/>
                <w:color w:val="000000"/>
                <w:kern w:val="0"/>
                <w:sz w:val="21"/>
                <w:szCs w:val="24"/>
                <w:bdr w:val="none" w:color="auto" w:sz="0" w:space="0"/>
                <w:vertAlign w:val="superscript"/>
                <w:lang w:val="en-US" w:eastAsia="zh-CN" w:bidi="ar"/>
              </w:rPr>
              <w:t>-</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SO</w:t>
            </w:r>
            <w:r>
              <w:rPr>
                <w:rFonts w:hint="default" w:ascii="Times New Roman" w:hAnsi="Times New Roman" w:eastAsia="宋体" w:cs="Times New Roman"/>
                <w:color w:val="000000"/>
                <w:kern w:val="0"/>
                <w:sz w:val="21"/>
                <w:szCs w:val="24"/>
                <w:bdr w:val="none" w:color="auto" w:sz="0" w:space="0"/>
                <w:vertAlign w:val="subscript"/>
                <w:lang w:val="en-US" w:eastAsia="zh-CN" w:bidi="ar"/>
              </w:rPr>
              <w:t>4</w:t>
            </w:r>
            <w:r>
              <w:rPr>
                <w:rFonts w:hint="default" w:ascii="Times New Roman" w:hAnsi="Times New Roman" w:eastAsia="宋体" w:cs="Times New Roman"/>
                <w:color w:val="000000"/>
                <w:kern w:val="0"/>
                <w:sz w:val="21"/>
                <w:szCs w:val="24"/>
                <w:bdr w:val="none" w:color="auto" w:sz="0" w:space="0"/>
                <w:vertAlign w:val="superscript"/>
                <w:lang w:val="en-US" w:eastAsia="zh-CN" w:bidi="ar"/>
              </w:rPr>
              <w:t>2-</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666" w:type="pct"/>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声环境</w:t>
            </w:r>
          </w:p>
        </w:tc>
        <w:tc>
          <w:tcPr>
            <w:tcW w:w="85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环境现状</w:t>
            </w:r>
          </w:p>
        </w:tc>
        <w:tc>
          <w:tcPr>
            <w:tcW w:w="3484"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Leq</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A</w:t>
            </w:r>
            <w:r>
              <w:rPr>
                <w:rFonts w:hint="eastAsia" w:ascii="Times New Roman" w:hAnsi="Times New Roman" w:eastAsia="宋体" w:cs="Times New Roman"/>
                <w:color w:val="000000"/>
                <w:kern w:val="0"/>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66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85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环境影响</w:t>
            </w:r>
          </w:p>
        </w:tc>
        <w:tc>
          <w:tcPr>
            <w:tcW w:w="3484"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Leq</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A</w:t>
            </w:r>
            <w:r>
              <w:rPr>
                <w:rFonts w:hint="eastAsia" w:ascii="Times New Roman" w:hAnsi="Times New Roman" w:eastAsia="宋体" w:cs="Times New Roman"/>
                <w:color w:val="000000"/>
                <w:kern w:val="0"/>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666"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固体</w:t>
            </w:r>
          </w:p>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废物</w:t>
            </w:r>
          </w:p>
        </w:tc>
        <w:tc>
          <w:tcPr>
            <w:tcW w:w="850"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环境影响</w:t>
            </w:r>
          </w:p>
        </w:tc>
        <w:tc>
          <w:tcPr>
            <w:tcW w:w="3484"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危险废物：废润滑油桶、废药剂包装桶</w:t>
            </w:r>
          </w:p>
          <w:p>
            <w:pPr>
              <w:keepNext w:val="0"/>
              <w:keepLines w:val="0"/>
              <w:widowControl/>
              <w:suppressLineNumbers w:val="0"/>
              <w:spacing w:before="0" w:beforeAutospacing="0" w:after="0" w:afterAutospacing="0"/>
              <w:ind w:left="975" w:right="0" w:hanging="975"/>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一般固废：布袋除尘灰、球磨机废钢球、振动筛废筛网、循环水池沉淀的矿泥、厂房遮挡粉尘；生活垃圾</w:t>
            </w:r>
          </w:p>
        </w:tc>
      </w:tr>
    </w:tbl>
    <w:p>
      <w:pPr>
        <w:pStyle w:val="8"/>
        <w:widowControl/>
        <w:rPr>
          <w:color w:val="000000"/>
          <w:lang/>
        </w:rPr>
      </w:pPr>
      <w:bookmarkStart w:id="44" w:name="_Toc41656115"/>
      <w:r>
        <w:rPr>
          <w:color w:val="000000"/>
          <w:lang/>
        </w:rPr>
        <w:t xml:space="preserve">1.3 </w:t>
      </w:r>
      <w:r>
        <w:rPr>
          <w:rFonts w:hint="eastAsia" w:ascii="Times New Roman" w:hAnsi="Times New Roman" w:eastAsia="宋体" w:cs="宋体"/>
          <w:color w:val="000000"/>
          <w:lang w:eastAsia="zh-CN"/>
        </w:rPr>
        <w:t>环境功能区划</w:t>
      </w:r>
      <w:bookmarkEnd w:id="44"/>
    </w:p>
    <w:p>
      <w:pPr>
        <w:keepNext w:val="0"/>
        <w:keepLines w:val="0"/>
        <w:widowControl/>
        <w:suppressLineNumbers w:val="0"/>
        <w:spacing w:before="0" w:beforeAutospacing="0" w:after="0" w:afterAutospacing="0" w:line="500" w:lineRule="exact"/>
        <w:ind w:left="0" w:right="0" w:firstLine="480"/>
        <w:jc w:val="both"/>
        <w:rPr>
          <w:rFonts w:hint="eastAsia" w:ascii="等线" w:hAnsi="等线" w:eastAsia="等线"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本项目位于辽宁省鞍山市海城市八里镇铧子峪村，项目所在区域目前暂无环境功能区划。本次评价依据《环境空气质量功能区划原则与技术方法》（</w:t>
      </w:r>
      <w:r>
        <w:rPr>
          <w:rFonts w:hint="default" w:ascii="Times New Roman" w:hAnsi="Times New Roman" w:eastAsia="宋体" w:cs="Times New Roman"/>
          <w:color w:val="000000"/>
          <w:kern w:val="0"/>
          <w:sz w:val="24"/>
          <w:szCs w:val="24"/>
          <w:lang w:val="en-US" w:eastAsia="zh-CN" w:bidi="ar"/>
        </w:rPr>
        <w:t>HJ14-1996</w:t>
      </w:r>
      <w:r>
        <w:rPr>
          <w:rFonts w:hint="eastAsia" w:ascii="Times New Roman" w:hAnsi="Times New Roman" w:eastAsia="宋体" w:cs="Times New Roman"/>
          <w:color w:val="000000"/>
          <w:kern w:val="0"/>
          <w:sz w:val="24"/>
          <w:szCs w:val="24"/>
          <w:lang w:val="en-US" w:eastAsia="zh-CN" w:bidi="ar"/>
        </w:rPr>
        <w:t>），确定本项目所处位置为大气环境二类功能区；本项目用地为工业用地，场界距离范家峪村最近居民约</w:t>
      </w:r>
      <w:r>
        <w:rPr>
          <w:rFonts w:hint="default" w:ascii="Times New Roman" w:hAnsi="Times New Roman" w:eastAsia="宋体" w:cs="Times New Roman"/>
          <w:color w:val="000000"/>
          <w:kern w:val="0"/>
          <w:sz w:val="24"/>
          <w:szCs w:val="24"/>
          <w:lang w:val="en-US" w:eastAsia="zh-CN" w:bidi="ar"/>
        </w:rPr>
        <w:t>260m</w:t>
      </w:r>
      <w:r>
        <w:rPr>
          <w:rFonts w:hint="eastAsia" w:ascii="Times New Roman" w:hAnsi="Times New Roman" w:eastAsia="宋体" w:cs="Times New Roman"/>
          <w:color w:val="000000"/>
          <w:kern w:val="0"/>
          <w:sz w:val="24"/>
          <w:szCs w:val="24"/>
          <w:lang w:val="en-US" w:eastAsia="zh-CN" w:bidi="ar"/>
        </w:rPr>
        <w:t>，根据《声环境功能区划分技术规范》（</w:t>
      </w:r>
      <w:r>
        <w:rPr>
          <w:rFonts w:hint="default" w:ascii="Times New Roman" w:hAnsi="Times New Roman" w:eastAsia="宋体" w:cs="Times New Roman"/>
          <w:color w:val="000000"/>
          <w:kern w:val="0"/>
          <w:sz w:val="24"/>
          <w:szCs w:val="24"/>
          <w:lang w:val="en-US" w:eastAsia="zh-CN" w:bidi="ar"/>
        </w:rPr>
        <w:t>GB/T15190-2014</w:t>
      </w:r>
      <w:r>
        <w:rPr>
          <w:rFonts w:hint="eastAsia" w:ascii="Times New Roman" w:hAnsi="Times New Roman" w:eastAsia="宋体" w:cs="Times New Roman"/>
          <w:color w:val="000000"/>
          <w:kern w:val="0"/>
          <w:sz w:val="24"/>
          <w:szCs w:val="24"/>
          <w:lang w:val="en-US" w:eastAsia="zh-CN" w:bidi="ar"/>
        </w:rPr>
        <w:t>），确定本项目位于声环境</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类功能区。</w:t>
      </w:r>
      <w:r>
        <w:rPr>
          <w:rFonts w:hint="eastAsia" w:ascii="宋体" w:hAnsi="宋体" w:eastAsia="宋体" w:cs="宋体"/>
          <w:color w:val="000000"/>
          <w:kern w:val="0"/>
          <w:sz w:val="24"/>
          <w:szCs w:val="24"/>
          <w:lang w:val="en-US" w:eastAsia="zh-CN" w:bidi="ar"/>
        </w:rPr>
        <w:t>项目所在地目前没有地下水功能区划，该区域地下水的质量分类暂时参照GB/T14848-2017中Ⅲ类执行。</w:t>
      </w:r>
    </w:p>
    <w:p>
      <w:pPr>
        <w:pStyle w:val="8"/>
        <w:widowControl/>
        <w:rPr>
          <w:color w:val="000000"/>
          <w:lang/>
        </w:rPr>
      </w:pPr>
      <w:bookmarkStart w:id="45" w:name="_Toc41656116"/>
      <w:bookmarkStart w:id="46" w:name="_Toc175714240"/>
      <w:bookmarkStart w:id="47" w:name="_Toc175711407"/>
      <w:bookmarkStart w:id="48" w:name="_Toc166464712"/>
      <w:bookmarkStart w:id="49" w:name="_Toc158523392"/>
      <w:bookmarkStart w:id="50" w:name="_Toc154570230"/>
      <w:bookmarkStart w:id="51" w:name="_Toc154569843"/>
      <w:bookmarkStart w:id="52" w:name="_Toc153878439"/>
      <w:bookmarkStart w:id="53" w:name="_Toc153007103"/>
      <w:bookmarkStart w:id="54" w:name="_Toc151278904"/>
      <w:bookmarkStart w:id="55" w:name="_Toc151276121"/>
      <w:bookmarkStart w:id="56" w:name="_Toc151200233"/>
      <w:bookmarkStart w:id="57" w:name="_Toc151200073"/>
      <w:r>
        <w:rPr>
          <w:color w:val="000000"/>
          <w:lang/>
        </w:rPr>
        <w:t xml:space="preserve">1.4 </w:t>
      </w:r>
      <w:r>
        <w:rPr>
          <w:rFonts w:hint="eastAsia" w:ascii="Times New Roman" w:hAnsi="Times New Roman" w:eastAsia="宋体" w:cs="宋体"/>
          <w:color w:val="000000"/>
          <w:lang w:eastAsia="zh-CN"/>
        </w:rPr>
        <w:t>评价标准</w:t>
      </w:r>
      <w:bookmarkEnd w:id="45"/>
      <w:bookmarkEnd w:id="46"/>
      <w:bookmarkEnd w:id="47"/>
      <w:bookmarkEnd w:id="48"/>
      <w:bookmarkEnd w:id="49"/>
      <w:bookmarkEnd w:id="50"/>
      <w:bookmarkEnd w:id="51"/>
      <w:bookmarkEnd w:id="52"/>
      <w:bookmarkEnd w:id="53"/>
      <w:bookmarkEnd w:id="54"/>
      <w:bookmarkEnd w:id="55"/>
      <w:bookmarkEnd w:id="56"/>
      <w:bookmarkEnd w:id="57"/>
    </w:p>
    <w:p>
      <w:pPr>
        <w:pStyle w:val="9"/>
        <w:widowControl/>
        <w:rPr>
          <w:rFonts w:hint="default" w:ascii="Times New Roman" w:hAnsi="Times New Roman" w:cs="Times New Roman"/>
          <w:color w:val="000000"/>
          <w:lang/>
        </w:rPr>
      </w:pPr>
      <w:bookmarkStart w:id="58" w:name="_Toc151276122"/>
      <w:bookmarkStart w:id="59" w:name="_Toc151258703"/>
      <w:bookmarkStart w:id="60" w:name="_Toc151200234"/>
      <w:bookmarkStart w:id="61" w:name="_Toc151200074"/>
      <w:r>
        <w:rPr>
          <w:rFonts w:hint="default" w:ascii="Times New Roman" w:hAnsi="Times New Roman" w:cs="Times New Roman"/>
          <w:color w:val="000000"/>
          <w:lang/>
        </w:rPr>
        <w:t xml:space="preserve">1.4.1 </w:t>
      </w:r>
      <w:r>
        <w:rPr>
          <w:rFonts w:ascii="Times New Roman" w:hAnsi="Times New Roman" w:cs="Times New Roman"/>
          <w:color w:val="000000"/>
          <w:lang/>
        </w:rPr>
        <w:t>环境质量标准</w:t>
      </w:r>
      <w:bookmarkEnd w:id="58"/>
      <w:bookmarkEnd w:id="59"/>
      <w:bookmarkEnd w:id="60"/>
      <w:bookmarkEnd w:id="61"/>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）大气环境</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本项目所在区域常规因子</w:t>
      </w:r>
      <w:r>
        <w:rPr>
          <w:rFonts w:hint="default" w:ascii="Times New Roman" w:hAnsi="Times New Roman" w:eastAsia="宋体" w:cs="Times New Roman"/>
          <w:color w:val="000000"/>
          <w:kern w:val="0"/>
          <w:sz w:val="24"/>
          <w:szCs w:val="24"/>
          <w:lang w:val="en-US" w:eastAsia="zh-CN" w:bidi="ar"/>
        </w:rPr>
        <w:t>PM</w:t>
      </w:r>
      <w:r>
        <w:rPr>
          <w:rFonts w:hint="default" w:ascii="Times New Roman" w:hAnsi="Times New Roman" w:eastAsia="宋体" w:cs="Times New Roman"/>
          <w:color w:val="000000"/>
          <w:kern w:val="0"/>
          <w:sz w:val="24"/>
          <w:szCs w:val="24"/>
          <w:vertAlign w:val="subscript"/>
          <w:lang w:val="en-US" w:eastAsia="zh-CN" w:bidi="ar"/>
        </w:rPr>
        <w:t>10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SO</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NO</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PM</w:t>
      </w:r>
      <w:r>
        <w:rPr>
          <w:rFonts w:hint="default" w:ascii="Times New Roman" w:hAnsi="Times New Roman" w:eastAsia="宋体" w:cs="Times New Roman"/>
          <w:color w:val="000000"/>
          <w:kern w:val="0"/>
          <w:sz w:val="24"/>
          <w:szCs w:val="24"/>
          <w:vertAlign w:val="subscript"/>
          <w:lang w:val="en-US" w:eastAsia="zh-CN" w:bidi="ar"/>
        </w:rPr>
        <w:t>2.5</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CO</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O</w:t>
      </w:r>
      <w:r>
        <w:rPr>
          <w:rFonts w:hint="default" w:ascii="Times New Roman" w:hAnsi="Times New Roman" w:eastAsia="宋体" w:cs="Times New Roman"/>
          <w:color w:val="000000"/>
          <w:kern w:val="0"/>
          <w:sz w:val="24"/>
          <w:szCs w:val="24"/>
          <w:vertAlign w:val="subscript"/>
          <w:lang w:val="en-US" w:eastAsia="zh-CN" w:bidi="ar"/>
        </w:rPr>
        <w:t>3</w:t>
      </w:r>
      <w:r>
        <w:rPr>
          <w:rFonts w:hint="eastAsia" w:ascii="Times New Roman" w:hAnsi="Times New Roman" w:eastAsia="宋体" w:cs="Times New Roman"/>
          <w:color w:val="000000"/>
          <w:kern w:val="0"/>
          <w:sz w:val="24"/>
          <w:szCs w:val="24"/>
          <w:lang w:val="en-US" w:eastAsia="zh-CN" w:bidi="ar"/>
        </w:rPr>
        <w:t>以及特征因子</w:t>
      </w:r>
      <w:r>
        <w:rPr>
          <w:rFonts w:hint="default" w:ascii="Times New Roman" w:hAnsi="Times New Roman" w:eastAsia="宋体" w:cs="Times New Roman"/>
          <w:color w:val="000000"/>
          <w:kern w:val="0"/>
          <w:sz w:val="24"/>
          <w:szCs w:val="24"/>
          <w:lang w:val="en-US" w:eastAsia="zh-CN" w:bidi="ar"/>
        </w:rPr>
        <w:t>TSP</w:t>
      </w:r>
      <w:r>
        <w:rPr>
          <w:rFonts w:hint="eastAsia" w:ascii="Times New Roman" w:hAnsi="Times New Roman" w:eastAsia="宋体" w:cs="Times New Roman"/>
          <w:color w:val="000000"/>
          <w:kern w:val="0"/>
          <w:sz w:val="24"/>
          <w:szCs w:val="24"/>
          <w:lang w:val="en-US" w:eastAsia="zh-CN" w:bidi="ar"/>
        </w:rPr>
        <w:t>执行《环境空气质量标准》（</w:t>
      </w:r>
      <w:r>
        <w:rPr>
          <w:rFonts w:hint="default" w:ascii="Times New Roman" w:hAnsi="Times New Roman" w:eastAsia="宋体" w:cs="Times New Roman"/>
          <w:color w:val="000000"/>
          <w:kern w:val="0"/>
          <w:sz w:val="24"/>
          <w:szCs w:val="24"/>
          <w:lang w:val="en-US" w:eastAsia="zh-CN" w:bidi="ar"/>
        </w:rPr>
        <w:t>GB3095-2012</w:t>
      </w:r>
      <w:r>
        <w:rPr>
          <w:rFonts w:hint="eastAsia" w:ascii="Times New Roman" w:hAnsi="Times New Roman" w:eastAsia="宋体" w:cs="Times New Roman"/>
          <w:color w:val="000000"/>
          <w:kern w:val="0"/>
          <w:sz w:val="24"/>
          <w:szCs w:val="24"/>
          <w:lang w:val="en-US" w:eastAsia="zh-CN" w:bidi="ar"/>
        </w:rPr>
        <w:t>）及</w:t>
      </w:r>
      <w:r>
        <w:rPr>
          <w:rFonts w:hint="default" w:ascii="Times New Roman" w:hAnsi="Times New Roman" w:eastAsia="宋体" w:cs="Times New Roman"/>
          <w:color w:val="000000"/>
          <w:kern w:val="0"/>
          <w:sz w:val="24"/>
          <w:szCs w:val="24"/>
          <w:lang w:val="en-US" w:eastAsia="zh-CN" w:bidi="ar"/>
        </w:rPr>
        <w:t>2018</w:t>
      </w:r>
      <w:r>
        <w:rPr>
          <w:rFonts w:hint="eastAsia" w:ascii="Times New Roman" w:hAnsi="Times New Roman" w:eastAsia="宋体" w:cs="Times New Roman"/>
          <w:color w:val="000000"/>
          <w:kern w:val="0"/>
          <w:sz w:val="24"/>
          <w:szCs w:val="24"/>
          <w:lang w:val="en-US" w:eastAsia="zh-CN" w:bidi="ar"/>
        </w:rPr>
        <w:t>年修改单中二级标准，具体标准限值见表</w:t>
      </w:r>
      <w:r>
        <w:rPr>
          <w:rFonts w:hint="default" w:ascii="Times New Roman" w:hAnsi="Times New Roman" w:eastAsia="宋体" w:cs="Times New Roman"/>
          <w:color w:val="000000"/>
          <w:kern w:val="0"/>
          <w:sz w:val="24"/>
          <w:szCs w:val="24"/>
          <w:lang w:val="en-US" w:eastAsia="zh-CN" w:bidi="ar"/>
        </w:rPr>
        <w:t>1.4-1</w:t>
      </w:r>
      <w:r>
        <w:rPr>
          <w:rFonts w:hint="eastAsia" w:ascii="Times New Roman" w:hAnsi="Times New Roman" w:eastAsia="宋体" w:cs="Times New Roman"/>
          <w:color w:val="000000"/>
          <w:kern w:val="0"/>
          <w:sz w:val="24"/>
          <w:szCs w:val="24"/>
          <w:lang w:val="en-US" w:eastAsia="zh-CN" w:bidi="ar"/>
        </w:rPr>
        <w:t>。</w:t>
      </w:r>
    </w:p>
    <w:p>
      <w:pPr>
        <w:pStyle w:val="56"/>
        <w:widowControl/>
        <w:spacing w:line="360" w:lineRule="auto"/>
        <w:rPr>
          <w:color w:val="000000"/>
          <w:sz w:val="18"/>
          <w:szCs w:val="18"/>
          <w:lang w:val="en-US"/>
        </w:rPr>
      </w:pPr>
      <w:r>
        <w:rPr>
          <w:color w:val="000000"/>
          <w:lang w:val="en-US"/>
        </w:rPr>
        <w:t xml:space="preserve">                  </w:t>
      </w:r>
      <w:r>
        <w:rPr>
          <w:rFonts w:hint="eastAsia" w:ascii="Times New Roman" w:hAnsi="Times New Roman" w:eastAsia="黑体" w:cs="黑体"/>
          <w:color w:val="000000"/>
          <w:lang w:eastAsia="zh-CN"/>
        </w:rPr>
        <w:t>表</w:t>
      </w:r>
      <w:r>
        <w:rPr>
          <w:color w:val="000000"/>
          <w:lang w:val="en-US"/>
        </w:rPr>
        <w:t xml:space="preserve">1.4-1  </w:t>
      </w:r>
      <w:r>
        <w:rPr>
          <w:rFonts w:hint="eastAsia" w:ascii="Times New Roman" w:hAnsi="Times New Roman" w:eastAsia="黑体" w:cs="黑体"/>
          <w:color w:val="000000"/>
          <w:lang w:eastAsia="zh-CN"/>
        </w:rPr>
        <w:t>环境空气质量标准</w:t>
      </w:r>
      <w:r>
        <w:rPr>
          <w:color w:val="000000"/>
          <w:lang w:val="en-US"/>
        </w:rPr>
        <w:t xml:space="preserve">           </w:t>
      </w:r>
      <w:r>
        <w:rPr>
          <w:color w:val="000000"/>
          <w:sz w:val="18"/>
          <w:szCs w:val="18"/>
          <w:lang w:val="en-US"/>
        </w:rPr>
        <w:t xml:space="preserve"> </w:t>
      </w:r>
      <w:r>
        <w:rPr>
          <w:rFonts w:hint="eastAsia" w:ascii="Times New Roman" w:hAnsi="Times New Roman" w:eastAsia="黑体" w:cs="黑体"/>
          <w:color w:val="000000"/>
          <w:sz w:val="21"/>
          <w:szCs w:val="21"/>
          <w:lang w:eastAsia="zh-CN"/>
        </w:rPr>
        <w:t>单位：</w:t>
      </w:r>
      <w:r>
        <w:rPr>
          <w:color w:val="000000"/>
          <w:sz w:val="21"/>
          <w:szCs w:val="21"/>
          <w:lang w:val="en-US"/>
        </w:rPr>
        <w:t>μg/m</w:t>
      </w:r>
      <w:r>
        <w:rPr>
          <w:color w:val="000000"/>
          <w:sz w:val="21"/>
          <w:szCs w:val="21"/>
          <w:vertAlign w:val="superscript"/>
          <w:lang w:val="en-US"/>
        </w:rPr>
        <w:t>3</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1700"/>
        <w:gridCol w:w="2880"/>
        <w:gridCol w:w="1871"/>
        <w:gridCol w:w="2197"/>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blHeader/>
          <w:jc w:val="center"/>
        </w:trPr>
        <w:tc>
          <w:tcPr>
            <w:tcW w:w="1700" w:type="dxa"/>
            <w:tcBorders>
              <w:top w:val="thinThickSmallGap" w:color="auto" w:sz="12" w:space="0"/>
              <w:left w:val="nil"/>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污染物名称</w:t>
            </w:r>
          </w:p>
        </w:tc>
        <w:tc>
          <w:tcPr>
            <w:tcW w:w="4751" w:type="dxa"/>
            <w:gridSpan w:val="2"/>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6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标准限值</w:t>
            </w:r>
          </w:p>
        </w:tc>
        <w:tc>
          <w:tcPr>
            <w:tcW w:w="2197" w:type="dxa"/>
            <w:tcBorders>
              <w:top w:val="thinThickSmallGap" w:color="auto" w:sz="12" w:space="0"/>
              <w:left w:val="single" w:color="auto" w:sz="6" w:space="0"/>
              <w:bottom w:val="single" w:color="auto" w:sz="6" w:space="0"/>
              <w:right w:val="nil"/>
            </w:tcBorders>
            <w:shd w:val="clear" w:color="auto" w:fill="E0E0E0"/>
            <w:vAlign w:val="center"/>
          </w:tcPr>
          <w:p>
            <w:pPr>
              <w:keepNext w:val="0"/>
              <w:keepLines w:val="0"/>
              <w:widowControl/>
              <w:suppressLineNumbers w:val="0"/>
              <w:spacing w:before="0" w:beforeAutospacing="0" w:after="0" w:afterAutospacing="0"/>
              <w:ind w:left="0" w:right="-6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来源</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0" w:type="dxa"/>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288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24h</w:t>
            </w:r>
            <w:r>
              <w:rPr>
                <w:rFonts w:hint="eastAsia" w:ascii="Times New Roman" w:hAnsi="Times New Roman" w:eastAsia="宋体" w:cs="Times New Roman"/>
                <w:color w:val="000000"/>
                <w:kern w:val="0"/>
                <w:sz w:val="21"/>
                <w:szCs w:val="21"/>
                <w:bdr w:val="none" w:color="auto" w:sz="0" w:space="0"/>
                <w:lang w:val="en-US" w:eastAsia="zh-CN" w:bidi="ar"/>
              </w:rPr>
              <w:t>平均</w:t>
            </w:r>
          </w:p>
        </w:tc>
        <w:tc>
          <w:tcPr>
            <w:tcW w:w="18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150</w:t>
            </w:r>
          </w:p>
        </w:tc>
        <w:tc>
          <w:tcPr>
            <w:tcW w:w="2197" w:type="dxa"/>
            <w:vMerge w:val="restar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《环境空气质量标准》（</w:t>
            </w:r>
            <w:r>
              <w:rPr>
                <w:rFonts w:hint="default" w:ascii="Times New Roman" w:hAnsi="Times New Roman" w:eastAsia="宋体" w:cs="Times New Roman"/>
                <w:color w:val="000000"/>
                <w:kern w:val="0"/>
                <w:sz w:val="21"/>
                <w:szCs w:val="21"/>
                <w:bdr w:val="none" w:color="auto" w:sz="0" w:space="0"/>
                <w:lang w:val="en-US" w:eastAsia="zh-CN" w:bidi="ar"/>
              </w:rPr>
              <w:t>GB3095-2012</w:t>
            </w:r>
            <w:r>
              <w:rPr>
                <w:rFonts w:hint="eastAsia" w:ascii="Times New Roman" w:hAnsi="Times New Roman" w:eastAsia="宋体" w:cs="Times New Roman"/>
                <w:color w:val="000000"/>
                <w:kern w:val="0"/>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0"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288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年平均</w:t>
            </w:r>
          </w:p>
        </w:tc>
        <w:tc>
          <w:tcPr>
            <w:tcW w:w="18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70</w:t>
            </w:r>
          </w:p>
        </w:tc>
        <w:tc>
          <w:tcPr>
            <w:tcW w:w="2197"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0" w:type="dxa"/>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288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24h</w:t>
            </w:r>
            <w:r>
              <w:rPr>
                <w:rFonts w:hint="eastAsia" w:ascii="Times New Roman" w:hAnsi="Times New Roman" w:eastAsia="宋体" w:cs="Times New Roman"/>
                <w:color w:val="000000"/>
                <w:kern w:val="0"/>
                <w:sz w:val="21"/>
                <w:szCs w:val="21"/>
                <w:bdr w:val="none" w:color="auto" w:sz="0" w:space="0"/>
                <w:lang w:val="en-US" w:eastAsia="zh-CN" w:bidi="ar"/>
              </w:rPr>
              <w:t>平均</w:t>
            </w:r>
          </w:p>
        </w:tc>
        <w:tc>
          <w:tcPr>
            <w:tcW w:w="18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300</w:t>
            </w:r>
          </w:p>
        </w:tc>
        <w:tc>
          <w:tcPr>
            <w:tcW w:w="2197"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0"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288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年平均</w:t>
            </w:r>
          </w:p>
        </w:tc>
        <w:tc>
          <w:tcPr>
            <w:tcW w:w="18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200</w:t>
            </w:r>
          </w:p>
        </w:tc>
        <w:tc>
          <w:tcPr>
            <w:tcW w:w="2197"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0" w:type="dxa"/>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2.5</w:t>
            </w:r>
          </w:p>
        </w:tc>
        <w:tc>
          <w:tcPr>
            <w:tcW w:w="288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24h</w:t>
            </w:r>
            <w:r>
              <w:rPr>
                <w:rFonts w:hint="eastAsia" w:ascii="Times New Roman" w:hAnsi="Times New Roman" w:eastAsia="宋体" w:cs="Times New Roman"/>
                <w:color w:val="000000"/>
                <w:kern w:val="0"/>
                <w:sz w:val="21"/>
                <w:szCs w:val="21"/>
                <w:bdr w:val="none" w:color="auto" w:sz="0" w:space="0"/>
                <w:lang w:val="en-US" w:eastAsia="zh-CN" w:bidi="ar"/>
              </w:rPr>
              <w:t>平均</w:t>
            </w:r>
          </w:p>
        </w:tc>
        <w:tc>
          <w:tcPr>
            <w:tcW w:w="18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75</w:t>
            </w:r>
          </w:p>
        </w:tc>
        <w:tc>
          <w:tcPr>
            <w:tcW w:w="2197"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0"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288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年平均</w:t>
            </w:r>
          </w:p>
        </w:tc>
        <w:tc>
          <w:tcPr>
            <w:tcW w:w="18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35</w:t>
            </w:r>
          </w:p>
        </w:tc>
        <w:tc>
          <w:tcPr>
            <w:tcW w:w="2197"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0" w:type="dxa"/>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SO</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p>
        </w:tc>
        <w:tc>
          <w:tcPr>
            <w:tcW w:w="288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1h</w:t>
            </w:r>
            <w:r>
              <w:rPr>
                <w:rFonts w:hint="eastAsia" w:ascii="Times New Roman" w:hAnsi="Times New Roman" w:eastAsia="宋体" w:cs="Times New Roman"/>
                <w:color w:val="000000"/>
                <w:kern w:val="0"/>
                <w:sz w:val="21"/>
                <w:szCs w:val="21"/>
                <w:bdr w:val="none" w:color="auto" w:sz="0" w:space="0"/>
                <w:lang w:val="en-US" w:eastAsia="zh-CN" w:bidi="ar"/>
              </w:rPr>
              <w:t>平均</w:t>
            </w:r>
          </w:p>
        </w:tc>
        <w:tc>
          <w:tcPr>
            <w:tcW w:w="18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500</w:t>
            </w:r>
          </w:p>
        </w:tc>
        <w:tc>
          <w:tcPr>
            <w:tcW w:w="2197"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0"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288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24h</w:t>
            </w:r>
            <w:r>
              <w:rPr>
                <w:rFonts w:hint="eastAsia" w:ascii="Times New Roman" w:hAnsi="Times New Roman" w:eastAsia="宋体" w:cs="Times New Roman"/>
                <w:color w:val="000000"/>
                <w:kern w:val="0"/>
                <w:sz w:val="21"/>
                <w:szCs w:val="21"/>
                <w:bdr w:val="none" w:color="auto" w:sz="0" w:space="0"/>
                <w:lang w:val="en-US" w:eastAsia="zh-CN" w:bidi="ar"/>
              </w:rPr>
              <w:t>平均</w:t>
            </w:r>
          </w:p>
        </w:tc>
        <w:tc>
          <w:tcPr>
            <w:tcW w:w="18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150</w:t>
            </w:r>
          </w:p>
        </w:tc>
        <w:tc>
          <w:tcPr>
            <w:tcW w:w="2197"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0"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288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年平均</w:t>
            </w:r>
          </w:p>
        </w:tc>
        <w:tc>
          <w:tcPr>
            <w:tcW w:w="18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60</w:t>
            </w:r>
          </w:p>
        </w:tc>
        <w:tc>
          <w:tcPr>
            <w:tcW w:w="2197"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0" w:type="dxa"/>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NO</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p>
        </w:tc>
        <w:tc>
          <w:tcPr>
            <w:tcW w:w="288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124" w:hanging="108"/>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1h</w:t>
            </w:r>
            <w:r>
              <w:rPr>
                <w:rFonts w:hint="eastAsia" w:ascii="Times New Roman" w:hAnsi="Times New Roman" w:eastAsia="宋体" w:cs="Times New Roman"/>
                <w:color w:val="000000"/>
                <w:kern w:val="0"/>
                <w:sz w:val="21"/>
                <w:szCs w:val="21"/>
                <w:bdr w:val="none" w:color="auto" w:sz="0" w:space="0"/>
                <w:lang w:val="en-US" w:eastAsia="zh-CN" w:bidi="ar"/>
              </w:rPr>
              <w:t>平均</w:t>
            </w:r>
          </w:p>
        </w:tc>
        <w:tc>
          <w:tcPr>
            <w:tcW w:w="18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200</w:t>
            </w:r>
          </w:p>
        </w:tc>
        <w:tc>
          <w:tcPr>
            <w:tcW w:w="2197"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0"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288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190" w:hanging="8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24h</w:t>
            </w:r>
            <w:r>
              <w:rPr>
                <w:rFonts w:hint="eastAsia" w:ascii="Times New Roman" w:hAnsi="Times New Roman" w:eastAsia="宋体" w:cs="Times New Roman"/>
                <w:color w:val="000000"/>
                <w:kern w:val="0"/>
                <w:sz w:val="21"/>
                <w:szCs w:val="21"/>
                <w:bdr w:val="none" w:color="auto" w:sz="0" w:space="0"/>
                <w:lang w:val="en-US" w:eastAsia="zh-CN" w:bidi="ar"/>
              </w:rPr>
              <w:t>平均</w:t>
            </w:r>
          </w:p>
        </w:tc>
        <w:tc>
          <w:tcPr>
            <w:tcW w:w="18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80</w:t>
            </w:r>
          </w:p>
        </w:tc>
        <w:tc>
          <w:tcPr>
            <w:tcW w:w="2197"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0"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288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190" w:hanging="84"/>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年平均</w:t>
            </w:r>
          </w:p>
        </w:tc>
        <w:tc>
          <w:tcPr>
            <w:tcW w:w="18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40</w:t>
            </w:r>
          </w:p>
        </w:tc>
        <w:tc>
          <w:tcPr>
            <w:tcW w:w="2197"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0" w:type="dxa"/>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CO</w:t>
            </w:r>
          </w:p>
        </w:tc>
        <w:tc>
          <w:tcPr>
            <w:tcW w:w="288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124" w:hanging="108"/>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1h</w:t>
            </w:r>
            <w:r>
              <w:rPr>
                <w:rFonts w:hint="eastAsia" w:ascii="Times New Roman" w:hAnsi="Times New Roman" w:eastAsia="宋体" w:cs="Times New Roman"/>
                <w:color w:val="000000"/>
                <w:kern w:val="0"/>
                <w:sz w:val="21"/>
                <w:szCs w:val="21"/>
                <w:bdr w:val="none" w:color="auto" w:sz="0" w:space="0"/>
                <w:lang w:val="en-US" w:eastAsia="zh-CN" w:bidi="ar"/>
              </w:rPr>
              <w:t>平均</w:t>
            </w:r>
          </w:p>
        </w:tc>
        <w:tc>
          <w:tcPr>
            <w:tcW w:w="18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10000</w:t>
            </w:r>
          </w:p>
        </w:tc>
        <w:tc>
          <w:tcPr>
            <w:tcW w:w="2197"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0"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288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190" w:hanging="8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24h</w:t>
            </w:r>
            <w:r>
              <w:rPr>
                <w:rFonts w:hint="eastAsia" w:ascii="Times New Roman" w:hAnsi="Times New Roman" w:eastAsia="宋体" w:cs="Times New Roman"/>
                <w:color w:val="000000"/>
                <w:kern w:val="0"/>
                <w:sz w:val="21"/>
                <w:szCs w:val="21"/>
                <w:bdr w:val="none" w:color="auto" w:sz="0" w:space="0"/>
                <w:lang w:val="en-US" w:eastAsia="zh-CN" w:bidi="ar"/>
              </w:rPr>
              <w:t>平均</w:t>
            </w:r>
          </w:p>
        </w:tc>
        <w:tc>
          <w:tcPr>
            <w:tcW w:w="18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4000</w:t>
            </w:r>
          </w:p>
        </w:tc>
        <w:tc>
          <w:tcPr>
            <w:tcW w:w="2197"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0" w:type="dxa"/>
            <w:vMerge w:val="restar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O</w:t>
            </w:r>
            <w:r>
              <w:rPr>
                <w:rFonts w:hint="default" w:ascii="Times New Roman" w:hAnsi="Times New Roman" w:eastAsia="宋体" w:cs="Times New Roman"/>
                <w:color w:val="000000"/>
                <w:kern w:val="0"/>
                <w:sz w:val="21"/>
                <w:szCs w:val="21"/>
                <w:bdr w:val="none" w:color="auto" w:sz="0" w:space="0"/>
                <w:vertAlign w:val="subscript"/>
                <w:lang w:val="en-US" w:eastAsia="zh-CN" w:bidi="ar"/>
              </w:rPr>
              <w:t>3</w:t>
            </w:r>
          </w:p>
        </w:tc>
        <w:tc>
          <w:tcPr>
            <w:tcW w:w="288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124" w:hanging="108"/>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1h</w:t>
            </w:r>
            <w:r>
              <w:rPr>
                <w:rFonts w:hint="eastAsia" w:ascii="Times New Roman" w:hAnsi="Times New Roman" w:eastAsia="宋体" w:cs="Times New Roman"/>
                <w:color w:val="000000"/>
                <w:kern w:val="0"/>
                <w:sz w:val="21"/>
                <w:szCs w:val="21"/>
                <w:bdr w:val="none" w:color="auto" w:sz="0" w:space="0"/>
                <w:lang w:val="en-US" w:eastAsia="zh-CN" w:bidi="ar"/>
              </w:rPr>
              <w:t>平均</w:t>
            </w:r>
          </w:p>
        </w:tc>
        <w:tc>
          <w:tcPr>
            <w:tcW w:w="18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200</w:t>
            </w:r>
          </w:p>
        </w:tc>
        <w:tc>
          <w:tcPr>
            <w:tcW w:w="2197"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0" w:type="dxa"/>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2880"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190" w:hanging="84"/>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日最大</w:t>
            </w:r>
            <w:r>
              <w:rPr>
                <w:rFonts w:hint="default" w:ascii="Times New Roman" w:hAnsi="Times New Roman" w:eastAsia="宋体" w:cs="Times New Roman"/>
                <w:color w:val="000000"/>
                <w:kern w:val="0"/>
                <w:sz w:val="21"/>
                <w:szCs w:val="21"/>
                <w:bdr w:val="none" w:color="auto" w:sz="0" w:space="0"/>
                <w:lang w:val="en-US" w:eastAsia="zh-CN" w:bidi="ar"/>
              </w:rPr>
              <w:t>8h</w:t>
            </w:r>
            <w:r>
              <w:rPr>
                <w:rFonts w:hint="eastAsia" w:ascii="Times New Roman" w:hAnsi="Times New Roman" w:eastAsia="宋体" w:cs="Times New Roman"/>
                <w:color w:val="000000"/>
                <w:kern w:val="0"/>
                <w:sz w:val="21"/>
                <w:szCs w:val="21"/>
                <w:bdr w:val="none" w:color="auto" w:sz="0" w:space="0"/>
                <w:lang w:val="en-US" w:eastAsia="zh-CN" w:bidi="ar"/>
              </w:rPr>
              <w:t>平均</w:t>
            </w:r>
          </w:p>
        </w:tc>
        <w:tc>
          <w:tcPr>
            <w:tcW w:w="1871"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64"/>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160</w:t>
            </w:r>
          </w:p>
        </w:tc>
        <w:tc>
          <w:tcPr>
            <w:tcW w:w="2197"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bl>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）地下水环境</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项目所在地目前没有地下水功能区划。《地下水质量标准》GB/T14848-2017根据地下水水质现状、人体健康基准值及地下水质量保护目标，将地下水质量分为五类。该区域地下水的质量分类暂时参照GB/T14848-2017中Ⅲ类执行。具体指标见</w:t>
      </w:r>
      <w:r>
        <w:rPr>
          <w:rFonts w:hint="eastAsia" w:ascii="Times New Roman" w:hAnsi="Times New Roman" w:eastAsia="宋体" w:cs="Times New Roman"/>
          <w:color w:val="000000"/>
          <w:kern w:val="0"/>
          <w:sz w:val="24"/>
          <w:szCs w:val="24"/>
          <w:lang w:val="en-US" w:eastAsia="zh-CN" w:bidi="ar"/>
        </w:rPr>
        <w:t>表</w:t>
      </w:r>
      <w:r>
        <w:rPr>
          <w:rFonts w:hint="default" w:ascii="Times New Roman" w:hAnsi="Times New Roman" w:eastAsia="宋体" w:cs="Times New Roman"/>
          <w:color w:val="000000"/>
          <w:kern w:val="0"/>
          <w:sz w:val="24"/>
          <w:szCs w:val="24"/>
          <w:lang w:val="en-US" w:eastAsia="zh-CN" w:bidi="ar"/>
        </w:rPr>
        <w:t>1.4-2</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sz w:val="21"/>
          <w:szCs w:val="21"/>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1.4-2  </w:t>
      </w:r>
      <w:r>
        <w:rPr>
          <w:rFonts w:hint="eastAsia" w:ascii="Times New Roman" w:hAnsi="Times New Roman" w:eastAsia="黑体" w:cs="Times New Roman"/>
          <w:color w:val="000000"/>
          <w:kern w:val="0"/>
          <w:sz w:val="24"/>
          <w:szCs w:val="24"/>
          <w:lang w:val="en-US" w:eastAsia="zh-CN" w:bidi="ar"/>
        </w:rPr>
        <w:t>地下水质量限值</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0" w:type="dxa"/>
          <w:bottom w:w="0" w:type="dxa"/>
          <w:right w:w="0" w:type="dxa"/>
        </w:tblCellMar>
      </w:tblPr>
      <w:tblGrid>
        <w:gridCol w:w="774"/>
        <w:gridCol w:w="3559"/>
        <w:gridCol w:w="2089"/>
        <w:gridCol w:w="2089"/>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0" w:type="dxa"/>
            <w:bottom w:w="0" w:type="dxa"/>
            <w:right w:w="0" w:type="dxa"/>
          </w:tblCellMar>
        </w:tblPrEx>
        <w:trPr>
          <w:trHeight w:val="388" w:hRule="atLeast"/>
          <w:tblHeader/>
          <w:jc w:val="center"/>
        </w:trPr>
        <w:tc>
          <w:tcPr>
            <w:tcW w:w="455" w:type="pct"/>
            <w:tcBorders>
              <w:top w:val="thinThickSmallGap" w:color="auto" w:sz="12" w:space="0"/>
              <w:left w:val="nil"/>
              <w:bottom w:val="single" w:color="auto" w:sz="6" w:space="0"/>
              <w:right w:val="single" w:color="auto" w:sz="6" w:space="0"/>
            </w:tcBorders>
            <w:shd w:val="clear" w:color="auto" w:fill="DDDDDD"/>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序号</w:t>
            </w:r>
          </w:p>
        </w:tc>
        <w:tc>
          <w:tcPr>
            <w:tcW w:w="2091" w:type="pct"/>
            <w:tcBorders>
              <w:top w:val="thinThickSmallGap" w:color="auto" w:sz="12" w:space="0"/>
              <w:left w:val="single" w:color="auto" w:sz="6" w:space="0"/>
              <w:bottom w:val="single" w:color="auto" w:sz="6" w:space="0"/>
              <w:right w:val="single" w:color="auto" w:sz="6" w:space="0"/>
            </w:tcBorders>
            <w:shd w:val="clear" w:color="auto" w:fill="DDDDDD"/>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项目</w:t>
            </w:r>
          </w:p>
        </w:tc>
        <w:tc>
          <w:tcPr>
            <w:tcW w:w="1227" w:type="pct"/>
            <w:tcBorders>
              <w:top w:val="thinThickSmallGap" w:color="auto" w:sz="12" w:space="0"/>
              <w:left w:val="single" w:color="auto" w:sz="6" w:space="0"/>
              <w:bottom w:val="single" w:color="auto" w:sz="6" w:space="0"/>
              <w:right w:val="single" w:color="auto" w:sz="6" w:space="0"/>
            </w:tcBorders>
            <w:shd w:val="clear" w:color="auto" w:fill="DDDDDD"/>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标准值</w:t>
            </w:r>
          </w:p>
        </w:tc>
        <w:tc>
          <w:tcPr>
            <w:tcW w:w="1227" w:type="pct"/>
            <w:tcBorders>
              <w:top w:val="thinThickSmallGap" w:color="auto" w:sz="12" w:space="0"/>
              <w:left w:val="single" w:color="auto" w:sz="6" w:space="0"/>
              <w:bottom w:val="single" w:color="auto" w:sz="6" w:space="0"/>
              <w:right w:val="nil"/>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单位</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88" w:hRule="atLeast"/>
          <w:jc w:val="center"/>
        </w:trPr>
        <w:tc>
          <w:tcPr>
            <w:tcW w:w="455" w:type="pct"/>
            <w:tcBorders>
              <w:top w:val="single" w:color="auto" w:sz="6" w:space="0"/>
              <w:left w:val="nil"/>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2091"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pH</w:t>
            </w:r>
            <w:r>
              <w:rPr>
                <w:rFonts w:hint="eastAsia" w:ascii="Times New Roman" w:hAnsi="Times New Roman" w:eastAsia="宋体" w:cs="Times New Roman"/>
                <w:color w:val="000000"/>
                <w:kern w:val="0"/>
                <w:sz w:val="21"/>
                <w:szCs w:val="21"/>
                <w:bdr w:val="none" w:color="auto" w:sz="0" w:space="0"/>
                <w:lang w:val="en-US" w:eastAsia="zh-CN" w:bidi="ar"/>
              </w:rPr>
              <w:t>（无量纲）</w:t>
            </w:r>
          </w:p>
        </w:tc>
        <w:tc>
          <w:tcPr>
            <w:tcW w:w="122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6.5~8.5</w:t>
            </w:r>
          </w:p>
        </w:tc>
        <w:tc>
          <w:tcPr>
            <w:tcW w:w="122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mg/L</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88" w:hRule="atLeast"/>
          <w:jc w:val="center"/>
        </w:trPr>
        <w:tc>
          <w:tcPr>
            <w:tcW w:w="455" w:type="pct"/>
            <w:tcBorders>
              <w:top w:val="single" w:color="auto" w:sz="6" w:space="0"/>
              <w:left w:val="nil"/>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w:t>
            </w:r>
          </w:p>
        </w:tc>
        <w:tc>
          <w:tcPr>
            <w:tcW w:w="2091"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耗氧量</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COD</w:t>
            </w:r>
            <w:r>
              <w:rPr>
                <w:rFonts w:hint="default" w:ascii="Times New Roman" w:hAnsi="Times New Roman" w:eastAsia="宋体" w:cs="Times New Roman"/>
                <w:color w:val="000000"/>
                <w:kern w:val="0"/>
                <w:sz w:val="21"/>
                <w:szCs w:val="21"/>
                <w:bdr w:val="none" w:color="auto" w:sz="0" w:space="0"/>
                <w:vertAlign w:val="subscript"/>
                <w:lang w:val="en-US" w:eastAsia="zh-CN" w:bidi="ar"/>
              </w:rPr>
              <w:t>Mn</w:t>
            </w:r>
            <w:r>
              <w:rPr>
                <w:rFonts w:hint="eastAsia" w:ascii="Times New Roman" w:hAnsi="Times New Roman" w:eastAsia="宋体" w:cs="Times New Roman"/>
                <w:color w:val="000000"/>
                <w:kern w:val="0"/>
                <w:sz w:val="21"/>
                <w:szCs w:val="21"/>
                <w:bdr w:val="none" w:color="auto" w:sz="0" w:space="0"/>
                <w:lang w:val="en-US" w:eastAsia="zh-CN" w:bidi="ar"/>
              </w:rPr>
              <w:t>法，以</w:t>
            </w:r>
            <w:r>
              <w:rPr>
                <w:rFonts w:hint="default" w:ascii="Times New Roman" w:hAnsi="Times New Roman" w:eastAsia="宋体" w:cs="Times New Roman"/>
                <w:color w:val="000000"/>
                <w:kern w:val="0"/>
                <w:sz w:val="21"/>
                <w:szCs w:val="21"/>
                <w:bdr w:val="none" w:color="auto" w:sz="0" w:space="0"/>
                <w:lang w:val="en-US" w:eastAsia="zh-CN" w:bidi="ar"/>
              </w:rPr>
              <w:t>Q</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r>
              <w:rPr>
                <w:rFonts w:hint="eastAsia" w:ascii="Times New Roman" w:hAnsi="Times New Roman" w:eastAsia="宋体" w:cs="Times New Roman"/>
                <w:color w:val="000000"/>
                <w:kern w:val="0"/>
                <w:sz w:val="21"/>
                <w:szCs w:val="21"/>
                <w:bdr w:val="none" w:color="auto" w:sz="0" w:space="0"/>
                <w:lang w:val="en-US" w:eastAsia="zh-CN" w:bidi="ar"/>
              </w:rPr>
              <w:t>计）</w:t>
            </w:r>
          </w:p>
        </w:tc>
        <w:tc>
          <w:tcPr>
            <w:tcW w:w="1227"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p>
        </w:tc>
        <w:tc>
          <w:tcPr>
            <w:tcW w:w="122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mg/L</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88" w:hRule="atLeast"/>
          <w:jc w:val="center"/>
        </w:trPr>
        <w:tc>
          <w:tcPr>
            <w:tcW w:w="455" w:type="pct"/>
            <w:tcBorders>
              <w:top w:val="single" w:color="auto" w:sz="6" w:space="0"/>
              <w:left w:val="nil"/>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w:t>
            </w:r>
          </w:p>
        </w:tc>
        <w:tc>
          <w:tcPr>
            <w:tcW w:w="2091"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溶解性总固体</w:t>
            </w:r>
          </w:p>
        </w:tc>
        <w:tc>
          <w:tcPr>
            <w:tcW w:w="1227"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≤1000</w:t>
            </w:r>
          </w:p>
        </w:tc>
        <w:tc>
          <w:tcPr>
            <w:tcW w:w="122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mg/L</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88" w:hRule="atLeast"/>
          <w:jc w:val="center"/>
        </w:trPr>
        <w:tc>
          <w:tcPr>
            <w:tcW w:w="455" w:type="pct"/>
            <w:tcBorders>
              <w:top w:val="single" w:color="auto" w:sz="6" w:space="0"/>
              <w:left w:val="nil"/>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w:t>
            </w:r>
          </w:p>
        </w:tc>
        <w:tc>
          <w:tcPr>
            <w:tcW w:w="2091"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挥发性酚类</w:t>
            </w:r>
          </w:p>
        </w:tc>
        <w:tc>
          <w:tcPr>
            <w:tcW w:w="1227"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≤0.002</w:t>
            </w:r>
          </w:p>
        </w:tc>
        <w:tc>
          <w:tcPr>
            <w:tcW w:w="122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mg/L</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88" w:hRule="atLeast"/>
          <w:jc w:val="center"/>
        </w:trPr>
        <w:tc>
          <w:tcPr>
            <w:tcW w:w="455" w:type="pct"/>
            <w:tcBorders>
              <w:top w:val="single" w:color="auto" w:sz="6" w:space="0"/>
              <w:left w:val="nil"/>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w:t>
            </w:r>
          </w:p>
        </w:tc>
        <w:tc>
          <w:tcPr>
            <w:tcW w:w="2091"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氨氮</w:t>
            </w:r>
          </w:p>
        </w:tc>
        <w:tc>
          <w:tcPr>
            <w:tcW w:w="1227"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≤0.50</w:t>
            </w:r>
          </w:p>
        </w:tc>
        <w:tc>
          <w:tcPr>
            <w:tcW w:w="122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mg/L</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88" w:hRule="atLeast"/>
          <w:jc w:val="center"/>
        </w:trPr>
        <w:tc>
          <w:tcPr>
            <w:tcW w:w="455" w:type="pct"/>
            <w:tcBorders>
              <w:top w:val="single" w:color="auto" w:sz="6" w:space="0"/>
              <w:left w:val="nil"/>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w:t>
            </w:r>
          </w:p>
        </w:tc>
        <w:tc>
          <w:tcPr>
            <w:tcW w:w="2091"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总硬度</w:t>
            </w:r>
          </w:p>
        </w:tc>
        <w:tc>
          <w:tcPr>
            <w:tcW w:w="1227"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≤450</w:t>
            </w:r>
          </w:p>
        </w:tc>
        <w:tc>
          <w:tcPr>
            <w:tcW w:w="122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mg/L</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88" w:hRule="atLeast"/>
          <w:jc w:val="center"/>
        </w:trPr>
        <w:tc>
          <w:tcPr>
            <w:tcW w:w="455" w:type="pct"/>
            <w:tcBorders>
              <w:top w:val="single" w:color="auto" w:sz="6" w:space="0"/>
              <w:left w:val="nil"/>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w:t>
            </w:r>
          </w:p>
        </w:tc>
        <w:tc>
          <w:tcPr>
            <w:tcW w:w="2091"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亚硝酸盐</w:t>
            </w:r>
          </w:p>
        </w:tc>
        <w:tc>
          <w:tcPr>
            <w:tcW w:w="1227"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≤1.00</w:t>
            </w:r>
          </w:p>
        </w:tc>
        <w:tc>
          <w:tcPr>
            <w:tcW w:w="122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mg/L</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88" w:hRule="atLeast"/>
          <w:jc w:val="center"/>
        </w:trPr>
        <w:tc>
          <w:tcPr>
            <w:tcW w:w="455" w:type="pct"/>
            <w:tcBorders>
              <w:top w:val="single" w:color="auto" w:sz="6" w:space="0"/>
              <w:left w:val="nil"/>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w:t>
            </w:r>
          </w:p>
        </w:tc>
        <w:tc>
          <w:tcPr>
            <w:tcW w:w="2091"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硝酸盐</w:t>
            </w:r>
          </w:p>
        </w:tc>
        <w:tc>
          <w:tcPr>
            <w:tcW w:w="1227"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≤20.0</w:t>
            </w:r>
          </w:p>
        </w:tc>
        <w:tc>
          <w:tcPr>
            <w:tcW w:w="122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mg/L</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88" w:hRule="atLeast"/>
          <w:jc w:val="center"/>
        </w:trPr>
        <w:tc>
          <w:tcPr>
            <w:tcW w:w="455" w:type="pct"/>
            <w:tcBorders>
              <w:top w:val="single" w:color="auto" w:sz="6" w:space="0"/>
              <w:left w:val="nil"/>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w:t>
            </w:r>
          </w:p>
        </w:tc>
        <w:tc>
          <w:tcPr>
            <w:tcW w:w="2091"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铁</w:t>
            </w:r>
          </w:p>
        </w:tc>
        <w:tc>
          <w:tcPr>
            <w:tcW w:w="1227"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≤0.3</w:t>
            </w:r>
          </w:p>
        </w:tc>
        <w:tc>
          <w:tcPr>
            <w:tcW w:w="122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mg/L</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88" w:hRule="atLeast"/>
          <w:jc w:val="center"/>
        </w:trPr>
        <w:tc>
          <w:tcPr>
            <w:tcW w:w="455" w:type="pct"/>
            <w:tcBorders>
              <w:top w:val="single" w:color="auto" w:sz="6" w:space="0"/>
              <w:left w:val="nil"/>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w:t>
            </w:r>
          </w:p>
        </w:tc>
        <w:tc>
          <w:tcPr>
            <w:tcW w:w="2091"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锰</w:t>
            </w:r>
          </w:p>
        </w:tc>
        <w:tc>
          <w:tcPr>
            <w:tcW w:w="1227"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0.10</w:t>
            </w:r>
          </w:p>
        </w:tc>
        <w:tc>
          <w:tcPr>
            <w:tcW w:w="122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mg/L</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88" w:hRule="atLeast"/>
          <w:jc w:val="center"/>
        </w:trPr>
        <w:tc>
          <w:tcPr>
            <w:tcW w:w="455" w:type="pct"/>
            <w:tcBorders>
              <w:top w:val="single" w:color="auto" w:sz="6" w:space="0"/>
              <w:left w:val="nil"/>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w:t>
            </w:r>
          </w:p>
        </w:tc>
        <w:tc>
          <w:tcPr>
            <w:tcW w:w="2091"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汞</w:t>
            </w:r>
          </w:p>
        </w:tc>
        <w:tc>
          <w:tcPr>
            <w:tcW w:w="1227"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≤0.001</w:t>
            </w:r>
          </w:p>
        </w:tc>
        <w:tc>
          <w:tcPr>
            <w:tcW w:w="122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mg/L</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88" w:hRule="atLeast"/>
          <w:jc w:val="center"/>
        </w:trPr>
        <w:tc>
          <w:tcPr>
            <w:tcW w:w="455" w:type="pct"/>
            <w:tcBorders>
              <w:top w:val="single" w:color="auto" w:sz="6" w:space="0"/>
              <w:left w:val="nil"/>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w:t>
            </w:r>
          </w:p>
        </w:tc>
        <w:tc>
          <w:tcPr>
            <w:tcW w:w="2091"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砷</w:t>
            </w:r>
          </w:p>
        </w:tc>
        <w:tc>
          <w:tcPr>
            <w:tcW w:w="1227"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≤0.01</w:t>
            </w:r>
          </w:p>
        </w:tc>
        <w:tc>
          <w:tcPr>
            <w:tcW w:w="122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mg/L</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88" w:hRule="atLeast"/>
          <w:jc w:val="center"/>
        </w:trPr>
        <w:tc>
          <w:tcPr>
            <w:tcW w:w="455" w:type="pct"/>
            <w:tcBorders>
              <w:top w:val="single" w:color="auto" w:sz="6" w:space="0"/>
              <w:left w:val="nil"/>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w:t>
            </w:r>
          </w:p>
        </w:tc>
        <w:tc>
          <w:tcPr>
            <w:tcW w:w="2091"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铅</w:t>
            </w:r>
          </w:p>
        </w:tc>
        <w:tc>
          <w:tcPr>
            <w:tcW w:w="1227"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≤0.01</w:t>
            </w:r>
          </w:p>
        </w:tc>
        <w:tc>
          <w:tcPr>
            <w:tcW w:w="122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mg/L</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88" w:hRule="atLeast"/>
          <w:jc w:val="center"/>
        </w:trPr>
        <w:tc>
          <w:tcPr>
            <w:tcW w:w="455" w:type="pct"/>
            <w:tcBorders>
              <w:top w:val="single" w:color="auto" w:sz="6" w:space="0"/>
              <w:left w:val="nil"/>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14</w:t>
            </w:r>
          </w:p>
        </w:tc>
        <w:tc>
          <w:tcPr>
            <w:tcW w:w="2091"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总大肠菌群</w:t>
            </w:r>
          </w:p>
        </w:tc>
        <w:tc>
          <w:tcPr>
            <w:tcW w:w="1227" w:type="pct"/>
            <w:tcBorders>
              <w:top w:val="single" w:color="auto" w:sz="6" w:space="0"/>
              <w:left w:val="single" w:color="auto" w:sz="6" w:space="0"/>
              <w:bottom w:val="single" w:color="auto" w:sz="6"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p>
        </w:tc>
        <w:tc>
          <w:tcPr>
            <w:tcW w:w="122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MPN</w:t>
            </w:r>
            <w:r>
              <w:rPr>
                <w:rFonts w:hint="default" w:ascii="Times New Roman" w:hAnsi="Times New Roman" w:eastAsia="宋体" w:cs="Times New Roman"/>
                <w:color w:val="000000"/>
                <w:kern w:val="0"/>
                <w:sz w:val="21"/>
                <w:szCs w:val="21"/>
                <w:bdr w:val="none" w:color="auto" w:sz="0" w:space="0"/>
                <w:vertAlign w:val="superscript"/>
                <w:lang w:val="en-US" w:eastAsia="zh-CN" w:bidi="ar"/>
              </w:rPr>
              <w:t>b</w:t>
            </w:r>
            <w:r>
              <w:rPr>
                <w:rFonts w:hint="default" w:ascii="Times New Roman" w:hAnsi="Times New Roman" w:eastAsia="宋体" w:cs="Times New Roman"/>
                <w:color w:val="000000"/>
                <w:kern w:val="0"/>
                <w:sz w:val="21"/>
                <w:szCs w:val="21"/>
                <w:bdr w:val="none" w:color="auto" w:sz="0" w:space="0"/>
                <w:lang w:val="en-US" w:eastAsia="zh-CN" w:bidi="ar"/>
              </w:rPr>
              <w:t>/100mL</w:t>
            </w:r>
            <w:r>
              <w:rPr>
                <w:rFonts w:hint="eastAsia" w:ascii="Times New Roman" w:hAnsi="Times New Roman" w:eastAsia="宋体" w:cs="Times New Roman"/>
                <w:color w:val="000000"/>
                <w:kern w:val="0"/>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0" w:type="dxa"/>
            <w:bottom w:w="0" w:type="dxa"/>
            <w:right w:w="0" w:type="dxa"/>
          </w:tblCellMar>
        </w:tblPrEx>
        <w:trPr>
          <w:trHeight w:val="388" w:hRule="atLeast"/>
          <w:jc w:val="center"/>
        </w:trPr>
        <w:tc>
          <w:tcPr>
            <w:tcW w:w="455" w:type="pct"/>
            <w:tcBorders>
              <w:top w:val="single" w:color="auto" w:sz="6" w:space="0"/>
              <w:left w:val="nil"/>
              <w:bottom w:val="thickThinSmallGap" w:color="auto" w:sz="12"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w:t>
            </w:r>
          </w:p>
        </w:tc>
        <w:tc>
          <w:tcPr>
            <w:tcW w:w="2091" w:type="pct"/>
            <w:tcBorders>
              <w:top w:val="single" w:color="auto" w:sz="6" w:space="0"/>
              <w:left w:val="single" w:color="auto" w:sz="6" w:space="0"/>
              <w:bottom w:val="thickThinSmallGap" w:color="auto" w:sz="12"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细菌总数</w:t>
            </w:r>
          </w:p>
        </w:tc>
        <w:tc>
          <w:tcPr>
            <w:tcW w:w="1227" w:type="pct"/>
            <w:tcBorders>
              <w:top w:val="single" w:color="auto" w:sz="6" w:space="0"/>
              <w:left w:val="single" w:color="auto" w:sz="6" w:space="0"/>
              <w:bottom w:val="thickThinSmallGap" w:color="auto" w:sz="12" w:space="0"/>
              <w:right w:val="single" w:color="auto" w:sz="6" w:space="0"/>
            </w:tcBorders>
            <w:shd w:val="clear"/>
            <w:noWrap/>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≤100</w:t>
            </w:r>
          </w:p>
        </w:tc>
        <w:tc>
          <w:tcPr>
            <w:tcW w:w="1227"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CFU/mL</w:t>
            </w:r>
            <w:r>
              <w:rPr>
                <w:rFonts w:hint="eastAsia" w:ascii="Times New Roman" w:hAnsi="Times New Roman" w:eastAsia="宋体" w:cs="Times New Roman"/>
                <w:color w:val="000000"/>
                <w:kern w:val="0"/>
                <w:sz w:val="21"/>
                <w:szCs w:val="21"/>
                <w:bdr w:val="none" w:color="auto" w:sz="0" w:space="0"/>
                <w:lang w:val="en-US" w:eastAsia="zh-CN" w:bidi="ar"/>
              </w:rPr>
              <w:t>）</w:t>
            </w:r>
          </w:p>
        </w:tc>
      </w:tr>
    </w:tbl>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bookmarkStart w:id="62" w:name="_Toc151276123"/>
      <w:bookmarkStart w:id="63" w:name="_Toc151258704"/>
      <w:bookmarkStart w:id="64" w:name="_Toc151200235"/>
      <w:bookmarkStart w:id="65" w:name="_Toc151200075"/>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）声环境</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本项目场界噪声执行《声环境质量标准》（</w:t>
      </w:r>
      <w:r>
        <w:rPr>
          <w:rFonts w:hint="default" w:ascii="Times New Roman" w:hAnsi="Times New Roman" w:eastAsia="宋体" w:cs="Times New Roman"/>
          <w:color w:val="000000"/>
          <w:kern w:val="0"/>
          <w:sz w:val="24"/>
          <w:szCs w:val="24"/>
          <w:lang w:val="en-US" w:eastAsia="zh-CN" w:bidi="ar"/>
        </w:rPr>
        <w:t>GB3096-2008</w:t>
      </w:r>
      <w:r>
        <w:rPr>
          <w:rFonts w:hint="eastAsia" w:ascii="Times New Roman" w:hAnsi="Times New Roman" w:eastAsia="宋体" w:cs="Times New Roman"/>
          <w:color w:val="000000"/>
          <w:kern w:val="0"/>
          <w:sz w:val="24"/>
          <w:szCs w:val="24"/>
          <w:lang w:val="en-US" w:eastAsia="zh-CN" w:bidi="ar"/>
        </w:rPr>
        <w:t>）中</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类区标准，即昼间</w:t>
      </w:r>
      <w:r>
        <w:rPr>
          <w:rFonts w:hint="default" w:ascii="Times New Roman" w:hAnsi="Times New Roman" w:eastAsia="宋体" w:cs="Times New Roman"/>
          <w:color w:val="000000"/>
          <w:kern w:val="0"/>
          <w:sz w:val="24"/>
          <w:szCs w:val="24"/>
          <w:lang w:val="en-US" w:eastAsia="zh-CN" w:bidi="ar"/>
        </w:rPr>
        <w:t>60dB(A)</w:t>
      </w:r>
      <w:r>
        <w:rPr>
          <w:rFonts w:hint="eastAsia" w:ascii="Times New Roman" w:hAnsi="Times New Roman" w:eastAsia="宋体" w:cs="Times New Roman"/>
          <w:color w:val="000000"/>
          <w:kern w:val="0"/>
          <w:sz w:val="24"/>
          <w:szCs w:val="24"/>
          <w:lang w:val="en-US" w:eastAsia="zh-CN" w:bidi="ar"/>
        </w:rPr>
        <w:t>、夜间</w:t>
      </w:r>
      <w:r>
        <w:rPr>
          <w:rFonts w:hint="default" w:ascii="Times New Roman" w:hAnsi="Times New Roman" w:eastAsia="宋体" w:cs="Times New Roman"/>
          <w:color w:val="000000"/>
          <w:kern w:val="0"/>
          <w:sz w:val="24"/>
          <w:szCs w:val="24"/>
          <w:lang w:val="en-US" w:eastAsia="zh-CN" w:bidi="ar"/>
        </w:rPr>
        <w:t>50dB(A)</w:t>
      </w:r>
      <w:r>
        <w:rPr>
          <w:rFonts w:hint="eastAsia" w:ascii="Times New Roman" w:hAnsi="Times New Roman" w:eastAsia="宋体" w:cs="Times New Roman"/>
          <w:color w:val="000000"/>
          <w:kern w:val="0"/>
          <w:sz w:val="24"/>
          <w:szCs w:val="24"/>
          <w:lang w:val="en-US" w:eastAsia="zh-CN" w:bidi="ar"/>
        </w:rPr>
        <w:t>。</w:t>
      </w:r>
    </w:p>
    <w:bookmarkEnd w:id="62"/>
    <w:bookmarkEnd w:id="63"/>
    <w:bookmarkEnd w:id="64"/>
    <w:bookmarkEnd w:id="65"/>
    <w:p>
      <w:pPr>
        <w:pStyle w:val="9"/>
        <w:widowControl/>
        <w:rPr>
          <w:rFonts w:hint="default" w:ascii="Times New Roman" w:hAnsi="Times New Roman" w:cs="Times New Roman"/>
          <w:color w:val="000000"/>
          <w:lang/>
        </w:rPr>
      </w:pPr>
      <w:bookmarkStart w:id="66" w:name="_Toc175714241"/>
      <w:bookmarkStart w:id="67" w:name="_Toc175711408"/>
      <w:bookmarkStart w:id="68" w:name="_Toc166464713"/>
      <w:bookmarkStart w:id="69" w:name="_Toc158523393"/>
      <w:bookmarkStart w:id="70" w:name="_Toc154570231"/>
      <w:bookmarkStart w:id="71" w:name="_Toc154569844"/>
      <w:bookmarkStart w:id="72" w:name="_Toc153878440"/>
      <w:bookmarkStart w:id="73" w:name="_Toc153007104"/>
      <w:bookmarkStart w:id="74" w:name="_Toc151278905"/>
      <w:bookmarkStart w:id="75" w:name="_Toc151276124"/>
      <w:bookmarkStart w:id="76" w:name="_Toc151200236"/>
      <w:bookmarkStart w:id="77" w:name="_Toc151200076"/>
      <w:r>
        <w:rPr>
          <w:rFonts w:hint="default" w:ascii="Times New Roman" w:hAnsi="Times New Roman" w:cs="Times New Roman"/>
          <w:color w:val="000000"/>
          <w:lang/>
        </w:rPr>
        <w:t xml:space="preserve">1.4.2 </w:t>
      </w:r>
      <w:r>
        <w:rPr>
          <w:rFonts w:ascii="Times New Roman" w:hAnsi="Times New Roman" w:cs="Times New Roman"/>
          <w:color w:val="000000"/>
          <w:lang w:eastAsia="zh-CN"/>
        </w:rPr>
        <w:t>污染物</w:t>
      </w:r>
      <w:r>
        <w:rPr>
          <w:rFonts w:ascii="Times New Roman" w:hAnsi="Times New Roman" w:cs="Times New Roman"/>
          <w:color w:val="000000"/>
          <w:lang/>
        </w:rPr>
        <w:t>排放（控制）标准</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）废气</w:t>
      </w: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default" w:ascii="Segoe UI Symbol" w:hAnsi="Segoe UI Symbol" w:eastAsia="Segoe UI Symbol" w:cs="Segoe UI Symbol"/>
          <w:color w:val="000000"/>
          <w:kern w:val="0"/>
          <w:sz w:val="24"/>
          <w:szCs w:val="24"/>
          <w:lang w:eastAsia="zh-CN" w:bidi="ar"/>
        </w:rPr>
        <w:t>★</w:t>
      </w:r>
      <w:r>
        <w:rPr>
          <w:rFonts w:hint="eastAsia" w:ascii="Times New Roman" w:hAnsi="Times New Roman" w:eastAsia="宋体" w:cs="Times New Roman"/>
          <w:b/>
          <w:bCs w:val="0"/>
          <w:color w:val="000000"/>
          <w:kern w:val="0"/>
          <w:sz w:val="24"/>
          <w:szCs w:val="24"/>
          <w:lang w:eastAsia="zh-CN" w:bidi="ar"/>
        </w:rPr>
        <w:t>施工期扬尘：</w:t>
      </w:r>
      <w:r>
        <w:rPr>
          <w:rFonts w:hint="eastAsia" w:ascii="Times New Roman" w:hAnsi="Times New Roman" w:eastAsia="宋体" w:cs="Times New Roman"/>
          <w:color w:val="000000"/>
          <w:kern w:val="0"/>
          <w:sz w:val="24"/>
          <w:szCs w:val="24"/>
          <w:lang w:eastAsia="zh-CN" w:bidi="ar"/>
        </w:rPr>
        <w:t>项目施工过程及堆料场扬尘执行辽宁省地方标准《施工及堆料场地扬尘排放标准》（</w:t>
      </w:r>
      <w:r>
        <w:rPr>
          <w:rFonts w:hint="default" w:ascii="Times New Roman" w:hAnsi="Times New Roman" w:eastAsia="宋体" w:cs="Times New Roman"/>
          <w:color w:val="000000"/>
          <w:kern w:val="0"/>
          <w:sz w:val="24"/>
          <w:szCs w:val="24"/>
          <w:lang w:eastAsia="zh-CN" w:bidi="ar"/>
        </w:rPr>
        <w:t>DB21/2642-2016</w:t>
      </w:r>
      <w:r>
        <w:rPr>
          <w:rFonts w:hint="eastAsia" w:ascii="Times New Roman" w:hAnsi="Times New Roman" w:eastAsia="宋体" w:cs="Times New Roman"/>
          <w:color w:val="000000"/>
          <w:kern w:val="0"/>
          <w:sz w:val="24"/>
          <w:szCs w:val="24"/>
          <w:lang w:eastAsia="zh-CN" w:bidi="ar"/>
        </w:rPr>
        <w:t>）中相关标准，见表</w:t>
      </w:r>
      <w:r>
        <w:rPr>
          <w:rFonts w:hint="default" w:ascii="Times New Roman" w:hAnsi="Times New Roman" w:eastAsia="宋体" w:cs="Times New Roman"/>
          <w:color w:val="000000"/>
          <w:kern w:val="0"/>
          <w:sz w:val="24"/>
          <w:szCs w:val="24"/>
          <w:lang w:eastAsia="zh-CN" w:bidi="ar"/>
        </w:rPr>
        <w:t>1.4-3</w:t>
      </w:r>
      <w:r>
        <w:rPr>
          <w:rFonts w:hint="eastAsia" w:ascii="Times New Roman" w:hAnsi="Times New Roman" w:eastAsia="宋体" w:cs="Times New Roman"/>
          <w:color w:val="000000"/>
          <w:kern w:val="0"/>
          <w:sz w:val="24"/>
          <w:szCs w:val="24"/>
          <w:lang w:eastAsia="zh-CN" w:bidi="ar"/>
        </w:rPr>
        <w:t>。</w:t>
      </w:r>
    </w:p>
    <w:p>
      <w:pPr>
        <w:pStyle w:val="177"/>
        <w:widowControl/>
        <w:spacing w:line="240" w:lineRule="auto"/>
        <w:rPr>
          <w:rFonts w:hint="default" w:ascii="Times New Roman" w:hAnsi="Times New Roman" w:cs="Times New Roman"/>
          <w:color w:val="000000"/>
          <w:lang w:eastAsia="zh-CN"/>
        </w:rPr>
      </w:pPr>
      <w:r>
        <w:rPr>
          <w:rFonts w:hint="eastAsia" w:ascii="Times New Roman" w:hAnsi="Times New Roman" w:eastAsia="黑体" w:cs="Times New Roman"/>
          <w:bCs/>
          <w:color w:val="000000"/>
          <w:lang w:eastAsia="zh-CN"/>
        </w:rPr>
        <w:t>表</w:t>
      </w:r>
      <w:r>
        <w:rPr>
          <w:rFonts w:hint="default" w:ascii="Times New Roman" w:hAnsi="Times New Roman" w:cs="Times New Roman"/>
          <w:bCs/>
          <w:color w:val="000000"/>
          <w:lang w:eastAsia="zh-CN"/>
        </w:rPr>
        <w:t xml:space="preserve">1.4-3  </w:t>
      </w:r>
      <w:r>
        <w:rPr>
          <w:rFonts w:hint="eastAsia" w:ascii="Times New Roman" w:hAnsi="Times New Roman" w:eastAsia="黑体" w:cs="Times New Roman"/>
          <w:color w:val="000000"/>
          <w:lang w:eastAsia="zh-CN"/>
        </w:rPr>
        <w:t>《施工及堆料场地扬尘排放标准》（</w:t>
      </w:r>
      <w:r>
        <w:rPr>
          <w:rFonts w:hint="default" w:ascii="Times New Roman" w:hAnsi="Times New Roman" w:cs="Times New Roman"/>
          <w:color w:val="000000"/>
          <w:lang w:eastAsia="zh-CN"/>
        </w:rPr>
        <w:t>DB21/2642-2016</w:t>
      </w:r>
      <w:r>
        <w:rPr>
          <w:rFonts w:hint="eastAsia" w:ascii="Times New Roman" w:hAnsi="Times New Roman" w:eastAsia="黑体" w:cs="Times New Roman"/>
          <w:color w:val="000000"/>
          <w:lang w:eastAsia="zh-CN"/>
        </w:rPr>
        <w:t>）</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476"/>
        <w:gridCol w:w="1880"/>
        <w:gridCol w:w="1880"/>
        <w:gridCol w:w="3491"/>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7" w:hRule="atLeast"/>
          <w:tblHeader/>
        </w:trPr>
        <w:tc>
          <w:tcPr>
            <w:tcW w:w="846" w:type="pct"/>
            <w:tcBorders>
              <w:top w:val="thinThickSmallGap" w:color="auto" w:sz="12" w:space="0"/>
              <w:left w:val="nil"/>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监测项目</w:t>
            </w:r>
          </w:p>
        </w:tc>
        <w:tc>
          <w:tcPr>
            <w:tcW w:w="1077"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区域</w:t>
            </w:r>
          </w:p>
        </w:tc>
        <w:tc>
          <w:tcPr>
            <w:tcW w:w="1077"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浓度限值</w:t>
            </w:r>
            <w:r>
              <w:rPr>
                <w:rFonts w:hint="default" w:ascii="Times New Roman" w:hAnsi="Times New Roman" w:cs="Times New Roman"/>
                <w:color w:val="000000"/>
                <w:sz w:val="21"/>
                <w:szCs w:val="21"/>
                <w:bdr w:val="none" w:color="auto" w:sz="0" w:space="0"/>
                <w:lang w:val="en-US"/>
              </w:rPr>
              <w:t>*</w:t>
            </w:r>
          </w:p>
        </w:tc>
        <w:tc>
          <w:tcPr>
            <w:tcW w:w="2000" w:type="pct"/>
            <w:tcBorders>
              <w:top w:val="thinThickSmallGap" w:color="auto" w:sz="12" w:space="0"/>
              <w:left w:val="single" w:color="auto" w:sz="4" w:space="0"/>
              <w:bottom w:val="single" w:color="auto" w:sz="4" w:space="0"/>
              <w:right w:val="nil"/>
            </w:tcBorders>
            <w:shd w:val="clear" w:color="auto" w:fill="E0E0E0"/>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备注</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6"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r>
              <w:rPr>
                <w:rFonts w:hint="default" w:ascii="Times New Roman" w:hAnsi="Times New Roman" w:cs="Times New Roman"/>
                <w:color w:val="000000"/>
                <w:sz w:val="21"/>
                <w:szCs w:val="21"/>
                <w:bdr w:val="none" w:color="auto" w:sz="0" w:space="0"/>
                <w:lang w:val="en-US"/>
              </w:rPr>
              <w:t>TSP</w:t>
            </w:r>
            <w:r>
              <w:rPr>
                <w:rFonts w:ascii="Times New Roman" w:hAnsi="Times New Roman" w:cs="Times New Roman"/>
                <w:color w:val="000000"/>
                <w:sz w:val="21"/>
                <w:szCs w:val="21"/>
                <w:bdr w:val="none" w:color="auto" w:sz="0" w:space="0"/>
              </w:rPr>
              <w:t>）</w:t>
            </w:r>
          </w:p>
        </w:tc>
        <w:tc>
          <w:tcPr>
            <w:tcW w:w="107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郊区及农村地区</w:t>
            </w:r>
          </w:p>
        </w:tc>
        <w:tc>
          <w:tcPr>
            <w:tcW w:w="107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1.0mg/m</w:t>
            </w:r>
            <w:r>
              <w:rPr>
                <w:rFonts w:hint="default" w:ascii="Times New Roman" w:hAnsi="Times New Roman" w:cs="Times New Roman"/>
                <w:color w:val="000000"/>
                <w:sz w:val="21"/>
                <w:szCs w:val="21"/>
                <w:bdr w:val="none" w:color="auto" w:sz="0" w:space="0"/>
                <w:vertAlign w:val="superscript"/>
                <w:lang w:val="en-US"/>
              </w:rPr>
              <w:t>3</w:t>
            </w:r>
          </w:p>
        </w:tc>
        <w:tc>
          <w:tcPr>
            <w:tcW w:w="200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连续</w:t>
            </w:r>
            <w:r>
              <w:rPr>
                <w:rFonts w:hint="default" w:ascii="Times New Roman" w:hAnsi="Times New Roman" w:cs="Times New Roman"/>
                <w:color w:val="000000"/>
                <w:sz w:val="21"/>
                <w:szCs w:val="21"/>
                <w:bdr w:val="none" w:color="auto" w:sz="0" w:space="0"/>
                <w:lang w:val="en-US"/>
              </w:rPr>
              <w:t>5min</w:t>
            </w:r>
            <w:r>
              <w:rPr>
                <w:rFonts w:ascii="Times New Roman" w:hAnsi="Times New Roman" w:cs="Times New Roman"/>
                <w:color w:val="000000"/>
                <w:sz w:val="21"/>
                <w:szCs w:val="21"/>
                <w:bdr w:val="none" w:color="auto" w:sz="0" w:space="0"/>
              </w:rPr>
              <w:t>平均浓度</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tcBorders>
              <w:top w:val="single" w:color="auto" w:sz="4" w:space="0"/>
              <w:left w:val="nil"/>
              <w:bottom w:val="thickThinSmallGap" w:color="auto" w:sz="12"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注：施工及堆料场地边界设围挡，监测点可设于围挡外任意可能浓度最高点处</w:t>
            </w:r>
          </w:p>
        </w:tc>
      </w:tr>
    </w:tbl>
    <w:p>
      <w:pPr>
        <w:pStyle w:val="27"/>
        <w:keepNext w:val="0"/>
        <w:keepLines w:val="0"/>
        <w:widowControl/>
        <w:suppressLineNumbers w:val="0"/>
        <w:spacing w:before="0" w:beforeAutospacing="0" w:after="0" w:afterAutospacing="0"/>
        <w:ind w:left="0" w:right="0" w:firstLine="480" w:firstLineChars="200"/>
        <w:jc w:val="left"/>
        <w:rPr>
          <w:b/>
          <w:bCs w:val="0"/>
          <w:color w:val="000000"/>
          <w:lang w:val="en-US"/>
        </w:rPr>
      </w:pPr>
      <w:r>
        <w:rPr>
          <w:rFonts w:hint="default" w:ascii="Segoe UI Symbol" w:hAnsi="Segoe UI Symbol" w:eastAsia="Segoe UI Symbol" w:cs="Segoe UI Symbol"/>
          <w:color w:val="000000"/>
          <w:kern w:val="0"/>
          <w:sz w:val="24"/>
          <w:szCs w:val="24"/>
          <w:lang w:val="en-US" w:eastAsia="zh-CN" w:bidi="ar"/>
        </w:rPr>
        <w:t>★</w:t>
      </w:r>
      <w:r>
        <w:rPr>
          <w:rFonts w:hint="eastAsia" w:ascii="Times New Roman" w:hAnsi="Times New Roman" w:eastAsia="宋体" w:cs="Times New Roman"/>
          <w:b/>
          <w:bCs w:val="0"/>
          <w:color w:val="000000"/>
          <w:kern w:val="0"/>
          <w:sz w:val="24"/>
          <w:szCs w:val="24"/>
          <w:lang w:val="en-US" w:eastAsia="zh-CN" w:bidi="ar"/>
        </w:rPr>
        <w:t>营运期有组织排放废气：</w:t>
      </w:r>
      <w:r>
        <w:rPr>
          <w:rFonts w:hint="eastAsia" w:ascii="宋体" w:hAnsi="宋体" w:eastAsia="宋体" w:cs="宋体"/>
          <w:color w:val="000000"/>
          <w:kern w:val="0"/>
          <w:sz w:val="24"/>
          <w:szCs w:val="24"/>
          <w:lang w:val="en-US" w:eastAsia="zh-CN" w:bidi="ar"/>
        </w:rPr>
        <w:t>本工程工艺废气参照</w:t>
      </w:r>
      <w:r>
        <w:rPr>
          <w:rFonts w:hint="eastAsia" w:ascii="宋体" w:hAnsi="宋体" w:eastAsia="宋体" w:cs="宋体"/>
          <w:bCs/>
          <w:color w:val="000000"/>
          <w:kern w:val="0"/>
          <w:sz w:val="24"/>
          <w:szCs w:val="24"/>
          <w:lang w:val="en-US" w:eastAsia="zh-CN" w:bidi="ar"/>
        </w:rPr>
        <w:t>执行</w:t>
      </w:r>
      <w:r>
        <w:rPr>
          <w:rFonts w:hint="eastAsia" w:ascii="宋体" w:hAnsi="宋体" w:eastAsia="宋体" w:cs="宋体"/>
          <w:color w:val="000000"/>
          <w:kern w:val="0"/>
          <w:sz w:val="24"/>
          <w:szCs w:val="24"/>
          <w:lang w:val="en-US" w:eastAsia="zh-CN" w:bidi="ar"/>
        </w:rPr>
        <w:t>辽宁省地方标准《镁质耐火材料工业大气污染物排放标准》</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DB21/3011-2018</w:t>
      </w:r>
      <w:r>
        <w:rPr>
          <w:rFonts w:hint="eastAsia"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，详见下表。</w:t>
      </w:r>
    </w:p>
    <w:p>
      <w:pPr>
        <w:keepNext w:val="0"/>
        <w:keepLines w:val="0"/>
        <w:widowControl w:val="0"/>
        <w:suppressLineNumbers w:val="0"/>
        <w:adjustRightInd w:val="0"/>
        <w:snapToGrid w:val="0"/>
        <w:spacing w:before="0" w:beforeAutospacing="0" w:after="0" w:afterAutospacing="0" w:line="400" w:lineRule="exact"/>
        <w:ind w:left="0" w:right="0"/>
        <w:jc w:val="center"/>
        <w:textAlignment w:val="baseline"/>
        <w:rPr>
          <w:rFonts w:eastAsia="黑体"/>
          <w:bCs/>
          <w:color w:val="000000"/>
          <w:vertAlign w:val="baseline"/>
          <w:lang w:val="en-US"/>
        </w:rPr>
      </w:pPr>
      <w:r>
        <w:rPr>
          <w:rFonts w:hint="eastAsia" w:ascii="Times New Roman" w:hAnsi="Times New Roman" w:eastAsia="黑体" w:cs="Times New Roman"/>
          <w:bCs/>
          <w:color w:val="000000"/>
          <w:kern w:val="0"/>
          <w:sz w:val="24"/>
          <w:szCs w:val="24"/>
          <w:vertAlign w:val="baseline"/>
          <w:lang w:val="en-US" w:eastAsia="zh-CN" w:bidi="ar"/>
        </w:rPr>
        <w:t>表</w:t>
      </w:r>
      <w:r>
        <w:rPr>
          <w:rFonts w:hint="default" w:ascii="Times New Roman" w:hAnsi="Times New Roman" w:eastAsia="黑体" w:cs="Times New Roman"/>
          <w:bCs/>
          <w:color w:val="000000"/>
          <w:kern w:val="0"/>
          <w:sz w:val="24"/>
          <w:szCs w:val="24"/>
          <w:vertAlign w:val="baseline"/>
          <w:lang w:val="en-US" w:eastAsia="zh-CN" w:bidi="ar"/>
        </w:rPr>
        <w:t>1.4-4</w:t>
      </w:r>
      <w:r>
        <w:rPr>
          <w:rFonts w:hint="eastAsia" w:ascii="宋体" w:hAnsi="宋体" w:eastAsia="黑体" w:cs="宋体"/>
          <w:bCs/>
          <w:color w:val="000000"/>
          <w:kern w:val="0"/>
          <w:sz w:val="24"/>
          <w:szCs w:val="24"/>
          <w:vertAlign w:val="baseline"/>
          <w:lang w:val="en-US" w:eastAsia="zh-CN" w:bidi="ar"/>
        </w:rPr>
        <w:t xml:space="preserve">  </w:t>
      </w:r>
      <w:r>
        <w:rPr>
          <w:rFonts w:hint="eastAsia" w:ascii="宋体" w:hAnsi="宋体" w:eastAsia="黑体" w:cs="黑体"/>
          <w:bCs/>
          <w:color w:val="000000"/>
          <w:kern w:val="0"/>
          <w:sz w:val="24"/>
          <w:szCs w:val="24"/>
          <w:vertAlign w:val="baseline"/>
          <w:lang w:val="en-US" w:eastAsia="zh-CN" w:bidi="ar"/>
        </w:rPr>
        <w:t>镁质耐火材料工业大气污染物排放标准</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2252"/>
        <w:gridCol w:w="1276"/>
        <w:gridCol w:w="1501"/>
        <w:gridCol w:w="1901"/>
        <w:gridCol w:w="1541"/>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cantSplit/>
          <w:trHeight w:val="340" w:hRule="atLeast"/>
          <w:jc w:val="center"/>
        </w:trPr>
        <w:tc>
          <w:tcPr>
            <w:tcW w:w="2252" w:type="dxa"/>
            <w:vMerge w:val="restar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122"/>
              <w:jc w:val="center"/>
              <w:rPr>
                <w:rFonts w:hint="default" w:ascii="Times New Roman" w:hAnsi="Times New Roman" w:cs="Times New Roman"/>
                <w:color w:val="000000"/>
                <w:kern w:val="2"/>
                <w:sz w:val="21"/>
                <w:szCs w:val="24"/>
                <w:bdr w:val="none" w:color="auto" w:sz="0" w:space="0"/>
                <w:lang w:val="en-US"/>
              </w:rPr>
            </w:pPr>
            <w:r>
              <w:rPr>
                <w:rFonts w:ascii="Times New Roman" w:hAnsi="Times New Roman" w:cs="Times New Roman"/>
                <w:color w:val="000000"/>
                <w:kern w:val="2"/>
                <w:sz w:val="21"/>
                <w:szCs w:val="24"/>
                <w:bdr w:val="none" w:color="auto" w:sz="0" w:space="0"/>
              </w:rPr>
              <w:t>产污环节</w:t>
            </w:r>
          </w:p>
        </w:tc>
        <w:tc>
          <w:tcPr>
            <w:tcW w:w="1276" w:type="dxa"/>
            <w:vMerge w:val="restar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122"/>
              <w:jc w:val="center"/>
              <w:rPr>
                <w:rFonts w:hint="default" w:ascii="Times New Roman" w:hAnsi="Times New Roman" w:cs="Times New Roman"/>
                <w:color w:val="000000"/>
                <w:kern w:val="2"/>
                <w:sz w:val="21"/>
                <w:szCs w:val="24"/>
                <w:bdr w:val="none" w:color="auto" w:sz="0" w:space="0"/>
                <w:lang w:val="en-US"/>
              </w:rPr>
            </w:pPr>
            <w:r>
              <w:rPr>
                <w:rFonts w:ascii="Times New Roman" w:hAnsi="Times New Roman" w:cs="Times New Roman"/>
                <w:color w:val="000000"/>
                <w:kern w:val="2"/>
                <w:sz w:val="21"/>
                <w:szCs w:val="24"/>
                <w:bdr w:val="none" w:color="auto" w:sz="0" w:space="0"/>
              </w:rPr>
              <w:t>污染物</w:t>
            </w:r>
          </w:p>
        </w:tc>
        <w:tc>
          <w:tcPr>
            <w:tcW w:w="1501" w:type="dxa"/>
            <w:vMerge w:val="restar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122"/>
              <w:jc w:val="center"/>
              <w:rPr>
                <w:rFonts w:hint="default" w:ascii="Times New Roman" w:hAnsi="Times New Roman" w:cs="Times New Roman"/>
                <w:color w:val="000000"/>
                <w:kern w:val="2"/>
                <w:sz w:val="21"/>
                <w:szCs w:val="24"/>
                <w:bdr w:val="none" w:color="auto" w:sz="0" w:space="0"/>
                <w:lang w:val="en-US"/>
              </w:rPr>
            </w:pPr>
            <w:r>
              <w:rPr>
                <w:rFonts w:hint="eastAsia" w:ascii="Times New Roman" w:hAnsi="Times New Roman" w:eastAsia="宋体" w:cs="Times New Roman"/>
                <w:color w:val="000000"/>
                <w:kern w:val="2"/>
                <w:sz w:val="21"/>
                <w:szCs w:val="24"/>
                <w:bdr w:val="none" w:color="auto" w:sz="0" w:space="0"/>
                <w:lang w:val="en-US" w:eastAsia="zh-CN" w:bidi="ar"/>
              </w:rPr>
              <w:t>最高允许排放</w:t>
            </w:r>
          </w:p>
          <w:p>
            <w:pPr>
              <w:keepNext w:val="0"/>
              <w:keepLines w:val="0"/>
              <w:widowControl/>
              <w:suppressLineNumbers w:val="0"/>
              <w:snapToGrid w:val="0"/>
              <w:spacing w:before="0" w:beforeAutospacing="0" w:after="0" w:afterAutospacing="0"/>
              <w:ind w:left="0" w:right="-64"/>
              <w:jc w:val="center"/>
              <w:rPr>
                <w:rFonts w:hint="default" w:ascii="Times New Roman" w:hAnsi="Times New Roman" w:cs="Times New Roman"/>
                <w:color w:val="000000"/>
                <w:kern w:val="2"/>
                <w:sz w:val="21"/>
                <w:szCs w:val="24"/>
                <w:bdr w:val="none" w:color="auto" w:sz="0" w:space="0"/>
                <w:lang w:val="en-US"/>
              </w:rPr>
            </w:pPr>
            <w:r>
              <w:rPr>
                <w:rFonts w:ascii="Times New Roman" w:hAnsi="Times New Roman" w:cs="Times New Roman"/>
                <w:color w:val="000000"/>
                <w:kern w:val="2"/>
                <w:sz w:val="21"/>
                <w:szCs w:val="24"/>
                <w:bdr w:val="none" w:color="auto" w:sz="0" w:space="0"/>
              </w:rPr>
              <w:t>浓度</w:t>
            </w:r>
            <w:r>
              <w:rPr>
                <w:rFonts w:hint="default" w:ascii="Times New Roman" w:hAnsi="Times New Roman" w:cs="Times New Roman"/>
                <w:color w:val="000000"/>
                <w:kern w:val="2"/>
                <w:sz w:val="21"/>
                <w:szCs w:val="24"/>
                <w:bdr w:val="none" w:color="auto" w:sz="0" w:space="0"/>
                <w:lang w:val="en-US"/>
              </w:rPr>
              <w:t>(mg/m</w:t>
            </w:r>
            <w:r>
              <w:rPr>
                <w:rFonts w:hint="default" w:ascii="Times New Roman" w:hAnsi="Times New Roman" w:cs="Times New Roman"/>
                <w:color w:val="000000"/>
                <w:kern w:val="2"/>
                <w:sz w:val="21"/>
                <w:szCs w:val="24"/>
                <w:bdr w:val="none" w:color="auto" w:sz="0" w:space="0"/>
                <w:vertAlign w:val="superscript"/>
                <w:lang w:val="en-US"/>
              </w:rPr>
              <w:t>3</w:t>
            </w:r>
            <w:r>
              <w:rPr>
                <w:rFonts w:hint="default" w:ascii="Times New Roman" w:hAnsi="Times New Roman" w:cs="Times New Roman"/>
                <w:color w:val="000000"/>
                <w:kern w:val="2"/>
                <w:sz w:val="21"/>
                <w:szCs w:val="24"/>
                <w:bdr w:val="none" w:color="auto" w:sz="0" w:space="0"/>
                <w:lang w:val="en-US"/>
              </w:rPr>
              <w:t>)</w:t>
            </w:r>
          </w:p>
        </w:tc>
        <w:tc>
          <w:tcPr>
            <w:tcW w:w="3442" w:type="dxa"/>
            <w:gridSpan w:val="2"/>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64"/>
              <w:jc w:val="center"/>
              <w:rPr>
                <w:rFonts w:hint="default" w:ascii="Times New Roman" w:hAnsi="Times New Roman" w:cs="Times New Roman"/>
                <w:color w:val="000000"/>
                <w:kern w:val="2"/>
                <w:sz w:val="21"/>
                <w:szCs w:val="24"/>
                <w:bdr w:val="none" w:color="auto" w:sz="0" w:space="0"/>
                <w:lang w:val="en-US"/>
              </w:rPr>
            </w:pPr>
            <w:r>
              <w:rPr>
                <w:rFonts w:ascii="Times New Roman" w:hAnsi="Times New Roman" w:cs="Times New Roman"/>
                <w:color w:val="000000"/>
                <w:kern w:val="2"/>
                <w:sz w:val="21"/>
                <w:szCs w:val="24"/>
                <w:bdr w:val="none" w:color="auto" w:sz="0" w:space="0"/>
              </w:rPr>
              <w:t>无组织排放监控浓度限值</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52" w:type="dxa"/>
            <w:vMerge w:val="continue"/>
            <w:tcBorders>
              <w:top w:val="thinThickSmallGap" w:color="auto" w:sz="12" w:space="0"/>
              <w:left w:val="nil"/>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1276" w:type="dxa"/>
            <w:vMerge w:val="continue"/>
            <w:tcBorders>
              <w:top w:val="thinThickSmallGap" w:color="auto" w:sz="12" w:space="0"/>
              <w:left w:val="single" w:color="auto" w:sz="6" w:space="0"/>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1501" w:type="dxa"/>
            <w:vMerge w:val="continue"/>
            <w:tcBorders>
              <w:top w:val="thinThickSmallGap" w:color="auto" w:sz="12" w:space="0"/>
              <w:left w:val="single" w:color="auto" w:sz="6" w:space="0"/>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1901" w:type="dxa"/>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64"/>
              <w:jc w:val="center"/>
              <w:rPr>
                <w:rFonts w:hint="default" w:ascii="Times New Roman" w:hAnsi="Times New Roman" w:cs="Times New Roman"/>
                <w:color w:val="000000"/>
                <w:kern w:val="2"/>
                <w:sz w:val="21"/>
                <w:szCs w:val="24"/>
                <w:bdr w:val="none" w:color="auto" w:sz="0" w:space="0"/>
                <w:lang w:val="en-US"/>
              </w:rPr>
            </w:pPr>
            <w:r>
              <w:rPr>
                <w:rFonts w:ascii="Times New Roman" w:hAnsi="Times New Roman" w:cs="Times New Roman"/>
                <w:color w:val="000000"/>
                <w:kern w:val="2"/>
                <w:sz w:val="21"/>
                <w:szCs w:val="24"/>
                <w:bdr w:val="none" w:color="auto" w:sz="0" w:space="0"/>
              </w:rPr>
              <w:t>监控位置</w:t>
            </w:r>
          </w:p>
        </w:tc>
        <w:tc>
          <w:tcPr>
            <w:tcW w:w="1541" w:type="dxa"/>
            <w:tcBorders>
              <w:top w:val="single" w:color="auto" w:sz="6"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105" w:rightChars="-50"/>
              <w:jc w:val="center"/>
              <w:rPr>
                <w:rFonts w:hint="default" w:ascii="Times New Roman" w:hAnsi="Times New Roman" w:cs="Times New Roman"/>
                <w:color w:val="000000"/>
                <w:kern w:val="2"/>
                <w:sz w:val="21"/>
                <w:szCs w:val="24"/>
                <w:bdr w:val="none" w:color="auto" w:sz="0" w:space="0"/>
                <w:lang w:val="en-US"/>
              </w:rPr>
            </w:pPr>
            <w:r>
              <w:rPr>
                <w:rFonts w:ascii="Times New Roman" w:hAnsi="Times New Roman" w:cs="Times New Roman"/>
                <w:color w:val="000000"/>
                <w:kern w:val="2"/>
                <w:sz w:val="21"/>
                <w:szCs w:val="24"/>
                <w:bdr w:val="none" w:color="auto" w:sz="0" w:space="0"/>
              </w:rPr>
              <w:t>浓度</w:t>
            </w:r>
            <w:r>
              <w:rPr>
                <w:rFonts w:hint="default" w:ascii="Times New Roman" w:hAnsi="Times New Roman" w:cs="Times New Roman"/>
                <w:color w:val="000000"/>
                <w:kern w:val="2"/>
                <w:sz w:val="21"/>
                <w:szCs w:val="24"/>
                <w:bdr w:val="none" w:color="auto" w:sz="0" w:space="0"/>
                <w:lang w:val="en-US"/>
              </w:rPr>
              <w:t>(mg/m</w:t>
            </w:r>
            <w:r>
              <w:rPr>
                <w:rFonts w:hint="default" w:ascii="Times New Roman" w:hAnsi="Times New Roman" w:cs="Times New Roman"/>
                <w:color w:val="000000"/>
                <w:kern w:val="2"/>
                <w:sz w:val="21"/>
                <w:szCs w:val="24"/>
                <w:bdr w:val="none" w:color="auto" w:sz="0" w:space="0"/>
                <w:vertAlign w:val="superscript"/>
                <w:lang w:val="en-US"/>
              </w:rPr>
              <w:t>3</w:t>
            </w:r>
            <w:r>
              <w:rPr>
                <w:rFonts w:hint="default" w:ascii="Times New Roman" w:hAnsi="Times New Roman" w:cs="Times New Roman"/>
                <w:color w:val="000000"/>
                <w:kern w:val="2"/>
                <w:sz w:val="21"/>
                <w:szCs w:val="24"/>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52" w:type="dxa"/>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64"/>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输送、筛分、破粉碎</w:t>
            </w:r>
          </w:p>
          <w:p>
            <w:pPr>
              <w:keepNext w:val="0"/>
              <w:keepLines w:val="0"/>
              <w:widowControl/>
              <w:suppressLineNumbers w:val="0"/>
              <w:snapToGrid w:val="0"/>
              <w:spacing w:before="0" w:beforeAutospacing="0" w:after="0" w:afterAutospacing="0"/>
              <w:ind w:left="0" w:right="-64"/>
              <w:jc w:val="center"/>
              <w:rPr>
                <w:rFonts w:hint="default" w:ascii="Times New Roman" w:hAnsi="Times New Roman" w:cs="Times New Roman"/>
                <w:color w:val="000000"/>
                <w:kern w:val="2"/>
                <w:sz w:val="21"/>
                <w:szCs w:val="24"/>
                <w:bdr w:val="none" w:color="auto" w:sz="0" w:space="0"/>
                <w:lang w:val="en-US"/>
              </w:rPr>
            </w:pPr>
            <w:r>
              <w:rPr>
                <w:rFonts w:ascii="Times New Roman" w:hAnsi="Times New Roman" w:cs="Times New Roman"/>
                <w:color w:val="000000"/>
                <w:kern w:val="2"/>
                <w:sz w:val="21"/>
                <w:szCs w:val="21"/>
                <w:bdr w:val="none" w:color="auto" w:sz="0" w:space="0"/>
              </w:rPr>
              <w:t>等其他生产设施</w:t>
            </w:r>
          </w:p>
        </w:tc>
        <w:tc>
          <w:tcPr>
            <w:tcW w:w="1276"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64"/>
              <w:jc w:val="center"/>
              <w:rPr>
                <w:rFonts w:hint="default" w:ascii="Times New Roman" w:hAnsi="Times New Roman" w:cs="Times New Roman"/>
                <w:color w:val="000000"/>
                <w:kern w:val="2"/>
                <w:sz w:val="21"/>
                <w:szCs w:val="24"/>
                <w:bdr w:val="none" w:color="auto" w:sz="0" w:space="0"/>
                <w:lang w:val="en-US"/>
              </w:rPr>
            </w:pPr>
            <w:r>
              <w:rPr>
                <w:rFonts w:ascii="Times New Roman" w:hAnsi="Times New Roman" w:cs="Times New Roman"/>
                <w:color w:val="000000"/>
                <w:kern w:val="2"/>
                <w:sz w:val="21"/>
                <w:szCs w:val="24"/>
                <w:bdr w:val="none" w:color="auto" w:sz="0" w:space="0"/>
              </w:rPr>
              <w:t>颗粒物</w:t>
            </w:r>
          </w:p>
        </w:tc>
        <w:tc>
          <w:tcPr>
            <w:tcW w:w="1501"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64"/>
              <w:jc w:val="center"/>
              <w:rPr>
                <w:rFonts w:hint="default" w:ascii="Times New Roman" w:hAnsi="Times New Roman" w:cs="Times New Roman"/>
                <w:color w:val="000000"/>
                <w:kern w:val="2"/>
                <w:sz w:val="21"/>
                <w:szCs w:val="24"/>
                <w:bdr w:val="none" w:color="auto" w:sz="0" w:space="0"/>
                <w:lang w:val="en-US"/>
              </w:rPr>
            </w:pPr>
            <w:r>
              <w:rPr>
                <w:rFonts w:hint="default" w:ascii="Times New Roman" w:hAnsi="Times New Roman" w:cs="Times New Roman"/>
                <w:color w:val="000000"/>
                <w:kern w:val="2"/>
                <w:sz w:val="21"/>
                <w:szCs w:val="24"/>
                <w:bdr w:val="none" w:color="auto" w:sz="0" w:space="0"/>
                <w:lang w:val="en-US"/>
              </w:rPr>
              <w:t>30</w:t>
            </w:r>
          </w:p>
        </w:tc>
        <w:tc>
          <w:tcPr>
            <w:tcW w:w="1901"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64"/>
              <w:jc w:val="center"/>
              <w:rPr>
                <w:rFonts w:hint="default" w:ascii="Times New Roman" w:hAnsi="Times New Roman" w:cs="Times New Roman"/>
                <w:color w:val="000000"/>
                <w:kern w:val="2"/>
                <w:sz w:val="21"/>
                <w:szCs w:val="24"/>
                <w:bdr w:val="none" w:color="auto" w:sz="0" w:space="0"/>
                <w:lang w:val="en-US"/>
              </w:rPr>
            </w:pPr>
            <w:r>
              <w:rPr>
                <w:rFonts w:hint="eastAsia" w:ascii="Times New Roman" w:hAnsi="Times New Roman" w:eastAsia="宋体" w:cs="Times New Roman"/>
                <w:color w:val="000000"/>
                <w:kern w:val="2"/>
                <w:sz w:val="21"/>
                <w:szCs w:val="24"/>
                <w:bdr w:val="none" w:color="auto" w:sz="0" w:space="0"/>
                <w:lang w:val="en-US" w:eastAsia="zh-CN" w:bidi="ar"/>
              </w:rPr>
              <w:t>厂界外</w:t>
            </w:r>
            <w:r>
              <w:rPr>
                <w:rFonts w:hint="default" w:ascii="Times New Roman" w:hAnsi="Times New Roman" w:eastAsia="宋体" w:cs="Times New Roman"/>
                <w:color w:val="000000"/>
                <w:kern w:val="2"/>
                <w:sz w:val="21"/>
                <w:szCs w:val="24"/>
                <w:bdr w:val="none" w:color="auto" w:sz="0" w:space="0"/>
                <w:lang w:val="en-US" w:eastAsia="zh-CN" w:bidi="ar"/>
              </w:rPr>
              <w:t>10m</w:t>
            </w:r>
            <w:r>
              <w:rPr>
                <w:rFonts w:hint="eastAsia" w:ascii="Times New Roman" w:hAnsi="Times New Roman" w:eastAsia="宋体" w:cs="Times New Roman"/>
                <w:color w:val="000000"/>
                <w:kern w:val="2"/>
                <w:sz w:val="21"/>
                <w:szCs w:val="24"/>
                <w:bdr w:val="none" w:color="auto" w:sz="0" w:space="0"/>
                <w:lang w:val="en-US" w:eastAsia="zh-CN" w:bidi="ar"/>
              </w:rPr>
              <w:t>范围</w:t>
            </w:r>
          </w:p>
          <w:p>
            <w:pPr>
              <w:keepNext w:val="0"/>
              <w:keepLines w:val="0"/>
              <w:widowControl/>
              <w:suppressLineNumbers w:val="0"/>
              <w:snapToGrid w:val="0"/>
              <w:spacing w:before="0" w:beforeAutospacing="0" w:after="0" w:afterAutospacing="0"/>
              <w:ind w:left="0" w:right="-64"/>
              <w:jc w:val="center"/>
              <w:rPr>
                <w:rFonts w:hint="default" w:ascii="Times New Roman" w:hAnsi="Times New Roman" w:cs="Times New Roman"/>
                <w:color w:val="000000"/>
                <w:kern w:val="2"/>
                <w:sz w:val="21"/>
                <w:szCs w:val="24"/>
                <w:bdr w:val="none" w:color="auto" w:sz="0" w:space="0"/>
                <w:lang w:val="en-US"/>
              </w:rPr>
            </w:pPr>
            <w:r>
              <w:rPr>
                <w:rFonts w:ascii="Times New Roman" w:hAnsi="Times New Roman" w:cs="Times New Roman"/>
                <w:color w:val="000000"/>
                <w:kern w:val="2"/>
                <w:sz w:val="21"/>
                <w:szCs w:val="24"/>
                <w:bdr w:val="none" w:color="auto" w:sz="0" w:space="0"/>
              </w:rPr>
              <w:t>内浓度最高点</w:t>
            </w:r>
          </w:p>
        </w:tc>
        <w:tc>
          <w:tcPr>
            <w:tcW w:w="1541" w:type="dxa"/>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105" w:rightChars="-50"/>
              <w:jc w:val="center"/>
              <w:rPr>
                <w:rFonts w:hint="default" w:ascii="Times New Roman" w:hAnsi="Times New Roman" w:cs="Times New Roman"/>
                <w:color w:val="000000"/>
                <w:kern w:val="2"/>
                <w:sz w:val="21"/>
                <w:szCs w:val="24"/>
                <w:bdr w:val="none" w:color="auto" w:sz="0" w:space="0"/>
                <w:lang w:val="en-US"/>
              </w:rPr>
            </w:pPr>
            <w:r>
              <w:rPr>
                <w:rFonts w:hint="default" w:ascii="Times New Roman" w:hAnsi="Times New Roman" w:cs="Times New Roman"/>
                <w:color w:val="000000"/>
                <w:kern w:val="2"/>
                <w:sz w:val="21"/>
                <w:szCs w:val="24"/>
                <w:bdr w:val="none" w:color="auto" w:sz="0" w:space="0"/>
                <w:lang w:val="en-US"/>
              </w:rPr>
              <w:t>0.8</w:t>
            </w:r>
          </w:p>
        </w:tc>
      </w:tr>
    </w:tbl>
    <w:p>
      <w:pPr>
        <w:keepNext w:val="0"/>
        <w:keepLines w:val="0"/>
        <w:widowControl/>
        <w:suppressLineNumbers w:val="0"/>
        <w:spacing w:before="0" w:beforeAutospacing="0" w:after="0" w:afterAutospacing="0" w:line="500" w:lineRule="exact"/>
        <w:ind w:left="0" w:right="0" w:firstLine="422" w:firstLineChars="200"/>
        <w:jc w:val="left"/>
        <w:rPr>
          <w:rFonts w:hint="default" w:ascii="Times New Roman" w:hAnsi="Times New Roman" w:cs="Times New Roman"/>
          <w:b/>
          <w:bCs w:val="0"/>
          <w:color w:val="000000"/>
          <w:lang w:val="en-US"/>
        </w:rPr>
      </w:pP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）噪声</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Segoe UI Symbol" w:hAnsi="Segoe UI Symbol" w:eastAsia="Segoe UI Symbol" w:cs="Segoe UI Symbol"/>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施工期：《建筑施工场界环境噪声排放标准》</w:t>
      </w:r>
      <w:r>
        <w:rPr>
          <w:rFonts w:hint="eastAsia" w:ascii="Times New Roman" w:hAnsi="Times New Roman" w:eastAsia="黑体" w:cs="Times New Roman"/>
          <w:color w:val="000000"/>
          <w:kern w:val="0"/>
          <w:sz w:val="24"/>
          <w:szCs w:val="24"/>
          <w:lang w:val="en-US" w:eastAsia="zh-CN" w:bidi="ar"/>
        </w:rPr>
        <w:t>（</w:t>
      </w:r>
      <w:r>
        <w:rPr>
          <w:rFonts w:hint="default" w:ascii="Times New Roman" w:hAnsi="Times New Roman" w:eastAsia="黑体" w:cs="Times New Roman"/>
          <w:color w:val="000000"/>
          <w:kern w:val="0"/>
          <w:sz w:val="24"/>
          <w:szCs w:val="24"/>
          <w:lang w:val="en-US" w:eastAsia="zh-CN" w:bidi="ar"/>
        </w:rPr>
        <w:t>GB12523-2011</w:t>
      </w:r>
      <w:r>
        <w:rPr>
          <w:rFonts w:hint="eastAsia" w:ascii="Times New Roman" w:hAnsi="Times New Roman" w:eastAsia="黑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，即昼间</w:t>
      </w:r>
      <w:r>
        <w:rPr>
          <w:rFonts w:hint="default" w:ascii="Times New Roman" w:hAnsi="Times New Roman" w:eastAsia="宋体" w:cs="Times New Roman"/>
          <w:color w:val="000000"/>
          <w:kern w:val="0"/>
          <w:sz w:val="24"/>
          <w:szCs w:val="24"/>
          <w:lang w:val="en-US" w:eastAsia="zh-CN" w:bidi="ar"/>
        </w:rPr>
        <w:t>70dB(A)</w:t>
      </w:r>
      <w:r>
        <w:rPr>
          <w:rFonts w:hint="eastAsia" w:ascii="Times New Roman" w:hAnsi="Times New Roman" w:eastAsia="宋体" w:cs="Times New Roman"/>
          <w:color w:val="000000"/>
          <w:kern w:val="0"/>
          <w:sz w:val="24"/>
          <w:szCs w:val="24"/>
          <w:lang w:val="en-US" w:eastAsia="zh-CN" w:bidi="ar"/>
        </w:rPr>
        <w:t>、夜间</w:t>
      </w:r>
      <w:r>
        <w:rPr>
          <w:rFonts w:hint="default" w:ascii="Times New Roman" w:hAnsi="Times New Roman" w:eastAsia="宋体" w:cs="Times New Roman"/>
          <w:color w:val="000000"/>
          <w:kern w:val="0"/>
          <w:sz w:val="24"/>
          <w:szCs w:val="24"/>
          <w:lang w:val="en-US" w:eastAsia="zh-CN" w:bidi="ar"/>
        </w:rPr>
        <w:t>55dB(A)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Segoe UI Symbol" w:hAnsi="Segoe UI Symbol" w:eastAsia="Segoe UI Symbol" w:cs="Segoe UI Symbol"/>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营运期：场界执行《工业企业厂界环境噪声排放标准》（</w:t>
      </w:r>
      <w:r>
        <w:rPr>
          <w:rFonts w:hint="default" w:ascii="Times New Roman" w:hAnsi="Times New Roman" w:eastAsia="宋体" w:cs="Times New Roman"/>
          <w:color w:val="000000"/>
          <w:kern w:val="0"/>
          <w:sz w:val="24"/>
          <w:szCs w:val="24"/>
          <w:lang w:val="en-US" w:eastAsia="zh-CN" w:bidi="ar"/>
        </w:rPr>
        <w:t>GB12348-2008</w:t>
      </w:r>
      <w:r>
        <w:rPr>
          <w:rFonts w:hint="eastAsia" w:ascii="Times New Roman" w:hAnsi="Times New Roman" w:eastAsia="宋体" w:cs="Times New Roman"/>
          <w:color w:val="000000"/>
          <w:kern w:val="0"/>
          <w:sz w:val="24"/>
          <w:szCs w:val="24"/>
          <w:lang w:val="en-US" w:eastAsia="zh-CN" w:bidi="ar"/>
        </w:rPr>
        <w:t>）中</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类功能区标准，即昼间</w:t>
      </w:r>
      <w:r>
        <w:rPr>
          <w:rFonts w:hint="default" w:ascii="Times New Roman" w:hAnsi="Times New Roman" w:eastAsia="宋体" w:cs="Times New Roman"/>
          <w:color w:val="000000"/>
          <w:kern w:val="0"/>
          <w:sz w:val="24"/>
          <w:szCs w:val="24"/>
          <w:lang w:val="en-US" w:eastAsia="zh-CN" w:bidi="ar"/>
        </w:rPr>
        <w:t>60dB(A)</w:t>
      </w:r>
      <w:r>
        <w:rPr>
          <w:rFonts w:hint="eastAsia" w:ascii="Times New Roman" w:hAnsi="Times New Roman" w:eastAsia="宋体" w:cs="Times New Roman"/>
          <w:color w:val="000000"/>
          <w:kern w:val="0"/>
          <w:sz w:val="24"/>
          <w:szCs w:val="24"/>
          <w:lang w:val="en-US" w:eastAsia="zh-CN" w:bidi="ar"/>
        </w:rPr>
        <w:t>、夜间</w:t>
      </w:r>
      <w:r>
        <w:rPr>
          <w:rFonts w:hint="default" w:ascii="Times New Roman" w:hAnsi="Times New Roman" w:eastAsia="宋体" w:cs="Times New Roman"/>
          <w:color w:val="000000"/>
          <w:kern w:val="0"/>
          <w:sz w:val="24"/>
          <w:szCs w:val="24"/>
          <w:lang w:val="en-US" w:eastAsia="zh-CN" w:bidi="ar"/>
        </w:rPr>
        <w:t>50dB(A)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）固废</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Segoe UI Symbol" w:hAnsi="Segoe UI Symbol" w:eastAsia="Segoe UI Symbol" w:cs="Segoe UI Symbol"/>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《一般工业固体废物贮存、处置场污染控制标准》（</w:t>
      </w:r>
      <w:r>
        <w:rPr>
          <w:rFonts w:hint="default" w:ascii="Times New Roman" w:hAnsi="Times New Roman" w:eastAsia="宋体" w:cs="Times New Roman"/>
          <w:color w:val="000000"/>
          <w:kern w:val="0"/>
          <w:sz w:val="24"/>
          <w:szCs w:val="24"/>
          <w:lang w:val="en-US" w:eastAsia="zh-CN" w:bidi="ar"/>
        </w:rPr>
        <w:t>GB18599-2001</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2013</w:t>
      </w:r>
      <w:r>
        <w:rPr>
          <w:rFonts w:hint="eastAsia" w:ascii="Times New Roman" w:hAnsi="Times New Roman" w:eastAsia="宋体" w:cs="Times New Roman"/>
          <w:color w:val="000000"/>
          <w:kern w:val="0"/>
          <w:sz w:val="24"/>
          <w:szCs w:val="24"/>
          <w:lang w:val="en-US" w:eastAsia="zh-CN" w:bidi="ar"/>
        </w:rPr>
        <w:t>年修改）；</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Segoe UI Symbol" w:hAnsi="Segoe UI Symbol" w:eastAsia="Segoe UI Symbol" w:cs="Segoe UI Symbol"/>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《危险废物贮存污染控制标准》（</w:t>
      </w:r>
      <w:r>
        <w:rPr>
          <w:rFonts w:hint="default" w:ascii="Times New Roman" w:hAnsi="Times New Roman" w:eastAsia="宋体" w:cs="Times New Roman"/>
          <w:color w:val="000000"/>
          <w:kern w:val="0"/>
          <w:sz w:val="24"/>
          <w:szCs w:val="24"/>
          <w:lang w:val="en-US" w:eastAsia="zh-CN" w:bidi="ar"/>
        </w:rPr>
        <w:t>GB18597-2001</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2013</w:t>
      </w:r>
      <w:r>
        <w:rPr>
          <w:rFonts w:hint="eastAsia" w:ascii="Times New Roman" w:hAnsi="Times New Roman" w:eastAsia="宋体" w:cs="Times New Roman"/>
          <w:color w:val="000000"/>
          <w:kern w:val="0"/>
          <w:sz w:val="24"/>
          <w:szCs w:val="24"/>
          <w:lang w:val="en-US" w:eastAsia="zh-CN" w:bidi="ar"/>
        </w:rPr>
        <w:t>年修改）。</w:t>
      </w:r>
    </w:p>
    <w:p>
      <w:pPr>
        <w:pStyle w:val="8"/>
        <w:widowControl/>
        <w:rPr>
          <w:color w:val="000000"/>
          <w:lang/>
        </w:rPr>
      </w:pPr>
      <w:bookmarkStart w:id="78" w:name="_Toc41656117"/>
      <w:r>
        <w:rPr>
          <w:color w:val="000000"/>
          <w:lang/>
        </w:rPr>
        <w:t xml:space="preserve">1.5 </w:t>
      </w:r>
      <w:r>
        <w:rPr>
          <w:rFonts w:hint="eastAsia" w:ascii="Times New Roman" w:hAnsi="Times New Roman" w:eastAsia="宋体" w:cs="宋体"/>
          <w:color w:val="000000"/>
          <w:lang w:eastAsia="zh-CN"/>
        </w:rPr>
        <w:t>评价等级</w:t>
      </w:r>
      <w:bookmarkEnd w:id="66"/>
      <w:bookmarkEnd w:id="67"/>
      <w:bookmarkEnd w:id="68"/>
      <w:bookmarkEnd w:id="69"/>
      <w:bookmarkEnd w:id="70"/>
      <w:bookmarkEnd w:id="71"/>
      <w:bookmarkEnd w:id="72"/>
      <w:bookmarkEnd w:id="73"/>
      <w:bookmarkEnd w:id="74"/>
      <w:bookmarkEnd w:id="75"/>
      <w:bookmarkEnd w:id="76"/>
      <w:bookmarkEnd w:id="77"/>
      <w:r>
        <w:rPr>
          <w:rFonts w:hint="eastAsia" w:ascii="Times New Roman" w:hAnsi="Times New Roman" w:eastAsia="宋体" w:cs="宋体"/>
          <w:color w:val="000000"/>
          <w:lang w:eastAsia="zh-CN"/>
        </w:rPr>
        <w:t>及范围</w:t>
      </w:r>
      <w:bookmarkEnd w:id="78"/>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根据建设项目的工程特点、排污特征及项目所在区域的环境功能，按照国家环境保护行业标准《环境影响评价技术导则》中的有关规定，对该项目进行环境影响评价等级划分。</w:t>
      </w:r>
    </w:p>
    <w:p>
      <w:pPr>
        <w:pStyle w:val="9"/>
        <w:widowControl/>
        <w:rPr>
          <w:rFonts w:hint="default" w:ascii="Times New Roman" w:hAnsi="Times New Roman" w:cs="Times New Roman"/>
          <w:color w:val="000000"/>
          <w:lang/>
        </w:rPr>
      </w:pPr>
      <w:bookmarkStart w:id="79" w:name="_Toc151276125"/>
      <w:bookmarkStart w:id="80" w:name="_Toc151258706"/>
      <w:bookmarkStart w:id="81" w:name="_Toc151200237"/>
      <w:bookmarkStart w:id="82" w:name="_Toc151200077"/>
      <w:r>
        <w:rPr>
          <w:rFonts w:hint="default" w:ascii="Times New Roman" w:hAnsi="Times New Roman" w:cs="Times New Roman"/>
          <w:color w:val="000000"/>
          <w:lang/>
        </w:rPr>
        <w:t xml:space="preserve">1.5.1 </w:t>
      </w:r>
      <w:r>
        <w:rPr>
          <w:rFonts w:ascii="Times New Roman" w:hAnsi="Times New Roman" w:cs="Times New Roman"/>
          <w:color w:val="000000"/>
          <w:lang/>
        </w:rPr>
        <w:t>大气评价等级</w:t>
      </w:r>
      <w:bookmarkEnd w:id="79"/>
      <w:bookmarkEnd w:id="80"/>
      <w:bookmarkEnd w:id="81"/>
      <w:bookmarkEnd w:id="82"/>
      <w:r>
        <w:rPr>
          <w:rFonts w:ascii="Times New Roman" w:hAnsi="Times New Roman" w:cs="Times New Roman"/>
          <w:color w:val="000000"/>
          <w:lang/>
        </w:rPr>
        <w:t>及范围</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rPr>
        <w:t xml:space="preserve">1.5.1.1 </w:t>
      </w:r>
      <w:r>
        <w:rPr>
          <w:rFonts w:ascii="Times New Roman" w:hAnsi="Times New Roman" w:cs="Times New Roman"/>
          <w:color w:val="000000"/>
          <w:lang/>
        </w:rPr>
        <w:t>大气评价等级</w:t>
      </w:r>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大气环境》（</w:t>
      </w:r>
      <w:r>
        <w:rPr>
          <w:rFonts w:hint="default" w:ascii="Times New Roman" w:hAnsi="Times New Roman" w:eastAsia="宋体" w:cs="Times New Roman"/>
          <w:color w:val="000000"/>
          <w:kern w:val="0"/>
          <w:sz w:val="24"/>
          <w:szCs w:val="24"/>
          <w:lang w:val="en-US" w:eastAsia="zh-CN" w:bidi="ar"/>
        </w:rPr>
        <w:t>HJ2.2-2018</w:t>
      </w:r>
      <w:r>
        <w:rPr>
          <w:rFonts w:hint="eastAsia" w:ascii="Times New Roman" w:hAnsi="Times New Roman" w:eastAsia="宋体" w:cs="Times New Roman"/>
          <w:color w:val="000000"/>
          <w:kern w:val="0"/>
          <w:sz w:val="24"/>
          <w:szCs w:val="24"/>
          <w:lang w:val="en-US" w:eastAsia="zh-CN" w:bidi="ar"/>
        </w:rPr>
        <w:t>）中估算模型进行计算，取评价等级最高者作为本项目的评价等级。</w:t>
      </w:r>
    </w:p>
    <w:p>
      <w:pPr>
        <w:keepNext w:val="0"/>
        <w:keepLines w:val="0"/>
        <w:widowControl/>
        <w:suppressLineNumbers w:val="0"/>
        <w:tabs>
          <w:tab w:val="left" w:pos="6580"/>
        </w:tabs>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）评价因子</w:t>
      </w:r>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根据项目污染源初步调查结果，确定本项目大气评价因子及评价标准见表</w:t>
      </w:r>
      <w:r>
        <w:rPr>
          <w:rFonts w:hint="default" w:ascii="Times New Roman" w:hAnsi="Times New Roman" w:eastAsia="宋体" w:cs="Times New Roman"/>
          <w:color w:val="000000"/>
          <w:kern w:val="0"/>
          <w:sz w:val="24"/>
          <w:szCs w:val="24"/>
          <w:lang w:val="en-US" w:eastAsia="zh-CN" w:bidi="ar"/>
        </w:rPr>
        <w:t>1.5-1</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1.5-1  </w:t>
      </w:r>
      <w:r>
        <w:rPr>
          <w:rFonts w:hint="eastAsia" w:ascii="Times New Roman" w:hAnsi="Times New Roman" w:eastAsia="黑体" w:cs="Times New Roman"/>
          <w:color w:val="000000"/>
          <w:kern w:val="0"/>
          <w:sz w:val="24"/>
          <w:szCs w:val="24"/>
          <w:lang w:val="en-US" w:eastAsia="zh-CN" w:bidi="ar"/>
        </w:rPr>
        <w:t>大气评价因子及评价标准一览表</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2524"/>
        <w:gridCol w:w="2270"/>
        <w:gridCol w:w="1985"/>
        <w:gridCol w:w="2240"/>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97" w:hRule="atLeast"/>
          <w:tblHeader/>
          <w:jc w:val="center"/>
        </w:trPr>
        <w:tc>
          <w:tcPr>
            <w:tcW w:w="2524" w:type="dxa"/>
            <w:tcBorders>
              <w:top w:val="thinThickSmallGap" w:color="auto" w:sz="12" w:space="0"/>
              <w:left w:val="nil"/>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评价因子</w:t>
            </w:r>
          </w:p>
        </w:tc>
        <w:tc>
          <w:tcPr>
            <w:tcW w:w="2270" w:type="dxa"/>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平均时段</w:t>
            </w:r>
          </w:p>
        </w:tc>
        <w:tc>
          <w:tcPr>
            <w:tcW w:w="1985" w:type="dxa"/>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标准值（</w:t>
            </w:r>
            <w:r>
              <w:rPr>
                <w:rFonts w:hint="default" w:ascii="Times New Roman" w:hAnsi="Times New Roman" w:eastAsia="宋体" w:cs="Times New Roman"/>
                <w:color w:val="000000"/>
                <w:kern w:val="0"/>
                <w:sz w:val="21"/>
                <w:szCs w:val="21"/>
                <w:bdr w:val="none" w:color="auto" w:sz="0" w:space="0"/>
                <w:lang w:val="en-US" w:eastAsia="zh-CN" w:bidi="ar"/>
              </w:rPr>
              <w:t>μg/m</w:t>
            </w:r>
            <w:r>
              <w:rPr>
                <w:rFonts w:hint="default" w:ascii="Times New Roman" w:hAnsi="Times New Roman" w:eastAsia="宋体" w:cs="Times New Roman"/>
                <w:color w:val="000000"/>
                <w:kern w:val="0"/>
                <w:sz w:val="21"/>
                <w:szCs w:val="21"/>
                <w:bdr w:val="none" w:color="auto" w:sz="0" w:space="0"/>
                <w:vertAlign w:val="superscript"/>
                <w:lang w:val="en-US" w:eastAsia="zh-CN" w:bidi="ar"/>
              </w:rPr>
              <w:t>3</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2240" w:type="dxa"/>
            <w:tcBorders>
              <w:top w:val="thinThickSmallGap" w:color="auto" w:sz="12" w:space="0"/>
              <w:left w:val="single" w:color="auto" w:sz="6" w:space="0"/>
              <w:bottom w:val="single" w:color="auto" w:sz="6" w:space="0"/>
              <w:right w:val="nil"/>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标准来源</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52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227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24h</w:t>
            </w:r>
          </w:p>
        </w:tc>
        <w:tc>
          <w:tcPr>
            <w:tcW w:w="198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300</w:t>
            </w:r>
          </w:p>
        </w:tc>
        <w:tc>
          <w:tcPr>
            <w:tcW w:w="2240" w:type="dxa"/>
            <w:vMerge w:val="restar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《环境空气质量标准》（</w:t>
            </w:r>
            <w:r>
              <w:rPr>
                <w:rFonts w:hint="default" w:ascii="Times New Roman" w:hAnsi="Times New Roman" w:eastAsia="宋体" w:cs="Times New Roman"/>
                <w:color w:val="000000"/>
                <w:kern w:val="0"/>
                <w:sz w:val="21"/>
                <w:szCs w:val="21"/>
                <w:bdr w:val="none" w:color="auto" w:sz="0" w:space="0"/>
                <w:lang w:val="en-US" w:eastAsia="zh-CN" w:bidi="ar"/>
              </w:rPr>
              <w:t>GB3095-2012</w:t>
            </w:r>
            <w:r>
              <w:rPr>
                <w:rFonts w:hint="eastAsia" w:ascii="Times New Roman" w:hAnsi="Times New Roman" w:eastAsia="宋体" w:cs="Times New Roman"/>
                <w:color w:val="000000"/>
                <w:kern w:val="0"/>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524" w:type="dxa"/>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2270"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24h</w:t>
            </w:r>
          </w:p>
        </w:tc>
        <w:tc>
          <w:tcPr>
            <w:tcW w:w="1985"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150</w:t>
            </w:r>
          </w:p>
        </w:tc>
        <w:tc>
          <w:tcPr>
            <w:tcW w:w="2240"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bl>
    <w:p>
      <w:pPr>
        <w:keepNext w:val="0"/>
        <w:keepLines w:val="0"/>
        <w:widowControl/>
        <w:suppressLineNumbers w:val="0"/>
        <w:tabs>
          <w:tab w:val="left" w:pos="6580"/>
        </w:tabs>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）估算模型参数</w:t>
      </w:r>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采用《环境影响评价技术导则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大气环境》（</w:t>
      </w:r>
      <w:r>
        <w:rPr>
          <w:rFonts w:hint="default" w:ascii="Times New Roman" w:hAnsi="Times New Roman" w:eastAsia="宋体" w:cs="Times New Roman"/>
          <w:color w:val="000000"/>
          <w:kern w:val="0"/>
          <w:sz w:val="24"/>
          <w:szCs w:val="24"/>
          <w:lang w:val="en-US" w:eastAsia="zh-CN" w:bidi="ar"/>
        </w:rPr>
        <w:t>HJ2.2-2018</w:t>
      </w:r>
      <w:r>
        <w:rPr>
          <w:rFonts w:hint="eastAsia" w:ascii="Times New Roman" w:hAnsi="Times New Roman" w:eastAsia="宋体" w:cs="Times New Roman"/>
          <w:color w:val="000000"/>
          <w:kern w:val="0"/>
          <w:sz w:val="24"/>
          <w:szCs w:val="24"/>
          <w:lang w:val="en-US" w:eastAsia="zh-CN" w:bidi="ar"/>
        </w:rPr>
        <w:t>）附录</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推荐模型清单中的估算模型</w:t>
      </w:r>
      <w:r>
        <w:rPr>
          <w:rFonts w:hint="default" w:ascii="Times New Roman" w:hAnsi="Times New Roman" w:eastAsia="宋体" w:cs="Times New Roman"/>
          <w:color w:val="000000"/>
          <w:kern w:val="0"/>
          <w:sz w:val="24"/>
          <w:szCs w:val="24"/>
          <w:lang w:val="en-US" w:eastAsia="zh-CN" w:bidi="ar"/>
        </w:rPr>
        <w:t>AERSCREEN</w:t>
      </w:r>
      <w:r>
        <w:rPr>
          <w:rFonts w:hint="eastAsia" w:ascii="Times New Roman" w:hAnsi="Times New Roman" w:eastAsia="宋体" w:cs="Times New Roman"/>
          <w:color w:val="000000"/>
          <w:kern w:val="0"/>
          <w:sz w:val="24"/>
          <w:szCs w:val="24"/>
          <w:lang w:val="en-US" w:eastAsia="zh-CN" w:bidi="ar"/>
        </w:rPr>
        <w:t>进行估算，估算模型选用参数见表</w:t>
      </w:r>
      <w:r>
        <w:rPr>
          <w:rFonts w:hint="default" w:ascii="Times New Roman" w:hAnsi="Times New Roman" w:eastAsia="宋体" w:cs="Times New Roman"/>
          <w:color w:val="000000"/>
          <w:kern w:val="0"/>
          <w:sz w:val="24"/>
          <w:szCs w:val="24"/>
          <w:lang w:val="en-US" w:eastAsia="zh-CN" w:bidi="ar"/>
        </w:rPr>
        <w:t>1.5-2</w:t>
      </w:r>
      <w:r>
        <w:rPr>
          <w:rFonts w:hint="eastAsia" w:ascii="Times New Roman" w:hAnsi="Times New Roman" w:eastAsia="宋体" w:cs="Times New Roman"/>
          <w:color w:val="000000"/>
          <w:kern w:val="0"/>
          <w:sz w:val="24"/>
          <w:szCs w:val="24"/>
          <w:lang w:val="en-US" w:eastAsia="zh-CN" w:bidi="ar"/>
        </w:rPr>
        <w:t>。</w:t>
      </w:r>
    </w:p>
    <w:p>
      <w:pPr>
        <w:pStyle w:val="56"/>
        <w:widowControl/>
        <w:snapToGrid/>
        <w:rPr>
          <w:color w:val="000000"/>
          <w:lang w:val="en-US"/>
        </w:rPr>
      </w:pPr>
    </w:p>
    <w:p>
      <w:pPr>
        <w:pStyle w:val="56"/>
        <w:widowControl/>
        <w:snapToGrid/>
        <w:rPr>
          <w:color w:val="000000"/>
          <w:lang w:val="en-US"/>
        </w:rPr>
      </w:pPr>
      <w:r>
        <w:rPr>
          <w:rFonts w:hint="eastAsia" w:ascii="Times New Roman" w:hAnsi="Times New Roman" w:eastAsia="黑体" w:cs="黑体"/>
          <w:color w:val="000000"/>
          <w:lang w:eastAsia="zh-CN"/>
        </w:rPr>
        <w:t>表</w:t>
      </w:r>
      <w:r>
        <w:rPr>
          <w:color w:val="000000"/>
          <w:lang w:val="en-US"/>
        </w:rPr>
        <w:t xml:space="preserve">1.5-2  </w:t>
      </w:r>
      <w:r>
        <w:rPr>
          <w:rFonts w:hint="eastAsia" w:ascii="Times New Roman" w:hAnsi="Times New Roman" w:eastAsia="黑体" w:cs="黑体"/>
          <w:color w:val="000000"/>
          <w:lang w:eastAsia="zh-CN"/>
        </w:rPr>
        <w:t>估算模型参数一览表</w:t>
      </w:r>
    </w:p>
    <w:tbl>
      <w:tblPr>
        <w:tblStyle w:val="32"/>
        <w:tblW w:w="4930" w:type="pct"/>
        <w:jc w:val="center"/>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shd w:val="clear"/>
        <w:tblLayout w:type="autofit"/>
        <w:tblCellMar>
          <w:top w:w="0" w:type="dxa"/>
          <w:left w:w="108" w:type="dxa"/>
          <w:bottom w:w="0" w:type="dxa"/>
          <w:right w:w="108" w:type="dxa"/>
        </w:tblCellMar>
      </w:tblPr>
      <w:tblGrid>
        <w:gridCol w:w="2392"/>
        <w:gridCol w:w="2392"/>
        <w:gridCol w:w="3821"/>
      </w:tblGrid>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shd w:val="clear"/>
          <w:tblCellMar>
            <w:top w:w="0" w:type="dxa"/>
            <w:left w:w="108" w:type="dxa"/>
            <w:bottom w:w="0" w:type="dxa"/>
            <w:right w:w="108" w:type="dxa"/>
          </w:tblCellMar>
        </w:tblPrEx>
        <w:trPr>
          <w:trHeight w:val="340" w:hRule="atLeast"/>
          <w:tblHeader/>
          <w:jc w:val="center"/>
        </w:trPr>
        <w:tc>
          <w:tcPr>
            <w:tcW w:w="2780" w:type="pct"/>
            <w:gridSpan w:val="2"/>
            <w:tcBorders>
              <w:top w:val="thinThickSmallGap" w:color="auto" w:sz="12" w:space="0"/>
              <w:left w:val="nil"/>
              <w:bottom w:val="single" w:color="auto" w:sz="2" w:space="0"/>
              <w:right w:val="single" w:color="auto" w:sz="2" w:space="0"/>
            </w:tcBorders>
            <w:shd w:val="clear" w:color="auto" w:fill="E0E0E0"/>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参数</w:t>
            </w:r>
          </w:p>
        </w:tc>
        <w:tc>
          <w:tcPr>
            <w:tcW w:w="2220" w:type="pct"/>
            <w:tcBorders>
              <w:top w:val="thinThickSmallGap" w:color="auto" w:sz="12" w:space="0"/>
              <w:left w:val="single" w:color="auto" w:sz="2" w:space="0"/>
              <w:bottom w:val="single" w:color="auto" w:sz="2" w:space="0"/>
              <w:right w:val="nil"/>
            </w:tcBorders>
            <w:shd w:val="clear" w:color="auto" w:fill="E0E0E0"/>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取值</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390" w:type="pct"/>
            <w:vMerge w:val="restart"/>
            <w:tcBorders>
              <w:top w:val="single" w:color="auto" w:sz="2" w:space="0"/>
              <w:left w:val="nil"/>
              <w:bottom w:val="single" w:color="auto" w:sz="2" w:space="0"/>
              <w:right w:val="single" w:color="auto" w:sz="2" w:space="0"/>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城市</w:t>
            </w:r>
            <w:r>
              <w:rPr>
                <w:rFonts w:hint="default" w:ascii="Times New Roman" w:hAnsi="Times New Roman" w:cs="Times New Roman"/>
                <w:color w:val="000000"/>
                <w:kern w:val="2"/>
                <w:szCs w:val="21"/>
                <w:bdr w:val="none" w:color="auto" w:sz="0" w:space="0"/>
                <w:lang w:val="en-US"/>
              </w:rPr>
              <w:t>/</w:t>
            </w:r>
            <w:r>
              <w:rPr>
                <w:rFonts w:ascii="Times New Roman" w:hAnsi="Times New Roman"/>
                <w:color w:val="000000"/>
                <w:kern w:val="2"/>
                <w:szCs w:val="21"/>
                <w:bdr w:val="none" w:color="auto" w:sz="0" w:space="0"/>
              </w:rPr>
              <w:t>农村选项</w:t>
            </w:r>
          </w:p>
        </w:tc>
        <w:tc>
          <w:tcPr>
            <w:tcW w:w="1390" w:type="pct"/>
            <w:tcBorders>
              <w:top w:val="single" w:color="auto" w:sz="2" w:space="0"/>
              <w:left w:val="single" w:color="auto" w:sz="2" w:space="0"/>
              <w:bottom w:val="single" w:color="auto" w:sz="2" w:space="0"/>
              <w:right w:val="single" w:color="auto" w:sz="2" w:space="0"/>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城市</w:t>
            </w:r>
            <w:r>
              <w:rPr>
                <w:rFonts w:hint="default" w:ascii="Times New Roman" w:hAnsi="Times New Roman" w:cs="Times New Roman"/>
                <w:color w:val="000000"/>
                <w:kern w:val="2"/>
                <w:szCs w:val="21"/>
                <w:bdr w:val="none" w:color="auto" w:sz="0" w:space="0"/>
                <w:lang w:val="en-US"/>
              </w:rPr>
              <w:t>/</w:t>
            </w:r>
            <w:r>
              <w:rPr>
                <w:rFonts w:ascii="Times New Roman" w:hAnsi="Times New Roman"/>
                <w:color w:val="000000"/>
                <w:kern w:val="2"/>
                <w:szCs w:val="21"/>
                <w:bdr w:val="none" w:color="auto" w:sz="0" w:space="0"/>
              </w:rPr>
              <w:t>农村</w:t>
            </w:r>
          </w:p>
        </w:tc>
        <w:tc>
          <w:tcPr>
            <w:tcW w:w="2220" w:type="pct"/>
            <w:tcBorders>
              <w:top w:val="single" w:color="auto" w:sz="2" w:space="0"/>
              <w:left w:val="single" w:color="auto" w:sz="2" w:space="0"/>
              <w:bottom w:val="single" w:color="auto" w:sz="2" w:space="0"/>
              <w:right w:val="nil"/>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农村</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390" w:type="pct"/>
            <w:vMerge w:val="continue"/>
            <w:tcBorders>
              <w:top w:val="single" w:color="auto" w:sz="2" w:space="0"/>
              <w:left w:val="nil"/>
              <w:bottom w:val="single" w:color="auto" w:sz="2" w:space="0"/>
              <w:right w:val="single" w:color="auto" w:sz="2" w:space="0"/>
            </w:tcBorders>
            <w:shd w:val="clear"/>
            <w:vAlign w:val="center"/>
          </w:tcPr>
          <w:p>
            <w:pPr>
              <w:rPr>
                <w:rFonts w:hint="default" w:ascii="Times New Roman" w:hAnsi="Times New Roman" w:cs="Times New Roman"/>
                <w:sz w:val="20"/>
                <w:szCs w:val="20"/>
              </w:rPr>
            </w:pPr>
          </w:p>
        </w:tc>
        <w:tc>
          <w:tcPr>
            <w:tcW w:w="1390" w:type="pct"/>
            <w:tcBorders>
              <w:top w:val="single" w:color="auto" w:sz="2" w:space="0"/>
              <w:left w:val="single" w:color="auto" w:sz="2" w:space="0"/>
              <w:bottom w:val="single" w:color="auto" w:sz="2" w:space="0"/>
              <w:right w:val="single" w:color="auto" w:sz="2" w:space="0"/>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人口数（城市选项时）</w:t>
            </w:r>
          </w:p>
        </w:tc>
        <w:tc>
          <w:tcPr>
            <w:tcW w:w="2220" w:type="pct"/>
            <w:tcBorders>
              <w:top w:val="single" w:color="auto" w:sz="2" w:space="0"/>
              <w:left w:val="single" w:color="auto" w:sz="2" w:space="0"/>
              <w:bottom w:val="single" w:color="auto" w:sz="2" w:space="0"/>
              <w:right w:val="nil"/>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PrEx>
        <w:trPr>
          <w:trHeight w:val="340" w:hRule="atLeast"/>
          <w:jc w:val="center"/>
        </w:trPr>
        <w:tc>
          <w:tcPr>
            <w:tcW w:w="2780" w:type="pct"/>
            <w:gridSpan w:val="2"/>
            <w:tcBorders>
              <w:top w:val="single" w:color="auto" w:sz="2" w:space="0"/>
              <w:left w:val="nil"/>
              <w:bottom w:val="single" w:color="auto" w:sz="2" w:space="0"/>
              <w:right w:val="single" w:color="auto" w:sz="2" w:space="0"/>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最高环境温度</w:t>
            </w:r>
            <w:r>
              <w:rPr>
                <w:rFonts w:hint="default" w:ascii="Times New Roman" w:hAnsi="Times New Roman" w:cs="Times New Roman"/>
                <w:color w:val="000000"/>
                <w:kern w:val="2"/>
                <w:szCs w:val="21"/>
                <w:bdr w:val="none" w:color="auto" w:sz="0" w:space="0"/>
                <w:lang w:val="en-US"/>
              </w:rPr>
              <w:t>/℃</w:t>
            </w:r>
          </w:p>
        </w:tc>
        <w:tc>
          <w:tcPr>
            <w:tcW w:w="2220" w:type="pct"/>
            <w:tcBorders>
              <w:top w:val="single" w:color="auto" w:sz="2" w:space="0"/>
              <w:left w:val="single" w:color="auto" w:sz="2" w:space="0"/>
              <w:bottom w:val="single" w:color="auto" w:sz="2" w:space="0"/>
              <w:right w:val="nil"/>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24.6</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0" w:type="pct"/>
            <w:gridSpan w:val="2"/>
            <w:tcBorders>
              <w:top w:val="single" w:color="auto" w:sz="2" w:space="0"/>
              <w:left w:val="nil"/>
              <w:bottom w:val="single" w:color="auto" w:sz="2" w:space="0"/>
              <w:right w:val="single" w:color="auto" w:sz="2" w:space="0"/>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最低环境温度</w:t>
            </w:r>
            <w:r>
              <w:rPr>
                <w:rFonts w:hint="default" w:ascii="Times New Roman" w:hAnsi="Times New Roman" w:cs="Times New Roman"/>
                <w:color w:val="000000"/>
                <w:kern w:val="2"/>
                <w:szCs w:val="21"/>
                <w:bdr w:val="none" w:color="auto" w:sz="0" w:space="0"/>
                <w:lang w:val="en-US"/>
              </w:rPr>
              <w:t>/℃</w:t>
            </w:r>
          </w:p>
        </w:tc>
        <w:tc>
          <w:tcPr>
            <w:tcW w:w="2220" w:type="pct"/>
            <w:tcBorders>
              <w:top w:val="single" w:color="auto" w:sz="2" w:space="0"/>
              <w:left w:val="single" w:color="auto" w:sz="2" w:space="0"/>
              <w:bottom w:val="single" w:color="auto" w:sz="2" w:space="0"/>
              <w:right w:val="nil"/>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-11.2</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0" w:type="pct"/>
            <w:gridSpan w:val="2"/>
            <w:tcBorders>
              <w:top w:val="single" w:color="auto" w:sz="2" w:space="0"/>
              <w:left w:val="nil"/>
              <w:bottom w:val="single" w:color="auto" w:sz="2" w:space="0"/>
              <w:right w:val="single" w:color="auto" w:sz="2" w:space="0"/>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土地利用类型</w:t>
            </w:r>
          </w:p>
        </w:tc>
        <w:tc>
          <w:tcPr>
            <w:tcW w:w="2220" w:type="pct"/>
            <w:tcBorders>
              <w:top w:val="single" w:color="auto" w:sz="2" w:space="0"/>
              <w:left w:val="single" w:color="auto" w:sz="2" w:space="0"/>
              <w:bottom w:val="single" w:color="auto" w:sz="2" w:space="0"/>
              <w:right w:val="nil"/>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农田</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0" w:type="pct"/>
            <w:gridSpan w:val="2"/>
            <w:tcBorders>
              <w:top w:val="single" w:color="auto" w:sz="2" w:space="0"/>
              <w:left w:val="nil"/>
              <w:bottom w:val="single" w:color="auto" w:sz="2" w:space="0"/>
              <w:right w:val="single" w:color="auto" w:sz="2" w:space="0"/>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区域湿度条件</w:t>
            </w:r>
          </w:p>
        </w:tc>
        <w:tc>
          <w:tcPr>
            <w:tcW w:w="2220" w:type="pct"/>
            <w:tcBorders>
              <w:top w:val="single" w:color="auto" w:sz="2" w:space="0"/>
              <w:left w:val="single" w:color="auto" w:sz="2" w:space="0"/>
              <w:bottom w:val="single" w:color="auto" w:sz="2" w:space="0"/>
              <w:right w:val="nil"/>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中等湿度</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390" w:type="pct"/>
            <w:vMerge w:val="restart"/>
            <w:tcBorders>
              <w:top w:val="single" w:color="auto" w:sz="2" w:space="0"/>
              <w:left w:val="nil"/>
              <w:bottom w:val="single" w:color="auto" w:sz="2" w:space="0"/>
              <w:right w:val="single" w:color="auto" w:sz="2" w:space="0"/>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是否考虑地形</w:t>
            </w:r>
          </w:p>
        </w:tc>
        <w:tc>
          <w:tcPr>
            <w:tcW w:w="1390" w:type="pct"/>
            <w:tcBorders>
              <w:top w:val="single" w:color="auto" w:sz="2" w:space="0"/>
              <w:left w:val="single" w:color="auto" w:sz="2" w:space="0"/>
              <w:bottom w:val="single" w:color="auto" w:sz="2" w:space="0"/>
              <w:right w:val="single" w:color="auto" w:sz="2" w:space="0"/>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考虑地形</w:t>
            </w:r>
          </w:p>
        </w:tc>
        <w:tc>
          <w:tcPr>
            <w:tcW w:w="2220" w:type="pct"/>
            <w:tcBorders>
              <w:top w:val="single" w:color="auto" w:sz="2" w:space="0"/>
              <w:left w:val="single" w:color="auto" w:sz="2" w:space="0"/>
              <w:bottom w:val="single" w:color="auto" w:sz="2" w:space="0"/>
              <w:right w:val="nil"/>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hint="default" w:ascii="Segoe UI Emoji" w:hAnsi="Segoe UI Emoji" w:eastAsia="MS Mincho" w:cs="Segoe UI Emoji"/>
                <w:color w:val="000000"/>
                <w:kern w:val="2"/>
                <w:szCs w:val="21"/>
                <w:bdr w:val="none" w:color="auto" w:sz="0" w:space="0"/>
                <w:lang w:val="en-US"/>
              </w:rPr>
              <w:t>☑</w:t>
            </w:r>
            <w:r>
              <w:rPr>
                <w:rFonts w:ascii="Times New Roman" w:hAnsi="Times New Roman"/>
                <w:color w:val="000000"/>
                <w:kern w:val="2"/>
                <w:szCs w:val="21"/>
                <w:bdr w:val="none" w:color="auto" w:sz="0" w:space="0"/>
              </w:rPr>
              <w:t>是</w:t>
            </w:r>
            <w:r>
              <w:rPr>
                <w:rFonts w:hint="default" w:ascii="Times New Roman" w:hAnsi="Times New Roman" w:cs="Times New Roman"/>
                <w:color w:val="000000"/>
                <w:kern w:val="2"/>
                <w:szCs w:val="21"/>
                <w:bdr w:val="none" w:color="auto" w:sz="0" w:space="0"/>
              </w:rPr>
              <w:t xml:space="preserve"> </w:t>
            </w:r>
            <w:r>
              <w:rPr>
                <w:rFonts w:hint="default" w:ascii="Times New Roman" w:hAnsi="Times New Roman" w:cs="Times New Roman"/>
                <w:color w:val="000000"/>
                <w:kern w:val="2"/>
                <w:szCs w:val="21"/>
                <w:bdr w:val="none" w:color="auto" w:sz="0" w:space="0"/>
                <w:lang w:val="en-US"/>
              </w:rPr>
              <w:t xml:space="preserve">  □</w:t>
            </w:r>
            <w:r>
              <w:rPr>
                <w:rFonts w:ascii="Times New Roman" w:hAnsi="Times New Roman"/>
                <w:color w:val="000000"/>
                <w:kern w:val="2"/>
                <w:szCs w:val="21"/>
                <w:bdr w:val="none" w:color="auto" w:sz="0" w:space="0"/>
              </w:rPr>
              <w:t>否</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390" w:type="pct"/>
            <w:vMerge w:val="continue"/>
            <w:tcBorders>
              <w:top w:val="single" w:color="auto" w:sz="2" w:space="0"/>
              <w:left w:val="nil"/>
              <w:bottom w:val="single" w:color="auto" w:sz="2" w:space="0"/>
              <w:right w:val="single" w:color="auto" w:sz="2" w:space="0"/>
            </w:tcBorders>
            <w:shd w:val="clear"/>
            <w:vAlign w:val="center"/>
          </w:tcPr>
          <w:p>
            <w:pPr>
              <w:rPr>
                <w:rFonts w:hint="default" w:ascii="Times New Roman" w:hAnsi="Times New Roman" w:cs="Times New Roman"/>
                <w:sz w:val="20"/>
                <w:szCs w:val="20"/>
              </w:rPr>
            </w:pPr>
          </w:p>
        </w:tc>
        <w:tc>
          <w:tcPr>
            <w:tcW w:w="1390" w:type="pct"/>
            <w:tcBorders>
              <w:top w:val="single" w:color="auto" w:sz="2" w:space="0"/>
              <w:left w:val="single" w:color="auto" w:sz="2" w:space="0"/>
              <w:bottom w:val="single" w:color="auto" w:sz="2" w:space="0"/>
              <w:right w:val="single" w:color="auto" w:sz="2" w:space="0"/>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地形数据分辨率</w:t>
            </w:r>
            <w:r>
              <w:rPr>
                <w:rFonts w:hint="default" w:ascii="Times New Roman" w:hAnsi="Times New Roman" w:cs="Times New Roman"/>
                <w:color w:val="000000"/>
                <w:kern w:val="2"/>
                <w:szCs w:val="21"/>
                <w:bdr w:val="none" w:color="auto" w:sz="0" w:space="0"/>
                <w:lang w:val="en-US"/>
              </w:rPr>
              <w:t>/m</w:t>
            </w:r>
          </w:p>
        </w:tc>
        <w:tc>
          <w:tcPr>
            <w:tcW w:w="2220" w:type="pct"/>
            <w:tcBorders>
              <w:top w:val="single" w:color="auto" w:sz="2" w:space="0"/>
              <w:left w:val="single" w:color="auto" w:sz="2" w:space="0"/>
              <w:bottom w:val="single" w:color="auto" w:sz="2" w:space="0"/>
              <w:right w:val="nil"/>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90</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PrEx>
        <w:trPr>
          <w:trHeight w:val="340" w:hRule="atLeast"/>
          <w:jc w:val="center"/>
        </w:trPr>
        <w:tc>
          <w:tcPr>
            <w:tcW w:w="1390" w:type="pct"/>
            <w:vMerge w:val="restart"/>
            <w:tcBorders>
              <w:top w:val="single" w:color="auto" w:sz="2" w:space="0"/>
              <w:left w:val="nil"/>
              <w:bottom w:val="thickThinSmallGap" w:color="auto" w:sz="12" w:space="0"/>
              <w:right w:val="single" w:color="auto" w:sz="2" w:space="0"/>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是否考虑岸线熏烟</w:t>
            </w:r>
          </w:p>
        </w:tc>
        <w:tc>
          <w:tcPr>
            <w:tcW w:w="1390" w:type="pct"/>
            <w:tcBorders>
              <w:top w:val="single" w:color="auto" w:sz="2" w:space="0"/>
              <w:left w:val="single" w:color="auto" w:sz="2" w:space="0"/>
              <w:bottom w:val="single" w:color="auto" w:sz="2" w:space="0"/>
              <w:right w:val="single" w:color="auto" w:sz="2" w:space="0"/>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考虑岸线熏烟</w:t>
            </w:r>
          </w:p>
        </w:tc>
        <w:tc>
          <w:tcPr>
            <w:tcW w:w="2220" w:type="pct"/>
            <w:tcBorders>
              <w:top w:val="single" w:color="auto" w:sz="2" w:space="0"/>
              <w:left w:val="single" w:color="auto" w:sz="2" w:space="0"/>
              <w:bottom w:val="single" w:color="auto" w:sz="2" w:space="0"/>
              <w:right w:val="nil"/>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w:t>
            </w:r>
            <w:r>
              <w:rPr>
                <w:rFonts w:ascii="Times New Roman" w:hAnsi="Times New Roman"/>
                <w:color w:val="000000"/>
                <w:kern w:val="2"/>
                <w:szCs w:val="21"/>
                <w:bdr w:val="none" w:color="auto" w:sz="0" w:space="0"/>
              </w:rPr>
              <w:t>是</w:t>
            </w:r>
            <w:r>
              <w:rPr>
                <w:rFonts w:hint="default" w:ascii="Times New Roman" w:hAnsi="Times New Roman" w:cs="Times New Roman"/>
                <w:color w:val="000000"/>
                <w:kern w:val="2"/>
                <w:szCs w:val="21"/>
                <w:bdr w:val="none" w:color="auto" w:sz="0" w:space="0"/>
                <w:lang w:val="en-US"/>
              </w:rPr>
              <w:t xml:space="preserve">   </w:t>
            </w:r>
            <w:r>
              <w:rPr>
                <w:rFonts w:hint="default" w:ascii="Segoe UI Emoji" w:hAnsi="Segoe UI Emoji" w:eastAsia="MS Mincho" w:cs="Segoe UI Emoji"/>
                <w:color w:val="000000"/>
                <w:kern w:val="2"/>
                <w:szCs w:val="21"/>
                <w:bdr w:val="none" w:color="auto" w:sz="0" w:space="0"/>
                <w:lang w:val="en-US"/>
              </w:rPr>
              <w:t>☑</w:t>
            </w:r>
            <w:r>
              <w:rPr>
                <w:rFonts w:ascii="Times New Roman" w:hAnsi="Times New Roman"/>
                <w:color w:val="000000"/>
                <w:kern w:val="2"/>
                <w:szCs w:val="21"/>
                <w:bdr w:val="none" w:color="auto" w:sz="0" w:space="0"/>
              </w:rPr>
              <w:t>否</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390" w:type="pct"/>
            <w:vMerge w:val="continue"/>
            <w:tcBorders>
              <w:top w:val="single" w:color="auto" w:sz="2" w:space="0"/>
              <w:left w:val="nil"/>
              <w:bottom w:val="thickThinSmallGap" w:color="auto" w:sz="12" w:space="0"/>
              <w:right w:val="single" w:color="auto" w:sz="2" w:space="0"/>
            </w:tcBorders>
            <w:shd w:val="clear"/>
            <w:vAlign w:val="center"/>
          </w:tcPr>
          <w:p>
            <w:pPr>
              <w:rPr>
                <w:rFonts w:hint="default" w:ascii="Times New Roman" w:hAnsi="Times New Roman" w:cs="Times New Roman"/>
                <w:sz w:val="20"/>
                <w:szCs w:val="20"/>
              </w:rPr>
            </w:pPr>
          </w:p>
        </w:tc>
        <w:tc>
          <w:tcPr>
            <w:tcW w:w="1390" w:type="pct"/>
            <w:tcBorders>
              <w:top w:val="single" w:color="auto" w:sz="2" w:space="0"/>
              <w:left w:val="single" w:color="auto" w:sz="2" w:space="0"/>
              <w:bottom w:val="single" w:color="auto" w:sz="2" w:space="0"/>
              <w:right w:val="single" w:color="auto" w:sz="2" w:space="0"/>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岸线距离</w:t>
            </w:r>
            <w:r>
              <w:rPr>
                <w:rFonts w:hint="default" w:ascii="Times New Roman" w:hAnsi="Times New Roman" w:cs="Times New Roman"/>
                <w:color w:val="000000"/>
                <w:kern w:val="2"/>
                <w:szCs w:val="21"/>
                <w:bdr w:val="none" w:color="auto" w:sz="0" w:space="0"/>
                <w:lang w:val="en-US"/>
              </w:rPr>
              <w:t>/km</w:t>
            </w:r>
          </w:p>
        </w:tc>
        <w:tc>
          <w:tcPr>
            <w:tcW w:w="2220" w:type="pct"/>
            <w:tcBorders>
              <w:top w:val="single" w:color="auto" w:sz="2" w:space="0"/>
              <w:left w:val="single" w:color="auto" w:sz="2" w:space="0"/>
              <w:bottom w:val="single" w:color="auto" w:sz="2" w:space="0"/>
              <w:right w:val="nil"/>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390" w:type="pct"/>
            <w:vMerge w:val="continue"/>
            <w:tcBorders>
              <w:top w:val="single" w:color="auto" w:sz="2" w:space="0"/>
              <w:left w:val="nil"/>
              <w:bottom w:val="thickThinSmallGap" w:color="auto" w:sz="12" w:space="0"/>
              <w:right w:val="single" w:color="auto" w:sz="2" w:space="0"/>
            </w:tcBorders>
            <w:shd w:val="clear"/>
            <w:vAlign w:val="center"/>
          </w:tcPr>
          <w:p>
            <w:pPr>
              <w:rPr>
                <w:rFonts w:hint="default" w:ascii="Times New Roman" w:hAnsi="Times New Roman" w:cs="Times New Roman"/>
                <w:sz w:val="20"/>
                <w:szCs w:val="20"/>
              </w:rPr>
            </w:pPr>
          </w:p>
        </w:tc>
        <w:tc>
          <w:tcPr>
            <w:tcW w:w="1390" w:type="pct"/>
            <w:tcBorders>
              <w:top w:val="single" w:color="auto" w:sz="2" w:space="0"/>
              <w:left w:val="single" w:color="auto" w:sz="2" w:space="0"/>
              <w:bottom w:val="thickThinSmallGap" w:color="auto" w:sz="12" w:space="0"/>
              <w:right w:val="single" w:color="auto" w:sz="2" w:space="0"/>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岸线方向</w:t>
            </w:r>
            <w:r>
              <w:rPr>
                <w:rFonts w:hint="default" w:ascii="Times New Roman" w:hAnsi="Times New Roman" w:cs="Times New Roman"/>
                <w:color w:val="000000"/>
                <w:kern w:val="2"/>
                <w:szCs w:val="21"/>
                <w:bdr w:val="none" w:color="auto" w:sz="0" w:space="0"/>
                <w:lang w:val="en-US"/>
              </w:rPr>
              <w:t>/°</w:t>
            </w:r>
          </w:p>
        </w:tc>
        <w:tc>
          <w:tcPr>
            <w:tcW w:w="2220" w:type="pct"/>
            <w:tcBorders>
              <w:top w:val="single" w:color="auto" w:sz="2" w:space="0"/>
              <w:left w:val="single" w:color="auto" w:sz="2" w:space="0"/>
              <w:bottom w:val="thickThinSmallGap" w:color="auto" w:sz="12" w:space="0"/>
              <w:right w:val="nil"/>
            </w:tcBorders>
            <w:shd w:val="clear"/>
            <w:vAlign w:val="center"/>
          </w:tcPr>
          <w:p>
            <w:pPr>
              <w:pStyle w:val="155"/>
              <w:widowControl/>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w:t>
            </w:r>
          </w:p>
        </w:tc>
      </w:tr>
    </w:tbl>
    <w:p>
      <w:pPr>
        <w:keepNext w:val="0"/>
        <w:keepLines w:val="0"/>
        <w:widowControl/>
        <w:suppressLineNumbers w:val="0"/>
        <w:tabs>
          <w:tab w:val="left" w:pos="6580"/>
        </w:tabs>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）地形图</w:t>
      </w:r>
    </w:p>
    <w:p>
      <w:pPr>
        <w:keepNext w:val="0"/>
        <w:keepLines w:val="0"/>
        <w:widowControl/>
        <w:suppressLineNumbers w:val="0"/>
        <w:tabs>
          <w:tab w:val="left" w:pos="6580"/>
        </w:tabs>
        <w:spacing w:before="0" w:beforeAutospacing="0" w:after="0" w:afterAutospacing="0" w:line="360" w:lineRule="auto"/>
        <w:ind w:left="0" w:right="0"/>
        <w:jc w:val="center"/>
        <w:rPr>
          <w:rFonts w:hint="default" w:ascii="Times New Roman" w:hAnsi="Times New Roman" w:eastAsia="黑体" w:cs="Times New Roman"/>
          <w:color w:val="000000"/>
          <w:lang w:val="en-US"/>
        </w:rPr>
      </w:pPr>
      <w:r>
        <w:rPr>
          <w:rFonts w:hint="eastAsia" w:ascii="宋体" w:hAnsi="宋体" w:eastAsia="宋体" w:cs="宋体"/>
          <w:kern w:val="0"/>
          <w:sz w:val="24"/>
          <w:szCs w:val="24"/>
          <w:lang w:val="en-US" w:eastAsia="zh-CN" w:bidi="ar"/>
        </w:rPr>
        <mc:AlternateContent>
          <mc:Choice Requires="wps">
            <w:drawing>
              <wp:anchor distT="0" distB="0" distL="114300" distR="114300" simplePos="0" relativeHeight="251719680" behindDoc="0" locked="0" layoutInCell="1" allowOverlap="1">
                <wp:simplePos x="0" y="0"/>
                <wp:positionH relativeFrom="margin">
                  <wp:posOffset>3201670</wp:posOffset>
                </wp:positionH>
                <wp:positionV relativeFrom="paragraph">
                  <wp:posOffset>1287780</wp:posOffset>
                </wp:positionV>
                <wp:extent cx="802640" cy="286385"/>
                <wp:effectExtent l="114935" t="5080" r="15875" b="241935"/>
                <wp:wrapNone/>
                <wp:docPr id="13" name="自选图形 3"/>
                <wp:cNvGraphicFramePr/>
                <a:graphic xmlns:a="http://schemas.openxmlformats.org/drawingml/2006/main">
                  <a:graphicData uri="http://schemas.microsoft.com/office/word/2010/wordprocessingShape">
                    <wps:wsp>
                      <wps:cNvSpPr/>
                      <wps:spPr>
                        <a:xfrm>
                          <a:off x="0" y="0"/>
                          <a:ext cx="802640" cy="286385"/>
                        </a:xfrm>
                        <a:prstGeom prst="wedgeRectCallout">
                          <a:avLst>
                            <a:gd name="adj1" fmla="val -61074"/>
                            <a:gd name="adj2" fmla="val 125611"/>
                          </a:avLst>
                        </a:prstGeom>
                        <a:solidFill>
                          <a:srgbClr val="FFFFFF">
                            <a:alpha val="70000"/>
                          </a:srgbClr>
                        </a:solidFill>
                        <a:ln w="9525" cap="flat" cmpd="sng">
                          <a:solidFill>
                            <a:srgbClr val="FFFFFF"/>
                          </a:solidFill>
                          <a:prstDash val="solid"/>
                          <a:miter/>
                          <a:headEnd type="none" w="med" len="med"/>
                          <a:tailEnd type="none" w="med" len="med"/>
                        </a:ln>
                      </wps:spPr>
                      <wps:txbx>
                        <w:txbxContent>
                          <w:p>
                            <w:pPr>
                              <w:keepNext w:val="0"/>
                              <w:keepLines w:val="0"/>
                              <w:widowControl/>
                              <w:suppressLineNumbers w:val="0"/>
                              <w:adjustRightInd w:val="0"/>
                              <w:snapToGrid w:val="0"/>
                              <w:spacing w:before="0" w:beforeAutospacing="0" w:after="0" w:afterAutospacing="0"/>
                              <w:ind w:left="0" w:right="0"/>
                              <w:jc w:val="center"/>
                              <w:rPr>
                                <w:color w:val="000000"/>
                                <w:lang w:val="en-US"/>
                              </w:rPr>
                            </w:pPr>
                            <w:r>
                              <w:rPr>
                                <w:rFonts w:hint="eastAsia" w:ascii="宋体" w:hAnsi="宋体" w:eastAsia="宋体" w:cs="宋体"/>
                                <w:color w:val="000000"/>
                                <w:kern w:val="0"/>
                                <w:sz w:val="24"/>
                                <w:szCs w:val="24"/>
                                <w:lang w:val="en-US" w:eastAsia="zh-CN" w:bidi="ar"/>
                              </w:rPr>
                              <w:t>本项目</w:t>
                            </w:r>
                          </w:p>
                        </w:txbxContent>
                      </wps:txbx>
                      <wps:bodyPr upright="1"/>
                    </wps:wsp>
                  </a:graphicData>
                </a:graphic>
              </wp:anchor>
            </w:drawing>
          </mc:Choice>
          <mc:Fallback>
            <w:pict>
              <v:shape id="自选图形 3" o:spid="_x0000_s1026" o:spt="61" type="#_x0000_t61" style="position:absolute;left:0pt;margin-left:252.1pt;margin-top:101.4pt;height:22.55pt;width:63.2pt;mso-position-horizontal-relative:margin;z-index:251719680;mso-width-relative:page;mso-height-relative:page;" fillcolor="#FFFFFF" filled="t" stroked="t" coordsize="21600,21600" o:gfxdata="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84KsytoAAAALAQAADwAAAAAAAAABACAAAAAiAAAAZHJzL2Rvd25yZXYueG1s&#10;UEsBAhQAFAAAAAgAh07iQK5/sLsvAgAAYQQAAA4AAAAAAAAAAQAgAAAAKQEAAGRycy9lMm9Eb2Mu&#10;eG1sUEsFBgAAAAAGAAYAWQEAAMoFAAAAAA==&#10;" adj="-2392,37932">
                <v:fill on="t" opacity="45875f" focussize="0,0"/>
                <v:stroke color="#FFFFFF" joinstyle="miter"/>
                <v:imagedata o:title=""/>
                <o:lock v:ext="edit" aspectratio="f"/>
                <v:textbox>
                  <w:txbxContent>
                    <w:p>
                      <w:pPr>
                        <w:keepNext w:val="0"/>
                        <w:keepLines w:val="0"/>
                        <w:widowControl/>
                        <w:suppressLineNumbers w:val="0"/>
                        <w:adjustRightInd w:val="0"/>
                        <w:snapToGrid w:val="0"/>
                        <w:spacing w:before="0" w:beforeAutospacing="0" w:after="0" w:afterAutospacing="0"/>
                        <w:ind w:left="0" w:right="0"/>
                        <w:jc w:val="center"/>
                        <w:rPr>
                          <w:color w:val="000000"/>
                          <w:lang w:val="en-US"/>
                        </w:rPr>
                      </w:pPr>
                      <w:r>
                        <w:rPr>
                          <w:rFonts w:hint="eastAsia" w:ascii="宋体" w:hAnsi="宋体" w:eastAsia="宋体" w:cs="宋体"/>
                          <w:color w:val="000000"/>
                          <w:kern w:val="0"/>
                          <w:sz w:val="24"/>
                          <w:szCs w:val="24"/>
                          <w:lang w:val="en-US" w:eastAsia="zh-CN" w:bidi="ar"/>
                        </w:rPr>
                        <w:t>本项目</w:t>
                      </w:r>
                    </w:p>
                  </w:txbxContent>
                </v:textbox>
              </v:shape>
            </w:pict>
          </mc:Fallback>
        </mc:AlternateContent>
      </w:r>
      <w:r>
        <w:rPr>
          <w:lang w:eastAsia="zh-CN"/>
        </w:rPr>
        <mc:AlternateContent>
          <mc:Choice Requires="wps">
            <w:drawing>
              <wp:anchor distT="0" distB="0" distL="114300" distR="114300" simplePos="0" relativeHeight="251720704" behindDoc="0" locked="0" layoutInCell="1" allowOverlap="1">
                <wp:simplePos x="0" y="0"/>
                <wp:positionH relativeFrom="margin">
                  <wp:posOffset>3035935</wp:posOffset>
                </wp:positionH>
                <wp:positionV relativeFrom="paragraph">
                  <wp:posOffset>1756410</wp:posOffset>
                </wp:positionV>
                <wp:extent cx="90805" cy="90805"/>
                <wp:effectExtent l="4445" t="4445" r="19050" b="19050"/>
                <wp:wrapNone/>
                <wp:docPr id="15" name="自选图形 4"/>
                <wp:cNvGraphicFramePr/>
                <a:graphic xmlns:a="http://schemas.openxmlformats.org/drawingml/2006/main">
                  <a:graphicData uri="http://schemas.microsoft.com/office/word/2010/wordprocessingShape">
                    <wps:wsp>
                      <wps:cNvSpPr/>
                      <wps:spPr>
                        <a:xfrm>
                          <a:off x="0" y="0"/>
                          <a:ext cx="90805" cy="90805"/>
                        </a:xfrm>
                        <a:prstGeom prst="flowChartConnector">
                          <a:avLst/>
                        </a:prstGeom>
                        <a:solidFill>
                          <a:srgbClr val="FFFFFF"/>
                        </a:solidFill>
                        <a:ln w="9525" cap="flat" cmpd="sng">
                          <a:solidFill>
                            <a:srgbClr val="FFFFFF"/>
                          </a:solidFill>
                          <a:prstDash val="solid"/>
                          <a:headEnd type="none" w="med" len="med"/>
                          <a:tailEnd type="none" w="med" len="med"/>
                        </a:ln>
                      </wps:spPr>
                      <wps:txbx>
                        <w:txbxContent>
                          <w:p>
                            <w:pPr>
                              <w:jc w:val="center"/>
                            </w:pPr>
                          </w:p>
                        </w:txbxContent>
                      </wps:txbx>
                      <wps:bodyPr upright="1"/>
                    </wps:wsp>
                  </a:graphicData>
                </a:graphic>
              </wp:anchor>
            </w:drawing>
          </mc:Choice>
          <mc:Fallback>
            <w:pict>
              <v:shape id="自选图形 4" o:spid="_x0000_s1026" o:spt="120" type="#_x0000_t120" style="position:absolute;left:0pt;margin-left:239.05pt;margin-top:138.3pt;height:7.15pt;width:7.15pt;mso-position-horizontal-relative:margin;z-index:251720704;mso-width-relative:page;mso-height-relative:page;" fillcolor="#FFFFFF" filled="t" stroked="t" coordsize="21600,21600" o:gfxdata="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Kzp&#10;PMLaAAAACwEAAA8AAAAAAAAAAQAgAAAAIgAAAGRycy9kb3ducmV2LnhtbFBLAQIUABQAAAAIAIdO&#10;4kAZj9Hi6AEAANgDAAAOAAAAAAAAAAEAIAAAACkBAABkcnMvZTJvRG9jLnhtbFBLBQYAAAAABgAG&#10;AFkBAACDBQAAAAA=&#10;">
                <v:fill on="t" focussize="0,0"/>
                <v:stroke color="#FFFFFF" joinstyle="round"/>
                <v:imagedata o:title=""/>
                <o:lock v:ext="edit" aspectratio="f"/>
                <v:textbox>
                  <w:txbxContent>
                    <w:p>
                      <w:pPr>
                        <w:jc w:val="center"/>
                      </w:pPr>
                    </w:p>
                  </w:txbxContent>
                </v:textbox>
              </v:shape>
            </w:pict>
          </mc:Fallback>
        </mc:AlternateContent>
      </w:r>
      <w:r>
        <w:rPr>
          <w:rFonts w:hint="default" w:ascii="Times New Roman" w:hAnsi="Times New Roman" w:eastAsia="黑体" w:cs="Times New Roman"/>
          <w:color w:val="000000"/>
          <w:lang w:val="en-US"/>
        </w:rPr>
        <w:drawing>
          <wp:inline distT="0" distB="0" distL="114300" distR="114300">
            <wp:extent cx="4572000" cy="3590925"/>
            <wp:effectExtent l="0" t="0" r="0" b="9525"/>
            <wp:docPr id="16" name="图片 2" descr="地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地形图"/>
                    <pic:cNvPicPr>
                      <a:picLocks noChangeAspect="1"/>
                    </pic:cNvPicPr>
                  </pic:nvPicPr>
                  <pic:blipFill>
                    <a:blip r:embed="rId6"/>
                    <a:stretch>
                      <a:fillRect/>
                    </a:stretch>
                  </pic:blipFill>
                  <pic:spPr>
                    <a:xfrm>
                      <a:off x="0" y="0"/>
                      <a:ext cx="4572000" cy="3590925"/>
                    </a:xfrm>
                    <a:prstGeom prst="rect">
                      <a:avLst/>
                    </a:prstGeom>
                    <a:noFill/>
                    <a:ln>
                      <a:noFill/>
                    </a:ln>
                  </pic:spPr>
                </pic:pic>
              </a:graphicData>
            </a:graphic>
          </wp:inline>
        </w:drawing>
      </w:r>
    </w:p>
    <w:p>
      <w:pPr>
        <w:keepNext w:val="0"/>
        <w:keepLines w:val="0"/>
        <w:widowControl/>
        <w:suppressLineNumbers w:val="0"/>
        <w:tabs>
          <w:tab w:val="left" w:pos="6580"/>
        </w:tabs>
        <w:spacing w:before="0" w:beforeAutospacing="0" w:after="0" w:afterAutospacing="0" w:line="500" w:lineRule="exact"/>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1-1  </w:t>
      </w:r>
      <w:r>
        <w:rPr>
          <w:rFonts w:hint="eastAsia" w:ascii="Times New Roman" w:hAnsi="Times New Roman" w:eastAsia="黑体" w:cs="Times New Roman"/>
          <w:color w:val="000000"/>
          <w:kern w:val="0"/>
          <w:sz w:val="24"/>
          <w:szCs w:val="24"/>
          <w:lang w:val="en-US" w:eastAsia="zh-CN" w:bidi="ar"/>
        </w:rPr>
        <w:t>本项目大气评价范围地形图</w:t>
      </w:r>
    </w:p>
    <w:p>
      <w:pPr>
        <w:keepNext w:val="0"/>
        <w:keepLines w:val="0"/>
        <w:widowControl/>
        <w:suppressLineNumbers w:val="0"/>
        <w:tabs>
          <w:tab w:val="left" w:pos="6580"/>
        </w:tabs>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4</w:t>
      </w:r>
      <w:r>
        <w:rPr>
          <w:rFonts w:hint="eastAsia" w:ascii="Times New Roman" w:hAnsi="Times New Roman" w:eastAsia="宋体" w:cs="Times New Roman"/>
          <w:b/>
          <w:bCs w:val="0"/>
          <w:color w:val="000000"/>
          <w:kern w:val="0"/>
          <w:sz w:val="24"/>
          <w:szCs w:val="24"/>
          <w:lang w:val="en-US" w:eastAsia="zh-CN" w:bidi="ar"/>
        </w:rPr>
        <w:t>）主要污染源估算模型计算结果</w:t>
      </w:r>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选择本项目污染源正常排放的主要污染物及排放参数，采用</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导则</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推荐模型中的估算模型对项目的大气环境评价工作进行分级，分级依据见表</w:t>
      </w:r>
      <w:r>
        <w:rPr>
          <w:rFonts w:hint="default" w:ascii="Times New Roman" w:hAnsi="Times New Roman" w:eastAsia="宋体" w:cs="Times New Roman"/>
          <w:color w:val="000000"/>
          <w:kern w:val="0"/>
          <w:sz w:val="24"/>
          <w:szCs w:val="24"/>
          <w:lang w:val="en-US" w:eastAsia="zh-CN" w:bidi="ar"/>
        </w:rPr>
        <w:t>1.5-3</w:t>
      </w:r>
      <w:r>
        <w:rPr>
          <w:rFonts w:hint="eastAsia" w:ascii="Times New Roman" w:hAnsi="Times New Roman" w:eastAsia="宋体" w:cs="Times New Roman"/>
          <w:color w:val="000000"/>
          <w:kern w:val="0"/>
          <w:sz w:val="24"/>
          <w:szCs w:val="24"/>
          <w:lang w:val="en-US" w:eastAsia="zh-CN" w:bidi="ar"/>
        </w:rPr>
        <w:t>。</w:t>
      </w:r>
    </w:p>
    <w:p>
      <w:pPr>
        <w:pStyle w:val="56"/>
        <w:widowControl/>
        <w:snapToGrid/>
        <w:rPr>
          <w:color w:val="000000"/>
          <w:lang w:val="en-US"/>
        </w:rPr>
      </w:pPr>
    </w:p>
    <w:p>
      <w:pPr>
        <w:pStyle w:val="56"/>
        <w:widowControl/>
        <w:snapToGrid/>
        <w:rPr>
          <w:color w:val="000000"/>
          <w:lang w:val="en-US"/>
        </w:rPr>
      </w:pPr>
      <w:r>
        <w:rPr>
          <w:rFonts w:hint="eastAsia" w:ascii="Times New Roman" w:hAnsi="Times New Roman" w:eastAsia="黑体" w:cs="黑体"/>
          <w:color w:val="000000"/>
          <w:lang w:eastAsia="zh-CN"/>
        </w:rPr>
        <w:t>表</w:t>
      </w:r>
      <w:r>
        <w:rPr>
          <w:color w:val="000000"/>
          <w:lang w:val="en-US"/>
        </w:rPr>
        <w:t xml:space="preserve">1.5-3  </w:t>
      </w:r>
      <w:r>
        <w:rPr>
          <w:rFonts w:hint="eastAsia" w:ascii="Times New Roman" w:hAnsi="Times New Roman" w:eastAsia="黑体" w:cs="黑体"/>
          <w:color w:val="000000"/>
          <w:lang w:eastAsia="zh-CN"/>
        </w:rPr>
        <w:t>大气评价工作等级分级依据一览表</w:t>
      </w:r>
    </w:p>
    <w:tbl>
      <w:tblPr>
        <w:tblStyle w:val="32"/>
        <w:tblW w:w="4991" w:type="pct"/>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2141"/>
        <w:gridCol w:w="6570"/>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40" w:hRule="atLeast"/>
          <w:tblHeader/>
        </w:trPr>
        <w:tc>
          <w:tcPr>
            <w:tcW w:w="2140" w:type="dxa"/>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评价工作等级</w:t>
            </w:r>
          </w:p>
        </w:tc>
        <w:tc>
          <w:tcPr>
            <w:tcW w:w="6565" w:type="dxa"/>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评价工作分级依据</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40"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一级</w:t>
            </w:r>
          </w:p>
        </w:tc>
        <w:tc>
          <w:tcPr>
            <w:tcW w:w="6565"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w:t>
            </w:r>
            <w:r>
              <w:rPr>
                <w:rFonts w:hint="default" w:ascii="Times New Roman" w:hAnsi="Times New Roman" w:eastAsia="宋体" w:cs="Times New Roman"/>
                <w:color w:val="000000"/>
                <w:kern w:val="0"/>
                <w:sz w:val="21"/>
                <w:szCs w:val="21"/>
                <w:bdr w:val="none" w:color="auto" w:sz="0" w:space="0"/>
                <w:vertAlign w:val="subscript"/>
                <w:lang w:val="en-US" w:eastAsia="zh-CN" w:bidi="ar"/>
              </w:rPr>
              <w:t>max</w:t>
            </w:r>
            <w:r>
              <w:rPr>
                <w:rFonts w:hint="default" w:ascii="Times New Roman" w:hAnsi="Times New Roman" w:eastAsia="宋体" w:cs="Times New Roman"/>
                <w:color w:val="000000"/>
                <w:kern w:val="0"/>
                <w:sz w:val="21"/>
                <w:szCs w:val="21"/>
                <w:bdr w:val="none" w:color="auto" w:sz="0" w:space="0"/>
                <w:lang w:val="en-US" w:eastAsia="zh-CN" w:bidi="ar"/>
              </w:rPr>
              <w:t>≥10%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40"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二级</w:t>
            </w:r>
          </w:p>
        </w:tc>
        <w:tc>
          <w:tcPr>
            <w:tcW w:w="6565"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1%≤P</w:t>
            </w:r>
            <w:r>
              <w:rPr>
                <w:rFonts w:hint="default" w:ascii="Times New Roman" w:hAnsi="Times New Roman" w:eastAsia="宋体" w:cs="Times New Roman"/>
                <w:color w:val="000000"/>
                <w:kern w:val="0"/>
                <w:sz w:val="21"/>
                <w:szCs w:val="21"/>
                <w:bdr w:val="none" w:color="auto" w:sz="0" w:space="0"/>
                <w:vertAlign w:val="subscript"/>
                <w:lang w:val="en-US" w:eastAsia="zh-CN" w:bidi="ar"/>
              </w:rPr>
              <w:t>max</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10%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40" w:type="dxa"/>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三级</w:t>
            </w:r>
          </w:p>
        </w:tc>
        <w:tc>
          <w:tcPr>
            <w:tcW w:w="6565" w:type="dxa"/>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w:t>
            </w:r>
            <w:r>
              <w:rPr>
                <w:rFonts w:hint="default" w:ascii="Times New Roman" w:hAnsi="Times New Roman" w:eastAsia="宋体" w:cs="Times New Roman"/>
                <w:color w:val="000000"/>
                <w:kern w:val="0"/>
                <w:sz w:val="21"/>
                <w:szCs w:val="21"/>
                <w:bdr w:val="none" w:color="auto" w:sz="0" w:space="0"/>
                <w:vertAlign w:val="subscript"/>
                <w:lang w:val="en-US" w:eastAsia="zh-CN" w:bidi="ar"/>
              </w:rPr>
              <w:t>max</w:t>
            </w:r>
            <w:r>
              <w:rPr>
                <w:rFonts w:hint="default" w:ascii="Times New Roman" w:hAnsi="Times New Roman" w:eastAsia="宋体" w:cs="Times New Roman"/>
                <w:color w:val="000000"/>
                <w:kern w:val="0"/>
                <w:sz w:val="21"/>
                <w:szCs w:val="21"/>
                <w:bdr w:val="none" w:color="auto" w:sz="0" w:space="0"/>
                <w:lang w:val="en-US" w:eastAsia="zh-CN" w:bidi="ar"/>
              </w:rPr>
              <w:t>&lt;1%</w:t>
            </w:r>
          </w:p>
        </w:tc>
      </w:tr>
    </w:tbl>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结合本项目污染源的初步调查结果，分别计算主要污染物的最大地面空气质量浓度占标率</w:t>
      </w:r>
      <w:r>
        <w:rPr>
          <w:rFonts w:hint="default" w:ascii="Times New Roman" w:hAnsi="Times New Roman" w:eastAsia="宋体" w:cs="Times New Roman"/>
          <w:color w:val="000000"/>
          <w:kern w:val="0"/>
          <w:sz w:val="24"/>
          <w:szCs w:val="24"/>
          <w:lang w:val="en-US" w:eastAsia="zh-CN" w:bidi="ar"/>
        </w:rPr>
        <w:t>Pi</w:t>
      </w:r>
      <w:r>
        <w:rPr>
          <w:rFonts w:hint="eastAsia" w:ascii="Times New Roman" w:hAnsi="Times New Roman" w:eastAsia="宋体" w:cs="Times New Roman"/>
          <w:color w:val="000000"/>
          <w:kern w:val="0"/>
          <w:sz w:val="24"/>
          <w:szCs w:val="24"/>
          <w:lang w:val="en-US" w:eastAsia="zh-CN" w:bidi="ar"/>
        </w:rPr>
        <w:t>，及第</w:t>
      </w:r>
      <w:r>
        <w:rPr>
          <w:rFonts w:hint="default" w:ascii="Times New Roman" w:hAnsi="Times New Roman" w:eastAsia="宋体" w:cs="Times New Roman"/>
          <w:color w:val="000000"/>
          <w:kern w:val="0"/>
          <w:sz w:val="24"/>
          <w:szCs w:val="24"/>
          <w:lang w:val="en-US" w:eastAsia="zh-CN" w:bidi="ar"/>
        </w:rPr>
        <w:t>i</w:t>
      </w:r>
      <w:r>
        <w:rPr>
          <w:rFonts w:hint="eastAsia" w:ascii="Times New Roman" w:hAnsi="Times New Roman" w:eastAsia="宋体" w:cs="Times New Roman"/>
          <w:color w:val="000000"/>
          <w:kern w:val="0"/>
          <w:sz w:val="24"/>
          <w:szCs w:val="24"/>
          <w:lang w:val="en-US" w:eastAsia="zh-CN" w:bidi="ar"/>
        </w:rPr>
        <w:t>个污染物的地面空气质量浓度达到标准值</w:t>
      </w:r>
      <w:r>
        <w:rPr>
          <w:rFonts w:hint="default" w:ascii="Times New Roman" w:hAnsi="Times New Roman" w:eastAsia="宋体" w:cs="Times New Roman"/>
          <w:color w:val="000000"/>
          <w:kern w:val="0"/>
          <w:sz w:val="24"/>
          <w:szCs w:val="24"/>
          <w:lang w:val="en-US" w:eastAsia="zh-CN" w:bidi="ar"/>
        </w:rPr>
        <w:t>10%</w:t>
      </w:r>
      <w:r>
        <w:rPr>
          <w:rFonts w:hint="eastAsia" w:ascii="Times New Roman" w:hAnsi="Times New Roman" w:eastAsia="宋体" w:cs="Times New Roman"/>
          <w:color w:val="000000"/>
          <w:kern w:val="0"/>
          <w:sz w:val="24"/>
          <w:szCs w:val="24"/>
          <w:lang w:val="en-US" w:eastAsia="zh-CN" w:bidi="ar"/>
        </w:rPr>
        <w:t>时所对应的最远距离</w:t>
      </w:r>
      <w:r>
        <w:rPr>
          <w:rFonts w:hint="default" w:ascii="Times New Roman" w:hAnsi="Times New Roman" w:eastAsia="宋体" w:cs="Times New Roman"/>
          <w:color w:val="000000"/>
          <w:kern w:val="0"/>
          <w:sz w:val="24"/>
          <w:szCs w:val="24"/>
          <w:lang w:val="en-US" w:eastAsia="zh-CN" w:bidi="ar"/>
        </w:rPr>
        <w:t>D</w:t>
      </w:r>
      <w:r>
        <w:rPr>
          <w:rFonts w:hint="default" w:ascii="Times New Roman" w:hAnsi="Times New Roman" w:eastAsia="宋体" w:cs="Times New Roman"/>
          <w:color w:val="000000"/>
          <w:kern w:val="0"/>
          <w:sz w:val="24"/>
          <w:szCs w:val="24"/>
          <w:vertAlign w:val="subscript"/>
          <w:lang w:val="en-US" w:eastAsia="zh-CN" w:bidi="ar"/>
        </w:rPr>
        <w:t>10%</w:t>
      </w:r>
      <w:r>
        <w:rPr>
          <w:rFonts w:hint="eastAsia" w:ascii="Times New Roman" w:hAnsi="Times New Roman" w:eastAsia="宋体" w:cs="Times New Roman"/>
          <w:color w:val="000000"/>
          <w:kern w:val="0"/>
          <w:sz w:val="24"/>
          <w:szCs w:val="24"/>
          <w:lang w:val="en-US" w:eastAsia="zh-CN" w:bidi="ar"/>
        </w:rPr>
        <w:t>。其中</w:t>
      </w:r>
      <w:r>
        <w:rPr>
          <w:rFonts w:hint="default" w:ascii="Times New Roman" w:hAnsi="Times New Roman" w:eastAsia="宋体" w:cs="Times New Roman"/>
          <w:color w:val="000000"/>
          <w:kern w:val="0"/>
          <w:sz w:val="24"/>
          <w:szCs w:val="24"/>
          <w:lang w:val="en-US" w:eastAsia="zh-CN" w:bidi="ar"/>
        </w:rPr>
        <w:t>P</w:t>
      </w:r>
      <w:r>
        <w:rPr>
          <w:rFonts w:hint="default" w:ascii="Times New Roman" w:hAnsi="Times New Roman" w:eastAsia="宋体" w:cs="Times New Roman"/>
          <w:color w:val="000000"/>
          <w:kern w:val="0"/>
          <w:sz w:val="24"/>
          <w:szCs w:val="24"/>
          <w:vertAlign w:val="subscript"/>
          <w:lang w:val="en-US" w:eastAsia="zh-CN" w:bidi="ar"/>
        </w:rPr>
        <w:t>i</w:t>
      </w:r>
      <w:r>
        <w:rPr>
          <w:rFonts w:hint="eastAsia" w:ascii="Times New Roman" w:hAnsi="Times New Roman" w:eastAsia="宋体" w:cs="Times New Roman"/>
          <w:color w:val="000000"/>
          <w:kern w:val="0"/>
          <w:sz w:val="24"/>
          <w:szCs w:val="24"/>
          <w:lang w:val="en-US" w:eastAsia="zh-CN" w:bidi="ar"/>
        </w:rPr>
        <w:t>定义为：</w:t>
      </w:r>
    </w:p>
    <w:p>
      <w:pPr>
        <w:keepNext w:val="0"/>
        <w:keepLines w:val="0"/>
        <w:widowControl/>
        <w:suppressLineNumbers w:val="0"/>
        <w:tabs>
          <w:tab w:val="left" w:pos="6580"/>
        </w:tabs>
        <w:spacing w:before="0" w:beforeAutospacing="0" w:after="0" w:afterAutospacing="0"/>
        <w:ind w:left="0" w:right="0"/>
        <w:jc w:val="center"/>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P</w:t>
      </w:r>
      <w:r>
        <w:rPr>
          <w:rFonts w:hint="default" w:ascii="Times New Roman" w:hAnsi="Times New Roman" w:eastAsia="宋体" w:cs="Times New Roman"/>
          <w:color w:val="000000"/>
          <w:kern w:val="0"/>
          <w:sz w:val="24"/>
          <w:szCs w:val="24"/>
          <w:vertAlign w:val="subscript"/>
          <w:lang w:val="en-US" w:eastAsia="zh-CN" w:bidi="ar"/>
        </w:rPr>
        <w:t>i</w:t>
      </w:r>
      <w:r>
        <w:rPr>
          <w:rFonts w:hint="default" w:ascii="Times New Roman" w:hAnsi="Times New Roman" w:eastAsia="宋体" w:cs="Times New Roman"/>
          <w:color w:val="000000"/>
          <w:kern w:val="0"/>
          <w:sz w:val="24"/>
          <w:szCs w:val="24"/>
          <w:lang w:val="en-US" w:eastAsia="zh-CN" w:bidi="ar"/>
        </w:rPr>
        <w:t xml:space="preserve">= </w:t>
      </w:r>
      <w:r>
        <w:rPr>
          <w:rFonts w:hint="default" w:ascii="Times New Roman" w:hAnsi="Times New Roman" w:eastAsia="宋体" w:cs="Times New Roman"/>
          <w:color w:val="000000"/>
          <w:kern w:val="0"/>
          <w:position w:val="-30"/>
          <w:sz w:val="24"/>
          <w:szCs w:val="24"/>
          <w:lang w:val="en-US" w:eastAsia="zh-CN" w:bidi="ar"/>
        </w:rPr>
        <w:object>
          <v:shape id="_x0000_i1027" o:spt="75" type="#_x0000_t75" style="height:35.25pt;width:21pt;" o:ole="t" fillcolor="#FFFFFF" filled="f" o:preferrelative="t" stroked="f" coordsize="21600,21600">
            <v:path/>
            <v:fill on="f" focussize="0,0"/>
            <v:stroke on="f" joinstyle="miter"/>
            <v:imagedata r:id="rId8" o:title=""/>
            <o:lock v:ext="edit" aspectratio="t"/>
            <w10:wrap type="none"/>
            <w10:anchorlock/>
          </v:shape>
          <o:OLEObject Type="Embed" ProgID="Equation.3" ShapeID="_x0000_i1027" DrawAspect="Content" ObjectID="_1468075725" r:id="rId7">
            <o:LockedField>false</o:LockedField>
          </o:OLEObject>
        </w:object>
      </w:r>
      <w:r>
        <w:rPr>
          <w:rFonts w:hint="default" w:ascii="Times New Roman" w:hAnsi="Times New Roman" w:eastAsia="宋体" w:cs="Times New Roman"/>
          <w:color w:val="000000"/>
          <w:kern w:val="0"/>
          <w:sz w:val="24"/>
          <w:szCs w:val="24"/>
          <w:lang w:val="en-US" w:eastAsia="zh-CN" w:bidi="ar"/>
        </w:rPr>
        <w:t>×100%</w:t>
      </w:r>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式中：</w:t>
      </w:r>
      <w:r>
        <w:rPr>
          <w:rFonts w:hint="default" w:ascii="Times New Roman" w:hAnsi="Times New Roman" w:eastAsia="宋体" w:cs="Times New Roman"/>
          <w:color w:val="000000"/>
          <w:kern w:val="0"/>
          <w:sz w:val="24"/>
          <w:szCs w:val="24"/>
          <w:lang w:val="en-US" w:eastAsia="zh-CN" w:bidi="ar"/>
        </w:rPr>
        <w:t>P</w:t>
      </w:r>
      <w:r>
        <w:rPr>
          <w:rFonts w:hint="default" w:ascii="Times New Roman" w:hAnsi="Times New Roman" w:eastAsia="宋体" w:cs="Times New Roman"/>
          <w:color w:val="000000"/>
          <w:kern w:val="0"/>
          <w:sz w:val="24"/>
          <w:szCs w:val="24"/>
          <w:vertAlign w:val="subscript"/>
          <w:lang w:val="en-US" w:eastAsia="zh-CN" w:bidi="ar"/>
        </w:rPr>
        <w:t>i</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第</w:t>
      </w:r>
      <w:r>
        <w:rPr>
          <w:rFonts w:hint="default" w:ascii="Times New Roman" w:hAnsi="Times New Roman" w:eastAsia="宋体" w:cs="Times New Roman"/>
          <w:color w:val="000000"/>
          <w:kern w:val="0"/>
          <w:sz w:val="24"/>
          <w:szCs w:val="24"/>
          <w:lang w:val="en-US" w:eastAsia="zh-CN" w:bidi="ar"/>
        </w:rPr>
        <w:t>i</w:t>
      </w:r>
      <w:r>
        <w:rPr>
          <w:rFonts w:hint="eastAsia" w:ascii="Times New Roman" w:hAnsi="Times New Roman" w:eastAsia="宋体" w:cs="Times New Roman"/>
          <w:color w:val="000000"/>
          <w:kern w:val="0"/>
          <w:sz w:val="24"/>
          <w:szCs w:val="24"/>
          <w:lang w:val="en-US" w:eastAsia="zh-CN" w:bidi="ar"/>
        </w:rPr>
        <w:t>个污染物的最大地面空气质量浓度占标率，</w:t>
      </w:r>
      <w:r>
        <w:rPr>
          <w:rFonts w:hint="default"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 xml:space="preserve">      C</w:t>
      </w:r>
      <w:r>
        <w:rPr>
          <w:rFonts w:hint="default" w:ascii="Times New Roman" w:hAnsi="Times New Roman" w:eastAsia="宋体" w:cs="Times New Roman"/>
          <w:color w:val="000000"/>
          <w:kern w:val="0"/>
          <w:sz w:val="24"/>
          <w:szCs w:val="24"/>
          <w:vertAlign w:val="subscript"/>
          <w:lang w:val="en-US" w:eastAsia="zh-CN" w:bidi="ar"/>
        </w:rPr>
        <w:t>i</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采用估算模型计算出的第</w:t>
      </w:r>
      <w:r>
        <w:rPr>
          <w:rFonts w:hint="default" w:ascii="Times New Roman" w:hAnsi="Times New Roman" w:eastAsia="宋体" w:cs="Times New Roman"/>
          <w:color w:val="000000"/>
          <w:kern w:val="0"/>
          <w:sz w:val="24"/>
          <w:szCs w:val="24"/>
          <w:lang w:val="en-US" w:eastAsia="zh-CN" w:bidi="ar"/>
        </w:rPr>
        <w:t>i</w:t>
      </w:r>
      <w:r>
        <w:rPr>
          <w:rFonts w:hint="eastAsia" w:ascii="Times New Roman" w:hAnsi="Times New Roman" w:eastAsia="宋体" w:cs="Times New Roman"/>
          <w:color w:val="000000"/>
          <w:kern w:val="0"/>
          <w:sz w:val="24"/>
          <w:szCs w:val="24"/>
          <w:lang w:val="en-US" w:eastAsia="zh-CN" w:bidi="ar"/>
        </w:rPr>
        <w:t>个污染物的最大</w:t>
      </w:r>
      <w:r>
        <w:rPr>
          <w:rFonts w:hint="default" w:ascii="Times New Roman" w:hAnsi="Times New Roman" w:eastAsia="宋体" w:cs="Times New Roman"/>
          <w:color w:val="000000"/>
          <w:kern w:val="0"/>
          <w:sz w:val="24"/>
          <w:szCs w:val="24"/>
          <w:lang w:val="en-US" w:eastAsia="zh-CN" w:bidi="ar"/>
        </w:rPr>
        <w:t>1h</w:t>
      </w:r>
      <w:r>
        <w:rPr>
          <w:rFonts w:hint="eastAsia" w:ascii="Times New Roman" w:hAnsi="Times New Roman" w:eastAsia="宋体" w:cs="Times New Roman"/>
          <w:color w:val="000000"/>
          <w:kern w:val="0"/>
          <w:sz w:val="24"/>
          <w:szCs w:val="24"/>
          <w:lang w:val="en-US" w:eastAsia="zh-CN" w:bidi="ar"/>
        </w:rPr>
        <w:t>地面空气质量浓度，</w:t>
      </w:r>
      <w:r>
        <w:rPr>
          <w:rFonts w:hint="default" w:ascii="Times New Roman" w:hAnsi="Times New Roman" w:eastAsia="宋体" w:cs="Times New Roman"/>
          <w:color w:val="000000"/>
          <w:kern w:val="0"/>
          <w:sz w:val="24"/>
          <w:szCs w:val="24"/>
          <w:lang w:val="en-US" w:eastAsia="zh-CN" w:bidi="ar"/>
        </w:rPr>
        <w:t>μg/m</w:t>
      </w:r>
      <w:r>
        <w:rPr>
          <w:rFonts w:hint="default" w:ascii="Times New Roman" w:hAnsi="Times New Roman" w:eastAsia="宋体" w:cs="Times New Roman"/>
          <w:color w:val="000000"/>
          <w:kern w:val="0"/>
          <w:sz w:val="24"/>
          <w:szCs w:val="24"/>
          <w:vertAlign w:val="superscript"/>
          <w:lang w:val="en-US" w:eastAsia="zh-CN" w:bidi="ar"/>
        </w:rPr>
        <w:t>3</w:t>
      </w:r>
    </w:p>
    <w:p>
      <w:pPr>
        <w:keepNext w:val="0"/>
        <w:keepLines w:val="0"/>
        <w:widowControl/>
        <w:suppressLineNumbers w:val="0"/>
        <w:tabs>
          <w:tab w:val="left" w:pos="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 xml:space="preserve">      C</w:t>
      </w:r>
      <w:r>
        <w:rPr>
          <w:rFonts w:hint="default" w:ascii="Times New Roman" w:hAnsi="Times New Roman" w:eastAsia="宋体" w:cs="Times New Roman"/>
          <w:color w:val="000000"/>
          <w:kern w:val="0"/>
          <w:sz w:val="24"/>
          <w:szCs w:val="24"/>
          <w:vertAlign w:val="subscript"/>
          <w:lang w:val="en-US" w:eastAsia="zh-CN" w:bidi="ar"/>
        </w:rPr>
        <w:t>0i</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第</w:t>
      </w:r>
      <w:r>
        <w:rPr>
          <w:rFonts w:hint="default" w:ascii="Times New Roman" w:hAnsi="Times New Roman" w:eastAsia="宋体" w:cs="Times New Roman"/>
          <w:color w:val="000000"/>
          <w:kern w:val="0"/>
          <w:sz w:val="24"/>
          <w:szCs w:val="24"/>
          <w:lang w:val="en-US" w:eastAsia="zh-CN" w:bidi="ar"/>
        </w:rPr>
        <w:t>i</w:t>
      </w:r>
      <w:r>
        <w:rPr>
          <w:rFonts w:hint="eastAsia" w:ascii="Times New Roman" w:hAnsi="Times New Roman" w:eastAsia="宋体" w:cs="Times New Roman"/>
          <w:color w:val="000000"/>
          <w:kern w:val="0"/>
          <w:sz w:val="24"/>
          <w:szCs w:val="24"/>
          <w:lang w:val="en-US" w:eastAsia="zh-CN" w:bidi="ar"/>
        </w:rPr>
        <w:t>个污染物的环境空气质量浓度标准，</w:t>
      </w:r>
      <w:r>
        <w:rPr>
          <w:rFonts w:hint="default" w:ascii="Times New Roman" w:hAnsi="Times New Roman" w:eastAsia="宋体" w:cs="Times New Roman"/>
          <w:color w:val="000000"/>
          <w:kern w:val="0"/>
          <w:sz w:val="24"/>
          <w:szCs w:val="24"/>
          <w:lang w:val="en-US" w:eastAsia="zh-CN" w:bidi="ar"/>
        </w:rPr>
        <w:t>μg/m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w:t>
      </w:r>
    </w:p>
    <w:p>
      <w:pPr>
        <w:pStyle w:val="71"/>
        <w:widowControl/>
        <w:spacing w:line="500" w:lineRule="exact"/>
        <w:rPr>
          <w:rFonts w:hint="default" w:ascii="Times New Roman" w:hAnsi="Times New Roman" w:cs="Times New Roman"/>
          <w:color w:val="000000"/>
          <w:lang w:eastAsia="zh-CN"/>
        </w:rPr>
      </w:pPr>
      <w:r>
        <w:rPr>
          <w:rFonts w:hint="default" w:ascii="Times New Roman" w:hAnsi="Times New Roman" w:cs="Times New Roman"/>
          <w:color w:val="000000"/>
          <w:lang w:eastAsia="zh-CN"/>
        </w:rPr>
        <w:t>C</w:t>
      </w:r>
      <w:r>
        <w:rPr>
          <w:rFonts w:hint="default" w:ascii="Times New Roman" w:hAnsi="Times New Roman" w:cs="Times New Roman"/>
          <w:color w:val="000000"/>
          <w:vertAlign w:val="subscript"/>
          <w:lang w:eastAsia="zh-CN"/>
        </w:rPr>
        <w:t>0i</w:t>
      </w:r>
      <w:r>
        <w:rPr>
          <w:rFonts w:hint="default" w:ascii="Times New Roman" w:hAnsi="Times New Roman" w:cs="Times New Roman"/>
          <w:color w:val="000000"/>
          <w:lang w:eastAsia="zh-CN"/>
        </w:rPr>
        <w:t>一般选用GB3095中1h平均质量浓度的二级浓度限值，8小时平均质量浓度限值、日平均质量浓度限值和年平均质量浓度限值分别按2倍、3倍、6倍折算为1h平均质量浓度限值。</w:t>
      </w:r>
    </w:p>
    <w:p>
      <w:pPr>
        <w:pStyle w:val="71"/>
        <w:widowControl/>
        <w:spacing w:line="500" w:lineRule="exact"/>
        <w:rPr>
          <w:rFonts w:hint="default" w:ascii="Times New Roman" w:hAnsi="Times New Roman" w:cs="Times New Roman"/>
          <w:color w:val="000000"/>
          <w:lang w:eastAsia="zh-CN"/>
        </w:rPr>
      </w:pPr>
      <w:r>
        <w:rPr>
          <w:rFonts w:hint="default" w:ascii="Times New Roman" w:hAnsi="Times New Roman" w:cs="Times New Roman"/>
          <w:color w:val="000000"/>
          <w:lang w:eastAsia="zh-CN"/>
        </w:rPr>
        <w:t>根据估算模型分别计算各污染物的P</w:t>
      </w:r>
      <w:r>
        <w:rPr>
          <w:rFonts w:hint="default" w:ascii="Times New Roman" w:hAnsi="Times New Roman" w:cs="Times New Roman"/>
          <w:color w:val="000000"/>
          <w:vertAlign w:val="subscript"/>
          <w:lang w:eastAsia="zh-CN"/>
        </w:rPr>
        <w:t>i</w:t>
      </w:r>
      <w:r>
        <w:rPr>
          <w:rFonts w:hint="default" w:ascii="Times New Roman" w:hAnsi="Times New Roman" w:cs="Times New Roman"/>
          <w:color w:val="000000"/>
          <w:lang w:eastAsia="zh-CN"/>
        </w:rPr>
        <w:t>和D</w:t>
      </w:r>
      <w:r>
        <w:rPr>
          <w:rFonts w:hint="default" w:ascii="Times New Roman" w:hAnsi="Times New Roman" w:cs="Times New Roman"/>
          <w:color w:val="000000"/>
          <w:vertAlign w:val="subscript"/>
          <w:lang w:eastAsia="zh-CN"/>
        </w:rPr>
        <w:t>10%</w:t>
      </w:r>
      <w:r>
        <w:rPr>
          <w:rFonts w:hint="default" w:ascii="Times New Roman" w:hAnsi="Times New Roman" w:cs="Times New Roman"/>
          <w:color w:val="000000"/>
          <w:lang w:eastAsia="zh-CN"/>
        </w:rPr>
        <w:t>并由此确定P</w:t>
      </w:r>
      <w:r>
        <w:rPr>
          <w:rFonts w:hint="default" w:ascii="Times New Roman" w:hAnsi="Times New Roman" w:cs="Times New Roman"/>
          <w:color w:val="000000"/>
          <w:vertAlign w:val="subscript"/>
          <w:lang w:eastAsia="zh-CN"/>
        </w:rPr>
        <w:t>max</w:t>
      </w:r>
      <w:r>
        <w:rPr>
          <w:rFonts w:hint="default" w:ascii="Times New Roman" w:hAnsi="Times New Roman" w:cs="Times New Roman"/>
          <w:color w:val="000000"/>
          <w:lang w:eastAsia="zh-CN"/>
        </w:rPr>
        <w:t>，</w:t>
      </w:r>
      <w:r>
        <w:rPr>
          <w:color w:val="000000"/>
          <w:lang w:eastAsia="zh-CN"/>
        </w:rPr>
        <w:t>本项目主要废气污染源排放参数见表</w:t>
      </w:r>
      <w:r>
        <w:rPr>
          <w:rFonts w:hint="default" w:ascii="Times New Roman" w:hAnsi="Times New Roman" w:cs="Times New Roman"/>
          <w:color w:val="000000"/>
          <w:lang w:eastAsia="zh-CN"/>
        </w:rPr>
        <w:t>1.5-4和表1.5-5，计算结果见表1.5-5。</w:t>
      </w:r>
    </w:p>
    <w:p>
      <w:pPr>
        <w:pStyle w:val="56"/>
        <w:widowControl/>
        <w:snapToGrid/>
        <w:rPr>
          <w:color w:val="000000"/>
          <w:lang w:val="en-US"/>
        </w:rPr>
      </w:pPr>
      <w:r>
        <w:rPr>
          <w:rFonts w:hint="eastAsia" w:ascii="Times New Roman" w:hAnsi="Times New Roman" w:eastAsia="黑体" w:cs="黑体"/>
          <w:color w:val="000000"/>
          <w:lang w:eastAsia="zh-CN"/>
        </w:rPr>
        <w:t>表</w:t>
      </w:r>
      <w:r>
        <w:rPr>
          <w:color w:val="000000"/>
          <w:lang w:val="en-US"/>
        </w:rPr>
        <w:t xml:space="preserve">1.5-4  </w:t>
      </w:r>
      <w:r>
        <w:rPr>
          <w:rFonts w:hint="eastAsia" w:ascii="Times New Roman" w:hAnsi="Times New Roman" w:eastAsia="黑体" w:cs="黑体"/>
          <w:color w:val="000000"/>
          <w:lang w:eastAsia="zh-CN"/>
        </w:rPr>
        <w:t>本项目有组织污染源参数表</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2803"/>
        <w:gridCol w:w="2695"/>
        <w:gridCol w:w="3229"/>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rPr>
        <w:tc>
          <w:tcPr>
            <w:tcW w:w="3150" w:type="pct"/>
            <w:gridSpan w:val="2"/>
            <w:tcBorders>
              <w:top w:val="thinThickSmallGap" w:color="auto" w:sz="12" w:space="0"/>
              <w:left w:val="nil"/>
              <w:bottom w:val="single" w:color="auto" w:sz="6" w:space="0"/>
              <w:right w:val="single" w:color="auto" w:sz="6" w:space="0"/>
            </w:tcBorders>
            <w:shd w:val="clear" w:color="auto" w:fill="D9D9D9"/>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名称</w:t>
            </w:r>
          </w:p>
        </w:tc>
        <w:tc>
          <w:tcPr>
            <w:tcW w:w="1850" w:type="pct"/>
            <w:tcBorders>
              <w:top w:val="thinThickSmallGap" w:color="auto" w:sz="12" w:space="0"/>
              <w:left w:val="single" w:color="auto" w:sz="6" w:space="0"/>
              <w:bottom w:val="single" w:color="auto" w:sz="6" w:space="0"/>
              <w:right w:val="nil"/>
            </w:tcBorders>
            <w:shd w:val="clear" w:color="auto" w:fill="D9D9D9"/>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破碎筛分排气筒</w:t>
            </w:r>
            <w:r>
              <w:rPr>
                <w:rFonts w:hint="default" w:ascii="Times New Roman" w:hAnsi="Times New Roman" w:eastAsia="宋体" w:cs="Times New Roman"/>
                <w:bCs/>
                <w:snapToGrid w:val="0"/>
                <w:color w:val="000000"/>
                <w:kern w:val="0"/>
                <w:sz w:val="21"/>
                <w:szCs w:val="24"/>
                <w:bdr w:val="none" w:color="auto" w:sz="0" w:space="0"/>
                <w:lang w:val="en-US" w:eastAsia="zh-CN" w:bidi="ar"/>
              </w:rPr>
              <w:t>P1</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06" w:type="pct"/>
            <w:vMerge w:val="restart"/>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排气筒底部</w:t>
            </w:r>
          </w:p>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中心坐标</w:t>
            </w:r>
          </w:p>
        </w:tc>
        <w:tc>
          <w:tcPr>
            <w:tcW w:w="1543"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X</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40.716493</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0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543"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Y</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122.725503</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排气筒底部海拔高度</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108</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排气筒高度</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排气筒出口内径</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0.8</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烟气流量</w:t>
            </w:r>
            <w:r>
              <w:rPr>
                <w:rFonts w:hint="default" w:ascii="Times New Roman" w:hAnsi="Times New Roman" w:eastAsia="宋体" w:cs="Times New Roman"/>
                <w:bCs/>
                <w:color w:val="000000"/>
                <w:kern w:val="0"/>
                <w:sz w:val="21"/>
                <w:szCs w:val="24"/>
                <w:bdr w:val="none" w:color="auto" w:sz="0" w:space="0"/>
                <w:lang w:val="en-US" w:eastAsia="zh-CN" w:bidi="ar"/>
              </w:rPr>
              <w:t>/</w:t>
            </w:r>
            <w:r>
              <w:rPr>
                <w:rFonts w:hint="eastAsia" w:ascii="Times New Roman" w:hAnsi="Times New Roman" w:eastAsia="宋体" w:cs="Times New Roman"/>
                <w:bCs/>
                <w:color w:val="000000"/>
                <w:kern w:val="0"/>
                <w:sz w:val="21"/>
                <w:szCs w:val="24"/>
                <w:bdr w:val="none" w:color="auto" w:sz="0" w:space="0"/>
                <w:lang w:val="en-US" w:eastAsia="zh-CN" w:bidi="ar"/>
              </w:rPr>
              <w:t>（</w:t>
            </w:r>
            <w:r>
              <w:rPr>
                <w:rFonts w:hint="default" w:ascii="Times New Roman" w:hAnsi="Times New Roman" w:eastAsia="宋体" w:cs="Times New Roman"/>
                <w:bCs/>
                <w:color w:val="000000"/>
                <w:kern w:val="0"/>
                <w:sz w:val="21"/>
                <w:szCs w:val="24"/>
                <w:bdr w:val="none" w:color="auto" w:sz="0" w:space="0"/>
                <w:lang w:val="en-US" w:eastAsia="zh-CN" w:bidi="ar"/>
              </w:rPr>
              <w:t>m</w:t>
            </w:r>
            <w:r>
              <w:rPr>
                <w:rFonts w:hint="default" w:ascii="Times New Roman" w:hAnsi="Times New Roman" w:eastAsia="宋体" w:cs="Times New Roman"/>
                <w:bCs/>
                <w:color w:val="000000"/>
                <w:kern w:val="0"/>
                <w:sz w:val="21"/>
                <w:szCs w:val="24"/>
                <w:bdr w:val="none" w:color="auto" w:sz="0" w:space="0"/>
                <w:vertAlign w:val="superscript"/>
                <w:lang w:val="en-US" w:eastAsia="zh-CN" w:bidi="ar"/>
              </w:rPr>
              <w:t>3</w:t>
            </w:r>
            <w:r>
              <w:rPr>
                <w:rFonts w:hint="default" w:ascii="Times New Roman" w:hAnsi="Times New Roman" w:eastAsia="宋体" w:cs="Times New Roman"/>
                <w:bCs/>
                <w:color w:val="000000"/>
                <w:kern w:val="0"/>
                <w:sz w:val="21"/>
                <w:szCs w:val="24"/>
                <w:bdr w:val="none" w:color="auto" w:sz="0" w:space="0"/>
                <w:lang w:val="en-US" w:eastAsia="zh-CN" w:bidi="ar"/>
              </w:rPr>
              <w:t>/h</w:t>
            </w:r>
            <w:r>
              <w:rPr>
                <w:rFonts w:hint="eastAsia" w:ascii="Times New Roman" w:hAnsi="Times New Roman" w:eastAsia="宋体" w:cs="Times New Roman"/>
                <w:bCs/>
                <w:color w:val="000000"/>
                <w:kern w:val="0"/>
                <w:sz w:val="21"/>
                <w:szCs w:val="24"/>
                <w:bdr w:val="none" w:color="auto" w:sz="0" w:space="0"/>
                <w:lang w:val="en-US" w:eastAsia="zh-CN" w:bidi="ar"/>
              </w:rPr>
              <w:t>）</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40000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烟气温度</w:t>
            </w:r>
            <w:r>
              <w:rPr>
                <w:rFonts w:hint="default" w:ascii="Times New Roman" w:hAnsi="Times New Roman" w:eastAsia="宋体" w:cs="Times New Roman"/>
                <w:bCs/>
                <w:color w:val="000000"/>
                <w:kern w:val="0"/>
                <w:sz w:val="21"/>
                <w:szCs w:val="24"/>
                <w:bdr w:val="none" w:color="auto" w:sz="0" w:space="0"/>
                <w:lang w:val="en-US" w:eastAsia="zh-CN" w:bidi="ar"/>
              </w:rPr>
              <w:t>/℃</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25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年排放小时数</w:t>
            </w:r>
            <w:r>
              <w:rPr>
                <w:rFonts w:hint="default" w:ascii="Times New Roman" w:hAnsi="Times New Roman" w:eastAsia="宋体" w:cs="Times New Roman"/>
                <w:bCs/>
                <w:color w:val="000000"/>
                <w:kern w:val="0"/>
                <w:sz w:val="21"/>
                <w:szCs w:val="24"/>
                <w:bdr w:val="none" w:color="auto" w:sz="0" w:space="0"/>
                <w:lang w:val="en-US" w:eastAsia="zh-CN" w:bidi="ar"/>
              </w:rPr>
              <w:t>/h</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7200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排放工况</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正常排放</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06" w:type="pct"/>
            <w:tcBorders>
              <w:top w:val="single" w:color="auto" w:sz="6" w:space="0"/>
              <w:left w:val="nil"/>
              <w:bottom w:val="thickThinSmallGap" w:color="auto" w:sz="12"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污染物排放速率（</w:t>
            </w:r>
            <w:r>
              <w:rPr>
                <w:rFonts w:hint="default" w:ascii="Times New Roman" w:hAnsi="Times New Roman" w:eastAsia="宋体" w:cs="Times New Roman"/>
                <w:bCs/>
                <w:color w:val="000000"/>
                <w:kern w:val="0"/>
                <w:sz w:val="21"/>
                <w:szCs w:val="24"/>
                <w:bdr w:val="none" w:color="auto" w:sz="0" w:space="0"/>
                <w:lang w:val="en-US" w:eastAsia="zh-CN" w:bidi="ar"/>
              </w:rPr>
              <w:t>kg/h</w:t>
            </w:r>
            <w:r>
              <w:rPr>
                <w:rFonts w:hint="eastAsia" w:ascii="Times New Roman" w:hAnsi="Times New Roman" w:eastAsia="宋体" w:cs="Times New Roman"/>
                <w:bCs/>
                <w:color w:val="000000"/>
                <w:kern w:val="0"/>
                <w:sz w:val="21"/>
                <w:szCs w:val="24"/>
                <w:bdr w:val="none" w:color="auto" w:sz="0" w:space="0"/>
                <w:lang w:val="en-US" w:eastAsia="zh-CN" w:bidi="ar"/>
              </w:rPr>
              <w:t>）</w:t>
            </w:r>
          </w:p>
        </w:tc>
        <w:tc>
          <w:tcPr>
            <w:tcW w:w="1543" w:type="pct"/>
            <w:tcBorders>
              <w:top w:val="single" w:color="auto" w:sz="6" w:space="0"/>
              <w:left w:val="single" w:color="auto" w:sz="6" w:space="0"/>
              <w:bottom w:val="thickThinSmallGap" w:color="auto" w:sz="12"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PM</w:t>
            </w:r>
            <w:r>
              <w:rPr>
                <w:rFonts w:hint="default" w:ascii="Times New Roman" w:hAnsi="Times New Roman" w:eastAsia="宋体" w:cs="Times New Roman"/>
                <w:bCs/>
                <w:color w:val="000000"/>
                <w:kern w:val="0"/>
                <w:sz w:val="21"/>
                <w:szCs w:val="24"/>
                <w:bdr w:val="none" w:color="auto" w:sz="0" w:space="0"/>
                <w:vertAlign w:val="subscript"/>
                <w:lang w:val="en-US" w:eastAsia="zh-CN" w:bidi="ar"/>
              </w:rPr>
              <w:t>10</w:t>
            </w:r>
          </w:p>
        </w:tc>
        <w:tc>
          <w:tcPr>
            <w:tcW w:w="1850"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0.32</w:t>
            </w:r>
          </w:p>
        </w:tc>
      </w:tr>
    </w:tbl>
    <w:p>
      <w:pPr>
        <w:pStyle w:val="56"/>
        <w:widowControl/>
        <w:snapToGrid/>
        <w:rPr>
          <w:color w:val="000000"/>
          <w:lang w:val="en-US"/>
        </w:rPr>
      </w:pPr>
      <w:r>
        <w:rPr>
          <w:rFonts w:hint="eastAsia" w:ascii="Times New Roman" w:hAnsi="Times New Roman" w:eastAsia="黑体" w:cs="黑体"/>
          <w:color w:val="000000"/>
          <w:lang w:eastAsia="zh-CN"/>
        </w:rPr>
        <w:t>表</w:t>
      </w:r>
      <w:r>
        <w:rPr>
          <w:color w:val="000000"/>
          <w:lang w:val="en-US"/>
        </w:rPr>
        <w:t xml:space="preserve">1.5-5  </w:t>
      </w:r>
      <w:r>
        <w:rPr>
          <w:rFonts w:hint="eastAsia" w:ascii="Times New Roman" w:hAnsi="Times New Roman" w:eastAsia="黑体" w:cs="黑体"/>
          <w:color w:val="000000"/>
          <w:lang w:eastAsia="zh-CN"/>
        </w:rPr>
        <w:t>本项目无组织污染源参数表</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947"/>
        <w:gridCol w:w="141"/>
        <w:gridCol w:w="843"/>
        <w:gridCol w:w="1449"/>
        <w:gridCol w:w="1449"/>
        <w:gridCol w:w="1449"/>
        <w:gridCol w:w="144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tblCellMar>
            <w:top w:w="0" w:type="dxa"/>
            <w:left w:w="108" w:type="dxa"/>
            <w:bottom w:w="0" w:type="dxa"/>
            <w:right w:w="108" w:type="dxa"/>
          </w:tblCellMar>
        </w:tblPrEx>
        <w:trPr>
          <w:trHeight w:val="340" w:hRule="atLeast"/>
          <w:tblHeader/>
        </w:trPr>
        <w:tc>
          <w:tcPr>
            <w:tcW w:w="1679" w:type="pct"/>
            <w:gridSpan w:val="3"/>
            <w:tcBorders>
              <w:top w:val="thinThickSmallGap" w:color="auto" w:sz="12" w:space="0"/>
              <w:left w:val="nil"/>
              <w:bottom w:val="single" w:color="auto" w:sz="6" w:space="0"/>
              <w:right w:val="single" w:color="auto" w:sz="6" w:space="0"/>
            </w:tcBorders>
            <w:shd w:val="clear" w:color="auto" w:fill="D9D9D9"/>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名称</w:t>
            </w:r>
          </w:p>
        </w:tc>
        <w:tc>
          <w:tcPr>
            <w:tcW w:w="830" w:type="pct"/>
            <w:tcBorders>
              <w:top w:val="thinThickSmallGap" w:color="auto" w:sz="12" w:space="0"/>
              <w:left w:val="single" w:color="auto" w:sz="6" w:space="0"/>
              <w:bottom w:val="single" w:color="auto" w:sz="6" w:space="0"/>
              <w:right w:val="single" w:color="auto" w:sz="4" w:space="0"/>
            </w:tcBorders>
            <w:shd w:val="clear" w:color="auto" w:fill="D9D9D9"/>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原料库</w:t>
            </w:r>
          </w:p>
        </w:tc>
        <w:tc>
          <w:tcPr>
            <w:tcW w:w="830" w:type="pct"/>
            <w:tcBorders>
              <w:top w:val="thinThickSmallGap" w:color="auto" w:sz="12" w:space="0"/>
              <w:left w:val="single" w:color="auto" w:sz="4" w:space="0"/>
              <w:bottom w:val="single" w:color="auto" w:sz="6" w:space="0"/>
              <w:right w:val="single" w:color="auto" w:sz="6" w:space="0"/>
            </w:tcBorders>
            <w:shd w:val="clear" w:color="auto" w:fill="D9D9D9"/>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破碎车间</w:t>
            </w:r>
          </w:p>
        </w:tc>
        <w:tc>
          <w:tcPr>
            <w:tcW w:w="830"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精矿库</w:t>
            </w:r>
          </w:p>
        </w:tc>
        <w:tc>
          <w:tcPr>
            <w:tcW w:w="830" w:type="pct"/>
            <w:tcBorders>
              <w:top w:val="thinThickSmallGap" w:color="auto" w:sz="12" w:space="0"/>
              <w:left w:val="single" w:color="auto" w:sz="6" w:space="0"/>
              <w:bottom w:val="single" w:color="auto" w:sz="6" w:space="0"/>
              <w:right w:val="nil"/>
            </w:tcBorders>
            <w:shd w:val="clear" w:color="auto" w:fill="D9D9D9"/>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尾矿库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97" w:type="pct"/>
            <w:gridSpan w:val="2"/>
            <w:vMerge w:val="restart"/>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面源起点坐标</w:t>
            </w:r>
          </w:p>
        </w:tc>
        <w:tc>
          <w:tcPr>
            <w:tcW w:w="483"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X</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40.716273</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40.716680</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40.717745</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40.717566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97" w:type="pct"/>
            <w:gridSpan w:val="2"/>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483"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Y</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122.725074</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122.725021</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122.725579</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122.726072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79" w:type="pct"/>
            <w:gridSpan w:val="3"/>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面源海拔高度</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111</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107</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98</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99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79" w:type="pct"/>
            <w:gridSpan w:val="3"/>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面源长度</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30</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70</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42</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79" w:type="pct"/>
            <w:gridSpan w:val="3"/>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面源宽度</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30</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20</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30</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79" w:type="pct"/>
            <w:gridSpan w:val="3"/>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与正北向夹角</w:t>
            </w:r>
            <w:r>
              <w:rPr>
                <w:rFonts w:hint="default" w:ascii="Times New Roman" w:hAnsi="Times New Roman" w:eastAsia="宋体" w:cs="Times New Roman"/>
                <w:bCs/>
                <w:color w:val="000000"/>
                <w:kern w:val="0"/>
                <w:sz w:val="21"/>
                <w:szCs w:val="24"/>
                <w:bdr w:val="none" w:color="auto" w:sz="0" w:space="0"/>
                <w:lang w:val="en-US" w:eastAsia="zh-CN" w:bidi="ar"/>
              </w:rPr>
              <w:t>/°</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20.7</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21.7</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16.6</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79" w:type="pct"/>
            <w:gridSpan w:val="3"/>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面源有效排放高度</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10</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14</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10</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79" w:type="pct"/>
            <w:gridSpan w:val="3"/>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年排放小时数</w:t>
            </w:r>
            <w:r>
              <w:rPr>
                <w:rFonts w:hint="default" w:ascii="Times New Roman" w:hAnsi="Times New Roman" w:eastAsia="宋体" w:cs="Times New Roman"/>
                <w:bCs/>
                <w:color w:val="000000"/>
                <w:kern w:val="0"/>
                <w:sz w:val="21"/>
                <w:szCs w:val="24"/>
                <w:bdr w:val="none" w:color="auto" w:sz="0" w:space="0"/>
                <w:lang w:val="en-US" w:eastAsia="zh-CN" w:bidi="ar"/>
              </w:rPr>
              <w:t>/h</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7200</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7200</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7200</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7200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79" w:type="pct"/>
            <w:gridSpan w:val="3"/>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排放工况</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正常排放</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正常排放</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正常排放</w:t>
            </w:r>
          </w:p>
        </w:tc>
        <w:tc>
          <w:tcPr>
            <w:tcW w:w="830"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正常排放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16" w:type="pct"/>
            <w:vMerge w:val="restart"/>
            <w:tcBorders>
              <w:top w:val="single" w:color="auto" w:sz="6" w:space="0"/>
              <w:left w:val="nil"/>
              <w:bottom w:val="thickThinSmallGap" w:color="auto" w:sz="12"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污染物排放速率（</w:t>
            </w:r>
            <w:r>
              <w:rPr>
                <w:rFonts w:hint="default" w:ascii="Times New Roman" w:hAnsi="Times New Roman" w:eastAsia="宋体" w:cs="Times New Roman"/>
                <w:bCs/>
                <w:color w:val="000000"/>
                <w:kern w:val="0"/>
                <w:sz w:val="21"/>
                <w:szCs w:val="24"/>
                <w:bdr w:val="none" w:color="auto" w:sz="0" w:space="0"/>
                <w:lang w:val="en-US" w:eastAsia="zh-CN" w:bidi="ar"/>
              </w:rPr>
              <w:t>kg/h</w:t>
            </w:r>
            <w:r>
              <w:rPr>
                <w:rFonts w:hint="eastAsia" w:ascii="Times New Roman" w:hAnsi="Times New Roman" w:eastAsia="宋体" w:cs="Times New Roman"/>
                <w:bCs/>
                <w:color w:val="000000"/>
                <w:kern w:val="0"/>
                <w:sz w:val="21"/>
                <w:szCs w:val="24"/>
                <w:bdr w:val="none" w:color="auto" w:sz="0" w:space="0"/>
                <w:lang w:val="en-US" w:eastAsia="zh-CN" w:bidi="ar"/>
              </w:rPr>
              <w:t>）</w:t>
            </w:r>
          </w:p>
        </w:tc>
        <w:tc>
          <w:tcPr>
            <w:tcW w:w="564" w:type="pct"/>
            <w:gridSpan w:val="2"/>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TSP</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0. 7</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0.11</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0.34</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napToGrid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0.07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16" w:type="pct"/>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564" w:type="pct"/>
            <w:gridSpan w:val="2"/>
            <w:tcBorders>
              <w:top w:val="single" w:color="auto" w:sz="6" w:space="0"/>
              <w:left w:val="single" w:color="auto" w:sz="6" w:space="0"/>
              <w:bottom w:val="thickThinSmallGap" w:color="auto" w:sz="12"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PM</w:t>
            </w:r>
            <w:r>
              <w:rPr>
                <w:rFonts w:hint="default" w:ascii="Times New Roman" w:hAnsi="Times New Roman" w:eastAsia="宋体" w:cs="Times New Roman"/>
                <w:bCs/>
                <w:color w:val="000000"/>
                <w:kern w:val="0"/>
                <w:sz w:val="21"/>
                <w:szCs w:val="24"/>
                <w:bdr w:val="none" w:color="auto" w:sz="0" w:space="0"/>
                <w:vertAlign w:val="subscript"/>
                <w:lang w:val="en-US" w:eastAsia="zh-CN" w:bidi="ar"/>
              </w:rPr>
              <w:t>10</w:t>
            </w:r>
          </w:p>
        </w:tc>
        <w:tc>
          <w:tcPr>
            <w:tcW w:w="830" w:type="pct"/>
            <w:tcBorders>
              <w:top w:val="single" w:color="auto" w:sz="6" w:space="0"/>
              <w:left w:val="single" w:color="auto" w:sz="6"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0.35</w:t>
            </w:r>
          </w:p>
        </w:tc>
        <w:tc>
          <w:tcPr>
            <w:tcW w:w="830" w:type="pct"/>
            <w:tcBorders>
              <w:top w:val="single" w:color="auto" w:sz="6" w:space="0"/>
              <w:left w:val="single" w:color="auto" w:sz="4"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0.06</w:t>
            </w:r>
          </w:p>
        </w:tc>
        <w:tc>
          <w:tcPr>
            <w:tcW w:w="830" w:type="pct"/>
            <w:tcBorders>
              <w:top w:val="single" w:color="auto" w:sz="6" w:space="0"/>
              <w:left w:val="single" w:color="auto" w:sz="6" w:space="0"/>
              <w:bottom w:val="thickThinSmallGap" w:color="auto" w:sz="12"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0.17</w:t>
            </w:r>
          </w:p>
        </w:tc>
        <w:tc>
          <w:tcPr>
            <w:tcW w:w="830" w:type="pct"/>
            <w:tcBorders>
              <w:top w:val="single" w:color="auto" w:sz="6" w:space="0"/>
              <w:left w:val="single" w:color="auto" w:sz="6" w:space="0"/>
              <w:bottom w:val="thickThinSmallGap" w:color="auto" w:sz="12" w:space="0"/>
              <w:right w:val="nil"/>
            </w:tcBorders>
            <w:shd w:val="clear"/>
            <w:vAlign w:val="center"/>
          </w:tcPr>
          <w:p>
            <w:pPr>
              <w:pStyle w:val="27"/>
              <w:keepNext w:val="0"/>
              <w:keepLines w:val="0"/>
              <w:widowControl/>
              <w:suppressLineNumbers w:val="0"/>
              <w:snapToGrid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0.04</w:t>
            </w:r>
          </w:p>
        </w:tc>
      </w:tr>
    </w:tbl>
    <w:p>
      <w:pPr>
        <w:pStyle w:val="56"/>
        <w:widowControl/>
        <w:snapToGrid/>
        <w:rPr>
          <w:color w:val="000000"/>
          <w:lang w:val="en-US"/>
        </w:rPr>
      </w:pPr>
      <w:bookmarkStart w:id="83" w:name="_Ref259059335"/>
      <w:r>
        <w:rPr>
          <w:rFonts w:hint="eastAsia" w:ascii="Times New Roman" w:hAnsi="Times New Roman" w:eastAsia="黑体" w:cs="黑体"/>
          <w:color w:val="000000"/>
          <w:lang w:eastAsia="zh-CN"/>
        </w:rPr>
        <w:t>表</w:t>
      </w:r>
      <w:bookmarkEnd w:id="83"/>
      <w:r>
        <w:rPr>
          <w:color w:val="000000"/>
          <w:lang w:val="en-US"/>
        </w:rPr>
        <w:t xml:space="preserve">1.5-6  </w:t>
      </w:r>
      <w:r>
        <w:rPr>
          <w:rFonts w:hint="eastAsia" w:ascii="Times New Roman" w:hAnsi="Times New Roman" w:eastAsia="黑体" w:cs="黑体"/>
          <w:color w:val="000000"/>
          <w:lang w:eastAsia="zh-CN"/>
        </w:rPr>
        <w:t>主要污染源估算模型计算结果一览表</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shd w:val="clear"/>
        <w:tblLayout w:type="autofit"/>
        <w:tblCellMar>
          <w:top w:w="0" w:type="dxa"/>
          <w:left w:w="108" w:type="dxa"/>
          <w:bottom w:w="0" w:type="dxa"/>
          <w:right w:w="108" w:type="dxa"/>
        </w:tblCellMar>
      </w:tblPr>
      <w:tblGrid>
        <w:gridCol w:w="1527"/>
        <w:gridCol w:w="1124"/>
        <w:gridCol w:w="1962"/>
        <w:gridCol w:w="1684"/>
        <w:gridCol w:w="1424"/>
        <w:gridCol w:w="1006"/>
      </w:tblGrid>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shd w:val="clear"/>
          <w:tblCellMar>
            <w:top w:w="0" w:type="dxa"/>
            <w:left w:w="108" w:type="dxa"/>
            <w:bottom w:w="0" w:type="dxa"/>
            <w:right w:w="108" w:type="dxa"/>
          </w:tblCellMar>
        </w:tblPrEx>
        <w:trPr>
          <w:trHeight w:val="397" w:hRule="atLeast"/>
          <w:tblHeader/>
          <w:jc w:val="center"/>
        </w:trPr>
        <w:tc>
          <w:tcPr>
            <w:tcW w:w="875" w:type="pct"/>
            <w:tcBorders>
              <w:top w:val="thinThickSmallGap" w:color="auto" w:sz="12" w:space="0"/>
              <w:left w:val="nil"/>
              <w:bottom w:val="single" w:color="000000" w:sz="6" w:space="0"/>
              <w:right w:val="single" w:color="000000" w:sz="6" w:space="0"/>
            </w:tcBorders>
            <w:shd w:val="clear" w:color="auto" w:fill="E0E0E0"/>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污染源</w:t>
            </w:r>
          </w:p>
        </w:tc>
        <w:tc>
          <w:tcPr>
            <w:tcW w:w="644" w:type="pct"/>
            <w:tcBorders>
              <w:top w:val="thinThickSmallGap" w:color="auto" w:sz="12" w:space="0"/>
              <w:left w:val="single" w:color="000000" w:sz="6" w:space="0"/>
              <w:bottom w:val="single" w:color="000000" w:sz="6" w:space="0"/>
              <w:right w:val="single" w:color="000000" w:sz="6" w:space="0"/>
            </w:tcBorders>
            <w:shd w:val="clear" w:color="auto" w:fill="E0E0E0"/>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污染物</w:t>
            </w:r>
          </w:p>
        </w:tc>
        <w:tc>
          <w:tcPr>
            <w:tcW w:w="1124" w:type="pct"/>
            <w:tcBorders>
              <w:top w:val="thinThickSmallGap" w:color="auto" w:sz="12" w:space="0"/>
              <w:left w:val="single" w:color="000000" w:sz="6" w:space="0"/>
              <w:bottom w:val="single" w:color="000000" w:sz="6" w:space="0"/>
              <w:right w:val="single" w:color="000000" w:sz="6" w:space="0"/>
            </w:tcBorders>
            <w:shd w:val="clear" w:color="auto" w:fill="E0E0E0"/>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vertAlign w:val="subscript"/>
                <w:lang w:val="en-US"/>
              </w:rPr>
            </w:pPr>
            <w:r>
              <w:rPr>
                <w:rFonts w:ascii="Times New Roman" w:hAnsi="Times New Roman"/>
                <w:color w:val="000000"/>
                <w:kern w:val="2"/>
                <w:szCs w:val="21"/>
                <w:bdr w:val="none" w:color="auto" w:sz="0" w:space="0"/>
              </w:rPr>
              <w:t>预测质量浓度</w:t>
            </w:r>
            <w:r>
              <w:rPr>
                <w:rFonts w:hint="default" w:ascii="Times New Roman" w:hAnsi="Times New Roman" w:cs="Times New Roman"/>
                <w:color w:val="000000"/>
                <w:kern w:val="2"/>
                <w:szCs w:val="21"/>
                <w:bdr w:val="none" w:color="auto" w:sz="0" w:space="0"/>
                <w:lang w:val="en-US"/>
              </w:rPr>
              <w:t>C</w:t>
            </w:r>
            <w:r>
              <w:rPr>
                <w:rFonts w:hint="default" w:ascii="Times New Roman" w:hAnsi="Times New Roman" w:cs="Times New Roman"/>
                <w:color w:val="000000"/>
                <w:kern w:val="2"/>
                <w:szCs w:val="21"/>
                <w:bdr w:val="none" w:color="auto" w:sz="0" w:space="0"/>
                <w:vertAlign w:val="subscript"/>
                <w:lang w:val="en-US"/>
              </w:rPr>
              <w:t>i</w:t>
            </w:r>
          </w:p>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w:t>
            </w:r>
            <w:r>
              <w:rPr>
                <w:rFonts w:hint="default" w:ascii="Times New Roman" w:hAnsi="Times New Roman" w:cs="Times New Roman"/>
                <w:color w:val="000000"/>
                <w:kern w:val="2"/>
                <w:szCs w:val="21"/>
                <w:bdr w:val="none" w:color="auto" w:sz="0" w:space="0"/>
                <w:lang w:val="en-US"/>
              </w:rPr>
              <w:t>μg/m</w:t>
            </w:r>
            <w:r>
              <w:rPr>
                <w:rFonts w:hint="default" w:ascii="Times New Roman" w:hAnsi="Times New Roman" w:cs="Times New Roman"/>
                <w:color w:val="000000"/>
                <w:kern w:val="2"/>
                <w:szCs w:val="21"/>
                <w:bdr w:val="none" w:color="auto" w:sz="0" w:space="0"/>
                <w:vertAlign w:val="superscript"/>
                <w:lang w:val="en-US"/>
              </w:rPr>
              <w:t>3</w:t>
            </w:r>
            <w:r>
              <w:rPr>
                <w:rFonts w:ascii="Times New Roman" w:hAnsi="Times New Roman"/>
                <w:color w:val="000000"/>
                <w:kern w:val="2"/>
                <w:szCs w:val="21"/>
                <w:bdr w:val="none" w:color="auto" w:sz="0" w:space="0"/>
              </w:rPr>
              <w:t>）</w:t>
            </w:r>
          </w:p>
        </w:tc>
        <w:tc>
          <w:tcPr>
            <w:tcW w:w="965" w:type="pct"/>
            <w:tcBorders>
              <w:top w:val="thinThickSmallGap" w:color="auto" w:sz="12" w:space="0"/>
              <w:left w:val="single" w:color="000000" w:sz="6" w:space="0"/>
              <w:bottom w:val="single" w:color="000000" w:sz="6" w:space="0"/>
              <w:right w:val="single" w:color="000000" w:sz="6" w:space="0"/>
            </w:tcBorders>
            <w:shd w:val="clear" w:color="auto" w:fill="E0E0E0"/>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评价标准</w:t>
            </w:r>
            <w:r>
              <w:rPr>
                <w:rFonts w:hint="default" w:ascii="Times New Roman" w:hAnsi="Times New Roman" w:cs="Times New Roman"/>
                <w:color w:val="000000"/>
                <w:kern w:val="2"/>
                <w:szCs w:val="21"/>
                <w:bdr w:val="none" w:color="auto" w:sz="0" w:space="0"/>
                <w:lang w:val="en-US"/>
              </w:rPr>
              <w:t>C</w:t>
            </w:r>
            <w:r>
              <w:rPr>
                <w:rFonts w:hint="default" w:ascii="Times New Roman" w:hAnsi="Times New Roman" w:cs="Times New Roman"/>
                <w:color w:val="000000"/>
                <w:kern w:val="2"/>
                <w:szCs w:val="21"/>
                <w:bdr w:val="none" w:color="auto" w:sz="0" w:space="0"/>
                <w:vertAlign w:val="subscript"/>
                <w:lang w:val="en-US"/>
              </w:rPr>
              <w:t>0i</w:t>
            </w:r>
            <w:r>
              <w:rPr>
                <w:rFonts w:ascii="Times New Roman" w:hAnsi="Times New Roman"/>
                <w:color w:val="000000"/>
                <w:kern w:val="2"/>
                <w:szCs w:val="21"/>
                <w:bdr w:val="none" w:color="auto" w:sz="0" w:space="0"/>
              </w:rPr>
              <w:t>（</w:t>
            </w:r>
            <w:r>
              <w:rPr>
                <w:rFonts w:hint="default" w:ascii="Times New Roman" w:hAnsi="Times New Roman" w:cs="Times New Roman"/>
                <w:color w:val="000000"/>
                <w:kern w:val="2"/>
                <w:szCs w:val="21"/>
                <w:bdr w:val="none" w:color="auto" w:sz="0" w:space="0"/>
                <w:lang w:val="en-US"/>
              </w:rPr>
              <w:t>μg/m</w:t>
            </w:r>
            <w:r>
              <w:rPr>
                <w:rFonts w:hint="default" w:ascii="Times New Roman" w:hAnsi="Times New Roman" w:cs="Times New Roman"/>
                <w:color w:val="000000"/>
                <w:kern w:val="2"/>
                <w:szCs w:val="21"/>
                <w:bdr w:val="none" w:color="auto" w:sz="0" w:space="0"/>
                <w:vertAlign w:val="superscript"/>
                <w:lang w:val="en-US"/>
              </w:rPr>
              <w:t>3</w:t>
            </w:r>
            <w:r>
              <w:rPr>
                <w:rFonts w:ascii="Times New Roman" w:hAnsi="Times New Roman"/>
                <w:color w:val="000000"/>
                <w:kern w:val="2"/>
                <w:szCs w:val="21"/>
                <w:bdr w:val="none" w:color="auto" w:sz="0" w:space="0"/>
              </w:rPr>
              <w:t>）</w:t>
            </w:r>
          </w:p>
        </w:tc>
        <w:tc>
          <w:tcPr>
            <w:tcW w:w="816" w:type="pct"/>
            <w:tcBorders>
              <w:top w:val="thinThickSmallGap" w:color="auto" w:sz="12" w:space="0"/>
              <w:left w:val="single" w:color="000000" w:sz="6" w:space="0"/>
              <w:bottom w:val="single" w:color="000000" w:sz="6" w:space="0"/>
              <w:right w:val="single" w:color="000000" w:sz="6" w:space="0"/>
            </w:tcBorders>
            <w:shd w:val="clear" w:color="auto" w:fill="E0E0E0"/>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最大占标率</w:t>
            </w:r>
            <w:r>
              <w:rPr>
                <w:rFonts w:hint="default" w:ascii="Times New Roman" w:hAnsi="Times New Roman" w:cs="Times New Roman"/>
                <w:color w:val="000000"/>
                <w:kern w:val="2"/>
                <w:szCs w:val="21"/>
                <w:bdr w:val="none" w:color="auto" w:sz="0" w:space="0"/>
                <w:lang w:val="en-US"/>
              </w:rPr>
              <w:t>P</w:t>
            </w:r>
            <w:r>
              <w:rPr>
                <w:rFonts w:hint="default" w:ascii="Times New Roman" w:hAnsi="Times New Roman" w:cs="Times New Roman"/>
                <w:color w:val="000000"/>
                <w:kern w:val="2"/>
                <w:szCs w:val="21"/>
                <w:bdr w:val="none" w:color="auto" w:sz="0" w:space="0"/>
                <w:vertAlign w:val="subscript"/>
                <w:lang w:val="en-US"/>
              </w:rPr>
              <w:t>i</w:t>
            </w:r>
            <w:r>
              <w:rPr>
                <w:rFonts w:ascii="Times New Roman" w:hAnsi="Times New Roman"/>
                <w:color w:val="000000"/>
                <w:kern w:val="2"/>
                <w:szCs w:val="21"/>
                <w:bdr w:val="none" w:color="auto" w:sz="0" w:space="0"/>
              </w:rPr>
              <w:t>（</w:t>
            </w:r>
            <w:r>
              <w:rPr>
                <w:rFonts w:hint="default" w:ascii="Times New Roman" w:hAnsi="Times New Roman" w:cs="Times New Roman"/>
                <w:color w:val="000000"/>
                <w:kern w:val="2"/>
                <w:szCs w:val="21"/>
                <w:bdr w:val="none" w:color="auto" w:sz="0" w:space="0"/>
                <w:lang w:val="en-US"/>
              </w:rPr>
              <w:t>%</w:t>
            </w:r>
            <w:r>
              <w:rPr>
                <w:rFonts w:ascii="Times New Roman" w:hAnsi="Times New Roman"/>
                <w:color w:val="000000"/>
                <w:kern w:val="2"/>
                <w:szCs w:val="21"/>
                <w:bdr w:val="none" w:color="auto" w:sz="0" w:space="0"/>
              </w:rPr>
              <w:t>）</w:t>
            </w:r>
          </w:p>
        </w:tc>
        <w:tc>
          <w:tcPr>
            <w:tcW w:w="576" w:type="pct"/>
            <w:tcBorders>
              <w:top w:val="thinThickSmallGap" w:color="auto" w:sz="12" w:space="0"/>
              <w:left w:val="single" w:color="000000" w:sz="6" w:space="0"/>
              <w:bottom w:val="single" w:color="000000" w:sz="6" w:space="0"/>
              <w:right w:val="nil"/>
            </w:tcBorders>
            <w:shd w:val="clear" w:color="auto" w:fill="E0E0E0"/>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D</w:t>
            </w:r>
            <w:r>
              <w:rPr>
                <w:rFonts w:hint="default" w:ascii="Times New Roman" w:hAnsi="Times New Roman" w:cs="Times New Roman"/>
                <w:color w:val="000000"/>
                <w:kern w:val="2"/>
                <w:szCs w:val="21"/>
                <w:bdr w:val="none" w:color="auto" w:sz="0" w:space="0"/>
                <w:vertAlign w:val="subscript"/>
                <w:lang w:val="en-US"/>
              </w:rPr>
              <w:t>10%</w:t>
            </w:r>
            <w:r>
              <w:rPr>
                <w:rFonts w:ascii="Times New Roman" w:hAnsi="Times New Roman"/>
                <w:color w:val="000000"/>
                <w:kern w:val="2"/>
                <w:szCs w:val="21"/>
                <w:bdr w:val="none" w:color="auto" w:sz="0" w:space="0"/>
              </w:rPr>
              <w:t>最远距离（</w:t>
            </w:r>
            <w:r>
              <w:rPr>
                <w:rFonts w:hint="default" w:ascii="Times New Roman" w:hAnsi="Times New Roman" w:cs="Times New Roman"/>
                <w:color w:val="000000"/>
                <w:kern w:val="2"/>
                <w:szCs w:val="21"/>
                <w:bdr w:val="none" w:color="auto" w:sz="0" w:space="0"/>
                <w:lang w:val="en-US"/>
              </w:rPr>
              <w:t>m</w:t>
            </w:r>
            <w:r>
              <w:rPr>
                <w:rFonts w:ascii="Times New Roman" w:hAnsi="Times New Roman"/>
                <w:color w:val="000000"/>
                <w:kern w:val="2"/>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75" w:type="pct"/>
            <w:tcBorders>
              <w:top w:val="single" w:color="000000" w:sz="6" w:space="0"/>
              <w:left w:val="nil"/>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bCs/>
                <w:color w:val="000000"/>
                <w:bdr w:val="none" w:color="auto" w:sz="0" w:space="0"/>
              </w:rPr>
              <w:t>破碎筛分排气筒</w:t>
            </w:r>
            <w:r>
              <w:rPr>
                <w:rFonts w:hint="default" w:ascii="Times New Roman" w:hAnsi="Times New Roman" w:cs="Times New Roman"/>
                <w:bCs/>
                <w:color w:val="000000"/>
                <w:bdr w:val="none" w:color="auto" w:sz="0" w:space="0"/>
                <w:lang w:val="en-US"/>
              </w:rPr>
              <w:t>P1</w:t>
            </w:r>
          </w:p>
        </w:tc>
        <w:tc>
          <w:tcPr>
            <w:tcW w:w="644"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PM</w:t>
            </w:r>
            <w:r>
              <w:rPr>
                <w:rFonts w:hint="default" w:ascii="Times New Roman" w:hAnsi="Times New Roman" w:cs="Times New Roman"/>
                <w:color w:val="000000"/>
                <w:kern w:val="2"/>
                <w:szCs w:val="21"/>
                <w:bdr w:val="none" w:color="auto" w:sz="0" w:space="0"/>
                <w:vertAlign w:val="subscript"/>
                <w:lang w:val="en-US"/>
              </w:rPr>
              <w:t>10</w:t>
            </w:r>
          </w:p>
        </w:tc>
        <w:tc>
          <w:tcPr>
            <w:tcW w:w="1124"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1850.9</w:t>
            </w:r>
          </w:p>
        </w:tc>
        <w:tc>
          <w:tcPr>
            <w:tcW w:w="965"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3×150</w:t>
            </w:r>
          </w:p>
        </w:tc>
        <w:tc>
          <w:tcPr>
            <w:tcW w:w="816"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411.3</w:t>
            </w:r>
          </w:p>
        </w:tc>
        <w:tc>
          <w:tcPr>
            <w:tcW w:w="576" w:type="pct"/>
            <w:tcBorders>
              <w:top w:val="single" w:color="000000" w:sz="6" w:space="0"/>
              <w:left w:val="single" w:color="000000" w:sz="6" w:space="0"/>
              <w:bottom w:val="single" w:color="000000" w:sz="6" w:space="0"/>
              <w:right w:val="nil"/>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1650</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PrEx>
        <w:trPr>
          <w:trHeight w:val="397" w:hRule="atLeast"/>
          <w:jc w:val="center"/>
        </w:trPr>
        <w:tc>
          <w:tcPr>
            <w:tcW w:w="875" w:type="pct"/>
            <w:vMerge w:val="restart"/>
            <w:tcBorders>
              <w:top w:val="single" w:color="000000" w:sz="6" w:space="0"/>
              <w:left w:val="nil"/>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原料库</w:t>
            </w:r>
          </w:p>
        </w:tc>
        <w:tc>
          <w:tcPr>
            <w:tcW w:w="644"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TSP</w:t>
            </w:r>
          </w:p>
        </w:tc>
        <w:tc>
          <w:tcPr>
            <w:tcW w:w="1124"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653.4</w:t>
            </w:r>
          </w:p>
        </w:tc>
        <w:tc>
          <w:tcPr>
            <w:tcW w:w="965" w:type="pct"/>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3×300</w:t>
            </w:r>
          </w:p>
        </w:tc>
        <w:tc>
          <w:tcPr>
            <w:tcW w:w="816"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72.6</w:t>
            </w:r>
          </w:p>
        </w:tc>
        <w:tc>
          <w:tcPr>
            <w:tcW w:w="576" w:type="pct"/>
            <w:tcBorders>
              <w:top w:val="single" w:color="000000" w:sz="6" w:space="0"/>
              <w:left w:val="single" w:color="000000" w:sz="6" w:space="0"/>
              <w:bottom w:val="single" w:color="000000" w:sz="6" w:space="0"/>
              <w:right w:val="nil"/>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1400</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PrEx>
        <w:trPr>
          <w:trHeight w:val="397" w:hRule="atLeast"/>
          <w:jc w:val="center"/>
        </w:trPr>
        <w:tc>
          <w:tcPr>
            <w:tcW w:w="875" w:type="pct"/>
            <w:vMerge w:val="continue"/>
            <w:tcBorders>
              <w:top w:val="single" w:color="000000" w:sz="6" w:space="0"/>
              <w:left w:val="nil"/>
              <w:bottom w:val="single" w:color="000000" w:sz="6" w:space="0"/>
              <w:right w:val="single" w:color="000000" w:sz="6" w:space="0"/>
            </w:tcBorders>
            <w:shd w:val="clear"/>
            <w:vAlign w:val="center"/>
          </w:tcPr>
          <w:p>
            <w:pPr>
              <w:rPr>
                <w:rFonts w:hint="default" w:ascii="Times New Roman" w:hAnsi="Times New Roman" w:cs="Times New Roman"/>
                <w:sz w:val="20"/>
                <w:szCs w:val="20"/>
              </w:rPr>
            </w:pPr>
          </w:p>
        </w:tc>
        <w:tc>
          <w:tcPr>
            <w:tcW w:w="644"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PM</w:t>
            </w:r>
            <w:r>
              <w:rPr>
                <w:rFonts w:hint="default" w:ascii="Times New Roman" w:hAnsi="Times New Roman" w:cs="Times New Roman"/>
                <w:color w:val="000000"/>
                <w:kern w:val="2"/>
                <w:szCs w:val="21"/>
                <w:bdr w:val="none" w:color="auto" w:sz="0" w:space="0"/>
                <w:vertAlign w:val="subscript"/>
                <w:lang w:val="en-US"/>
              </w:rPr>
              <w:t>10</w:t>
            </w:r>
          </w:p>
        </w:tc>
        <w:tc>
          <w:tcPr>
            <w:tcW w:w="1124"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326.7</w:t>
            </w:r>
          </w:p>
        </w:tc>
        <w:tc>
          <w:tcPr>
            <w:tcW w:w="965" w:type="pct"/>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3×150</w:t>
            </w:r>
          </w:p>
        </w:tc>
        <w:tc>
          <w:tcPr>
            <w:tcW w:w="816"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72.6</w:t>
            </w:r>
          </w:p>
        </w:tc>
        <w:tc>
          <w:tcPr>
            <w:tcW w:w="576" w:type="pct"/>
            <w:tcBorders>
              <w:top w:val="single" w:color="000000" w:sz="6" w:space="0"/>
              <w:left w:val="single" w:color="000000" w:sz="6" w:space="0"/>
              <w:bottom w:val="single" w:color="000000" w:sz="6" w:space="0"/>
              <w:right w:val="nil"/>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1400</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PrEx>
        <w:trPr>
          <w:trHeight w:val="397" w:hRule="atLeast"/>
          <w:jc w:val="center"/>
        </w:trPr>
        <w:tc>
          <w:tcPr>
            <w:tcW w:w="875" w:type="pct"/>
            <w:vMerge w:val="restart"/>
            <w:tcBorders>
              <w:top w:val="single" w:color="000000" w:sz="6" w:space="0"/>
              <w:left w:val="nil"/>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破碎车间</w:t>
            </w:r>
          </w:p>
        </w:tc>
        <w:tc>
          <w:tcPr>
            <w:tcW w:w="644"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TSP</w:t>
            </w:r>
          </w:p>
        </w:tc>
        <w:tc>
          <w:tcPr>
            <w:tcW w:w="1124"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60.1</w:t>
            </w:r>
          </w:p>
        </w:tc>
        <w:tc>
          <w:tcPr>
            <w:tcW w:w="965" w:type="pct"/>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3×300</w:t>
            </w:r>
          </w:p>
        </w:tc>
        <w:tc>
          <w:tcPr>
            <w:tcW w:w="816"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6.68</w:t>
            </w:r>
          </w:p>
        </w:tc>
        <w:tc>
          <w:tcPr>
            <w:tcW w:w="576" w:type="pct"/>
            <w:tcBorders>
              <w:top w:val="single" w:color="000000" w:sz="6" w:space="0"/>
              <w:left w:val="single" w:color="000000" w:sz="6" w:space="0"/>
              <w:bottom w:val="single" w:color="000000" w:sz="6" w:space="0"/>
              <w:right w:val="nil"/>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PrEx>
        <w:trPr>
          <w:trHeight w:val="397" w:hRule="atLeast"/>
          <w:jc w:val="center"/>
        </w:trPr>
        <w:tc>
          <w:tcPr>
            <w:tcW w:w="875" w:type="pct"/>
            <w:vMerge w:val="continue"/>
            <w:tcBorders>
              <w:top w:val="single" w:color="000000" w:sz="6" w:space="0"/>
              <w:left w:val="nil"/>
              <w:bottom w:val="single" w:color="000000" w:sz="6" w:space="0"/>
              <w:right w:val="single" w:color="000000" w:sz="6" w:space="0"/>
            </w:tcBorders>
            <w:shd w:val="clear"/>
            <w:vAlign w:val="center"/>
          </w:tcPr>
          <w:p>
            <w:pPr>
              <w:rPr>
                <w:rFonts w:hint="default" w:ascii="Times New Roman" w:hAnsi="Times New Roman" w:cs="Times New Roman"/>
                <w:sz w:val="20"/>
                <w:szCs w:val="20"/>
              </w:rPr>
            </w:pPr>
          </w:p>
        </w:tc>
        <w:tc>
          <w:tcPr>
            <w:tcW w:w="644"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PM</w:t>
            </w:r>
            <w:r>
              <w:rPr>
                <w:rFonts w:hint="default" w:ascii="Times New Roman" w:hAnsi="Times New Roman" w:cs="Times New Roman"/>
                <w:color w:val="000000"/>
                <w:kern w:val="2"/>
                <w:szCs w:val="21"/>
                <w:bdr w:val="none" w:color="auto" w:sz="0" w:space="0"/>
                <w:vertAlign w:val="subscript"/>
                <w:lang w:val="en-US"/>
              </w:rPr>
              <w:t>10</w:t>
            </w:r>
          </w:p>
        </w:tc>
        <w:tc>
          <w:tcPr>
            <w:tcW w:w="1124"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30.1</w:t>
            </w:r>
          </w:p>
        </w:tc>
        <w:tc>
          <w:tcPr>
            <w:tcW w:w="965" w:type="pct"/>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3×150</w:t>
            </w:r>
          </w:p>
        </w:tc>
        <w:tc>
          <w:tcPr>
            <w:tcW w:w="816"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6.68</w:t>
            </w:r>
          </w:p>
        </w:tc>
        <w:tc>
          <w:tcPr>
            <w:tcW w:w="576" w:type="pct"/>
            <w:tcBorders>
              <w:top w:val="single" w:color="000000" w:sz="6" w:space="0"/>
              <w:left w:val="single" w:color="000000" w:sz="6" w:space="0"/>
              <w:bottom w:val="single" w:color="000000" w:sz="6" w:space="0"/>
              <w:right w:val="nil"/>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PrEx>
        <w:trPr>
          <w:trHeight w:val="397" w:hRule="atLeast"/>
          <w:jc w:val="center"/>
        </w:trPr>
        <w:tc>
          <w:tcPr>
            <w:tcW w:w="875" w:type="pct"/>
            <w:vMerge w:val="restart"/>
            <w:tcBorders>
              <w:top w:val="single" w:color="000000" w:sz="6" w:space="0"/>
              <w:left w:val="nil"/>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精矿库</w:t>
            </w:r>
          </w:p>
        </w:tc>
        <w:tc>
          <w:tcPr>
            <w:tcW w:w="644"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TSP</w:t>
            </w:r>
          </w:p>
        </w:tc>
        <w:tc>
          <w:tcPr>
            <w:tcW w:w="1124"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278.6</w:t>
            </w:r>
          </w:p>
        </w:tc>
        <w:tc>
          <w:tcPr>
            <w:tcW w:w="965" w:type="pct"/>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snapToGrid w:val="0"/>
                <w:color w:val="000000"/>
                <w:sz w:val="21"/>
                <w:szCs w:val="21"/>
                <w:bdr w:val="none" w:color="auto" w:sz="0" w:space="0"/>
                <w:lang w:val="en-US"/>
              </w:rPr>
            </w:pPr>
            <w:r>
              <w:rPr>
                <w:rFonts w:hint="default" w:ascii="Times New Roman" w:hAnsi="Times New Roman" w:eastAsia="宋体" w:cs="Times New Roman"/>
                <w:snapToGrid w:val="0"/>
                <w:color w:val="000000"/>
                <w:kern w:val="0"/>
                <w:sz w:val="21"/>
                <w:szCs w:val="21"/>
                <w:bdr w:val="none" w:color="auto" w:sz="0" w:space="0"/>
                <w:lang w:val="en-US" w:eastAsia="zh-CN" w:bidi="ar"/>
              </w:rPr>
              <w:t>3×300</w:t>
            </w:r>
          </w:p>
        </w:tc>
        <w:tc>
          <w:tcPr>
            <w:tcW w:w="816"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31.0</w:t>
            </w:r>
          </w:p>
        </w:tc>
        <w:tc>
          <w:tcPr>
            <w:tcW w:w="576" w:type="pct"/>
            <w:tcBorders>
              <w:top w:val="single" w:color="000000" w:sz="6" w:space="0"/>
              <w:left w:val="single" w:color="000000" w:sz="6" w:space="0"/>
              <w:bottom w:val="single" w:color="000000" w:sz="6" w:space="0"/>
              <w:right w:val="nil"/>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300</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PrEx>
        <w:trPr>
          <w:trHeight w:val="397" w:hRule="atLeast"/>
          <w:jc w:val="center"/>
        </w:trPr>
        <w:tc>
          <w:tcPr>
            <w:tcW w:w="875" w:type="pct"/>
            <w:vMerge w:val="continue"/>
            <w:tcBorders>
              <w:top w:val="single" w:color="000000" w:sz="6" w:space="0"/>
              <w:left w:val="nil"/>
              <w:bottom w:val="single" w:color="000000" w:sz="6" w:space="0"/>
              <w:right w:val="single" w:color="000000" w:sz="6" w:space="0"/>
            </w:tcBorders>
            <w:shd w:val="clear"/>
            <w:vAlign w:val="center"/>
          </w:tcPr>
          <w:p>
            <w:pPr>
              <w:rPr>
                <w:rFonts w:hint="default" w:ascii="Times New Roman" w:hAnsi="Times New Roman" w:cs="Times New Roman"/>
                <w:sz w:val="20"/>
                <w:szCs w:val="20"/>
              </w:rPr>
            </w:pPr>
          </w:p>
        </w:tc>
        <w:tc>
          <w:tcPr>
            <w:tcW w:w="644"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PM</w:t>
            </w:r>
            <w:r>
              <w:rPr>
                <w:rFonts w:hint="default" w:ascii="Times New Roman" w:hAnsi="Times New Roman" w:cs="Times New Roman"/>
                <w:color w:val="000000"/>
                <w:kern w:val="2"/>
                <w:szCs w:val="21"/>
                <w:bdr w:val="none" w:color="auto" w:sz="0" w:space="0"/>
                <w:vertAlign w:val="subscript"/>
                <w:lang w:val="en-US"/>
              </w:rPr>
              <w:t>10</w:t>
            </w:r>
          </w:p>
        </w:tc>
        <w:tc>
          <w:tcPr>
            <w:tcW w:w="1124"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139.3</w:t>
            </w:r>
          </w:p>
        </w:tc>
        <w:tc>
          <w:tcPr>
            <w:tcW w:w="965" w:type="pct"/>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snapToGrid w:val="0"/>
                <w:color w:val="000000"/>
                <w:sz w:val="21"/>
                <w:szCs w:val="21"/>
                <w:bdr w:val="none" w:color="auto" w:sz="0" w:space="0"/>
                <w:lang w:val="en-US"/>
              </w:rPr>
            </w:pPr>
            <w:r>
              <w:rPr>
                <w:rFonts w:hint="default" w:ascii="Times New Roman" w:hAnsi="Times New Roman" w:eastAsia="宋体" w:cs="Times New Roman"/>
                <w:snapToGrid w:val="0"/>
                <w:color w:val="000000"/>
                <w:kern w:val="0"/>
                <w:sz w:val="21"/>
                <w:szCs w:val="21"/>
                <w:bdr w:val="none" w:color="auto" w:sz="0" w:space="0"/>
                <w:lang w:val="en-US" w:eastAsia="zh-CN" w:bidi="ar"/>
              </w:rPr>
              <w:t>3×150</w:t>
            </w:r>
          </w:p>
        </w:tc>
        <w:tc>
          <w:tcPr>
            <w:tcW w:w="816"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31.0</w:t>
            </w:r>
          </w:p>
        </w:tc>
        <w:tc>
          <w:tcPr>
            <w:tcW w:w="576" w:type="pct"/>
            <w:tcBorders>
              <w:top w:val="single" w:color="000000" w:sz="6" w:space="0"/>
              <w:left w:val="single" w:color="000000" w:sz="6" w:space="0"/>
              <w:bottom w:val="single" w:color="000000" w:sz="6" w:space="0"/>
              <w:right w:val="nil"/>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300</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PrEx>
        <w:trPr>
          <w:trHeight w:val="397" w:hRule="atLeast"/>
          <w:jc w:val="center"/>
        </w:trPr>
        <w:tc>
          <w:tcPr>
            <w:tcW w:w="875" w:type="pct"/>
            <w:vMerge w:val="restart"/>
            <w:tcBorders>
              <w:top w:val="single" w:color="000000" w:sz="6" w:space="0"/>
              <w:left w:val="nil"/>
              <w:bottom w:val="thickThinSmallGap" w:color="auto" w:sz="12"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ascii="Times New Roman" w:hAnsi="Times New Roman"/>
                <w:color w:val="000000"/>
                <w:kern w:val="2"/>
                <w:szCs w:val="21"/>
                <w:bdr w:val="none" w:color="auto" w:sz="0" w:space="0"/>
              </w:rPr>
              <w:t>尾矿库</w:t>
            </w:r>
          </w:p>
        </w:tc>
        <w:tc>
          <w:tcPr>
            <w:tcW w:w="644"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TSP</w:t>
            </w:r>
          </w:p>
        </w:tc>
        <w:tc>
          <w:tcPr>
            <w:tcW w:w="1124"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75.2</w:t>
            </w:r>
          </w:p>
        </w:tc>
        <w:tc>
          <w:tcPr>
            <w:tcW w:w="965"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3×300</w:t>
            </w:r>
          </w:p>
        </w:tc>
        <w:tc>
          <w:tcPr>
            <w:tcW w:w="816" w:type="pct"/>
            <w:tcBorders>
              <w:top w:val="single" w:color="000000" w:sz="6" w:space="0"/>
              <w:left w:val="single" w:color="000000" w:sz="6" w:space="0"/>
              <w:bottom w:val="single" w:color="000000" w:sz="6"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8.4</w:t>
            </w:r>
          </w:p>
        </w:tc>
        <w:tc>
          <w:tcPr>
            <w:tcW w:w="576" w:type="pct"/>
            <w:tcBorders>
              <w:top w:val="single" w:color="000000" w:sz="6" w:space="0"/>
              <w:left w:val="single" w:color="000000" w:sz="6" w:space="0"/>
              <w:bottom w:val="single" w:color="000000" w:sz="6" w:space="0"/>
              <w:right w:val="nil"/>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PrEx>
        <w:trPr>
          <w:trHeight w:val="397" w:hRule="atLeast"/>
          <w:jc w:val="center"/>
        </w:trPr>
        <w:tc>
          <w:tcPr>
            <w:tcW w:w="875" w:type="pct"/>
            <w:vMerge w:val="continue"/>
            <w:tcBorders>
              <w:top w:val="single" w:color="000000" w:sz="6" w:space="0"/>
              <w:left w:val="nil"/>
              <w:bottom w:val="thickThinSmallGap" w:color="auto" w:sz="12" w:space="0"/>
              <w:right w:val="single" w:color="000000" w:sz="6" w:space="0"/>
            </w:tcBorders>
            <w:shd w:val="clear"/>
            <w:vAlign w:val="center"/>
          </w:tcPr>
          <w:p>
            <w:pPr>
              <w:rPr>
                <w:rFonts w:hint="default" w:ascii="Times New Roman" w:hAnsi="Times New Roman" w:cs="Times New Roman"/>
                <w:sz w:val="20"/>
                <w:szCs w:val="20"/>
              </w:rPr>
            </w:pPr>
          </w:p>
        </w:tc>
        <w:tc>
          <w:tcPr>
            <w:tcW w:w="644" w:type="pct"/>
            <w:tcBorders>
              <w:top w:val="single" w:color="000000" w:sz="6" w:space="0"/>
              <w:left w:val="single" w:color="000000" w:sz="6" w:space="0"/>
              <w:bottom w:val="thickThinSmallGap" w:color="auto" w:sz="12"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PM</w:t>
            </w:r>
            <w:r>
              <w:rPr>
                <w:rFonts w:hint="default" w:ascii="Times New Roman" w:hAnsi="Times New Roman" w:cs="Times New Roman"/>
                <w:color w:val="000000"/>
                <w:kern w:val="2"/>
                <w:szCs w:val="21"/>
                <w:bdr w:val="none" w:color="auto" w:sz="0" w:space="0"/>
                <w:vertAlign w:val="subscript"/>
                <w:lang w:val="en-US"/>
              </w:rPr>
              <w:t>10</w:t>
            </w:r>
          </w:p>
        </w:tc>
        <w:tc>
          <w:tcPr>
            <w:tcW w:w="1124" w:type="pct"/>
            <w:tcBorders>
              <w:top w:val="single" w:color="000000" w:sz="6" w:space="0"/>
              <w:left w:val="single" w:color="000000" w:sz="6" w:space="0"/>
              <w:bottom w:val="thickThinSmallGap" w:color="auto" w:sz="12"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37.6</w:t>
            </w:r>
          </w:p>
        </w:tc>
        <w:tc>
          <w:tcPr>
            <w:tcW w:w="965" w:type="pct"/>
            <w:tcBorders>
              <w:top w:val="single" w:color="000000" w:sz="6" w:space="0"/>
              <w:left w:val="single" w:color="000000" w:sz="6" w:space="0"/>
              <w:bottom w:val="thickThinSmallGap" w:color="auto" w:sz="12"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3×150</w:t>
            </w:r>
          </w:p>
        </w:tc>
        <w:tc>
          <w:tcPr>
            <w:tcW w:w="816" w:type="pct"/>
            <w:tcBorders>
              <w:top w:val="single" w:color="000000" w:sz="6" w:space="0"/>
              <w:left w:val="single" w:color="000000" w:sz="6" w:space="0"/>
              <w:bottom w:val="thickThinSmallGap" w:color="auto" w:sz="12" w:space="0"/>
              <w:right w:val="single" w:color="000000" w:sz="6" w:space="0"/>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8.4</w:t>
            </w:r>
          </w:p>
        </w:tc>
        <w:tc>
          <w:tcPr>
            <w:tcW w:w="576" w:type="pct"/>
            <w:tcBorders>
              <w:top w:val="single" w:color="000000" w:sz="6" w:space="0"/>
              <w:left w:val="single" w:color="000000" w:sz="6" w:space="0"/>
              <w:bottom w:val="thickThinSmallGap" w:color="auto" w:sz="12" w:space="0"/>
              <w:right w:val="nil"/>
            </w:tcBorders>
            <w:shd w:val="clear"/>
            <w:vAlign w:val="center"/>
          </w:tcPr>
          <w:p>
            <w:pPr>
              <w:pStyle w:val="155"/>
              <w:widowControl/>
              <w:snapToGrid w:val="0"/>
              <w:spacing w:line="240" w:lineRule="auto"/>
              <w:rPr>
                <w:rFonts w:hint="default" w:ascii="Times New Roman" w:hAnsi="Times New Roman" w:cs="Times New Roman"/>
                <w:color w:val="000000"/>
                <w:kern w:val="2"/>
                <w:szCs w:val="21"/>
                <w:bdr w:val="none" w:color="auto" w:sz="0" w:space="0"/>
                <w:lang w:val="en-US"/>
              </w:rPr>
            </w:pPr>
            <w:r>
              <w:rPr>
                <w:rFonts w:hint="default" w:ascii="Times New Roman" w:hAnsi="Times New Roman" w:cs="Times New Roman"/>
                <w:color w:val="000000"/>
                <w:kern w:val="2"/>
                <w:szCs w:val="21"/>
                <w:bdr w:val="none" w:color="auto" w:sz="0" w:space="0"/>
                <w:lang w:val="en-US"/>
              </w:rPr>
              <w:t>--</w:t>
            </w:r>
          </w:p>
        </w:tc>
      </w:tr>
    </w:tbl>
    <w:p>
      <w:pPr>
        <w:pStyle w:val="71"/>
        <w:widowControl/>
        <w:spacing w:line="500" w:lineRule="exact"/>
        <w:rPr>
          <w:rFonts w:hint="default" w:ascii="Times New Roman" w:hAnsi="Times New Roman" w:cs="Times New Roman"/>
          <w:color w:val="000000"/>
          <w:lang w:eastAsia="zh-CN"/>
        </w:rPr>
      </w:pPr>
      <w:r>
        <w:rPr>
          <w:rFonts w:hint="default" w:ascii="Times New Roman" w:hAnsi="Times New Roman" w:cs="Times New Roman"/>
          <w:color w:val="000000"/>
          <w:lang w:eastAsia="zh-CN"/>
        </w:rPr>
        <w:t>通过计算结果分析，排气筒P1有组织排放的颗粒物PM</w:t>
      </w:r>
      <w:r>
        <w:rPr>
          <w:rFonts w:hint="default" w:ascii="Times New Roman" w:hAnsi="Times New Roman" w:cs="Times New Roman"/>
          <w:color w:val="000000"/>
          <w:vertAlign w:val="subscript"/>
          <w:lang w:eastAsia="zh-CN"/>
        </w:rPr>
        <w:t>10</w:t>
      </w:r>
      <w:r>
        <w:rPr>
          <w:rFonts w:hint="default" w:ascii="Times New Roman" w:hAnsi="Times New Roman" w:cs="Times New Roman"/>
          <w:color w:val="000000"/>
          <w:lang w:eastAsia="zh-CN"/>
        </w:rPr>
        <w:t>占标率最大，为411.3%＞10%，根据大气评价工作等级划分依据应确定为一级。</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rPr>
        <w:t xml:space="preserve">1.5.1.2 </w:t>
      </w:r>
      <w:r>
        <w:rPr>
          <w:rFonts w:ascii="Times New Roman" w:hAnsi="Times New Roman" w:cs="Times New Roman"/>
          <w:color w:val="000000"/>
          <w:lang/>
        </w:rPr>
        <w:t>大气评价范围</w:t>
      </w:r>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则根据导则要求，本项目的大气环境影响评价范围确定为以场址为中心，边长</w:t>
      </w:r>
      <w:r>
        <w:rPr>
          <w:rFonts w:hint="default" w:ascii="Times New Roman" w:hAnsi="Times New Roman" w:eastAsia="宋体" w:cs="Times New Roman"/>
          <w:color w:val="000000"/>
          <w:kern w:val="0"/>
          <w:sz w:val="24"/>
          <w:szCs w:val="24"/>
          <w:lang w:val="en-US" w:eastAsia="zh-CN" w:bidi="ar"/>
        </w:rPr>
        <w:t>5km</w:t>
      </w:r>
      <w:r>
        <w:rPr>
          <w:rFonts w:hint="eastAsia" w:ascii="Times New Roman" w:hAnsi="Times New Roman" w:eastAsia="宋体" w:cs="Times New Roman"/>
          <w:color w:val="000000"/>
          <w:kern w:val="0"/>
          <w:sz w:val="24"/>
          <w:szCs w:val="24"/>
          <w:lang w:val="en-US" w:eastAsia="zh-CN" w:bidi="ar"/>
        </w:rPr>
        <w:t>的矩形区域，详见图</w:t>
      </w:r>
      <w:r>
        <w:rPr>
          <w:rFonts w:hint="default" w:ascii="Times New Roman" w:hAnsi="Times New Roman" w:eastAsia="宋体" w:cs="Times New Roman"/>
          <w:color w:val="000000"/>
          <w:kern w:val="0"/>
          <w:sz w:val="24"/>
          <w:szCs w:val="24"/>
          <w:lang w:val="en-US" w:eastAsia="zh-CN" w:bidi="ar"/>
        </w:rPr>
        <w:t>1-2</w:t>
      </w:r>
      <w:r>
        <w:rPr>
          <w:rFonts w:hint="eastAsia" w:ascii="Times New Roman" w:hAnsi="Times New Roman" w:eastAsia="宋体" w:cs="Times New Roman"/>
          <w:color w:val="000000"/>
          <w:kern w:val="0"/>
          <w:sz w:val="24"/>
          <w:szCs w:val="24"/>
          <w:lang w:val="en-US" w:eastAsia="zh-CN" w:bidi="ar"/>
        </w:rPr>
        <w:t>。</w:t>
      </w:r>
    </w:p>
    <w:p>
      <w:pPr>
        <w:rPr>
          <w:rFonts w:hint="default" w:ascii="Times New Roman" w:hAnsi="Times New Roman" w:eastAsia="宋体" w:cs="Times New Roman"/>
          <w:color w:val="000000"/>
          <w:sz w:val="24"/>
          <w:szCs w:val="24"/>
          <w:lang w:val="en-US" w:eastAsia="zh-CN" w:bidi="ar"/>
        </w:rPr>
        <w:sectPr>
          <w:pgSz w:w="11915" w:h="16840"/>
          <w:pgMar w:top="1702" w:right="1702" w:bottom="1702" w:left="1702" w:header="851" w:footer="1077" w:gutter="0"/>
          <w:paperSrc/>
          <w:pgNumType w:start="1"/>
          <w:cols w:space="425" w:num="1"/>
          <w:docGrid w:type="lines" w:linePitch="479" w:charSpace="0"/>
        </w:sectPr>
      </w:pPr>
    </w:p>
    <w:p>
      <w:pPr>
        <w:keepNext w:val="0"/>
        <w:keepLines w:val="0"/>
        <w:widowControl/>
        <w:suppressLineNumbers w:val="0"/>
        <w:spacing w:before="0" w:beforeAutospacing="0" w:after="0" w:afterAutospacing="0"/>
        <w:ind w:left="0" w:right="6"/>
        <w:jc w:val="center"/>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drawing>
          <wp:anchor distT="0" distB="0" distL="114300" distR="114300" simplePos="0" relativeHeight="251725824" behindDoc="0" locked="0" layoutInCell="1" allowOverlap="1">
            <wp:simplePos x="0" y="0"/>
            <wp:positionH relativeFrom="margin">
              <wp:posOffset>252095</wp:posOffset>
            </wp:positionH>
            <wp:positionV relativeFrom="paragraph">
              <wp:posOffset>-334010</wp:posOffset>
            </wp:positionV>
            <wp:extent cx="8021320" cy="5749925"/>
            <wp:effectExtent l="0" t="0" r="17780" b="3175"/>
            <wp:wrapTopAndBottom/>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9"/>
                    <a:stretch>
                      <a:fillRect/>
                    </a:stretch>
                  </pic:blipFill>
                  <pic:spPr>
                    <a:xfrm>
                      <a:off x="0" y="0"/>
                      <a:ext cx="8021320" cy="5749925"/>
                    </a:xfrm>
                    <a:prstGeom prst="rect">
                      <a:avLst/>
                    </a:prstGeom>
                    <a:noFill/>
                    <a:ln>
                      <a:noFill/>
                    </a:ln>
                  </pic:spPr>
                </pic:pic>
              </a:graphicData>
            </a:graphic>
          </wp:anchor>
        </w:drawing>
      </w: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1-2  </w:t>
      </w:r>
      <w:r>
        <w:rPr>
          <w:rFonts w:hint="eastAsia" w:ascii="Times New Roman" w:hAnsi="Times New Roman" w:eastAsia="黑体" w:cs="Times New Roman"/>
          <w:color w:val="000000"/>
          <w:kern w:val="0"/>
          <w:sz w:val="24"/>
          <w:szCs w:val="24"/>
          <w:lang w:val="en-US" w:eastAsia="zh-CN" w:bidi="ar"/>
        </w:rPr>
        <w:t>本项目评价范围及敏感目标图</w:t>
      </w:r>
    </w:p>
    <w:p>
      <w:pPr>
        <w:rPr>
          <w:rFonts w:hint="default" w:ascii="Times New Roman" w:hAnsi="Times New Roman" w:eastAsia="宋体" w:cs="Times New Roman"/>
          <w:color w:val="000000"/>
          <w:sz w:val="24"/>
          <w:szCs w:val="24"/>
          <w:lang w:val="en-US" w:eastAsia="zh-CN" w:bidi="ar"/>
        </w:rPr>
        <w:sectPr>
          <w:pgSz w:w="16840" w:h="11915" w:orient="landscape"/>
          <w:pgMar w:top="1702" w:right="1702" w:bottom="1702" w:left="1702" w:header="851" w:footer="1077" w:gutter="0"/>
          <w:paperSrc/>
          <w:cols w:space="425" w:num="1"/>
          <w:docGrid w:type="lines" w:linePitch="479" w:charSpace="0"/>
        </w:sectPr>
      </w:pP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 xml:space="preserve">1.5.2 </w:t>
      </w:r>
      <w:r>
        <w:rPr>
          <w:rFonts w:ascii="Times New Roman" w:hAnsi="Times New Roman" w:cs="Times New Roman"/>
          <w:color w:val="000000"/>
          <w:lang/>
        </w:rPr>
        <w:t>水环境评价等级及范围</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rPr>
        <w:t xml:space="preserve">1.5.2.1 </w:t>
      </w:r>
      <w:r>
        <w:rPr>
          <w:rFonts w:ascii="Times New Roman" w:hAnsi="Times New Roman" w:cs="Times New Roman"/>
          <w:color w:val="000000"/>
          <w:lang/>
        </w:rPr>
        <w:t>水环境评价等级</w:t>
      </w:r>
    </w:p>
    <w:p>
      <w:pPr>
        <w:keepNext w:val="0"/>
        <w:keepLines w:val="0"/>
        <w:widowControl/>
        <w:suppressLineNumbers w:val="0"/>
        <w:tabs>
          <w:tab w:val="left" w:pos="6580"/>
        </w:tabs>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）地表水环境</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eastAsia="黑体" w:cs="Times New Roman"/>
          <w:color w:val="000000"/>
          <w:szCs w:val="18"/>
          <w:lang w:val="en-US"/>
        </w:rPr>
      </w:pPr>
      <w:r>
        <w:rPr>
          <w:rFonts w:hint="eastAsia" w:ascii="Times New Roman" w:hAnsi="Times New Roman" w:eastAsia="宋体" w:cs="Times New Roman"/>
          <w:color w:val="000000"/>
          <w:kern w:val="0"/>
          <w:sz w:val="24"/>
          <w:szCs w:val="24"/>
          <w:lang w:val="en-US" w:eastAsia="zh-CN" w:bidi="ar"/>
        </w:rPr>
        <w:t>依据《环境影响评价技术导则</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地表水环境》（</w:t>
      </w:r>
      <w:r>
        <w:rPr>
          <w:rFonts w:hint="default" w:ascii="Times New Roman" w:hAnsi="Times New Roman" w:eastAsia="宋体" w:cs="Times New Roman"/>
          <w:color w:val="000000"/>
          <w:kern w:val="0"/>
          <w:sz w:val="24"/>
          <w:szCs w:val="24"/>
          <w:lang w:val="en-US" w:eastAsia="zh-CN" w:bidi="ar"/>
        </w:rPr>
        <w:t>HJ2.3-2018</w:t>
      </w:r>
      <w:r>
        <w:rPr>
          <w:rFonts w:hint="eastAsia" w:ascii="Times New Roman" w:hAnsi="Times New Roman" w:eastAsia="宋体" w:cs="Times New Roman"/>
          <w:color w:val="000000"/>
          <w:kern w:val="0"/>
          <w:sz w:val="24"/>
          <w:szCs w:val="24"/>
          <w:lang w:val="en-US" w:eastAsia="zh-CN" w:bidi="ar"/>
        </w:rPr>
        <w:t>）的规定，水污染影响型建设项目评价等级判定如下：</w:t>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szCs w:val="18"/>
          <w:lang w:val="en-US"/>
        </w:rPr>
      </w:pPr>
      <w:r>
        <w:rPr>
          <w:rFonts w:hint="eastAsia" w:ascii="Times New Roman" w:hAnsi="Times New Roman" w:eastAsia="黑体" w:cs="Times New Roman"/>
          <w:color w:val="000000"/>
          <w:kern w:val="0"/>
          <w:sz w:val="24"/>
          <w:szCs w:val="18"/>
          <w:lang w:val="en-US" w:eastAsia="zh-CN" w:bidi="ar"/>
        </w:rPr>
        <w:t>表</w:t>
      </w:r>
      <w:r>
        <w:rPr>
          <w:rFonts w:hint="default" w:ascii="Times New Roman" w:hAnsi="Times New Roman" w:eastAsia="宋体" w:cs="Times New Roman"/>
          <w:color w:val="000000"/>
          <w:kern w:val="0"/>
          <w:sz w:val="24"/>
          <w:szCs w:val="18"/>
          <w:lang w:val="en-US" w:eastAsia="zh-CN" w:bidi="ar"/>
        </w:rPr>
        <w:t>1.5-7</w:t>
      </w:r>
      <w:r>
        <w:rPr>
          <w:rFonts w:hint="default" w:ascii="Times New Roman" w:hAnsi="Times New Roman" w:eastAsia="黑体" w:cs="Times New Roman"/>
          <w:color w:val="000000"/>
          <w:kern w:val="0"/>
          <w:sz w:val="24"/>
          <w:szCs w:val="18"/>
          <w:lang w:val="en-US" w:eastAsia="zh-CN" w:bidi="ar"/>
        </w:rPr>
        <w:t xml:space="preserve">  </w:t>
      </w:r>
      <w:r>
        <w:rPr>
          <w:rFonts w:hint="eastAsia" w:ascii="Times New Roman" w:hAnsi="Times New Roman" w:eastAsia="黑体" w:cs="Times New Roman"/>
          <w:color w:val="000000"/>
          <w:kern w:val="0"/>
          <w:sz w:val="24"/>
          <w:szCs w:val="18"/>
          <w:lang w:val="en-US" w:eastAsia="zh-CN" w:bidi="ar"/>
        </w:rPr>
        <w:t>水污染影响型建设项目评价等级判定</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2907"/>
        <w:gridCol w:w="2907"/>
        <w:gridCol w:w="2907"/>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40" w:hRule="atLeast"/>
        </w:trPr>
        <w:tc>
          <w:tcPr>
            <w:tcW w:w="2907" w:type="dxa"/>
            <w:vMerge w:val="restart"/>
            <w:tcBorders>
              <w:top w:val="thinThickSmallGap" w:color="auto" w:sz="12" w:space="0"/>
              <w:left w:val="nil"/>
              <w:bottom w:val="single" w:color="auto" w:sz="4" w:space="0"/>
              <w:right w:val="single" w:color="auto" w:sz="4" w:space="0"/>
            </w:tcBorders>
            <w:shd w:val="clear" w:color="auto" w:fill="D9D9D9"/>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评价等级</w:t>
            </w:r>
          </w:p>
        </w:tc>
        <w:tc>
          <w:tcPr>
            <w:tcW w:w="5814" w:type="dxa"/>
            <w:gridSpan w:val="2"/>
            <w:tcBorders>
              <w:top w:val="thinThickSmallGap" w:color="auto" w:sz="12" w:space="0"/>
              <w:left w:val="single" w:color="auto" w:sz="4" w:space="0"/>
              <w:bottom w:val="single" w:color="auto" w:sz="4" w:space="0"/>
              <w:right w:val="nil"/>
            </w:tcBorders>
            <w:shd w:val="clear" w:color="auto" w:fill="D9D9D9"/>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判定依据</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7" w:type="dxa"/>
            <w:vMerge w:val="continue"/>
            <w:tcBorders>
              <w:top w:val="thinThickSmallGap" w:color="auto" w:sz="12" w:space="0"/>
              <w:left w:val="nil"/>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2907" w:type="dxa"/>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排放方式</w:t>
            </w:r>
          </w:p>
        </w:tc>
        <w:tc>
          <w:tcPr>
            <w:tcW w:w="2907" w:type="dxa"/>
            <w:tcBorders>
              <w:top w:val="single" w:color="auto" w:sz="4" w:space="0"/>
              <w:left w:val="single" w:color="auto" w:sz="4" w:space="0"/>
              <w:bottom w:val="single" w:color="auto" w:sz="4" w:space="0"/>
              <w:right w:val="nil"/>
            </w:tcBorders>
            <w:shd w:val="clear" w:color="auto" w:fill="D9D9D9"/>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废水排放量</w:t>
            </w:r>
            <w:r>
              <w:rPr>
                <w:rFonts w:hint="default" w:ascii="Times New Roman" w:hAnsi="Times New Roman" w:eastAsia="宋体" w:cs="Times New Roman"/>
                <w:color w:val="000000"/>
                <w:kern w:val="0"/>
                <w:sz w:val="21"/>
                <w:szCs w:val="21"/>
                <w:bdr w:val="none" w:color="auto" w:sz="0" w:space="0"/>
                <w:lang w:val="en-US" w:eastAsia="zh-CN" w:bidi="ar"/>
              </w:rPr>
              <w:t>Q/(m</w:t>
            </w:r>
            <w:r>
              <w:rPr>
                <w:rFonts w:hint="default" w:ascii="Times New Roman" w:hAnsi="Times New Roman" w:eastAsia="宋体" w:cs="Times New Roman"/>
                <w:color w:val="000000"/>
                <w:kern w:val="0"/>
                <w:sz w:val="21"/>
                <w:szCs w:val="21"/>
                <w:bdr w:val="none" w:color="auto" w:sz="0" w:space="0"/>
                <w:vertAlign w:val="superscript"/>
                <w:lang w:val="en-US" w:eastAsia="zh-CN" w:bidi="ar"/>
              </w:rPr>
              <w:t>3</w:t>
            </w:r>
            <w:r>
              <w:rPr>
                <w:rFonts w:hint="default" w:ascii="Times New Roman" w:hAnsi="Times New Roman" w:eastAsia="宋体" w:cs="Times New Roman"/>
                <w:color w:val="000000"/>
                <w:kern w:val="0"/>
                <w:sz w:val="21"/>
                <w:szCs w:val="21"/>
                <w:bdr w:val="none" w:color="auto" w:sz="0" w:space="0"/>
                <w:lang w:val="en-US" w:eastAsia="zh-CN" w:bidi="ar"/>
              </w:rPr>
              <w:t>/d)</w:t>
            </w:r>
            <w:r>
              <w:rPr>
                <w:rFonts w:hint="eastAsia" w:ascii="Times New Roman" w:hAnsi="Times New Roman" w:eastAsia="宋体" w:cs="Times New Roman"/>
                <w:color w:val="000000"/>
                <w:kern w:val="0"/>
                <w:sz w:val="21"/>
                <w:szCs w:val="21"/>
                <w:bdr w:val="none" w:color="auto" w:sz="0" w:space="0"/>
                <w:lang w:val="en-US" w:eastAsia="zh-CN" w:bidi="ar"/>
              </w:rPr>
              <w:t>；</w:t>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水污染物当量数</w:t>
            </w:r>
            <w:r>
              <w:rPr>
                <w:rFonts w:hint="default" w:ascii="Times New Roman" w:hAnsi="Times New Roman" w:eastAsia="宋体" w:cs="Times New Roman"/>
                <w:color w:val="000000"/>
                <w:kern w:val="0"/>
                <w:sz w:val="21"/>
                <w:szCs w:val="21"/>
                <w:bdr w:val="none" w:color="auto" w:sz="0" w:space="0"/>
                <w:lang w:val="en-US" w:eastAsia="zh-CN" w:bidi="ar"/>
              </w:rPr>
              <w:t>W/(</w:t>
            </w:r>
            <w:r>
              <w:rPr>
                <w:rFonts w:hint="eastAsia" w:ascii="Times New Roman" w:hAnsi="Times New Roman" w:eastAsia="宋体" w:cs="Times New Roman"/>
                <w:color w:val="000000"/>
                <w:kern w:val="0"/>
                <w:sz w:val="21"/>
                <w:szCs w:val="21"/>
                <w:bdr w:val="none" w:color="auto" w:sz="0" w:space="0"/>
                <w:lang w:val="en-US" w:eastAsia="zh-CN" w:bidi="ar"/>
              </w:rPr>
              <w:t>无量纲</w:t>
            </w:r>
            <w:r>
              <w:rPr>
                <w:rFonts w:hint="default" w:ascii="Times New Roman" w:hAnsi="Times New Roman" w:eastAsia="宋体" w:cs="Times New Roman"/>
                <w:color w:val="000000"/>
                <w:kern w:val="0"/>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7"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一级</w:t>
            </w:r>
          </w:p>
        </w:tc>
        <w:tc>
          <w:tcPr>
            <w:tcW w:w="29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直接排放</w:t>
            </w:r>
          </w:p>
        </w:tc>
        <w:tc>
          <w:tcPr>
            <w:tcW w:w="290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Q≥2000</w:t>
            </w:r>
            <w:r>
              <w:rPr>
                <w:rFonts w:hint="eastAsia" w:ascii="Times New Roman" w:hAnsi="Times New Roman" w:eastAsia="宋体" w:cs="Times New Roman"/>
                <w:color w:val="000000"/>
                <w:kern w:val="0"/>
                <w:sz w:val="21"/>
                <w:szCs w:val="21"/>
                <w:bdr w:val="none" w:color="auto" w:sz="0" w:space="0"/>
                <w:lang w:val="en-US" w:eastAsia="zh-CN" w:bidi="ar"/>
              </w:rPr>
              <w:t>或</w:t>
            </w:r>
            <w:r>
              <w:rPr>
                <w:rFonts w:hint="default" w:ascii="Times New Roman" w:hAnsi="Times New Roman" w:eastAsia="宋体" w:cs="Times New Roman"/>
                <w:color w:val="000000"/>
                <w:kern w:val="0"/>
                <w:sz w:val="21"/>
                <w:szCs w:val="21"/>
                <w:bdr w:val="none" w:color="auto" w:sz="0" w:space="0"/>
                <w:lang w:val="en-US" w:eastAsia="zh-CN" w:bidi="ar"/>
              </w:rPr>
              <w:t>W≥600000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7"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二级</w:t>
            </w:r>
          </w:p>
        </w:tc>
        <w:tc>
          <w:tcPr>
            <w:tcW w:w="29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直接排放</w:t>
            </w:r>
          </w:p>
        </w:tc>
        <w:tc>
          <w:tcPr>
            <w:tcW w:w="290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其他</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7"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三级</w:t>
            </w:r>
            <w:r>
              <w:rPr>
                <w:rFonts w:hint="default" w:ascii="Times New Roman" w:hAnsi="Times New Roman" w:eastAsia="宋体" w:cs="Times New Roman"/>
                <w:color w:val="000000"/>
                <w:kern w:val="0"/>
                <w:sz w:val="21"/>
                <w:szCs w:val="21"/>
                <w:bdr w:val="none" w:color="auto" w:sz="0" w:space="0"/>
                <w:lang w:val="en-US" w:eastAsia="zh-CN" w:bidi="ar"/>
              </w:rPr>
              <w:t>A</w:t>
            </w:r>
          </w:p>
        </w:tc>
        <w:tc>
          <w:tcPr>
            <w:tcW w:w="29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直接排放</w:t>
            </w:r>
          </w:p>
        </w:tc>
        <w:tc>
          <w:tcPr>
            <w:tcW w:w="290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Q&lt;200</w:t>
            </w:r>
            <w:r>
              <w:rPr>
                <w:rFonts w:hint="eastAsia" w:ascii="Times New Roman" w:hAnsi="Times New Roman" w:eastAsia="宋体" w:cs="Times New Roman"/>
                <w:color w:val="000000"/>
                <w:kern w:val="0"/>
                <w:sz w:val="21"/>
                <w:szCs w:val="21"/>
                <w:bdr w:val="none" w:color="auto" w:sz="0" w:space="0"/>
                <w:lang w:val="en-US" w:eastAsia="zh-CN" w:bidi="ar"/>
              </w:rPr>
              <w:t>且</w:t>
            </w:r>
            <w:r>
              <w:rPr>
                <w:rFonts w:hint="default" w:ascii="Times New Roman" w:hAnsi="Times New Roman" w:eastAsia="宋体" w:cs="Times New Roman"/>
                <w:color w:val="000000"/>
                <w:kern w:val="0"/>
                <w:sz w:val="21"/>
                <w:szCs w:val="21"/>
                <w:bdr w:val="none" w:color="auto" w:sz="0" w:space="0"/>
                <w:lang w:val="en-US" w:eastAsia="zh-CN" w:bidi="ar"/>
              </w:rPr>
              <w:t>W&lt;6000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7" w:type="dxa"/>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三级</w:t>
            </w:r>
            <w:r>
              <w:rPr>
                <w:rFonts w:hint="default" w:ascii="Times New Roman" w:hAnsi="Times New Roman" w:eastAsia="宋体" w:cs="Times New Roman"/>
                <w:color w:val="000000"/>
                <w:kern w:val="0"/>
                <w:sz w:val="21"/>
                <w:szCs w:val="21"/>
                <w:bdr w:val="none" w:color="auto" w:sz="0" w:space="0"/>
                <w:lang w:val="en-US" w:eastAsia="zh-CN" w:bidi="ar"/>
              </w:rPr>
              <w:t>B</w:t>
            </w:r>
          </w:p>
        </w:tc>
        <w:tc>
          <w:tcPr>
            <w:tcW w:w="290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间接排放</w:t>
            </w:r>
          </w:p>
        </w:tc>
        <w:tc>
          <w:tcPr>
            <w:tcW w:w="2907" w:type="dxa"/>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r>
    </w:tbl>
    <w:p>
      <w:pPr>
        <w:keepNext w:val="0"/>
        <w:keepLines w:val="0"/>
        <w:widowControl/>
        <w:suppressLineNumbers w:val="0"/>
        <w:tabs>
          <w:tab w:val="left" w:pos="6580"/>
        </w:tabs>
        <w:spacing w:before="0" w:beforeAutospacing="0" w:after="0" w:afterAutospacing="0" w:line="500" w:lineRule="exact"/>
        <w:ind w:left="0" w:right="0" w:firstLine="440" w:firstLineChars="200"/>
        <w:jc w:val="left"/>
        <w:rPr>
          <w:bCs/>
          <w:color w:val="000000"/>
          <w:lang w:val="en-US"/>
        </w:rPr>
      </w:pPr>
      <w:r>
        <w:rPr>
          <w:rFonts w:hint="eastAsia" w:ascii="宋体" w:hAnsi="宋体" w:eastAsia="宋体" w:cs="宋体"/>
          <w:color w:val="000000"/>
          <w:kern w:val="0"/>
          <w:sz w:val="22"/>
          <w:szCs w:val="18"/>
          <w:lang w:val="en-US" w:eastAsia="zh-CN" w:bidi="ar"/>
        </w:rPr>
        <w:t>注：建设项目生产工艺中有废水产生，但作为回水利用，不外排到环境的，按三级B评价。</w:t>
      </w:r>
    </w:p>
    <w:p>
      <w:pPr>
        <w:keepNext w:val="0"/>
        <w:keepLines w:val="0"/>
        <w:widowControl/>
        <w:suppressLineNumbers w:val="0"/>
        <w:tabs>
          <w:tab w:val="left" w:pos="6580"/>
        </w:tabs>
        <w:spacing w:before="0" w:beforeAutospacing="0" w:after="0" w:afterAutospacing="0" w:line="500" w:lineRule="exact"/>
        <w:ind w:left="0" w:right="0" w:firstLine="480" w:firstLineChars="200"/>
        <w:jc w:val="both"/>
        <w:rPr>
          <w:rFonts w:hint="default" w:ascii="Times New Roman" w:hAnsi="Times New Roman" w:cs="Times New Roman"/>
          <w:b/>
          <w:bCs w:val="0"/>
          <w:color w:val="000000"/>
          <w:lang w:val="en-US"/>
        </w:rPr>
      </w:pPr>
      <w:r>
        <w:rPr>
          <w:rFonts w:hint="eastAsia" w:ascii="宋体" w:hAnsi="宋体" w:eastAsia="宋体" w:cs="宋体"/>
          <w:bCs/>
          <w:color w:val="000000"/>
          <w:kern w:val="0"/>
          <w:sz w:val="24"/>
          <w:szCs w:val="24"/>
          <w:lang w:val="en-US" w:eastAsia="zh-CN" w:bidi="ar"/>
        </w:rPr>
        <w:t>本项目</w:t>
      </w:r>
      <w:r>
        <w:rPr>
          <w:rFonts w:hint="eastAsia" w:ascii="宋体" w:hAnsi="宋体" w:eastAsia="宋体" w:cs="宋体"/>
          <w:color w:val="000000"/>
          <w:kern w:val="0"/>
          <w:sz w:val="24"/>
          <w:szCs w:val="24"/>
          <w:lang w:val="en-US" w:eastAsia="zh-CN" w:bidi="ar"/>
        </w:rPr>
        <w:t>浮选工艺用水循环利用，不外排</w:t>
      </w:r>
      <w:r>
        <w:rPr>
          <w:rFonts w:hint="eastAsia" w:ascii="宋体" w:hAnsi="宋体" w:eastAsia="宋体" w:cs="宋体"/>
          <w:bCs/>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生活污水产生</w:t>
      </w:r>
      <w:r>
        <w:rPr>
          <w:rFonts w:hint="eastAsia" w:ascii="Times New Roman" w:hAnsi="Times New Roman" w:eastAsia="宋体" w:cs="Times New Roman"/>
          <w:color w:val="000000"/>
          <w:kern w:val="0"/>
          <w:sz w:val="24"/>
          <w:szCs w:val="24"/>
          <w:lang w:val="en-US" w:eastAsia="zh-CN" w:bidi="ar"/>
        </w:rPr>
        <w:t>量</w:t>
      </w:r>
      <w:r>
        <w:rPr>
          <w:rFonts w:hint="default" w:ascii="Times New Roman" w:hAnsi="Times New Roman" w:eastAsia="宋体" w:cs="Times New Roman"/>
          <w:color w:val="000000"/>
          <w:kern w:val="0"/>
          <w:sz w:val="24"/>
          <w:szCs w:val="24"/>
          <w:lang w:val="en-US" w:eastAsia="zh-CN" w:bidi="ar"/>
        </w:rPr>
        <w:t>816m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排入本项目化粪池，定期清掏，堆沤腐熟、就地就近就农利用。</w:t>
      </w:r>
      <w:r>
        <w:rPr>
          <w:rFonts w:hint="eastAsia" w:ascii="Times New Roman" w:hAnsi="Times New Roman" w:eastAsia="宋体" w:cs="Times New Roman"/>
          <w:color w:val="000000"/>
          <w:kern w:val="0"/>
          <w:sz w:val="24"/>
          <w:szCs w:val="24"/>
          <w:lang w:val="en-US" w:eastAsia="zh-CN" w:bidi="ar"/>
        </w:rPr>
        <w:t>因此本项目地表水评价等级确定为三级</w:t>
      </w:r>
      <w:r>
        <w:rPr>
          <w:rFonts w:hint="default" w:ascii="Times New Roman" w:hAnsi="Times New Roman" w:eastAsia="宋体" w:cs="Times New Roman"/>
          <w:color w:val="000000"/>
          <w:kern w:val="0"/>
          <w:sz w:val="24"/>
          <w:szCs w:val="24"/>
          <w:lang w:val="en-US" w:eastAsia="zh-CN" w:bidi="ar"/>
        </w:rPr>
        <w:t>B</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6580"/>
        </w:tabs>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）地下水环境</w:t>
      </w:r>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地下水环境》（</w:t>
      </w:r>
      <w:r>
        <w:rPr>
          <w:rFonts w:hint="default" w:ascii="Times New Roman" w:hAnsi="Times New Roman" w:eastAsia="宋体" w:cs="Times New Roman"/>
          <w:color w:val="000000"/>
          <w:kern w:val="0"/>
          <w:sz w:val="24"/>
          <w:szCs w:val="24"/>
          <w:lang w:val="en-US" w:eastAsia="zh-CN" w:bidi="ar"/>
        </w:rPr>
        <w:t>HJ610-2016</w:t>
      </w:r>
      <w:r>
        <w:rPr>
          <w:rFonts w:hint="eastAsia" w:ascii="Times New Roman" w:hAnsi="Times New Roman" w:eastAsia="宋体" w:cs="Times New Roman"/>
          <w:color w:val="000000"/>
          <w:kern w:val="0"/>
          <w:sz w:val="24"/>
          <w:szCs w:val="24"/>
          <w:lang w:val="en-US" w:eastAsia="zh-CN" w:bidi="ar"/>
        </w:rPr>
        <w:t>）建设项目对地下水环境影响的特征，将建设项目分为</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类，评价工作等级的划分应依据建设项目行业分类和地下水环境敏感程度分级进行判定，可划分为一、二、三级。</w:t>
      </w:r>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①</w:t>
      </w:r>
      <w:r>
        <w:rPr>
          <w:rFonts w:hint="eastAsia" w:ascii="Times New Roman" w:hAnsi="Times New Roman" w:eastAsia="宋体" w:cs="Times New Roman"/>
          <w:color w:val="000000"/>
          <w:kern w:val="0"/>
          <w:sz w:val="24"/>
          <w:szCs w:val="24"/>
          <w:lang w:val="en-US" w:eastAsia="zh-CN" w:bidi="ar"/>
        </w:rPr>
        <w:t>建设项目分类</w:t>
      </w:r>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根据建设项目对地下水环境影响的程度，结合《建设项目环境影响评价分类管理名录》，将建设项目分为四类。本项目属于</w:t>
      </w:r>
      <w:r>
        <w:rPr>
          <w:rFonts w:hint="default" w:ascii="Times New Roman" w:hAnsi="Times New Roman" w:eastAsia="宋体" w:cs="Times New Roman"/>
          <w:color w:val="000000"/>
          <w:kern w:val="0"/>
          <w:sz w:val="24"/>
          <w:szCs w:val="24"/>
          <w:lang w:val="en-US" w:eastAsia="zh-CN" w:bidi="ar"/>
        </w:rPr>
        <w:t>“J</w:t>
      </w:r>
      <w:r>
        <w:rPr>
          <w:rFonts w:hint="eastAsia" w:ascii="Times New Roman" w:hAnsi="Times New Roman" w:eastAsia="宋体" w:cs="Times New Roman"/>
          <w:color w:val="000000"/>
          <w:kern w:val="0"/>
          <w:sz w:val="24"/>
          <w:szCs w:val="24"/>
          <w:lang w:val="en-US" w:eastAsia="zh-CN" w:bidi="ar"/>
        </w:rPr>
        <w:t>非金属矿采选及制品制造</w:t>
      </w:r>
      <w:r>
        <w:rPr>
          <w:rFonts w:hint="default" w:ascii="Times New Roman" w:hAnsi="Times New Roman" w:eastAsia="宋体" w:cs="Times New Roman"/>
          <w:color w:val="000000"/>
          <w:kern w:val="0"/>
          <w:sz w:val="24"/>
          <w:szCs w:val="24"/>
          <w:lang w:val="en-US" w:eastAsia="zh-CN" w:bidi="ar"/>
        </w:rPr>
        <w:t>57</w:t>
      </w:r>
      <w:r>
        <w:rPr>
          <w:rFonts w:hint="eastAsia" w:ascii="Times New Roman" w:hAnsi="Times New Roman" w:eastAsia="宋体" w:cs="Times New Roman"/>
          <w:color w:val="000000"/>
          <w:kern w:val="0"/>
          <w:sz w:val="24"/>
          <w:szCs w:val="24"/>
          <w:lang w:val="en-US" w:eastAsia="zh-CN" w:bidi="ar"/>
        </w:rPr>
        <w:t>石棉及其他非金属矿采选</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中的选矿厂项目，为导则规定的</w:t>
      </w:r>
      <w:r>
        <w:rPr>
          <w:rFonts w:hint="default" w:ascii="Times New Roman" w:hAnsi="Times New Roman" w:eastAsia="宋体" w:cs="Times New Roman"/>
          <w:color w:val="000000"/>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3 \* ROMAN</w:instrText>
      </w:r>
      <w:r>
        <w:rPr>
          <w:rFonts w:hint="default" w:ascii="Times New Roman" w:hAnsi="Times New Roman" w:eastAsia="宋体" w:cs="Times New Roman"/>
          <w:color w:val="000000"/>
          <w:kern w:val="0"/>
          <w:sz w:val="24"/>
          <w:szCs w:val="24"/>
          <w:lang w:val="en-US" w:eastAsia="zh-CN" w:bidi="ar"/>
        </w:rPr>
        <w:fldChar w:fldCharType="separate"/>
      </w:r>
      <w:r>
        <w:rPr>
          <w:rFonts w:hint="default" w:ascii="Times New Roman" w:hAnsi="Times New Roman" w:eastAsia="宋体" w:cs="Times New Roman"/>
          <w:color w:val="000000"/>
          <w:kern w:val="0"/>
          <w:sz w:val="24"/>
          <w:szCs w:val="24"/>
          <w:lang w:val="en-US" w:eastAsia="zh-CN" w:bidi="ar"/>
        </w:rPr>
        <w:t>III</w:t>
      </w:r>
      <w:r>
        <w:rPr>
          <w:rFonts w:hint="default" w:ascii="Times New Roman" w:hAnsi="Times New Roman" w:eastAsia="宋体" w:cs="Times New Roman"/>
          <w:color w:val="000000"/>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类项目。</w:t>
      </w:r>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②</w:t>
      </w:r>
      <w:r>
        <w:rPr>
          <w:rFonts w:hint="eastAsia" w:ascii="Times New Roman" w:hAnsi="Times New Roman" w:eastAsia="宋体" w:cs="Times New Roman"/>
          <w:color w:val="000000"/>
          <w:kern w:val="0"/>
          <w:sz w:val="24"/>
          <w:szCs w:val="24"/>
          <w:lang w:val="en-US" w:eastAsia="zh-CN" w:bidi="ar"/>
        </w:rPr>
        <w:t>地下水环境敏感程度</w:t>
      </w:r>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地下水环境敏感程度表见表</w:t>
      </w:r>
      <w:r>
        <w:rPr>
          <w:rFonts w:hint="default" w:ascii="Times New Roman" w:hAnsi="Times New Roman" w:eastAsia="宋体" w:cs="Times New Roman"/>
          <w:color w:val="000000"/>
          <w:kern w:val="0"/>
          <w:sz w:val="24"/>
          <w:szCs w:val="24"/>
          <w:lang w:val="en-US" w:eastAsia="zh-CN" w:bidi="ar"/>
        </w:rPr>
        <w:t>1.5-8</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snapToGrid w:val="0"/>
          <w:color w:val="000000"/>
          <w:lang w:val="en-US"/>
        </w:rPr>
      </w:pPr>
      <w:r>
        <w:rPr>
          <w:rFonts w:hint="eastAsia" w:ascii="Times New Roman" w:hAnsi="Times New Roman" w:eastAsia="宋体" w:cs="Times New Roman"/>
          <w:b/>
          <w:bCs w:val="0"/>
          <w:snapToGrid w:val="0"/>
          <w:color w:val="000000"/>
          <w:kern w:val="0"/>
          <w:sz w:val="24"/>
          <w:szCs w:val="24"/>
          <w:lang w:val="en-US" w:eastAsia="zh-CN" w:bidi="ar"/>
        </w:rPr>
        <w:t>表</w:t>
      </w:r>
      <w:r>
        <w:rPr>
          <w:rFonts w:hint="default" w:ascii="Times New Roman" w:hAnsi="Times New Roman" w:eastAsia="宋体" w:cs="Times New Roman"/>
          <w:b/>
          <w:bCs w:val="0"/>
          <w:snapToGrid w:val="0"/>
          <w:color w:val="000000"/>
          <w:kern w:val="0"/>
          <w:sz w:val="24"/>
          <w:szCs w:val="24"/>
          <w:lang w:val="en-US" w:eastAsia="zh-CN" w:bidi="ar"/>
        </w:rPr>
        <w:t>1.5-8</w:t>
      </w:r>
      <w:r>
        <w:rPr>
          <w:rFonts w:hint="default" w:ascii="Times New Roman" w:hAnsi="Times New Roman" w:eastAsia="宋体" w:cs="Times New Roman"/>
          <w:b/>
          <w:bCs w:val="0"/>
          <w:color w:val="000000"/>
          <w:kern w:val="0"/>
          <w:sz w:val="24"/>
          <w:szCs w:val="24"/>
          <w:lang w:val="en-US" w:eastAsia="zh-CN" w:bidi="ar"/>
        </w:rPr>
        <w:t xml:space="preserve">  </w:t>
      </w:r>
      <w:r>
        <w:rPr>
          <w:rFonts w:hint="eastAsia" w:ascii="Times New Roman" w:hAnsi="Times New Roman" w:eastAsia="宋体" w:cs="Times New Roman"/>
          <w:b/>
          <w:bCs w:val="0"/>
          <w:snapToGrid w:val="0"/>
          <w:color w:val="000000"/>
          <w:kern w:val="0"/>
          <w:sz w:val="24"/>
          <w:szCs w:val="24"/>
          <w:lang w:val="en-US" w:eastAsia="zh-CN" w:bidi="ar"/>
        </w:rPr>
        <w:t>地下水环境敏感程度分级</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242"/>
        <w:gridCol w:w="7280"/>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558" w:hRule="atLeast"/>
          <w:jc w:val="center"/>
        </w:trPr>
        <w:tc>
          <w:tcPr>
            <w:tcW w:w="1242" w:type="dxa"/>
            <w:tcBorders>
              <w:top w:val="thinThickSmallGap" w:color="auto" w:sz="12" w:space="0"/>
              <w:left w:val="nil"/>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line="300" w:lineRule="exact"/>
              <w:ind w:left="0" w:right="0"/>
              <w:jc w:val="center"/>
              <w:rPr>
                <w:color w:val="000000"/>
                <w:sz w:val="21"/>
                <w:szCs w:val="21"/>
                <w:bdr w:val="none" w:color="auto" w:sz="0" w:space="0"/>
                <w:lang w:val="en-US"/>
              </w:rPr>
            </w:pPr>
            <w:r>
              <w:rPr>
                <w:rFonts w:hint="eastAsia" w:ascii="宋体" w:hAnsi="宋体" w:eastAsia="宋体" w:cs="宋体"/>
                <w:color w:val="000000"/>
                <w:kern w:val="0"/>
                <w:sz w:val="21"/>
                <w:szCs w:val="21"/>
                <w:bdr w:val="none" w:color="auto" w:sz="0" w:space="0"/>
                <w:lang w:val="en-US" w:eastAsia="zh-CN" w:bidi="ar"/>
              </w:rPr>
              <w:t>敏感程度</w:t>
            </w:r>
          </w:p>
        </w:tc>
        <w:tc>
          <w:tcPr>
            <w:tcW w:w="7280" w:type="dxa"/>
            <w:tcBorders>
              <w:top w:val="thinThickSmallGap" w:color="auto" w:sz="12" w:space="0"/>
              <w:left w:val="single" w:color="auto" w:sz="4" w:space="0"/>
              <w:bottom w:val="single" w:color="auto" w:sz="4" w:space="0"/>
              <w:right w:val="nil"/>
            </w:tcBorders>
            <w:shd w:val="clear" w:color="auto" w:fill="D9D9D9"/>
            <w:vAlign w:val="center"/>
          </w:tcPr>
          <w:p>
            <w:pPr>
              <w:keepNext w:val="0"/>
              <w:keepLines w:val="0"/>
              <w:widowControl/>
              <w:suppressLineNumbers w:val="0"/>
              <w:spacing w:before="0" w:beforeAutospacing="0" w:after="0" w:afterAutospacing="0" w:line="300" w:lineRule="exact"/>
              <w:ind w:left="0" w:right="0"/>
              <w:jc w:val="left"/>
              <w:rPr>
                <w:color w:val="000000"/>
                <w:sz w:val="21"/>
                <w:szCs w:val="21"/>
                <w:bdr w:val="none" w:color="auto" w:sz="0" w:space="0"/>
                <w:lang w:val="en-US"/>
              </w:rPr>
            </w:pPr>
            <w:r>
              <w:rPr>
                <w:rFonts w:hint="eastAsia" w:ascii="宋体" w:hAnsi="宋体" w:eastAsia="宋体" w:cs="宋体"/>
                <w:color w:val="000000"/>
                <w:kern w:val="0"/>
                <w:sz w:val="21"/>
                <w:szCs w:val="21"/>
                <w:bdr w:val="none" w:color="auto" w:sz="0" w:space="0"/>
                <w:lang w:val="en-US" w:eastAsia="zh-CN" w:bidi="ar"/>
              </w:rPr>
              <w:t>地下水环境敏感特征</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978" w:hRule="atLeast"/>
          <w:jc w:val="center"/>
        </w:trPr>
        <w:tc>
          <w:tcPr>
            <w:tcW w:w="1242"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color w:val="000000"/>
                <w:sz w:val="21"/>
                <w:szCs w:val="21"/>
                <w:bdr w:val="none" w:color="auto" w:sz="0" w:space="0"/>
                <w:lang w:val="en-US"/>
              </w:rPr>
            </w:pPr>
            <w:r>
              <w:rPr>
                <w:rFonts w:hint="eastAsia" w:ascii="宋体" w:hAnsi="宋体" w:eastAsia="宋体" w:cs="宋体"/>
                <w:color w:val="000000"/>
                <w:kern w:val="0"/>
                <w:sz w:val="21"/>
                <w:szCs w:val="21"/>
                <w:bdr w:val="none" w:color="auto" w:sz="0" w:space="0"/>
                <w:lang w:val="en-US" w:eastAsia="zh-CN" w:bidi="ar"/>
              </w:rPr>
              <w:t>敏感</w:t>
            </w:r>
          </w:p>
        </w:tc>
        <w:tc>
          <w:tcPr>
            <w:tcW w:w="7280"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left"/>
              <w:rPr>
                <w:color w:val="000000"/>
                <w:sz w:val="21"/>
                <w:szCs w:val="21"/>
                <w:bdr w:val="none" w:color="auto" w:sz="0" w:space="0"/>
                <w:lang w:val="en-US"/>
              </w:rPr>
            </w:pPr>
            <w:r>
              <w:rPr>
                <w:rFonts w:hint="eastAsia" w:ascii="宋体" w:hAnsi="宋体" w:eastAsia="宋体" w:cs="宋体"/>
                <w:color w:val="000000"/>
                <w:kern w:val="0"/>
                <w:sz w:val="21"/>
                <w:szCs w:val="21"/>
                <w:bdr w:val="none" w:color="auto" w:sz="0" w:space="0"/>
                <w:lang w:val="en-US" w:eastAsia="zh-CN" w:bidi="ar"/>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261" w:hRule="atLeast"/>
          <w:jc w:val="center"/>
        </w:trPr>
        <w:tc>
          <w:tcPr>
            <w:tcW w:w="1242"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color w:val="000000"/>
                <w:sz w:val="21"/>
                <w:szCs w:val="21"/>
                <w:bdr w:val="none" w:color="auto" w:sz="0" w:space="0"/>
                <w:lang w:val="en-US"/>
              </w:rPr>
            </w:pPr>
            <w:r>
              <w:rPr>
                <w:rFonts w:hint="eastAsia" w:ascii="宋体" w:hAnsi="宋体" w:eastAsia="宋体" w:cs="宋体"/>
                <w:color w:val="000000"/>
                <w:kern w:val="0"/>
                <w:sz w:val="21"/>
                <w:szCs w:val="21"/>
                <w:bdr w:val="none" w:color="auto" w:sz="0" w:space="0"/>
                <w:lang w:val="en-US" w:eastAsia="zh-CN" w:bidi="ar"/>
              </w:rPr>
              <w:t>较敏感</w:t>
            </w:r>
          </w:p>
        </w:tc>
        <w:tc>
          <w:tcPr>
            <w:tcW w:w="7280"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left"/>
              <w:rPr>
                <w:color w:val="000000"/>
                <w:sz w:val="21"/>
                <w:szCs w:val="21"/>
                <w:bdr w:val="none" w:color="auto" w:sz="0" w:space="0"/>
                <w:lang w:val="en-US"/>
              </w:rPr>
            </w:pPr>
            <w:r>
              <w:rPr>
                <w:rFonts w:hint="eastAsia" w:ascii="宋体" w:hAnsi="宋体" w:eastAsia="宋体" w:cs="宋体"/>
                <w:color w:val="000000"/>
                <w:kern w:val="0"/>
                <w:sz w:val="21"/>
                <w:szCs w:val="21"/>
                <w:bdr w:val="none" w:color="auto" w:sz="0" w:space="0"/>
                <w:lang w:val="en-US" w:eastAsia="zh-CN" w:bidi="ar"/>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r>
              <w:rPr>
                <w:rFonts w:hint="eastAsia" w:ascii="宋体" w:hAnsi="宋体" w:eastAsia="宋体" w:cs="宋体"/>
                <w:color w:val="000000"/>
                <w:kern w:val="0"/>
                <w:sz w:val="24"/>
                <w:szCs w:val="24"/>
                <w:bdr w:val="none" w:color="auto" w:sz="0" w:space="0"/>
                <w:vertAlign w:val="superscript"/>
                <w:lang w:val="en-US" w:eastAsia="zh-CN" w:bidi="ar"/>
              </w:rPr>
              <w:t>a</w:t>
            </w:r>
            <w:r>
              <w:rPr>
                <w:rFonts w:hint="eastAsia" w:ascii="宋体" w:hAnsi="宋体" w:eastAsia="宋体" w:cs="宋体"/>
                <w:color w:val="000000"/>
                <w:kern w:val="0"/>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242"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color w:val="000000"/>
                <w:sz w:val="21"/>
                <w:szCs w:val="21"/>
                <w:bdr w:val="none" w:color="auto" w:sz="0" w:space="0"/>
                <w:lang w:val="en-US"/>
              </w:rPr>
            </w:pPr>
            <w:r>
              <w:rPr>
                <w:rFonts w:hint="eastAsia" w:ascii="宋体" w:hAnsi="宋体" w:eastAsia="宋体" w:cs="宋体"/>
                <w:color w:val="000000"/>
                <w:kern w:val="0"/>
                <w:sz w:val="21"/>
                <w:szCs w:val="21"/>
                <w:bdr w:val="none" w:color="auto" w:sz="0" w:space="0"/>
                <w:lang w:val="en-US" w:eastAsia="zh-CN" w:bidi="ar"/>
              </w:rPr>
              <w:t>不敏感</w:t>
            </w:r>
          </w:p>
        </w:tc>
        <w:tc>
          <w:tcPr>
            <w:tcW w:w="7280"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left"/>
              <w:rPr>
                <w:color w:val="000000"/>
                <w:sz w:val="21"/>
                <w:szCs w:val="21"/>
                <w:bdr w:val="none" w:color="auto" w:sz="0" w:space="0"/>
                <w:lang w:val="en-US"/>
              </w:rPr>
            </w:pPr>
            <w:r>
              <w:rPr>
                <w:rFonts w:hint="eastAsia" w:ascii="宋体" w:hAnsi="宋体" w:eastAsia="宋体" w:cs="宋体"/>
                <w:color w:val="000000"/>
                <w:kern w:val="0"/>
                <w:sz w:val="21"/>
                <w:szCs w:val="21"/>
                <w:bdr w:val="none" w:color="auto" w:sz="0" w:space="0"/>
                <w:lang w:val="en-US" w:eastAsia="zh-CN" w:bidi="ar"/>
              </w:rPr>
              <w:t>上述地区之外的其它地区。</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8522" w:type="dxa"/>
            <w:gridSpan w:val="2"/>
            <w:tcBorders>
              <w:top w:val="single" w:color="auto" w:sz="4" w:space="0"/>
              <w:left w:val="nil"/>
              <w:bottom w:val="thickThinSmallGap" w:color="auto" w:sz="12" w:space="0"/>
              <w:right w:val="nil"/>
            </w:tcBorders>
            <w:shd w:val="clear"/>
            <w:vAlign w:val="center"/>
          </w:tcPr>
          <w:p>
            <w:pPr>
              <w:keepNext w:val="0"/>
              <w:keepLines w:val="0"/>
              <w:widowControl/>
              <w:suppressLineNumbers w:val="0"/>
              <w:spacing w:before="0" w:beforeAutospacing="0" w:after="0" w:afterAutospacing="0" w:line="300" w:lineRule="exact"/>
              <w:ind w:left="0" w:right="0"/>
              <w:jc w:val="left"/>
              <w:rPr>
                <w:color w:val="000000"/>
                <w:sz w:val="21"/>
                <w:szCs w:val="21"/>
                <w:bdr w:val="none" w:color="auto" w:sz="0" w:space="0"/>
                <w:lang w:val="en-US"/>
              </w:rPr>
            </w:pPr>
            <w:r>
              <w:rPr>
                <w:rFonts w:hint="eastAsia" w:ascii="宋体" w:hAnsi="宋体" w:eastAsia="宋体" w:cs="宋体"/>
                <w:color w:val="000000"/>
                <w:kern w:val="0"/>
                <w:sz w:val="21"/>
                <w:szCs w:val="21"/>
                <w:bdr w:val="none" w:color="auto" w:sz="0" w:space="0"/>
                <w:lang w:val="en-US" w:eastAsia="zh-CN" w:bidi="ar"/>
              </w:rPr>
              <w:t>注：a“环境敏感区”是指《建设项目环境影响评价分类管理名录》中所界定的涉及地下水的环境敏感区。</w:t>
            </w:r>
          </w:p>
        </w:tc>
      </w:tr>
    </w:tbl>
    <w:p>
      <w:pPr>
        <w:keepNext w:val="0"/>
        <w:keepLines w:val="0"/>
        <w:widowControl/>
        <w:suppressLineNumbers w:val="0"/>
        <w:snapToGrid w:val="0"/>
        <w:spacing w:before="0" w:beforeAutospacing="0" w:after="0" w:afterAutospacing="0"/>
        <w:ind w:left="0" w:right="0" w:firstLine="420" w:firstLineChars="200"/>
        <w:jc w:val="left"/>
        <w:rPr>
          <w:color w:val="000000"/>
          <w:lang w:val="en-US"/>
        </w:rPr>
      </w:pPr>
    </w:p>
    <w:p>
      <w:pPr>
        <w:keepNext w:val="0"/>
        <w:keepLines w:val="0"/>
        <w:widowControl/>
        <w:suppressLineNumbers w:val="0"/>
        <w:tabs>
          <w:tab w:val="left" w:pos="6580"/>
        </w:tabs>
        <w:adjustRightInd w:val="0"/>
        <w:snapToGrid w:val="0"/>
        <w:spacing w:before="0" w:beforeAutospacing="0" w:after="0" w:afterAutospacing="0" w:line="360" w:lineRule="auto"/>
        <w:ind w:left="0" w:right="0" w:firstLine="480" w:firstLineChars="200"/>
        <w:jc w:val="left"/>
        <w:rPr>
          <w:color w:val="000000"/>
          <w:lang w:val="en-US"/>
        </w:rPr>
      </w:pPr>
      <w:r>
        <w:rPr>
          <w:rFonts w:hint="eastAsia" w:ascii="宋体" w:hAnsi="宋体" w:eastAsia="宋体" w:cs="宋体"/>
          <w:color w:val="000000"/>
          <w:kern w:val="0"/>
          <w:sz w:val="24"/>
          <w:szCs w:val="24"/>
          <w:lang w:val="en-US" w:eastAsia="zh-CN" w:bidi="ar"/>
        </w:rPr>
        <w:t>本项目所在地区不在《建设项目环境影响评价分类管理名录》中所界定的涉及地下水的环境敏感区，项目周边有分散式饮用水水源，属于上表中的较敏感地区。</w:t>
      </w:r>
    </w:p>
    <w:p>
      <w:pPr>
        <w:keepNext w:val="0"/>
        <w:keepLines w:val="0"/>
        <w:widowControl/>
        <w:suppressLineNumbers w:val="0"/>
        <w:tabs>
          <w:tab w:val="left" w:pos="6580"/>
        </w:tabs>
        <w:adjustRightInd w:val="0"/>
        <w:snapToGrid w:val="0"/>
        <w:spacing w:before="0" w:beforeAutospacing="0" w:after="0" w:afterAutospacing="0" w:line="360" w:lineRule="auto"/>
        <w:ind w:left="0" w:right="0" w:firstLine="480" w:firstLineChars="200"/>
        <w:jc w:val="left"/>
        <w:rPr>
          <w:color w:val="000000"/>
          <w:lang w:val="en-US"/>
        </w:rPr>
      </w:pPr>
      <w:r>
        <w:rPr>
          <w:rFonts w:hint="eastAsia" w:ascii="宋体" w:hAnsi="宋体" w:eastAsia="宋体" w:cs="宋体"/>
          <w:color w:val="000000"/>
          <w:kern w:val="0"/>
          <w:sz w:val="24"/>
          <w:szCs w:val="24"/>
          <w:lang w:val="en-US" w:eastAsia="zh-CN" w:bidi="ar"/>
        </w:rPr>
        <w:t>③建设项目评价工作等级划分</w:t>
      </w:r>
    </w:p>
    <w:p>
      <w:pPr>
        <w:keepNext w:val="0"/>
        <w:keepLines w:val="0"/>
        <w:widowControl/>
        <w:suppressLineNumbers w:val="0"/>
        <w:tabs>
          <w:tab w:val="left" w:pos="6580"/>
        </w:tabs>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结合项目的类别以及建设项目地下水环境的敏感程度，依据《环境影响评价技术导则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地下水环境》（</w:t>
      </w:r>
      <w:r>
        <w:rPr>
          <w:rFonts w:hint="default" w:ascii="Times New Roman" w:hAnsi="Times New Roman" w:eastAsia="宋体" w:cs="Times New Roman"/>
          <w:color w:val="000000"/>
          <w:kern w:val="0"/>
          <w:sz w:val="24"/>
          <w:szCs w:val="24"/>
          <w:lang w:val="en-US" w:eastAsia="zh-CN" w:bidi="ar"/>
        </w:rPr>
        <w:t>HJ610-2016</w:t>
      </w:r>
      <w:r>
        <w:rPr>
          <w:rFonts w:hint="eastAsia" w:ascii="Times New Roman" w:hAnsi="Times New Roman" w:eastAsia="宋体" w:cs="Times New Roman"/>
          <w:color w:val="000000"/>
          <w:kern w:val="0"/>
          <w:sz w:val="24"/>
          <w:szCs w:val="24"/>
          <w:lang w:val="en-US" w:eastAsia="zh-CN" w:bidi="ar"/>
        </w:rPr>
        <w:t>）中的表</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（评价工作等级分级表），本项目地下水环境影响评价工作等级划分情况见下表。</w:t>
      </w:r>
    </w:p>
    <w:p>
      <w:pPr>
        <w:keepNext w:val="0"/>
        <w:keepLines w:val="0"/>
        <w:widowControl/>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表</w:t>
      </w:r>
      <w:r>
        <w:rPr>
          <w:rFonts w:hint="default" w:ascii="Times New Roman" w:hAnsi="Times New Roman" w:eastAsia="宋体" w:cs="Times New Roman"/>
          <w:b/>
          <w:bCs w:val="0"/>
          <w:color w:val="000000"/>
          <w:kern w:val="0"/>
          <w:sz w:val="24"/>
          <w:szCs w:val="24"/>
          <w:lang w:val="en-US" w:eastAsia="zh-CN" w:bidi="ar"/>
        </w:rPr>
        <w:t xml:space="preserve">1.5-9  </w:t>
      </w:r>
      <w:r>
        <w:rPr>
          <w:rFonts w:hint="eastAsia" w:ascii="Times New Roman" w:hAnsi="Times New Roman" w:eastAsia="宋体" w:cs="Times New Roman"/>
          <w:b/>
          <w:bCs w:val="0"/>
          <w:color w:val="000000"/>
          <w:kern w:val="0"/>
          <w:sz w:val="24"/>
          <w:szCs w:val="24"/>
          <w:lang w:val="en-US" w:eastAsia="zh-CN" w:bidi="ar"/>
        </w:rPr>
        <w:t>评价工作等级分级表</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2462"/>
        <w:gridCol w:w="1803"/>
        <w:gridCol w:w="2132"/>
        <w:gridCol w:w="2132"/>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c>
          <w:tcPr>
            <w:tcW w:w="2462" w:type="dxa"/>
            <w:tcBorders>
              <w:top w:val="thinThickSmallGap" w:color="auto" w:sz="12" w:space="0"/>
              <w:left w:val="nil"/>
              <w:bottom w:val="single" w:color="auto" w:sz="6" w:space="0"/>
              <w:right w:val="single" w:color="auto" w:sz="6" w:space="0"/>
            </w:tcBorders>
            <w:shd w:val="clear" w:color="auto" w:fill="BFBFBF"/>
            <w:vAlign w:val="center"/>
          </w:tcPr>
          <w:p>
            <w:pPr>
              <w:pStyle w:val="138"/>
              <w:widowControl/>
              <w:snapToGrid w:val="0"/>
              <w:spacing w:before="0" w:beforeAutospacing="0" w:after="0" w:afterAutospacing="0"/>
              <w:ind w:left="0" w:right="0"/>
              <w:rPr>
                <w:szCs w:val="21"/>
                <w:bdr w:val="none" w:color="auto" w:sz="0" w:space="0"/>
                <w:lang/>
              </w:rPr>
            </w:pPr>
            <w:r>
              <w:rPr>
                <w:szCs w:val="21"/>
                <w:bdr w:val="none" w:color="auto" w:sz="0" w:space="0"/>
                <w:lang/>
              </w:rPr>
              <w:t>环境敏感程度</w:t>
            </w:r>
          </w:p>
        </w:tc>
        <w:tc>
          <w:tcPr>
            <w:tcW w:w="1803" w:type="dxa"/>
            <w:tcBorders>
              <w:top w:val="thinThickSmallGap" w:color="auto" w:sz="12" w:space="0"/>
              <w:left w:val="single" w:color="auto" w:sz="6" w:space="0"/>
              <w:bottom w:val="single" w:color="auto" w:sz="6" w:space="0"/>
              <w:right w:val="single" w:color="auto" w:sz="6" w:space="0"/>
            </w:tcBorders>
            <w:shd w:val="clear" w:color="auto" w:fill="BFBFBF"/>
            <w:vAlign w:val="center"/>
          </w:tcPr>
          <w:p>
            <w:pPr>
              <w:pStyle w:val="138"/>
              <w:widowControl/>
              <w:snapToGrid w:val="0"/>
              <w:spacing w:before="0" w:beforeAutospacing="0" w:after="0" w:afterAutospacing="0"/>
              <w:ind w:left="0" w:right="0"/>
              <w:rPr>
                <w:szCs w:val="21"/>
                <w:bdr w:val="none" w:color="auto" w:sz="0" w:space="0"/>
                <w:lang/>
              </w:rPr>
            </w:pPr>
            <w:r>
              <w:rPr>
                <w:szCs w:val="21"/>
                <w:bdr w:val="none" w:color="auto" w:sz="0" w:space="0"/>
                <w:lang/>
              </w:rPr>
              <w:t>Ⅰ类项目</w:t>
            </w:r>
          </w:p>
        </w:tc>
        <w:tc>
          <w:tcPr>
            <w:tcW w:w="2132" w:type="dxa"/>
            <w:tcBorders>
              <w:top w:val="thinThickSmallGap" w:color="auto" w:sz="12" w:space="0"/>
              <w:left w:val="single" w:color="auto" w:sz="6" w:space="0"/>
              <w:bottom w:val="single" w:color="auto" w:sz="6" w:space="0"/>
              <w:right w:val="single" w:color="auto" w:sz="6" w:space="0"/>
            </w:tcBorders>
            <w:shd w:val="clear" w:color="auto" w:fill="BFBFBF"/>
            <w:vAlign w:val="center"/>
          </w:tcPr>
          <w:p>
            <w:pPr>
              <w:pStyle w:val="138"/>
              <w:widowControl/>
              <w:snapToGrid w:val="0"/>
              <w:spacing w:before="0" w:beforeAutospacing="0" w:after="0" w:afterAutospacing="0"/>
              <w:ind w:left="0" w:right="0"/>
              <w:rPr>
                <w:szCs w:val="21"/>
                <w:bdr w:val="none" w:color="auto" w:sz="0" w:space="0"/>
                <w:lang/>
              </w:rPr>
            </w:pPr>
            <w:r>
              <w:rPr>
                <w:szCs w:val="21"/>
                <w:bdr w:val="none" w:color="auto" w:sz="0" w:space="0"/>
                <w:lang/>
              </w:rPr>
              <w:t>Ⅱ类</w:t>
            </w:r>
          </w:p>
        </w:tc>
        <w:tc>
          <w:tcPr>
            <w:tcW w:w="2132" w:type="dxa"/>
            <w:tcBorders>
              <w:top w:val="thinThickSmallGap" w:color="auto" w:sz="12" w:space="0"/>
              <w:left w:val="single" w:color="auto" w:sz="6" w:space="0"/>
              <w:bottom w:val="single" w:color="auto" w:sz="6" w:space="0"/>
              <w:right w:val="nil"/>
            </w:tcBorders>
            <w:shd w:val="clear" w:color="auto" w:fill="BFBFBF"/>
            <w:vAlign w:val="center"/>
          </w:tcPr>
          <w:p>
            <w:pPr>
              <w:pStyle w:val="138"/>
              <w:widowControl/>
              <w:snapToGrid w:val="0"/>
              <w:spacing w:before="0" w:beforeAutospacing="0" w:after="0" w:afterAutospacing="0"/>
              <w:ind w:left="0" w:right="0"/>
              <w:rPr>
                <w:szCs w:val="21"/>
                <w:bdr w:val="none" w:color="auto" w:sz="0" w:space="0"/>
                <w:lang/>
              </w:rPr>
            </w:pPr>
            <w:r>
              <w:rPr>
                <w:szCs w:val="21"/>
                <w:bdr w:val="none" w:color="auto" w:sz="0" w:space="0"/>
                <w:lang/>
              </w:rPr>
              <w:t>Ⅲ类项目</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c>
          <w:tcPr>
            <w:tcW w:w="2462" w:type="dxa"/>
            <w:tcBorders>
              <w:top w:val="single" w:color="auto" w:sz="6" w:space="0"/>
              <w:left w:val="nil"/>
              <w:bottom w:val="single" w:color="auto" w:sz="6" w:space="0"/>
              <w:right w:val="single" w:color="auto" w:sz="6" w:space="0"/>
            </w:tcBorders>
            <w:shd w:val="clear"/>
            <w:vAlign w:val="center"/>
          </w:tcPr>
          <w:p>
            <w:pPr>
              <w:pStyle w:val="138"/>
              <w:widowControl/>
              <w:snapToGrid w:val="0"/>
              <w:spacing w:before="0" w:beforeAutospacing="0" w:after="0" w:afterAutospacing="0"/>
              <w:ind w:left="0" w:right="0"/>
              <w:rPr>
                <w:szCs w:val="21"/>
                <w:bdr w:val="none" w:color="auto" w:sz="0" w:space="0"/>
                <w:lang/>
              </w:rPr>
            </w:pPr>
            <w:r>
              <w:rPr>
                <w:szCs w:val="21"/>
                <w:bdr w:val="none" w:color="auto" w:sz="0" w:space="0"/>
                <w:lang/>
              </w:rPr>
              <w:t>敏感</w:t>
            </w:r>
          </w:p>
        </w:tc>
        <w:tc>
          <w:tcPr>
            <w:tcW w:w="1803" w:type="dxa"/>
            <w:tcBorders>
              <w:top w:val="single" w:color="auto" w:sz="6" w:space="0"/>
              <w:left w:val="single" w:color="auto" w:sz="6" w:space="0"/>
              <w:bottom w:val="single" w:color="auto" w:sz="6" w:space="0"/>
              <w:right w:val="single" w:color="auto" w:sz="6" w:space="0"/>
            </w:tcBorders>
            <w:shd w:val="clear"/>
            <w:vAlign w:val="center"/>
          </w:tcPr>
          <w:p>
            <w:pPr>
              <w:pStyle w:val="138"/>
              <w:widowControl/>
              <w:snapToGrid w:val="0"/>
              <w:spacing w:before="0" w:beforeAutospacing="0" w:after="0" w:afterAutospacing="0"/>
              <w:ind w:left="0" w:right="0"/>
              <w:rPr>
                <w:szCs w:val="21"/>
                <w:bdr w:val="none" w:color="auto" w:sz="0" w:space="0"/>
                <w:lang/>
              </w:rPr>
            </w:pPr>
            <w:r>
              <w:rPr>
                <w:szCs w:val="21"/>
                <w:bdr w:val="none" w:color="auto" w:sz="0" w:space="0"/>
                <w:lang/>
              </w:rPr>
              <w:t>一</w:t>
            </w:r>
          </w:p>
        </w:tc>
        <w:tc>
          <w:tcPr>
            <w:tcW w:w="2132" w:type="dxa"/>
            <w:tcBorders>
              <w:top w:val="single" w:color="auto" w:sz="6" w:space="0"/>
              <w:left w:val="single" w:color="auto" w:sz="6" w:space="0"/>
              <w:bottom w:val="single" w:color="auto" w:sz="6" w:space="0"/>
              <w:right w:val="single" w:color="auto" w:sz="6" w:space="0"/>
            </w:tcBorders>
            <w:shd w:val="clear"/>
            <w:vAlign w:val="center"/>
          </w:tcPr>
          <w:p>
            <w:pPr>
              <w:pStyle w:val="138"/>
              <w:widowControl/>
              <w:snapToGrid w:val="0"/>
              <w:spacing w:before="0" w:beforeAutospacing="0" w:after="0" w:afterAutospacing="0"/>
              <w:ind w:left="0" w:right="0"/>
              <w:rPr>
                <w:szCs w:val="21"/>
                <w:bdr w:val="none" w:color="auto" w:sz="0" w:space="0"/>
                <w:lang/>
              </w:rPr>
            </w:pPr>
            <w:r>
              <w:rPr>
                <w:szCs w:val="21"/>
                <w:bdr w:val="none" w:color="auto" w:sz="0" w:space="0"/>
                <w:lang/>
              </w:rPr>
              <w:t>一</w:t>
            </w:r>
          </w:p>
        </w:tc>
        <w:tc>
          <w:tcPr>
            <w:tcW w:w="2132" w:type="dxa"/>
            <w:tcBorders>
              <w:top w:val="single" w:color="auto" w:sz="6" w:space="0"/>
              <w:left w:val="single" w:color="auto" w:sz="6" w:space="0"/>
              <w:bottom w:val="single" w:color="auto" w:sz="6" w:space="0"/>
              <w:right w:val="nil"/>
            </w:tcBorders>
            <w:shd w:val="clear"/>
            <w:vAlign w:val="center"/>
          </w:tcPr>
          <w:p>
            <w:pPr>
              <w:pStyle w:val="138"/>
              <w:widowControl/>
              <w:snapToGrid w:val="0"/>
              <w:spacing w:before="0" w:beforeAutospacing="0" w:after="0" w:afterAutospacing="0"/>
              <w:ind w:left="0" w:right="0"/>
              <w:rPr>
                <w:szCs w:val="21"/>
                <w:bdr w:val="none" w:color="auto" w:sz="0" w:space="0"/>
                <w:lang/>
              </w:rPr>
            </w:pPr>
            <w:r>
              <w:rPr>
                <w:szCs w:val="21"/>
                <w:bdr w:val="none" w:color="auto" w:sz="0" w:space="0"/>
                <w:lang/>
              </w:rPr>
              <w:t>二</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c>
          <w:tcPr>
            <w:tcW w:w="2462" w:type="dxa"/>
            <w:tcBorders>
              <w:top w:val="single" w:color="auto" w:sz="6" w:space="0"/>
              <w:left w:val="nil"/>
              <w:bottom w:val="single" w:color="auto" w:sz="6" w:space="0"/>
              <w:right w:val="single" w:color="auto" w:sz="6" w:space="0"/>
            </w:tcBorders>
            <w:shd w:val="clear"/>
            <w:vAlign w:val="center"/>
          </w:tcPr>
          <w:p>
            <w:pPr>
              <w:pStyle w:val="138"/>
              <w:widowControl/>
              <w:snapToGrid w:val="0"/>
              <w:spacing w:before="0" w:beforeAutospacing="0" w:after="0" w:afterAutospacing="0"/>
              <w:ind w:left="0" w:right="0"/>
              <w:rPr>
                <w:szCs w:val="21"/>
                <w:bdr w:val="none" w:color="auto" w:sz="0" w:space="0"/>
                <w:lang/>
              </w:rPr>
            </w:pPr>
            <w:r>
              <w:rPr>
                <w:szCs w:val="21"/>
                <w:bdr w:val="none" w:color="auto" w:sz="0" w:space="0"/>
                <w:lang/>
              </w:rPr>
              <w:t>较敏感</w:t>
            </w:r>
          </w:p>
        </w:tc>
        <w:tc>
          <w:tcPr>
            <w:tcW w:w="1803" w:type="dxa"/>
            <w:tcBorders>
              <w:top w:val="single" w:color="auto" w:sz="6" w:space="0"/>
              <w:left w:val="single" w:color="auto" w:sz="6" w:space="0"/>
              <w:bottom w:val="single" w:color="auto" w:sz="6" w:space="0"/>
              <w:right w:val="single" w:color="auto" w:sz="6" w:space="0"/>
            </w:tcBorders>
            <w:shd w:val="clear"/>
            <w:vAlign w:val="center"/>
          </w:tcPr>
          <w:p>
            <w:pPr>
              <w:pStyle w:val="138"/>
              <w:widowControl/>
              <w:snapToGrid w:val="0"/>
              <w:spacing w:before="0" w:beforeAutospacing="0" w:after="0" w:afterAutospacing="0"/>
              <w:ind w:left="0" w:right="0"/>
              <w:rPr>
                <w:szCs w:val="21"/>
                <w:bdr w:val="none" w:color="auto" w:sz="0" w:space="0"/>
                <w:lang/>
              </w:rPr>
            </w:pPr>
            <w:r>
              <w:rPr>
                <w:szCs w:val="21"/>
                <w:bdr w:val="none" w:color="auto" w:sz="0" w:space="0"/>
                <w:lang/>
              </w:rPr>
              <w:t>一</w:t>
            </w:r>
          </w:p>
        </w:tc>
        <w:tc>
          <w:tcPr>
            <w:tcW w:w="2132" w:type="dxa"/>
            <w:tcBorders>
              <w:top w:val="single" w:color="auto" w:sz="6" w:space="0"/>
              <w:left w:val="single" w:color="auto" w:sz="6" w:space="0"/>
              <w:bottom w:val="single" w:color="auto" w:sz="6" w:space="0"/>
              <w:right w:val="single" w:color="auto" w:sz="6" w:space="0"/>
            </w:tcBorders>
            <w:shd w:val="clear"/>
            <w:vAlign w:val="center"/>
          </w:tcPr>
          <w:p>
            <w:pPr>
              <w:pStyle w:val="138"/>
              <w:widowControl/>
              <w:snapToGrid w:val="0"/>
              <w:spacing w:before="0" w:beforeAutospacing="0" w:after="0" w:afterAutospacing="0"/>
              <w:ind w:left="0" w:right="0"/>
              <w:rPr>
                <w:szCs w:val="21"/>
                <w:bdr w:val="none" w:color="auto" w:sz="0" w:space="0"/>
                <w:lang/>
              </w:rPr>
            </w:pPr>
            <w:r>
              <w:rPr>
                <w:szCs w:val="21"/>
                <w:bdr w:val="none" w:color="auto" w:sz="0" w:space="0"/>
                <w:lang/>
              </w:rPr>
              <w:t>二</w:t>
            </w:r>
          </w:p>
        </w:tc>
        <w:tc>
          <w:tcPr>
            <w:tcW w:w="2132" w:type="dxa"/>
            <w:tcBorders>
              <w:top w:val="single" w:color="auto" w:sz="6" w:space="0"/>
              <w:left w:val="single" w:color="auto" w:sz="6" w:space="0"/>
              <w:bottom w:val="single" w:color="auto" w:sz="6" w:space="0"/>
              <w:right w:val="nil"/>
            </w:tcBorders>
            <w:shd w:val="clear"/>
            <w:vAlign w:val="center"/>
          </w:tcPr>
          <w:p>
            <w:pPr>
              <w:pStyle w:val="138"/>
              <w:widowControl/>
              <w:snapToGrid w:val="0"/>
              <w:spacing w:before="0" w:beforeAutospacing="0" w:after="0" w:afterAutospacing="0"/>
              <w:ind w:left="0" w:right="0"/>
              <w:rPr>
                <w:szCs w:val="21"/>
                <w:bdr w:val="none" w:color="auto" w:sz="0" w:space="0"/>
                <w:lang/>
              </w:rPr>
            </w:pPr>
            <w:r>
              <w:rPr>
                <w:szCs w:val="21"/>
                <w:bdr w:val="none" w:color="auto" w:sz="0" w:space="0"/>
                <w:lang/>
              </w:rPr>
              <w:t>三</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c>
          <w:tcPr>
            <w:tcW w:w="2462" w:type="dxa"/>
            <w:tcBorders>
              <w:top w:val="single" w:color="auto" w:sz="6" w:space="0"/>
              <w:left w:val="nil"/>
              <w:bottom w:val="thickThinSmallGap" w:color="auto" w:sz="12" w:space="0"/>
              <w:right w:val="single" w:color="auto" w:sz="6" w:space="0"/>
            </w:tcBorders>
            <w:shd w:val="clear"/>
            <w:vAlign w:val="center"/>
          </w:tcPr>
          <w:p>
            <w:pPr>
              <w:pStyle w:val="138"/>
              <w:widowControl/>
              <w:snapToGrid w:val="0"/>
              <w:spacing w:before="0" w:beforeAutospacing="0" w:after="0" w:afterAutospacing="0"/>
              <w:ind w:left="0" w:right="0"/>
              <w:rPr>
                <w:szCs w:val="21"/>
                <w:bdr w:val="none" w:color="auto" w:sz="0" w:space="0"/>
                <w:lang/>
              </w:rPr>
            </w:pPr>
            <w:r>
              <w:rPr>
                <w:szCs w:val="21"/>
                <w:bdr w:val="none" w:color="auto" w:sz="0" w:space="0"/>
                <w:lang/>
              </w:rPr>
              <w:t>不敏感</w:t>
            </w:r>
          </w:p>
        </w:tc>
        <w:tc>
          <w:tcPr>
            <w:tcW w:w="1803" w:type="dxa"/>
            <w:tcBorders>
              <w:top w:val="single" w:color="auto" w:sz="6" w:space="0"/>
              <w:left w:val="single" w:color="auto" w:sz="6" w:space="0"/>
              <w:bottom w:val="thickThinSmallGap" w:color="auto" w:sz="12" w:space="0"/>
              <w:right w:val="single" w:color="auto" w:sz="6" w:space="0"/>
            </w:tcBorders>
            <w:shd w:val="clear"/>
            <w:vAlign w:val="center"/>
          </w:tcPr>
          <w:p>
            <w:pPr>
              <w:pStyle w:val="138"/>
              <w:widowControl/>
              <w:snapToGrid w:val="0"/>
              <w:spacing w:before="0" w:beforeAutospacing="0" w:after="0" w:afterAutospacing="0"/>
              <w:ind w:left="0" w:right="0"/>
              <w:rPr>
                <w:szCs w:val="21"/>
                <w:bdr w:val="none" w:color="auto" w:sz="0" w:space="0"/>
                <w:lang/>
              </w:rPr>
            </w:pPr>
            <w:r>
              <w:rPr>
                <w:szCs w:val="21"/>
                <w:bdr w:val="none" w:color="auto" w:sz="0" w:space="0"/>
                <w:lang/>
              </w:rPr>
              <w:t>二</w:t>
            </w:r>
          </w:p>
        </w:tc>
        <w:tc>
          <w:tcPr>
            <w:tcW w:w="2132" w:type="dxa"/>
            <w:tcBorders>
              <w:top w:val="single" w:color="auto" w:sz="6" w:space="0"/>
              <w:left w:val="single" w:color="auto" w:sz="6" w:space="0"/>
              <w:bottom w:val="thickThinSmallGap" w:color="auto" w:sz="12" w:space="0"/>
              <w:right w:val="single" w:color="auto" w:sz="6" w:space="0"/>
            </w:tcBorders>
            <w:shd w:val="clear"/>
            <w:vAlign w:val="center"/>
          </w:tcPr>
          <w:p>
            <w:pPr>
              <w:pStyle w:val="138"/>
              <w:widowControl/>
              <w:snapToGrid w:val="0"/>
              <w:spacing w:before="0" w:beforeAutospacing="0" w:after="0" w:afterAutospacing="0"/>
              <w:ind w:left="0" w:right="0"/>
              <w:rPr>
                <w:szCs w:val="21"/>
                <w:bdr w:val="none" w:color="auto" w:sz="0" w:space="0"/>
                <w:lang/>
              </w:rPr>
            </w:pPr>
            <w:r>
              <w:rPr>
                <w:szCs w:val="21"/>
                <w:bdr w:val="none" w:color="auto" w:sz="0" w:space="0"/>
                <w:lang/>
              </w:rPr>
              <w:t>三</w:t>
            </w:r>
          </w:p>
        </w:tc>
        <w:tc>
          <w:tcPr>
            <w:tcW w:w="2132" w:type="dxa"/>
            <w:tcBorders>
              <w:top w:val="single" w:color="auto" w:sz="6" w:space="0"/>
              <w:left w:val="single" w:color="auto" w:sz="6" w:space="0"/>
              <w:bottom w:val="thickThinSmallGap" w:color="auto" w:sz="12" w:space="0"/>
              <w:right w:val="nil"/>
            </w:tcBorders>
            <w:shd w:val="clear"/>
            <w:vAlign w:val="center"/>
          </w:tcPr>
          <w:p>
            <w:pPr>
              <w:pStyle w:val="138"/>
              <w:widowControl/>
              <w:snapToGrid w:val="0"/>
              <w:spacing w:before="0" w:beforeAutospacing="0" w:after="0" w:afterAutospacing="0"/>
              <w:ind w:left="0" w:right="0"/>
              <w:rPr>
                <w:szCs w:val="21"/>
                <w:bdr w:val="none" w:color="auto" w:sz="0" w:space="0"/>
                <w:lang/>
              </w:rPr>
            </w:pPr>
            <w:r>
              <w:rPr>
                <w:szCs w:val="21"/>
                <w:bdr w:val="none" w:color="auto" w:sz="0" w:space="0"/>
                <w:lang/>
              </w:rPr>
              <w:t>三</w:t>
            </w:r>
          </w:p>
        </w:tc>
      </w:tr>
    </w:tbl>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根据上述规定，本项目为</w:t>
      </w:r>
      <w:r>
        <w:rPr>
          <w:rFonts w:hint="eastAsia" w:ascii="宋体" w:hAnsi="宋体" w:eastAsia="宋体" w:cs="宋体"/>
          <w:color w:val="000000"/>
          <w:kern w:val="0"/>
          <w:sz w:val="24"/>
          <w:szCs w:val="24"/>
          <w:lang w:val="en-US" w:eastAsia="zh-CN" w:bidi="ar"/>
        </w:rPr>
        <w:fldChar w:fldCharType="begin"/>
      </w:r>
      <w:r>
        <w:rPr>
          <w:rFonts w:hint="eastAsia" w:ascii="宋体" w:hAnsi="宋体" w:eastAsia="宋体" w:cs="宋体"/>
          <w:color w:val="000000"/>
          <w:kern w:val="0"/>
          <w:sz w:val="24"/>
          <w:szCs w:val="24"/>
          <w:lang w:val="en-US" w:eastAsia="zh-CN" w:bidi="ar"/>
        </w:rPr>
        <w:instrText xml:space="preserve">= 3 \* ROMAN</w:instrText>
      </w:r>
      <w:r>
        <w:rPr>
          <w:rFonts w:hint="eastAsia" w:ascii="宋体" w:hAnsi="宋体" w:eastAsia="宋体" w:cs="宋体"/>
          <w:color w:val="000000"/>
          <w:kern w:val="0"/>
          <w:sz w:val="24"/>
          <w:szCs w:val="24"/>
          <w:lang w:val="en-US" w:eastAsia="zh-CN" w:bidi="ar"/>
        </w:rPr>
        <w:fldChar w:fldCharType="separate"/>
      </w:r>
      <w:r>
        <w:rPr>
          <w:rFonts w:hint="eastAsia" w:ascii="宋体" w:hAnsi="宋体" w:eastAsia="宋体" w:cs="宋体"/>
          <w:color w:val="000000"/>
          <w:kern w:val="0"/>
          <w:sz w:val="24"/>
          <w:szCs w:val="24"/>
          <w:lang w:val="en-US" w:eastAsia="zh-CN" w:bidi="ar"/>
        </w:rPr>
        <w:t>III</w:t>
      </w:r>
      <w:r>
        <w:rPr>
          <w:rFonts w:hint="eastAsia" w:ascii="宋体" w:hAnsi="宋体" w:eastAsia="宋体" w:cs="宋体"/>
          <w:color w:val="000000"/>
          <w:kern w:val="0"/>
          <w:sz w:val="24"/>
          <w:szCs w:val="24"/>
          <w:lang w:val="en-US" w:eastAsia="zh-CN" w:bidi="ar"/>
        </w:rPr>
        <w:fldChar w:fldCharType="end"/>
      </w:r>
      <w:r>
        <w:rPr>
          <w:rFonts w:hint="eastAsia" w:ascii="宋体" w:hAnsi="宋体" w:eastAsia="宋体" w:cs="宋体"/>
          <w:color w:val="000000"/>
          <w:kern w:val="0"/>
          <w:sz w:val="24"/>
          <w:szCs w:val="24"/>
          <w:lang w:val="en-US" w:eastAsia="zh-CN" w:bidi="ar"/>
        </w:rPr>
        <w:t>类项目，地下水环境敏感程度为较敏感，因此，本项目地下水的评价等级为三级。</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rPr>
        <w:t xml:space="preserve">1.5.2.2 </w:t>
      </w:r>
      <w:r>
        <w:rPr>
          <w:rFonts w:ascii="Times New Roman" w:hAnsi="Times New Roman" w:cs="Times New Roman"/>
          <w:color w:val="000000"/>
          <w:lang/>
        </w:rPr>
        <w:t>水环境评价范围</w:t>
      </w:r>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地表水环境》（</w:t>
      </w:r>
      <w:r>
        <w:rPr>
          <w:rFonts w:hint="default" w:ascii="Times New Roman" w:hAnsi="Times New Roman" w:eastAsia="宋体" w:cs="Times New Roman"/>
          <w:color w:val="000000"/>
          <w:kern w:val="0"/>
          <w:sz w:val="24"/>
          <w:szCs w:val="24"/>
          <w:lang w:val="en-US" w:eastAsia="zh-CN" w:bidi="ar"/>
        </w:rPr>
        <w:t>HJ2.3-2018</w:t>
      </w:r>
      <w:r>
        <w:rPr>
          <w:rFonts w:hint="eastAsia" w:ascii="Times New Roman" w:hAnsi="Times New Roman" w:eastAsia="宋体" w:cs="Times New Roman"/>
          <w:color w:val="000000"/>
          <w:kern w:val="0"/>
          <w:sz w:val="24"/>
          <w:szCs w:val="24"/>
          <w:lang w:val="en-US" w:eastAsia="zh-CN" w:bidi="ar"/>
        </w:rPr>
        <w:t>）中关于三级</w:t>
      </w:r>
      <w:r>
        <w:rPr>
          <w:rFonts w:hint="default" w:ascii="Times New Roman" w:hAnsi="Times New Roman" w:eastAsia="宋体" w:cs="Times New Roman"/>
          <w:color w:val="000000"/>
          <w:kern w:val="0"/>
          <w:sz w:val="24"/>
          <w:szCs w:val="24"/>
          <w:lang w:val="en-US" w:eastAsia="zh-CN" w:bidi="ar"/>
        </w:rPr>
        <w:t>B</w:t>
      </w:r>
      <w:r>
        <w:rPr>
          <w:rFonts w:hint="eastAsia" w:ascii="Times New Roman" w:hAnsi="Times New Roman" w:eastAsia="宋体" w:cs="Times New Roman"/>
          <w:color w:val="000000"/>
          <w:kern w:val="0"/>
          <w:sz w:val="24"/>
          <w:szCs w:val="24"/>
          <w:lang w:val="en-US" w:eastAsia="zh-CN" w:bidi="ar"/>
        </w:rPr>
        <w:t>评价范围的要求，本项目地表水环境评价范围确定为厂区内。</w:t>
      </w:r>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根据《环境影响评价技术导则地下水环境》（</w:t>
      </w:r>
      <w:r>
        <w:rPr>
          <w:rFonts w:hint="default" w:ascii="Times New Roman" w:hAnsi="Times New Roman" w:eastAsia="宋体" w:cs="Times New Roman"/>
          <w:color w:val="000000"/>
          <w:kern w:val="0"/>
          <w:sz w:val="24"/>
          <w:szCs w:val="24"/>
          <w:lang w:val="en-US" w:eastAsia="zh-CN" w:bidi="ar"/>
        </w:rPr>
        <w:t>HJ610-2016</w:t>
      </w:r>
      <w:r>
        <w:rPr>
          <w:rFonts w:hint="eastAsia" w:ascii="Times New Roman" w:hAnsi="Times New Roman" w:eastAsia="宋体" w:cs="Times New Roman"/>
          <w:color w:val="000000"/>
          <w:kern w:val="0"/>
          <w:sz w:val="24"/>
          <w:szCs w:val="24"/>
          <w:lang w:val="en-US" w:eastAsia="zh-CN" w:bidi="ar"/>
        </w:rPr>
        <w:t>）中的要求，地下水评价范围</w:t>
      </w:r>
      <w:r>
        <w:rPr>
          <w:rFonts w:hint="default" w:ascii="Times New Roman" w:hAnsi="Times New Roman" w:eastAsia="宋体" w:cs="Times New Roman"/>
          <w:color w:val="000000"/>
          <w:kern w:val="0"/>
          <w:sz w:val="24"/>
          <w:szCs w:val="24"/>
          <w:lang w:val="en-US" w:eastAsia="zh-CN" w:bidi="ar"/>
        </w:rPr>
        <w:t>≤6km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，本工程地下水评价主要对地下水污染防治措施进行分析。</w:t>
      </w:r>
    </w:p>
    <w:p>
      <w:pPr>
        <w:pStyle w:val="9"/>
        <w:widowControl/>
        <w:rPr>
          <w:rFonts w:hint="default" w:ascii="Times New Roman" w:hAnsi="Times New Roman" w:cs="Times New Roman"/>
          <w:color w:val="000000"/>
          <w:lang/>
        </w:rPr>
      </w:pPr>
      <w:bookmarkStart w:id="84" w:name="_Toc151276127"/>
      <w:bookmarkStart w:id="85" w:name="_Toc151258708"/>
      <w:bookmarkStart w:id="86" w:name="_Toc151200239"/>
      <w:bookmarkStart w:id="87" w:name="_Toc151200079"/>
      <w:r>
        <w:rPr>
          <w:rFonts w:hint="default" w:ascii="Times New Roman" w:hAnsi="Times New Roman" w:cs="Times New Roman"/>
          <w:color w:val="000000"/>
          <w:lang/>
        </w:rPr>
        <w:t xml:space="preserve">1.5.3 </w:t>
      </w:r>
      <w:r>
        <w:rPr>
          <w:rFonts w:ascii="Times New Roman" w:hAnsi="Times New Roman" w:cs="Times New Roman"/>
          <w:color w:val="000000"/>
          <w:lang/>
        </w:rPr>
        <w:t>噪声评价等级</w:t>
      </w:r>
      <w:bookmarkEnd w:id="84"/>
      <w:bookmarkEnd w:id="85"/>
      <w:bookmarkEnd w:id="86"/>
      <w:bookmarkEnd w:id="87"/>
      <w:r>
        <w:rPr>
          <w:rFonts w:ascii="Times New Roman" w:hAnsi="Times New Roman" w:cs="Times New Roman"/>
          <w:color w:val="000000"/>
          <w:lang/>
        </w:rPr>
        <w:t>及范围</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rPr>
        <w:t xml:space="preserve">1.5.3.1 </w:t>
      </w:r>
      <w:r>
        <w:rPr>
          <w:rFonts w:ascii="Times New Roman" w:hAnsi="Times New Roman" w:cs="Times New Roman"/>
          <w:color w:val="000000"/>
          <w:lang/>
        </w:rPr>
        <w:t>噪声评价等级</w:t>
      </w:r>
    </w:p>
    <w:p>
      <w:pPr>
        <w:keepNext w:val="0"/>
        <w:keepLines w:val="0"/>
        <w:widowControl/>
        <w:suppressLineNumbers w:val="0"/>
        <w:tabs>
          <w:tab w:val="left" w:pos="6580"/>
        </w:tabs>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声环境》（</w:t>
      </w:r>
      <w:r>
        <w:rPr>
          <w:rFonts w:hint="default" w:ascii="Times New Roman" w:hAnsi="Times New Roman" w:eastAsia="宋体" w:cs="Times New Roman"/>
          <w:color w:val="000000"/>
          <w:kern w:val="0"/>
          <w:sz w:val="24"/>
          <w:szCs w:val="24"/>
          <w:lang w:val="en-US" w:eastAsia="zh-CN" w:bidi="ar"/>
        </w:rPr>
        <w:t>HJ2.4-2009</w:t>
      </w:r>
      <w:r>
        <w:rPr>
          <w:rFonts w:hint="eastAsia" w:ascii="Times New Roman" w:hAnsi="Times New Roman" w:eastAsia="宋体" w:cs="Times New Roman"/>
          <w:color w:val="000000"/>
          <w:kern w:val="0"/>
          <w:sz w:val="24"/>
          <w:szCs w:val="24"/>
          <w:lang w:val="en-US" w:eastAsia="zh-CN" w:bidi="ar"/>
        </w:rPr>
        <w:t>）中噪声环境影响评价工作等级划分的基本原则，</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建设项目所处的声环境功能区为</w:t>
      </w:r>
      <w:r>
        <w:rPr>
          <w:rFonts w:hint="default" w:ascii="Times New Roman" w:hAnsi="Times New Roman" w:eastAsia="宋体" w:cs="Times New Roman"/>
          <w:color w:val="000000"/>
          <w:kern w:val="0"/>
          <w:sz w:val="24"/>
          <w:szCs w:val="24"/>
          <w:lang w:val="en-US" w:eastAsia="zh-CN" w:bidi="ar"/>
        </w:rPr>
        <w:t>GB3096</w:t>
      </w:r>
      <w:r>
        <w:rPr>
          <w:rFonts w:hint="eastAsia" w:ascii="Times New Roman" w:hAnsi="Times New Roman" w:eastAsia="宋体" w:cs="Times New Roman"/>
          <w:color w:val="000000"/>
          <w:kern w:val="0"/>
          <w:sz w:val="24"/>
          <w:szCs w:val="24"/>
          <w:lang w:val="en-US" w:eastAsia="zh-CN" w:bidi="ar"/>
        </w:rPr>
        <w:t>规定的</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类、</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类地区，或建设项目建设前后评价范围内敏感目标声级增高量达</w:t>
      </w:r>
      <w:r>
        <w:rPr>
          <w:rFonts w:hint="default" w:ascii="Times New Roman" w:hAnsi="Times New Roman" w:eastAsia="宋体" w:cs="Times New Roman"/>
          <w:color w:val="000000"/>
          <w:kern w:val="0"/>
          <w:sz w:val="24"/>
          <w:szCs w:val="24"/>
          <w:lang w:val="en-US" w:eastAsia="zh-CN" w:bidi="ar"/>
        </w:rPr>
        <w:t>3~5dB(A)[</w:t>
      </w:r>
      <w:r>
        <w:rPr>
          <w:rFonts w:hint="eastAsia" w:ascii="Times New Roman" w:hAnsi="Times New Roman" w:eastAsia="宋体" w:cs="Times New Roman"/>
          <w:color w:val="000000"/>
          <w:kern w:val="0"/>
          <w:sz w:val="24"/>
          <w:szCs w:val="24"/>
          <w:lang w:val="en-US" w:eastAsia="zh-CN" w:bidi="ar"/>
        </w:rPr>
        <w:t>含</w:t>
      </w:r>
      <w:r>
        <w:rPr>
          <w:rFonts w:hint="default" w:ascii="Times New Roman" w:hAnsi="Times New Roman" w:eastAsia="宋体" w:cs="Times New Roman"/>
          <w:color w:val="000000"/>
          <w:kern w:val="0"/>
          <w:sz w:val="24"/>
          <w:szCs w:val="24"/>
          <w:lang w:val="en-US" w:eastAsia="zh-CN" w:bidi="ar"/>
        </w:rPr>
        <w:t>5dB(A)]</w:t>
      </w:r>
      <w:r>
        <w:rPr>
          <w:rFonts w:hint="eastAsia" w:ascii="Times New Roman" w:hAnsi="Times New Roman" w:eastAsia="宋体" w:cs="Times New Roman"/>
          <w:color w:val="000000"/>
          <w:kern w:val="0"/>
          <w:sz w:val="24"/>
          <w:szCs w:val="24"/>
          <w:lang w:val="en-US" w:eastAsia="zh-CN" w:bidi="ar"/>
        </w:rPr>
        <w:t>，或受噪声影响人口数量增加较多时，按二级评价</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。本项目位于海城市八里镇铧子峪村，根据厂区周边关系分析，该区域为工业、居住混杂区，声环境功能区为《声环境质量标准》（</w:t>
      </w:r>
      <w:r>
        <w:rPr>
          <w:rFonts w:hint="default" w:ascii="Times New Roman" w:hAnsi="Times New Roman" w:eastAsia="宋体" w:cs="Times New Roman"/>
          <w:color w:val="000000"/>
          <w:kern w:val="0"/>
          <w:sz w:val="24"/>
          <w:szCs w:val="24"/>
          <w:lang w:val="en-US" w:eastAsia="zh-CN" w:bidi="ar"/>
        </w:rPr>
        <w:t>GB3096-2008</w:t>
      </w:r>
      <w:r>
        <w:rPr>
          <w:rFonts w:hint="eastAsia" w:ascii="Times New Roman" w:hAnsi="Times New Roman" w:eastAsia="宋体" w:cs="Times New Roman"/>
          <w:color w:val="000000"/>
          <w:kern w:val="0"/>
          <w:sz w:val="24"/>
          <w:szCs w:val="24"/>
          <w:lang w:val="en-US" w:eastAsia="zh-CN" w:bidi="ar"/>
        </w:rPr>
        <w:t>）中的</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类区，故确定本项目噪声评价等级为二级。</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rPr>
        <w:t xml:space="preserve">1.5.3.2 </w:t>
      </w:r>
      <w:r>
        <w:rPr>
          <w:rFonts w:ascii="Times New Roman" w:hAnsi="Times New Roman" w:cs="Times New Roman"/>
          <w:color w:val="000000"/>
          <w:lang/>
        </w:rPr>
        <w:t>噪声评价范围</w:t>
      </w:r>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根据本项目噪声源强及周边环境敏感情况，确定噪声评价范围为项目场界外</w:t>
      </w:r>
      <w:r>
        <w:rPr>
          <w:rFonts w:hint="default" w:ascii="Times New Roman" w:hAnsi="Times New Roman" w:eastAsia="宋体" w:cs="Times New Roman"/>
          <w:color w:val="000000"/>
          <w:kern w:val="0"/>
          <w:sz w:val="24"/>
          <w:szCs w:val="24"/>
          <w:lang w:eastAsia="zh-CN" w:bidi="ar"/>
        </w:rPr>
        <w:t>200m</w:t>
      </w:r>
      <w:r>
        <w:rPr>
          <w:rFonts w:hint="eastAsia" w:ascii="Times New Roman" w:hAnsi="Times New Roman" w:eastAsia="宋体" w:cs="Times New Roman"/>
          <w:color w:val="000000"/>
          <w:kern w:val="0"/>
          <w:sz w:val="24"/>
          <w:szCs w:val="24"/>
          <w:lang w:val="en-US" w:eastAsia="zh-CN" w:bidi="ar"/>
        </w:rPr>
        <w:t>。</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 xml:space="preserve">1.5.4 </w:t>
      </w:r>
      <w:r>
        <w:rPr>
          <w:rFonts w:ascii="Times New Roman" w:hAnsi="Times New Roman" w:cs="Times New Roman"/>
          <w:color w:val="000000"/>
          <w:lang/>
        </w:rPr>
        <w:t>土壤环境评价等级及范围</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rPr>
        <w:t xml:space="preserve">1.5.4.1 </w:t>
      </w:r>
      <w:r>
        <w:rPr>
          <w:rFonts w:ascii="Times New Roman" w:hAnsi="Times New Roman" w:cs="Times New Roman"/>
          <w:color w:val="000000"/>
          <w:lang/>
        </w:rPr>
        <w:t>土壤环境评价等级</w:t>
      </w:r>
    </w:p>
    <w:p>
      <w:pPr>
        <w:keepNext w:val="0"/>
        <w:keepLines w:val="0"/>
        <w:widowControl/>
        <w:suppressLineNumbers w:val="0"/>
        <w:tabs>
          <w:tab w:val="left" w:pos="6580"/>
        </w:tabs>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）项目类别判定</w:t>
      </w:r>
    </w:p>
    <w:p>
      <w:pPr>
        <w:keepNext w:val="0"/>
        <w:keepLines w:val="0"/>
        <w:widowControl/>
        <w:suppressLineNumbers w:val="0"/>
        <w:tabs>
          <w:tab w:val="left" w:pos="6580"/>
        </w:tabs>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土壤影响》（</w:t>
      </w:r>
      <w:r>
        <w:rPr>
          <w:rFonts w:hint="default" w:ascii="Times New Roman" w:hAnsi="Times New Roman" w:eastAsia="宋体" w:cs="Times New Roman"/>
          <w:color w:val="000000"/>
          <w:kern w:val="0"/>
          <w:sz w:val="24"/>
          <w:szCs w:val="24"/>
          <w:lang w:val="en-US" w:eastAsia="zh-CN" w:bidi="ar"/>
        </w:rPr>
        <w:t>HJ964-2018</w:t>
      </w:r>
      <w:r>
        <w:rPr>
          <w:rFonts w:hint="eastAsia" w:ascii="Times New Roman" w:hAnsi="Times New Roman" w:eastAsia="宋体" w:cs="Times New Roman"/>
          <w:color w:val="000000"/>
          <w:kern w:val="0"/>
          <w:sz w:val="24"/>
          <w:szCs w:val="24"/>
          <w:lang w:val="en-US" w:eastAsia="zh-CN" w:bidi="ar"/>
        </w:rPr>
        <w:t>）中根据行业特征、工艺特点或规模大小等，将建设项目类别分为</w:t>
      </w:r>
      <w:r>
        <w:rPr>
          <w:rFonts w:hint="default" w:ascii="Times New Roman" w:hAnsi="Times New Roman" w:eastAsia="宋体" w:cs="Times New Roman"/>
          <w:color w:val="000000"/>
          <w:kern w:val="0"/>
          <w:sz w:val="24"/>
          <w:szCs w:val="24"/>
          <w:lang w:val="en-US" w:eastAsia="zh-CN" w:bidi="ar"/>
        </w:rPr>
        <w:t>Ⅰ</w:t>
      </w:r>
      <w:r>
        <w:rPr>
          <w:rFonts w:hint="eastAsia" w:ascii="Times New Roman" w:hAnsi="Times New Roman" w:eastAsia="宋体" w:cs="Times New Roman"/>
          <w:color w:val="000000"/>
          <w:kern w:val="0"/>
          <w:sz w:val="24"/>
          <w:szCs w:val="24"/>
          <w:lang w:val="en-US" w:eastAsia="zh-CN" w:bidi="ar"/>
        </w:rPr>
        <w:t>类、</w:t>
      </w:r>
      <w:r>
        <w:rPr>
          <w:rFonts w:hint="default" w:ascii="Times New Roman" w:hAnsi="Times New Roman" w:eastAsia="宋体" w:cs="Times New Roman"/>
          <w:color w:val="000000"/>
          <w:kern w:val="0"/>
          <w:sz w:val="24"/>
          <w:szCs w:val="24"/>
          <w:lang w:val="en-US" w:eastAsia="zh-CN" w:bidi="ar"/>
        </w:rPr>
        <w:t>Ⅱ</w:t>
      </w:r>
      <w:r>
        <w:rPr>
          <w:rFonts w:hint="eastAsia" w:ascii="Times New Roman" w:hAnsi="Times New Roman" w:eastAsia="宋体" w:cs="Times New Roman"/>
          <w:color w:val="000000"/>
          <w:kern w:val="0"/>
          <w:sz w:val="24"/>
          <w:szCs w:val="24"/>
          <w:lang w:val="en-US" w:eastAsia="zh-CN" w:bidi="ar"/>
        </w:rPr>
        <w:t>类、</w:t>
      </w:r>
      <w:r>
        <w:rPr>
          <w:rFonts w:hint="default" w:ascii="Times New Roman" w:hAnsi="Times New Roman" w:eastAsia="宋体" w:cs="Times New Roman"/>
          <w:color w:val="000000"/>
          <w:kern w:val="0"/>
          <w:sz w:val="24"/>
          <w:szCs w:val="24"/>
          <w:lang w:val="en-US" w:eastAsia="zh-CN" w:bidi="ar"/>
        </w:rPr>
        <w:t>Ⅲ</w:t>
      </w:r>
      <w:r>
        <w:rPr>
          <w:rFonts w:hint="eastAsia" w:ascii="Times New Roman" w:hAnsi="Times New Roman" w:eastAsia="宋体" w:cs="Times New Roman"/>
          <w:color w:val="000000"/>
          <w:kern w:val="0"/>
          <w:sz w:val="24"/>
          <w:szCs w:val="24"/>
          <w:lang w:val="en-US" w:eastAsia="zh-CN" w:bidi="ar"/>
        </w:rPr>
        <w:t>类、</w:t>
      </w:r>
      <w:r>
        <w:rPr>
          <w:rFonts w:hint="default" w:ascii="Times New Roman" w:hAnsi="Times New Roman" w:eastAsia="宋体" w:cs="Times New Roman"/>
          <w:color w:val="000000"/>
          <w:kern w:val="0"/>
          <w:sz w:val="24"/>
          <w:szCs w:val="24"/>
          <w:lang w:val="en-US" w:eastAsia="zh-CN" w:bidi="ar"/>
        </w:rPr>
        <w:t>Ⅳ</w:t>
      </w:r>
      <w:r>
        <w:rPr>
          <w:rFonts w:hint="eastAsia" w:ascii="Times New Roman" w:hAnsi="Times New Roman" w:eastAsia="宋体" w:cs="Times New Roman"/>
          <w:color w:val="000000"/>
          <w:kern w:val="0"/>
          <w:sz w:val="24"/>
          <w:szCs w:val="24"/>
          <w:lang w:val="en-US" w:eastAsia="zh-CN" w:bidi="ar"/>
        </w:rPr>
        <w:t>类，其中</w:t>
      </w:r>
      <w:r>
        <w:rPr>
          <w:rFonts w:hint="default" w:ascii="Times New Roman" w:hAnsi="Times New Roman" w:eastAsia="宋体" w:cs="Times New Roman"/>
          <w:color w:val="000000"/>
          <w:kern w:val="0"/>
          <w:sz w:val="24"/>
          <w:szCs w:val="24"/>
          <w:lang w:val="en-US" w:eastAsia="zh-CN" w:bidi="ar"/>
        </w:rPr>
        <w:t>Ⅳ</w:t>
      </w:r>
      <w:r>
        <w:rPr>
          <w:rFonts w:hint="eastAsia" w:ascii="Times New Roman" w:hAnsi="Times New Roman" w:eastAsia="宋体" w:cs="Times New Roman"/>
          <w:color w:val="000000"/>
          <w:kern w:val="0"/>
          <w:sz w:val="24"/>
          <w:szCs w:val="24"/>
          <w:lang w:val="en-US" w:eastAsia="zh-CN" w:bidi="ar"/>
        </w:rPr>
        <w:t>类建设项目可不开展土壤环境影响评价。根据导则附录</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，本项目属于</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采矿业</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其他</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，项目类别为</w:t>
      </w:r>
      <w:r>
        <w:rPr>
          <w:rFonts w:hint="default" w:ascii="Times New Roman" w:hAnsi="Times New Roman" w:eastAsia="宋体" w:cs="Times New Roman"/>
          <w:color w:val="000000"/>
          <w:kern w:val="0"/>
          <w:sz w:val="24"/>
          <w:szCs w:val="24"/>
          <w:lang w:val="en-US" w:eastAsia="zh-CN" w:bidi="ar"/>
        </w:rPr>
        <w:t>III</w:t>
      </w:r>
      <w:r>
        <w:rPr>
          <w:rFonts w:hint="eastAsia" w:ascii="Times New Roman" w:hAnsi="Times New Roman" w:eastAsia="宋体" w:cs="Times New Roman"/>
          <w:color w:val="000000"/>
          <w:kern w:val="0"/>
          <w:sz w:val="24"/>
          <w:szCs w:val="24"/>
          <w:lang w:val="en-US" w:eastAsia="zh-CN" w:bidi="ar"/>
        </w:rPr>
        <w:t>类、污染影响型。</w:t>
      </w:r>
    </w:p>
    <w:p>
      <w:pPr>
        <w:keepNext w:val="0"/>
        <w:keepLines w:val="0"/>
        <w:widowControl/>
        <w:suppressLineNumbers w:val="0"/>
        <w:tabs>
          <w:tab w:val="left" w:pos="6580"/>
        </w:tabs>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）等级划分</w:t>
      </w:r>
    </w:p>
    <w:p>
      <w:pPr>
        <w:keepNext w:val="0"/>
        <w:keepLines w:val="0"/>
        <w:widowControl/>
        <w:suppressLineNumbers w:val="0"/>
        <w:tabs>
          <w:tab w:val="left" w:pos="6580"/>
        </w:tabs>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导则将建设项目占地规模分为大型（</w:t>
      </w:r>
      <w:r>
        <w:rPr>
          <w:rFonts w:hint="default" w:ascii="Times New Roman" w:hAnsi="Times New Roman" w:eastAsia="宋体" w:cs="Times New Roman"/>
          <w:color w:val="000000"/>
          <w:kern w:val="0"/>
          <w:sz w:val="24"/>
          <w:szCs w:val="24"/>
          <w:lang w:val="en-US" w:eastAsia="zh-CN" w:bidi="ar"/>
        </w:rPr>
        <w:t>≥50hm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）、中型（</w:t>
      </w:r>
      <w:r>
        <w:rPr>
          <w:rFonts w:hint="default" w:ascii="Times New Roman" w:hAnsi="Times New Roman" w:eastAsia="宋体" w:cs="Times New Roman"/>
          <w:color w:val="000000"/>
          <w:kern w:val="0"/>
          <w:sz w:val="24"/>
          <w:szCs w:val="24"/>
          <w:lang w:val="en-US" w:eastAsia="zh-CN" w:bidi="ar"/>
        </w:rPr>
        <w:t>5~50hm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）、小型（</w:t>
      </w:r>
      <w:r>
        <w:rPr>
          <w:rFonts w:hint="default" w:ascii="Times New Roman" w:hAnsi="Times New Roman" w:eastAsia="宋体" w:cs="Times New Roman"/>
          <w:color w:val="000000"/>
          <w:kern w:val="0"/>
          <w:sz w:val="24"/>
          <w:szCs w:val="24"/>
          <w:lang w:val="en-US" w:eastAsia="zh-CN" w:bidi="ar"/>
        </w:rPr>
        <w:t>≤5hm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），项目占地为永久占地。本项目占地面积</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万</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，属于小型。</w:t>
      </w:r>
    </w:p>
    <w:p>
      <w:pPr>
        <w:keepNext w:val="0"/>
        <w:keepLines w:val="0"/>
        <w:widowControl/>
        <w:suppressLineNumbers w:val="0"/>
        <w:tabs>
          <w:tab w:val="left" w:pos="6580"/>
        </w:tabs>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建设项目所在地周边的土壤环境敏感程度分为敏感、较敏感、不敏感，判别依据见表</w:t>
      </w:r>
      <w:r>
        <w:rPr>
          <w:rFonts w:hint="default" w:ascii="Times New Roman" w:hAnsi="Times New Roman" w:eastAsia="宋体" w:cs="Times New Roman"/>
          <w:color w:val="000000"/>
          <w:kern w:val="0"/>
          <w:sz w:val="24"/>
          <w:szCs w:val="18"/>
          <w:lang w:val="en-US" w:eastAsia="zh-CN" w:bidi="ar"/>
        </w:rPr>
        <w:t>1.5-10</w:t>
      </w:r>
      <w:r>
        <w:rPr>
          <w:rFonts w:hint="eastAsia" w:ascii="Times New Roman" w:hAnsi="Times New Roman" w:eastAsia="宋体" w:cs="Times New Roman"/>
          <w:color w:val="000000"/>
          <w:kern w:val="0"/>
          <w:sz w:val="24"/>
          <w:szCs w:val="24"/>
          <w:lang w:val="en-US" w:eastAsia="zh-CN" w:bidi="ar"/>
        </w:rPr>
        <w:t>。</w:t>
      </w:r>
    </w:p>
    <w:p>
      <w:pPr>
        <w:pStyle w:val="56"/>
        <w:widowControl/>
        <w:snapToGrid/>
        <w:rPr>
          <w:color w:val="000000"/>
          <w:lang w:val="en-US"/>
        </w:rPr>
      </w:pPr>
      <w:r>
        <w:rPr>
          <w:rFonts w:hint="eastAsia" w:ascii="Times New Roman" w:hAnsi="Times New Roman" w:eastAsia="黑体" w:cs="黑体"/>
          <w:color w:val="000000"/>
          <w:lang w:eastAsia="zh-CN"/>
        </w:rPr>
        <w:t>表</w:t>
      </w:r>
      <w:r>
        <w:rPr>
          <w:color w:val="000000"/>
          <w:szCs w:val="18"/>
          <w:lang w:val="en-US"/>
        </w:rPr>
        <w:t>1.5-10</w:t>
      </w:r>
      <w:r>
        <w:rPr>
          <w:color w:val="000000"/>
          <w:lang w:val="en-US"/>
        </w:rPr>
        <w:t xml:space="preserve">  </w:t>
      </w:r>
      <w:r>
        <w:rPr>
          <w:rFonts w:hint="eastAsia" w:ascii="Times New Roman" w:hAnsi="Times New Roman" w:eastAsia="黑体" w:cs="黑体"/>
          <w:color w:val="000000"/>
          <w:lang w:eastAsia="zh-CN"/>
        </w:rPr>
        <w:t>污染影响型敏感程度分级一览表</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1703"/>
        <w:gridCol w:w="6696"/>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40" w:hRule="atLeast"/>
        </w:trPr>
        <w:tc>
          <w:tcPr>
            <w:tcW w:w="1703" w:type="dxa"/>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敏感程度</w:t>
            </w:r>
          </w:p>
        </w:tc>
        <w:tc>
          <w:tcPr>
            <w:tcW w:w="6696" w:type="dxa"/>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判别依据</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3"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敏感</w:t>
            </w:r>
          </w:p>
        </w:tc>
        <w:tc>
          <w:tcPr>
            <w:tcW w:w="6696"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left"/>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建设项目周边存在耕地、园地、牧草地、饮用水水源地或居民区、学校、医院、疗养院、养老院等土壤环境敏感目标的。</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3"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较敏感</w:t>
            </w:r>
          </w:p>
        </w:tc>
        <w:tc>
          <w:tcPr>
            <w:tcW w:w="6696"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left"/>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建设项目周边存在其他土壤环境敏感目标的。</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3" w:type="dxa"/>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不敏感</w:t>
            </w:r>
          </w:p>
        </w:tc>
        <w:tc>
          <w:tcPr>
            <w:tcW w:w="6696" w:type="dxa"/>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line="300" w:lineRule="exact"/>
              <w:ind w:left="0" w:right="0"/>
              <w:jc w:val="left"/>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其他情况。</w:t>
            </w:r>
          </w:p>
        </w:tc>
      </w:tr>
    </w:tbl>
    <w:p>
      <w:pPr>
        <w:keepNext w:val="0"/>
        <w:keepLines w:val="0"/>
        <w:widowControl/>
        <w:suppressLineNumbers w:val="0"/>
        <w:tabs>
          <w:tab w:val="left" w:pos="6580"/>
        </w:tabs>
        <w:adjustRightInd w:val="0"/>
        <w:snapToGrid w:val="0"/>
        <w:spacing w:before="0" w:beforeAutospacing="0" w:after="0" w:afterAutospacing="0" w:line="360" w:lineRule="auto"/>
        <w:ind w:left="0" w:right="0" w:firstLine="420" w:firstLineChars="200"/>
        <w:jc w:val="left"/>
        <w:rPr>
          <w:rFonts w:hint="default" w:ascii="Times New Roman" w:hAnsi="Times New Roman" w:cs="Times New Roman"/>
          <w:color w:val="000000"/>
          <w:lang w:val="en-US"/>
        </w:rPr>
      </w:pP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土壤导则中‘周边’指建设项目可能影响的范围，应在工程分析基础上，识别建设项目影响类型与污染途径，结合建设项目所在地的气相条件、地形地貌、水文地质条件等判定。</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本项目废气经净化后排放的颗粒物很少，产生的大气沉降影响很小，项目周边无农田等，最近的土壤环境敏感目标范家峪村距离项目</w:t>
      </w:r>
      <w:r>
        <w:rPr>
          <w:rFonts w:hint="default" w:ascii="Times New Roman" w:hAnsi="Times New Roman" w:eastAsia="宋体" w:cs="Times New Roman"/>
          <w:color w:val="000000"/>
          <w:kern w:val="0"/>
          <w:sz w:val="24"/>
          <w:szCs w:val="24"/>
          <w:lang w:val="en-US" w:eastAsia="zh-CN" w:bidi="ar"/>
        </w:rPr>
        <w:t>260m</w:t>
      </w:r>
      <w:r>
        <w:rPr>
          <w:rFonts w:hint="eastAsia" w:ascii="Times New Roman" w:hAnsi="Times New Roman" w:eastAsia="宋体" w:cs="Times New Roman"/>
          <w:color w:val="000000"/>
          <w:kern w:val="0"/>
          <w:sz w:val="24"/>
          <w:szCs w:val="24"/>
          <w:lang w:val="en-US" w:eastAsia="zh-CN" w:bidi="ar"/>
        </w:rPr>
        <w:t>。根据</w:t>
      </w:r>
      <w:r>
        <w:rPr>
          <w:rFonts w:hint="default" w:ascii="Times New Roman" w:hAnsi="Times New Roman" w:eastAsia="宋体" w:cs="Times New Roman"/>
          <w:color w:val="000000"/>
          <w:kern w:val="0"/>
          <w:sz w:val="24"/>
          <w:szCs w:val="24"/>
          <w:lang w:val="en-US" w:eastAsia="zh-CN" w:bidi="ar"/>
        </w:rPr>
        <w:t>AERMOD</w:t>
      </w:r>
      <w:r>
        <w:rPr>
          <w:rFonts w:hint="eastAsia" w:ascii="Times New Roman" w:hAnsi="Times New Roman" w:eastAsia="宋体" w:cs="Times New Roman"/>
          <w:color w:val="000000"/>
          <w:kern w:val="0"/>
          <w:sz w:val="24"/>
          <w:szCs w:val="24"/>
          <w:lang w:val="en-US" w:eastAsia="zh-CN" w:bidi="ar"/>
        </w:rPr>
        <w:t>进一步预测结果，各污染物区域最大落地浓度均较小（</w:t>
      </w:r>
      <w:r>
        <w:rPr>
          <w:rFonts w:hint="default" w:ascii="Times New Roman" w:hAnsi="Times New Roman" w:eastAsia="宋体" w:cs="Times New Roman"/>
          <w:color w:val="000000"/>
          <w:kern w:val="0"/>
          <w:sz w:val="24"/>
          <w:szCs w:val="24"/>
          <w:lang w:val="en-US" w:eastAsia="zh-CN" w:bidi="ar"/>
        </w:rPr>
        <w:t>&lt;10%</w:t>
      </w:r>
      <w:r>
        <w:rPr>
          <w:rFonts w:hint="eastAsia" w:ascii="Times New Roman" w:hAnsi="Times New Roman" w:eastAsia="宋体" w:cs="Times New Roman"/>
          <w:color w:val="000000"/>
          <w:kern w:val="0"/>
          <w:sz w:val="24"/>
          <w:szCs w:val="24"/>
          <w:lang w:val="en-US" w:eastAsia="zh-CN" w:bidi="ar"/>
        </w:rPr>
        <w:t>），且区域最大落地浓度点在本项目场区范围内；项目无露天堆场，固体废物按规范要求妥善处置，不产生淋溶水。综上分析，本项目土壤影响范围主要在厂区范围内，土壤环境敏感程度为不敏感。</w:t>
      </w:r>
    </w:p>
    <w:p>
      <w:pPr>
        <w:keepNext w:val="0"/>
        <w:keepLines w:val="0"/>
        <w:widowControl/>
        <w:suppressLineNumbers w:val="0"/>
        <w:tabs>
          <w:tab w:val="left" w:pos="6580"/>
        </w:tabs>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根据土壤环境影响评价项目类别、占地规模与敏感程度划分评价工作等级，依据见表</w:t>
      </w:r>
      <w:r>
        <w:rPr>
          <w:rFonts w:hint="default" w:ascii="Times New Roman" w:hAnsi="Times New Roman" w:eastAsia="宋体" w:cs="Times New Roman"/>
          <w:color w:val="000000"/>
          <w:kern w:val="0"/>
          <w:sz w:val="24"/>
          <w:szCs w:val="24"/>
          <w:lang w:val="en-US" w:eastAsia="zh-CN" w:bidi="ar"/>
        </w:rPr>
        <w:t>1.5-11</w:t>
      </w:r>
      <w:r>
        <w:rPr>
          <w:rFonts w:hint="eastAsia" w:ascii="Times New Roman" w:hAnsi="Times New Roman" w:eastAsia="宋体" w:cs="Times New Roman"/>
          <w:color w:val="000000"/>
          <w:kern w:val="0"/>
          <w:sz w:val="24"/>
          <w:szCs w:val="24"/>
          <w:lang w:val="en-US" w:eastAsia="zh-CN" w:bidi="ar"/>
        </w:rPr>
        <w:t>。</w:t>
      </w:r>
    </w:p>
    <w:p>
      <w:pPr>
        <w:pStyle w:val="56"/>
        <w:widowControl/>
        <w:snapToGrid/>
        <w:rPr>
          <w:color w:val="000000"/>
          <w:lang w:val="en-US"/>
        </w:rPr>
      </w:pPr>
      <w:r>
        <w:rPr>
          <w:snapToGrid/>
          <w:lang w:eastAsia="zh-CN"/>
        </w:rPr>
        <mc:AlternateContent>
          <mc:Choice Requires="wps">
            <w:drawing>
              <wp:anchor distT="0" distB="0" distL="114300" distR="114300" simplePos="0" relativeHeight="251661312" behindDoc="0" locked="0" layoutInCell="1" allowOverlap="1">
                <wp:simplePos x="0" y="0"/>
                <wp:positionH relativeFrom="column">
                  <wp:posOffset>300355</wp:posOffset>
                </wp:positionH>
                <wp:positionV relativeFrom="paragraph">
                  <wp:posOffset>317500</wp:posOffset>
                </wp:positionV>
                <wp:extent cx="715645" cy="594360"/>
                <wp:effectExtent l="3175" t="3810" r="5080" b="11430"/>
                <wp:wrapNone/>
                <wp:docPr id="18" name="自选图形 6"/>
                <wp:cNvGraphicFramePr/>
                <a:graphic xmlns:a="http://schemas.openxmlformats.org/drawingml/2006/main">
                  <a:graphicData uri="http://schemas.microsoft.com/office/word/2010/wordprocessingShape">
                    <wps:wsp>
                      <wps:cNvCnPr/>
                      <wps:spPr>
                        <a:xfrm>
                          <a:off x="0" y="0"/>
                          <a:ext cx="715645" cy="594360"/>
                        </a:xfrm>
                        <a:prstGeom prst="straightConnector1">
                          <a:avLst/>
                        </a:prstGeom>
                        <a:ln w="6350" cap="flat" cmpd="sng">
                          <a:solidFill>
                            <a:srgbClr val="000000"/>
                          </a:solidFill>
                          <a:prstDash val="solid"/>
                          <a:headEnd type="none" w="med" len="med"/>
                          <a:tailEnd type="none" w="med" len="med"/>
                        </a:ln>
                      </wps:spPr>
                      <wps:bodyPr/>
                    </wps:wsp>
                  </a:graphicData>
                </a:graphic>
              </wp:anchor>
            </w:drawing>
          </mc:Choice>
          <mc:Fallback>
            <w:pict>
              <v:shape id="自选图形 6" o:spid="_x0000_s1026" o:spt="32" type="#_x0000_t32" style="position:absolute;left:0pt;margin-left:23.65pt;margin-top:25pt;height:46.8pt;width:56.35pt;z-index:251661312;mso-width-relative:page;mso-height-relative:page;" o:connectortype="straight" filled="f" stroked="t" coordsize="21600,21600" o:gfxdata="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X1KZUdgAAAAJAQAA&#10;DwAAAAAAAAABACAAAAAiAAAAZHJzL2Rvd25yZXYueG1sUEsBAhQAFAAAAAgAh07iQOrfMt3gAQAA&#10;mgMAAA4AAAAAAAAAAQAgAAAAJwEAAGRycy9lMm9Eb2MueG1sUEsFBgAAAAAGAAYAWQEAAHkFAAAA&#10;AA==&#10;">
                <v:fill on="f" focussize="0,0"/>
                <v:stroke weight="0.5pt" color="#000000" joinstyle="round"/>
                <v:imagedata o:title=""/>
                <o:lock v:ext="edit" aspectratio="f"/>
              </v:shape>
            </w:pict>
          </mc:Fallback>
        </mc:AlternateContent>
      </w:r>
      <w:r>
        <w:rPr>
          <w:rFonts w:hint="eastAsia" w:ascii="Times New Roman" w:hAnsi="Times New Roman" w:eastAsia="黑体" w:cs="黑体"/>
          <w:color w:val="000000"/>
          <w:lang w:eastAsia="zh-CN"/>
        </w:rPr>
        <w:t>表</w:t>
      </w:r>
      <w:r>
        <w:rPr>
          <w:color w:val="000000"/>
          <w:szCs w:val="18"/>
          <w:lang w:val="en-US"/>
        </w:rPr>
        <w:t>1.5-11</w:t>
      </w:r>
      <w:r>
        <w:rPr>
          <w:color w:val="000000"/>
          <w:lang w:val="en-US"/>
        </w:rPr>
        <w:t xml:space="preserve">  </w:t>
      </w:r>
      <w:r>
        <w:rPr>
          <w:rFonts w:hint="eastAsia" w:ascii="Times New Roman" w:hAnsi="Times New Roman" w:eastAsia="黑体" w:cs="黑体"/>
          <w:color w:val="000000"/>
          <w:lang w:eastAsia="zh-CN"/>
        </w:rPr>
        <w:t>污染影响型评价工作等级划分一览表</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1703"/>
        <w:gridCol w:w="744"/>
        <w:gridCol w:w="744"/>
        <w:gridCol w:w="744"/>
        <w:gridCol w:w="744"/>
        <w:gridCol w:w="744"/>
        <w:gridCol w:w="744"/>
        <w:gridCol w:w="744"/>
        <w:gridCol w:w="744"/>
        <w:gridCol w:w="744"/>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7" w:hRule="atLeast"/>
        </w:trPr>
        <w:tc>
          <w:tcPr>
            <w:tcW w:w="1703" w:type="dxa"/>
            <w:vMerge w:val="restart"/>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pacing w:val="-2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 xml:space="preserve">       </w:t>
            </w:r>
            <w:r>
              <w:rPr>
                <w:rFonts w:hint="eastAsia" w:ascii="Times New Roman" w:hAnsi="Times New Roman" w:eastAsia="宋体" w:cs="Times New Roman"/>
                <w:color w:val="000000"/>
                <w:spacing w:val="-20"/>
                <w:kern w:val="0"/>
                <w:sz w:val="21"/>
                <w:szCs w:val="21"/>
                <w:bdr w:val="none" w:color="auto" w:sz="0" w:space="0"/>
                <w:vertAlign w:val="baseline"/>
                <w:lang w:val="en-US" w:eastAsia="zh-CN" w:bidi="ar"/>
              </w:rPr>
              <w:t>占地规模</w:t>
            </w:r>
          </w:p>
          <w:p>
            <w:pPr>
              <w:keepNext w:val="0"/>
              <w:keepLines w:val="0"/>
              <w:widowControl/>
              <w:suppressLineNumbers w:val="0"/>
              <w:spacing w:before="0" w:beforeAutospacing="0" w:after="0" w:afterAutospacing="0" w:line="300" w:lineRule="exact"/>
              <w:ind w:left="0" w:right="0"/>
              <w:jc w:val="left"/>
              <w:textAlignment w:val="baseline"/>
              <w:rPr>
                <w:rFonts w:hint="default" w:ascii="Times New Roman" w:hAnsi="Times New Roman" w:cs="Times New Roman"/>
                <w:color w:val="000000"/>
                <w:spacing w:val="-20"/>
                <w:kern w:val="21"/>
                <w:sz w:val="21"/>
                <w:szCs w:val="21"/>
                <w:bdr w:val="none" w:color="auto" w:sz="0" w:space="0"/>
                <w:vertAlign w:val="baseline"/>
                <w:lang w:val="en-US"/>
              </w:rPr>
            </w:pPr>
            <w:r>
              <w:rPr>
                <w:rFonts w:hint="eastAsia" w:ascii="宋体" w:hAnsi="宋体" w:eastAsia="宋体" w:cs="宋体"/>
                <w:kern w:val="0"/>
                <w:sz w:val="24"/>
                <w:szCs w:val="24"/>
                <w:bdr w:val="none" w:color="auto" w:sz="0" w:space="0"/>
                <w:vertAlign w:val="baseline"/>
                <w:lang w:val="en-US" w:eastAsia="zh-CN" w:bidi="ar"/>
              </w:rPr>
              <mc:AlternateContent>
                <mc:Choice Requires="wps">
                  <w:drawing>
                    <wp:anchor distT="0" distB="0" distL="114300" distR="114300" simplePos="0" relativeHeight="251662336" behindDoc="0" locked="0" layoutInCell="1" allowOverlap="1">
                      <wp:simplePos x="0" y="0"/>
                      <wp:positionH relativeFrom="column">
                        <wp:posOffset>-52705</wp:posOffset>
                      </wp:positionH>
                      <wp:positionV relativeFrom="paragraph">
                        <wp:posOffset>77470</wp:posOffset>
                      </wp:positionV>
                      <wp:extent cx="1069340" cy="301625"/>
                      <wp:effectExtent l="1270" t="4445" r="15240" b="17780"/>
                      <wp:wrapNone/>
                      <wp:docPr id="9" name="自选图形 7"/>
                      <wp:cNvGraphicFramePr/>
                      <a:graphic xmlns:a="http://schemas.openxmlformats.org/drawingml/2006/main">
                        <a:graphicData uri="http://schemas.microsoft.com/office/word/2010/wordprocessingShape">
                          <wps:wsp>
                            <wps:cNvCnPr/>
                            <wps:spPr>
                              <a:xfrm>
                                <a:off x="0" y="0"/>
                                <a:ext cx="1069340" cy="301625"/>
                              </a:xfrm>
                              <a:prstGeom prst="straightConnector1">
                                <a:avLst/>
                              </a:prstGeom>
                              <a:ln w="6350" cap="flat" cmpd="sng">
                                <a:solidFill>
                                  <a:srgbClr val="000000"/>
                                </a:solidFill>
                                <a:prstDash val="solid"/>
                                <a:headEnd type="none" w="med" len="med"/>
                                <a:tailEnd type="none" w="med" len="med"/>
                              </a:ln>
                            </wps:spPr>
                            <wps:bodyPr/>
                          </wps:wsp>
                        </a:graphicData>
                      </a:graphic>
                    </wp:anchor>
                  </w:drawing>
                </mc:Choice>
                <mc:Fallback>
                  <w:pict>
                    <v:shape id="自选图形 7" o:spid="_x0000_s1026" o:spt="32" type="#_x0000_t32" style="position:absolute;left:0pt;margin-left:-4.15pt;margin-top:6.1pt;height:23.75pt;width:84.2pt;z-index:251662336;mso-width-relative:page;mso-height-relative:page;" o:connectortype="straight" filled="f" stroked="t" coordsize="21600,21600" o:gfxdata="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PUtupTZAAAACAEAAA8A&#10;AAAAAAAAAQAgAAAAIgAAAGRycy9kb3ducmV2LnhtbFBLAQIUABQAAAAIAIdO4kAyCvIt3QEAAJoD&#10;AAAOAAAAAAAAAAEAIAAAACgBAABkcnMvZTJvRG9jLnhtbFBLBQYAAAAABgAGAFkBAAB3BQAAAAA=&#10;">
                      <v:fill on="f" focussize="0,0"/>
                      <v:stroke weight="0.5pt" color="#000000" joinstyle="round"/>
                      <v:imagedata o:title=""/>
                      <o:lock v:ext="edit" aspectratio="f"/>
                    </v:shape>
                  </w:pict>
                </mc:Fallback>
              </mc:AlternateContent>
            </w:r>
            <w:r>
              <w:rPr>
                <w:rFonts w:hint="eastAsia" w:ascii="Times New Roman" w:hAnsi="Times New Roman" w:eastAsia="宋体" w:cs="Times New Roman"/>
                <w:color w:val="000000"/>
                <w:spacing w:val="-20"/>
                <w:kern w:val="21"/>
                <w:sz w:val="21"/>
                <w:szCs w:val="21"/>
                <w:bdr w:val="none" w:color="auto" w:sz="0" w:space="0"/>
                <w:vertAlign w:val="baseline"/>
                <w:lang w:val="en-US" w:eastAsia="zh-CN" w:bidi="ar"/>
              </w:rPr>
              <w:t>评价工作等级</w:t>
            </w:r>
          </w:p>
          <w:p>
            <w:pPr>
              <w:keepNext w:val="0"/>
              <w:keepLines w:val="0"/>
              <w:widowControl/>
              <w:suppressLineNumbers w:val="0"/>
              <w:spacing w:before="0" w:beforeAutospacing="0" w:after="0" w:afterAutospacing="0" w:line="300" w:lineRule="exact"/>
              <w:ind w:left="0" w:right="0"/>
              <w:jc w:val="left"/>
              <w:textAlignment w:val="baseline"/>
              <w:rPr>
                <w:rFonts w:hint="default" w:ascii="Times New Roman" w:hAnsi="Times New Roman" w:cs="Times New Roman"/>
                <w:color w:val="000000"/>
                <w:spacing w:val="-20"/>
                <w:sz w:val="21"/>
                <w:szCs w:val="21"/>
                <w:bdr w:val="none" w:color="auto" w:sz="0" w:space="0"/>
                <w:vertAlign w:val="baseline"/>
                <w:lang w:val="en-US"/>
              </w:rPr>
            </w:pPr>
            <w:r>
              <w:rPr>
                <w:rFonts w:hint="eastAsia" w:ascii="Times New Roman" w:hAnsi="Times New Roman" w:eastAsia="宋体" w:cs="Times New Roman"/>
                <w:color w:val="000000"/>
                <w:spacing w:val="-20"/>
                <w:kern w:val="0"/>
                <w:sz w:val="21"/>
                <w:szCs w:val="21"/>
                <w:bdr w:val="none" w:color="auto" w:sz="0" w:space="0"/>
                <w:vertAlign w:val="baseline"/>
                <w:lang w:val="en-US" w:eastAsia="zh-CN" w:bidi="ar"/>
              </w:rPr>
              <w:t>敏感程度</w:t>
            </w:r>
          </w:p>
        </w:tc>
        <w:tc>
          <w:tcPr>
            <w:tcW w:w="2232" w:type="dxa"/>
            <w:gridSpan w:val="3"/>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Ⅰ</w:t>
            </w:r>
            <w:r>
              <w:rPr>
                <w:rFonts w:hint="eastAsia" w:ascii="Times New Roman" w:hAnsi="Times New Roman" w:eastAsia="宋体" w:cs="Times New Roman"/>
                <w:color w:val="000000"/>
                <w:kern w:val="0"/>
                <w:sz w:val="21"/>
                <w:szCs w:val="21"/>
                <w:bdr w:val="none" w:color="auto" w:sz="0" w:space="0"/>
                <w:vertAlign w:val="baseline"/>
                <w:lang w:val="en-US" w:eastAsia="zh-CN" w:bidi="ar"/>
              </w:rPr>
              <w:t>类</w:t>
            </w:r>
          </w:p>
        </w:tc>
        <w:tc>
          <w:tcPr>
            <w:tcW w:w="2232" w:type="dxa"/>
            <w:gridSpan w:val="3"/>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Ⅱ</w:t>
            </w:r>
            <w:r>
              <w:rPr>
                <w:rFonts w:hint="eastAsia" w:ascii="Times New Roman" w:hAnsi="Times New Roman" w:eastAsia="宋体" w:cs="Times New Roman"/>
                <w:color w:val="000000"/>
                <w:kern w:val="0"/>
                <w:sz w:val="21"/>
                <w:szCs w:val="21"/>
                <w:bdr w:val="none" w:color="auto" w:sz="0" w:space="0"/>
                <w:vertAlign w:val="baseline"/>
                <w:lang w:val="en-US" w:eastAsia="zh-CN" w:bidi="ar"/>
              </w:rPr>
              <w:t>类</w:t>
            </w:r>
          </w:p>
        </w:tc>
        <w:tc>
          <w:tcPr>
            <w:tcW w:w="2232" w:type="dxa"/>
            <w:gridSpan w:val="3"/>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Ⅲ</w:t>
            </w:r>
            <w:r>
              <w:rPr>
                <w:rFonts w:hint="eastAsia" w:ascii="Times New Roman" w:hAnsi="Times New Roman" w:eastAsia="宋体" w:cs="Times New Roman"/>
                <w:color w:val="000000"/>
                <w:kern w:val="0"/>
                <w:sz w:val="21"/>
                <w:szCs w:val="21"/>
                <w:bdr w:val="none" w:color="auto" w:sz="0" w:space="0"/>
                <w:vertAlign w:val="baseline"/>
                <w:lang w:val="en-US" w:eastAsia="zh-CN" w:bidi="ar"/>
              </w:rPr>
              <w:t>类</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03" w:type="dxa"/>
            <w:vMerge w:val="continue"/>
            <w:tcBorders>
              <w:top w:val="thinThickSmallGap" w:color="auto" w:sz="12" w:space="0"/>
              <w:left w:val="nil"/>
              <w:bottom w:val="single" w:color="auto" w:sz="4" w:space="0"/>
              <w:right w:val="single" w:color="auto" w:sz="4" w:space="0"/>
            </w:tcBorders>
            <w:shd w:val="clear" w:color="auto" w:fill="DDDDDD"/>
            <w:vAlign w:val="center"/>
          </w:tcPr>
          <w:p>
            <w:pPr>
              <w:rPr>
                <w:rFonts w:hint="default" w:ascii="Times New Roman" w:hAnsi="Times New Roman" w:cs="Times New Roman"/>
                <w:sz w:val="20"/>
                <w:szCs w:val="20"/>
              </w:rPr>
            </w:pPr>
          </w:p>
        </w:tc>
        <w:tc>
          <w:tcPr>
            <w:tcW w:w="744" w:type="dxa"/>
            <w:tcBorders>
              <w:top w:val="single" w:color="auto" w:sz="4"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大</w:t>
            </w:r>
          </w:p>
        </w:tc>
        <w:tc>
          <w:tcPr>
            <w:tcW w:w="744" w:type="dxa"/>
            <w:tcBorders>
              <w:top w:val="single" w:color="auto" w:sz="4"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中</w:t>
            </w:r>
          </w:p>
        </w:tc>
        <w:tc>
          <w:tcPr>
            <w:tcW w:w="744" w:type="dxa"/>
            <w:tcBorders>
              <w:top w:val="single" w:color="auto" w:sz="4"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小</w:t>
            </w:r>
          </w:p>
        </w:tc>
        <w:tc>
          <w:tcPr>
            <w:tcW w:w="744" w:type="dxa"/>
            <w:tcBorders>
              <w:top w:val="single" w:color="auto" w:sz="4"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大</w:t>
            </w:r>
          </w:p>
        </w:tc>
        <w:tc>
          <w:tcPr>
            <w:tcW w:w="744" w:type="dxa"/>
            <w:tcBorders>
              <w:top w:val="single" w:color="auto" w:sz="4"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中</w:t>
            </w:r>
          </w:p>
        </w:tc>
        <w:tc>
          <w:tcPr>
            <w:tcW w:w="744" w:type="dxa"/>
            <w:tcBorders>
              <w:top w:val="single" w:color="auto" w:sz="4"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小</w:t>
            </w:r>
          </w:p>
        </w:tc>
        <w:tc>
          <w:tcPr>
            <w:tcW w:w="744" w:type="dxa"/>
            <w:tcBorders>
              <w:top w:val="single" w:color="auto" w:sz="4"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大</w:t>
            </w:r>
          </w:p>
        </w:tc>
        <w:tc>
          <w:tcPr>
            <w:tcW w:w="744" w:type="dxa"/>
            <w:tcBorders>
              <w:top w:val="single" w:color="auto" w:sz="4"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中</w:t>
            </w:r>
          </w:p>
        </w:tc>
        <w:tc>
          <w:tcPr>
            <w:tcW w:w="744" w:type="dxa"/>
            <w:tcBorders>
              <w:top w:val="single" w:color="auto" w:sz="4" w:space="0"/>
              <w:left w:val="single" w:color="auto" w:sz="4" w:space="0"/>
              <w:bottom w:val="single" w:color="auto" w:sz="4" w:space="0"/>
              <w:right w:val="nil"/>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小</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03"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敏感</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一级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一级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一级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二级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二级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二级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三级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三级</w:t>
            </w:r>
          </w:p>
        </w:tc>
        <w:tc>
          <w:tcPr>
            <w:tcW w:w="744"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三级</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03"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较敏感</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一级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一级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二级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二级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二级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三级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三级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三级</w:t>
            </w:r>
          </w:p>
        </w:tc>
        <w:tc>
          <w:tcPr>
            <w:tcW w:w="744"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03"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不敏感</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一级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二级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二级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二级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三级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三级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三级</w:t>
            </w:r>
          </w:p>
        </w:tc>
        <w:tc>
          <w:tcPr>
            <w:tcW w:w="74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w:t>
            </w:r>
          </w:p>
        </w:tc>
        <w:tc>
          <w:tcPr>
            <w:tcW w:w="744"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shd w:val="pct10" w:color="auto" w:fill="FFFFFF"/>
                <w:vertAlign w:val="baseline"/>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99" w:type="dxa"/>
            <w:gridSpan w:val="10"/>
            <w:tcBorders>
              <w:top w:val="single" w:color="auto" w:sz="4" w:space="0"/>
              <w:left w:val="nil"/>
              <w:bottom w:val="thickThinSmallGap" w:color="auto" w:sz="12" w:space="0"/>
              <w:right w:val="nil"/>
            </w:tcBorders>
            <w:shd w:val="clear"/>
            <w:vAlign w:val="center"/>
          </w:tcPr>
          <w:p>
            <w:pPr>
              <w:keepNext w:val="0"/>
              <w:keepLines w:val="0"/>
              <w:widowControl/>
              <w:suppressLineNumbers w:val="0"/>
              <w:spacing w:before="0" w:beforeAutospacing="0" w:after="0" w:afterAutospacing="0" w:line="300" w:lineRule="exact"/>
              <w:ind w:left="0" w:right="0"/>
              <w:jc w:val="left"/>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注：</w:t>
            </w:r>
            <w:r>
              <w:rPr>
                <w:rFonts w:hint="default" w:ascii="Times New Roman" w:hAnsi="Times New Roman" w:eastAsia="宋体" w:cs="Times New Roman"/>
                <w:color w:val="000000"/>
                <w:kern w:val="0"/>
                <w:sz w:val="21"/>
                <w:szCs w:val="21"/>
                <w:bdr w:val="none" w:color="auto" w:sz="0" w:space="0"/>
                <w:vertAlign w:val="baseline"/>
                <w:lang w:val="en-US" w:eastAsia="zh-CN" w:bidi="ar"/>
              </w:rPr>
              <w:t>“--”</w:t>
            </w:r>
            <w:r>
              <w:rPr>
                <w:rFonts w:hint="eastAsia" w:ascii="Times New Roman" w:hAnsi="Times New Roman" w:eastAsia="宋体" w:cs="Times New Roman"/>
                <w:color w:val="000000"/>
                <w:kern w:val="0"/>
                <w:sz w:val="21"/>
                <w:szCs w:val="21"/>
                <w:bdr w:val="none" w:color="auto" w:sz="0" w:space="0"/>
                <w:vertAlign w:val="baseline"/>
                <w:lang w:val="en-US" w:eastAsia="zh-CN" w:bidi="ar"/>
              </w:rPr>
              <w:t>表示可不开展土壤环境影响评价工作。</w:t>
            </w:r>
          </w:p>
        </w:tc>
      </w:tr>
    </w:tbl>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由上述依据确定，本项目土壤环境评价等级小于三级，可不开展土壤环境影响评价工作。</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1.5.</w:t>
      </w:r>
      <w:r>
        <w:rPr>
          <w:rFonts w:hint="default" w:ascii="Times New Roman" w:hAnsi="Times New Roman" w:cs="Times New Roman"/>
          <w:color w:val="000000"/>
          <w:lang w:eastAsia="zh-CN"/>
        </w:rPr>
        <w:t>5</w:t>
      </w:r>
      <w:r>
        <w:rPr>
          <w:rFonts w:hint="default" w:ascii="Times New Roman" w:hAnsi="Times New Roman" w:cs="Times New Roman"/>
          <w:color w:val="000000"/>
          <w:lang/>
        </w:rPr>
        <w:t xml:space="preserve"> </w:t>
      </w:r>
      <w:r>
        <w:rPr>
          <w:rFonts w:ascii="Times New Roman" w:hAnsi="Times New Roman" w:cs="Times New Roman"/>
          <w:color w:val="000000"/>
          <w:lang w:eastAsia="zh-CN"/>
        </w:rPr>
        <w:t>环境</w:t>
      </w:r>
      <w:r>
        <w:rPr>
          <w:rFonts w:ascii="Times New Roman" w:hAnsi="Times New Roman" w:cs="Times New Roman"/>
          <w:color w:val="000000"/>
          <w:lang/>
        </w:rPr>
        <w:t>风险评价等级</w:t>
      </w:r>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根据《建设项目环境风险评价技术导则》（</w:t>
      </w:r>
      <w:r>
        <w:rPr>
          <w:rFonts w:hint="default" w:ascii="Times New Roman" w:hAnsi="Times New Roman" w:eastAsia="宋体" w:cs="Times New Roman"/>
          <w:color w:val="000000"/>
          <w:kern w:val="0"/>
          <w:sz w:val="24"/>
          <w:szCs w:val="24"/>
          <w:lang w:eastAsia="zh-CN" w:bidi="ar"/>
        </w:rPr>
        <w:t>HJ169-2018</w:t>
      </w:r>
      <w:r>
        <w:rPr>
          <w:rFonts w:hint="eastAsia" w:ascii="Times New Roman" w:hAnsi="Times New Roman" w:eastAsia="宋体" w:cs="Times New Roman"/>
          <w:color w:val="000000"/>
          <w:kern w:val="0"/>
          <w:sz w:val="24"/>
          <w:szCs w:val="24"/>
          <w:lang w:val="en-US" w:eastAsia="zh-CN" w:bidi="ar"/>
        </w:rPr>
        <w:t>），环境风险评价工作等级划分依据见表</w:t>
      </w:r>
      <w:r>
        <w:rPr>
          <w:rFonts w:hint="default" w:ascii="Times New Roman" w:hAnsi="Times New Roman" w:eastAsia="宋体" w:cs="Times New Roman"/>
          <w:color w:val="000000"/>
          <w:kern w:val="0"/>
          <w:sz w:val="24"/>
          <w:szCs w:val="18"/>
          <w:lang w:val="en-US" w:eastAsia="zh-CN" w:bidi="ar"/>
        </w:rPr>
        <w:t>1.5-12</w:t>
      </w:r>
      <w:r>
        <w:rPr>
          <w:rFonts w:hint="eastAsia" w:ascii="Times New Roman" w:hAnsi="Times New Roman" w:eastAsia="宋体" w:cs="Times New Roman"/>
          <w:color w:val="000000"/>
          <w:kern w:val="0"/>
          <w:sz w:val="24"/>
          <w:szCs w:val="24"/>
          <w:lang w:val="en-US" w:eastAsia="zh-CN" w:bidi="ar"/>
        </w:rPr>
        <w:t>。</w:t>
      </w:r>
    </w:p>
    <w:p>
      <w:pPr>
        <w:pStyle w:val="56"/>
        <w:widowControl/>
        <w:snapToGrid/>
        <w:rPr>
          <w:color w:val="000000"/>
          <w:lang w:val="en-US"/>
        </w:rPr>
      </w:pPr>
      <w:r>
        <w:rPr>
          <w:rFonts w:hint="eastAsia" w:ascii="Times New Roman" w:hAnsi="Times New Roman" w:eastAsia="黑体" w:cs="黑体"/>
          <w:color w:val="000000"/>
          <w:lang w:eastAsia="zh-CN"/>
        </w:rPr>
        <w:t>表</w:t>
      </w:r>
      <w:r>
        <w:rPr>
          <w:color w:val="000000"/>
          <w:szCs w:val="18"/>
          <w:lang w:val="en-US"/>
        </w:rPr>
        <w:t>1.5-12</w:t>
      </w:r>
      <w:r>
        <w:rPr>
          <w:color w:val="000000"/>
          <w:lang w:val="en-US"/>
        </w:rPr>
        <w:t xml:space="preserve">  </w:t>
      </w:r>
      <w:r>
        <w:rPr>
          <w:rFonts w:hint="eastAsia" w:ascii="Times New Roman" w:hAnsi="Times New Roman" w:eastAsia="黑体" w:cs="黑体"/>
          <w:color w:val="000000"/>
          <w:lang w:eastAsia="zh-CN"/>
        </w:rPr>
        <w:t>评价工作等级划分依据一览表</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1703"/>
        <w:gridCol w:w="1674"/>
        <w:gridCol w:w="1674"/>
        <w:gridCol w:w="1674"/>
        <w:gridCol w:w="1674"/>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40" w:hRule="exact"/>
        </w:trPr>
        <w:tc>
          <w:tcPr>
            <w:tcW w:w="1703" w:type="dxa"/>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firstLine="482"/>
              <w:jc w:val="left"/>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项目</w:t>
            </w:r>
          </w:p>
        </w:tc>
        <w:tc>
          <w:tcPr>
            <w:tcW w:w="6696" w:type="dxa"/>
            <w:gridSpan w:val="4"/>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划分依据</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703"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环境风险潜势</w:t>
            </w:r>
          </w:p>
        </w:tc>
        <w:tc>
          <w:tcPr>
            <w:tcW w:w="167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Ⅳ</w:t>
            </w:r>
            <w:r>
              <w:rPr>
                <w:rFonts w:hint="eastAsia" w:ascii="Times New Roman" w:hAnsi="Times New Roman" w:eastAsia="宋体" w:cs="Times New Roman"/>
                <w:color w:val="000000"/>
                <w:kern w:val="0"/>
                <w:sz w:val="21"/>
                <w:szCs w:val="21"/>
                <w:bdr w:val="none" w:color="auto" w:sz="0" w:space="0"/>
                <w:vertAlign w:val="baseline"/>
                <w:lang w:val="en-US" w:eastAsia="zh-CN" w:bidi="ar"/>
              </w:rPr>
              <w:t>、</w:t>
            </w:r>
            <w:r>
              <w:rPr>
                <w:rFonts w:hint="default" w:ascii="Times New Roman" w:hAnsi="Times New Roman" w:eastAsia="宋体" w:cs="Times New Roman"/>
                <w:color w:val="000000"/>
                <w:kern w:val="0"/>
                <w:sz w:val="21"/>
                <w:szCs w:val="21"/>
                <w:bdr w:val="none" w:color="auto" w:sz="0" w:space="0"/>
                <w:vertAlign w:val="baseline"/>
                <w:lang w:val="en-US" w:eastAsia="zh-CN" w:bidi="ar"/>
              </w:rPr>
              <w:t>Ⅳ</w:t>
            </w:r>
            <w:r>
              <w:rPr>
                <w:rFonts w:hint="default" w:ascii="Times New Roman" w:hAnsi="Times New Roman" w:eastAsia="宋体" w:cs="Times New Roman"/>
                <w:color w:val="000000"/>
                <w:kern w:val="0"/>
                <w:sz w:val="21"/>
                <w:szCs w:val="21"/>
                <w:bdr w:val="none" w:color="auto" w:sz="0" w:space="0"/>
                <w:vertAlign w:val="superscript"/>
                <w:lang w:val="en-US" w:eastAsia="zh-CN" w:bidi="ar"/>
              </w:rPr>
              <w:t>+</w:t>
            </w:r>
          </w:p>
        </w:tc>
        <w:tc>
          <w:tcPr>
            <w:tcW w:w="167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Ⅲ</w:t>
            </w:r>
          </w:p>
        </w:tc>
        <w:tc>
          <w:tcPr>
            <w:tcW w:w="1674"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Ⅱ</w:t>
            </w:r>
          </w:p>
        </w:tc>
        <w:tc>
          <w:tcPr>
            <w:tcW w:w="1674"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Ⅰ</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703" w:type="dxa"/>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评价工作等级</w:t>
            </w:r>
          </w:p>
        </w:tc>
        <w:tc>
          <w:tcPr>
            <w:tcW w:w="1674"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一</w:t>
            </w:r>
          </w:p>
        </w:tc>
        <w:tc>
          <w:tcPr>
            <w:tcW w:w="1674"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二</w:t>
            </w:r>
          </w:p>
        </w:tc>
        <w:tc>
          <w:tcPr>
            <w:tcW w:w="1674"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三</w:t>
            </w:r>
          </w:p>
        </w:tc>
        <w:tc>
          <w:tcPr>
            <w:tcW w:w="1674" w:type="dxa"/>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简单分析</w:t>
            </w:r>
          </w:p>
        </w:tc>
      </w:tr>
    </w:tbl>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eastAsia="zh-CN"/>
        </w:rPr>
      </w:pPr>
      <w:r>
        <w:rPr>
          <w:rFonts w:hint="eastAsia" w:ascii="Times New Roman" w:hAnsi="Times New Roman" w:eastAsia="宋体" w:cs="Times New Roman"/>
          <w:color w:val="000000"/>
          <w:kern w:val="0"/>
          <w:sz w:val="24"/>
          <w:szCs w:val="24"/>
          <w:lang w:val="en-US" w:eastAsia="zh-CN" w:bidi="ar"/>
        </w:rPr>
        <w:t>根据</w:t>
      </w:r>
      <w:r>
        <w:rPr>
          <w:rFonts w:hint="default" w:ascii="Times New Roman" w:hAnsi="Times New Roman" w:eastAsia="宋体" w:cs="Times New Roman"/>
          <w:color w:val="000000"/>
          <w:kern w:val="0"/>
          <w:sz w:val="24"/>
          <w:szCs w:val="24"/>
          <w:lang w:eastAsia="zh-CN" w:bidi="ar"/>
        </w:rPr>
        <w:t>“</w:t>
      </w:r>
      <w:r>
        <w:rPr>
          <w:rFonts w:hint="eastAsia" w:ascii="Times New Roman" w:hAnsi="Times New Roman" w:eastAsia="宋体" w:cs="Times New Roman"/>
          <w:color w:val="000000"/>
          <w:kern w:val="0"/>
          <w:sz w:val="24"/>
          <w:szCs w:val="24"/>
          <w:lang w:val="en-US" w:eastAsia="zh-CN" w:bidi="ar"/>
        </w:rPr>
        <w:t>风险导则</w:t>
      </w:r>
      <w:r>
        <w:rPr>
          <w:rFonts w:hint="default" w:ascii="Times New Roman" w:hAnsi="Times New Roman" w:eastAsia="宋体" w:cs="Times New Roman"/>
          <w:color w:val="000000"/>
          <w:kern w:val="0"/>
          <w:sz w:val="24"/>
          <w:szCs w:val="24"/>
          <w:lang w:eastAsia="zh-CN" w:bidi="ar"/>
        </w:rPr>
        <w:t>”</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eastAsia="zh-CN" w:bidi="ar"/>
        </w:rPr>
        <w:t>P</w:t>
      </w:r>
      <w:r>
        <w:rPr>
          <w:rFonts w:hint="eastAsia" w:ascii="Times New Roman" w:hAnsi="Times New Roman" w:eastAsia="宋体" w:cs="Times New Roman"/>
          <w:color w:val="000000"/>
          <w:kern w:val="0"/>
          <w:sz w:val="24"/>
          <w:szCs w:val="24"/>
          <w:lang w:val="en-US" w:eastAsia="zh-CN" w:bidi="ar"/>
        </w:rPr>
        <w:t>的分级根据危险物质数量与临界量的比值（</w:t>
      </w:r>
      <w:r>
        <w:rPr>
          <w:rFonts w:hint="default" w:ascii="Times New Roman" w:hAnsi="Times New Roman" w:eastAsia="宋体" w:cs="Times New Roman"/>
          <w:color w:val="000000"/>
          <w:kern w:val="0"/>
          <w:sz w:val="24"/>
          <w:szCs w:val="24"/>
          <w:lang w:eastAsia="zh-CN" w:bidi="ar"/>
        </w:rPr>
        <w:t>Q</w:t>
      </w:r>
      <w:r>
        <w:rPr>
          <w:rFonts w:hint="eastAsia" w:ascii="Times New Roman" w:hAnsi="Times New Roman" w:eastAsia="宋体" w:cs="Times New Roman"/>
          <w:color w:val="000000"/>
          <w:kern w:val="0"/>
          <w:sz w:val="24"/>
          <w:szCs w:val="24"/>
          <w:lang w:val="en-US" w:eastAsia="zh-CN" w:bidi="ar"/>
        </w:rPr>
        <w:t>）和所属行业及生产工艺特点（</w:t>
      </w:r>
      <w:r>
        <w:rPr>
          <w:rFonts w:hint="default" w:ascii="Times New Roman" w:hAnsi="Times New Roman" w:eastAsia="宋体" w:cs="Times New Roman"/>
          <w:color w:val="000000"/>
          <w:kern w:val="0"/>
          <w:sz w:val="24"/>
          <w:szCs w:val="24"/>
          <w:lang w:eastAsia="zh-CN" w:bidi="ar"/>
        </w:rPr>
        <w:t>M</w:t>
      </w:r>
      <w:r>
        <w:rPr>
          <w:rFonts w:hint="eastAsia" w:ascii="Times New Roman" w:hAnsi="Times New Roman" w:eastAsia="宋体" w:cs="Times New Roman"/>
          <w:color w:val="000000"/>
          <w:kern w:val="0"/>
          <w:sz w:val="24"/>
          <w:szCs w:val="24"/>
          <w:lang w:val="en-US" w:eastAsia="zh-CN" w:bidi="ar"/>
        </w:rPr>
        <w:t>）确定。</w:t>
      </w: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eastAsia="zh-CN"/>
        </w:rPr>
      </w:pPr>
      <w:r>
        <w:rPr>
          <w:rFonts w:hint="eastAsia" w:ascii="Times New Roman" w:hAnsi="Times New Roman" w:eastAsia="宋体" w:cs="Times New Roman"/>
          <w:color w:val="000000"/>
          <w:kern w:val="0"/>
          <w:sz w:val="24"/>
          <w:szCs w:val="24"/>
          <w:lang w:val="en-US" w:eastAsia="zh-CN" w:bidi="ar"/>
        </w:rPr>
        <w:t>其中，当只涉及一种危险物质时，计算该物质的总量与其临界量比值即为</w:t>
      </w:r>
      <w:r>
        <w:rPr>
          <w:rFonts w:hint="default" w:ascii="Times New Roman" w:hAnsi="Times New Roman" w:eastAsia="宋体" w:cs="Times New Roman"/>
          <w:color w:val="000000"/>
          <w:kern w:val="0"/>
          <w:sz w:val="24"/>
          <w:szCs w:val="24"/>
          <w:lang w:eastAsia="zh-CN" w:bidi="ar"/>
        </w:rPr>
        <w:t>Q</w:t>
      </w:r>
      <w:r>
        <w:rPr>
          <w:rFonts w:hint="eastAsia" w:ascii="Times New Roman" w:hAnsi="Times New Roman" w:eastAsia="宋体" w:cs="Times New Roman"/>
          <w:color w:val="000000"/>
          <w:kern w:val="0"/>
          <w:sz w:val="24"/>
          <w:szCs w:val="24"/>
          <w:lang w:val="en-US" w:eastAsia="zh-CN" w:bidi="ar"/>
        </w:rPr>
        <w:t>；当存在多种危险物质时，按如下公式计算物质总量与其临界量比值（</w:t>
      </w:r>
      <w:r>
        <w:rPr>
          <w:rFonts w:hint="default" w:ascii="Times New Roman" w:hAnsi="Times New Roman" w:eastAsia="宋体" w:cs="Times New Roman"/>
          <w:color w:val="000000"/>
          <w:kern w:val="0"/>
          <w:sz w:val="24"/>
          <w:szCs w:val="24"/>
          <w:lang w:eastAsia="zh-CN" w:bidi="ar"/>
        </w:rPr>
        <w:t>Q</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eastAsia="zh-CN" w:bidi="ar"/>
        </w:rPr>
        <w:t>Q=</w:t>
      </w:r>
      <w:r>
        <w:rPr>
          <w:rFonts w:hint="default" w:ascii="Times New Roman" w:hAnsi="Times New Roman" w:eastAsia="宋体" w:cs="Times New Roman"/>
          <w:color w:val="000000"/>
          <w:kern w:val="0"/>
          <w:position w:val="-30"/>
          <w:sz w:val="24"/>
          <w:szCs w:val="24"/>
          <w:lang w:val="en-US" w:eastAsia="zh-CN" w:bidi="ar"/>
        </w:rPr>
        <w:drawing>
          <wp:inline distT="0" distB="0" distL="114300" distR="114300">
            <wp:extent cx="1143000" cy="409575"/>
            <wp:effectExtent l="0" t="0" r="0" b="825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0"/>
                    <a:srcRect r="14189"/>
                    <a:stretch>
                      <a:fillRect/>
                    </a:stretch>
                  </pic:blipFill>
                  <pic:spPr>
                    <a:xfrm>
                      <a:off x="0" y="0"/>
                      <a:ext cx="1143000" cy="409575"/>
                    </a:xfrm>
                    <a:prstGeom prst="rect">
                      <a:avLst/>
                    </a:prstGeom>
                    <a:noFill/>
                    <a:ln>
                      <a:noFill/>
                    </a:ln>
                  </pic:spPr>
                </pic:pic>
              </a:graphicData>
            </a:graphic>
          </wp:inline>
        </w:drawing>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式中：</w:t>
      </w:r>
      <w:r>
        <w:rPr>
          <w:rFonts w:hint="default" w:ascii="Times New Roman" w:hAnsi="Times New Roman" w:eastAsia="宋体" w:cs="Times New Roman"/>
          <w:color w:val="000000"/>
          <w:kern w:val="0"/>
          <w:sz w:val="24"/>
          <w:szCs w:val="24"/>
          <w:lang w:val="en-US" w:eastAsia="zh-CN" w:bidi="ar"/>
        </w:rPr>
        <w:t>q</w:t>
      </w:r>
      <w:r>
        <w:rPr>
          <w:rFonts w:hint="default" w:ascii="Times New Roman" w:hAnsi="Times New Roman" w:eastAsia="宋体" w:cs="Times New Roman"/>
          <w:color w:val="000000"/>
          <w:kern w:val="0"/>
          <w:sz w:val="24"/>
          <w:szCs w:val="24"/>
          <w:vertAlign w:val="subscript"/>
          <w:lang w:val="en-US" w:eastAsia="zh-CN" w:bidi="ar"/>
        </w:rPr>
        <w:t>1</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q</w:t>
      </w:r>
      <w:r>
        <w:rPr>
          <w:rFonts w:hint="default" w:ascii="Times New Roman" w:hAnsi="Times New Roman" w:eastAsia="宋体" w:cs="Times New Roman"/>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……q</w:t>
      </w:r>
      <w:r>
        <w:rPr>
          <w:rFonts w:hint="default" w:ascii="Times New Roman" w:hAnsi="Times New Roman" w:eastAsia="宋体" w:cs="Times New Roman"/>
          <w:color w:val="000000"/>
          <w:kern w:val="0"/>
          <w:sz w:val="24"/>
          <w:szCs w:val="24"/>
          <w:vertAlign w:val="subscript"/>
          <w:lang w:val="en-US" w:eastAsia="zh-CN" w:bidi="ar"/>
        </w:rPr>
        <w:t>n</w:t>
      </w:r>
      <w:r>
        <w:rPr>
          <w:rFonts w:hint="eastAsia" w:ascii="Times New Roman" w:hAnsi="Times New Roman" w:eastAsia="宋体" w:cs="Times New Roman"/>
          <w:color w:val="000000"/>
          <w:kern w:val="0"/>
          <w:sz w:val="24"/>
          <w:szCs w:val="24"/>
          <w:lang w:val="en-US" w:eastAsia="zh-CN" w:bidi="ar"/>
        </w:rPr>
        <w:t>－每种危险物质的最大存在总量，</w:t>
      </w:r>
      <w:r>
        <w:rPr>
          <w:rFonts w:hint="default" w:ascii="Times New Roman" w:hAnsi="Times New Roman" w:eastAsia="宋体" w:cs="Times New Roman"/>
          <w:color w:val="000000"/>
          <w:kern w:val="0"/>
          <w:sz w:val="24"/>
          <w:szCs w:val="24"/>
          <w:lang w:val="en-US" w:eastAsia="zh-CN" w:bidi="ar"/>
        </w:rPr>
        <w:t>t</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line="500" w:lineRule="exact"/>
        <w:ind w:left="0" w:right="0" w:firstLine="1200" w:firstLineChars="5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Q</w:t>
      </w:r>
      <w:r>
        <w:rPr>
          <w:rFonts w:hint="default" w:ascii="Times New Roman" w:hAnsi="Times New Roman" w:eastAsia="宋体" w:cs="Times New Roman"/>
          <w:color w:val="000000"/>
          <w:kern w:val="0"/>
          <w:sz w:val="24"/>
          <w:szCs w:val="24"/>
          <w:vertAlign w:val="subscript"/>
          <w:lang w:val="en-US" w:eastAsia="zh-CN" w:bidi="ar"/>
        </w:rPr>
        <w:t>1</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Q</w:t>
      </w:r>
      <w:r>
        <w:rPr>
          <w:rFonts w:hint="default" w:ascii="Times New Roman" w:hAnsi="Times New Roman" w:eastAsia="宋体" w:cs="Times New Roman"/>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……Q</w:t>
      </w:r>
      <w:r>
        <w:rPr>
          <w:rFonts w:hint="default" w:ascii="Times New Roman" w:hAnsi="Times New Roman" w:eastAsia="宋体" w:cs="Times New Roman"/>
          <w:color w:val="000000"/>
          <w:kern w:val="0"/>
          <w:sz w:val="24"/>
          <w:szCs w:val="24"/>
          <w:vertAlign w:val="subscript"/>
          <w:lang w:val="en-US" w:eastAsia="zh-CN" w:bidi="ar"/>
        </w:rPr>
        <w:t>n</w:t>
      </w:r>
      <w:r>
        <w:rPr>
          <w:rFonts w:hint="eastAsia" w:ascii="Times New Roman" w:hAnsi="Times New Roman" w:eastAsia="宋体" w:cs="Times New Roman"/>
          <w:color w:val="000000"/>
          <w:kern w:val="0"/>
          <w:sz w:val="24"/>
          <w:szCs w:val="24"/>
          <w:lang w:val="en-US" w:eastAsia="zh-CN" w:bidi="ar"/>
        </w:rPr>
        <w:t>－每种危险物质的临界量，</w:t>
      </w:r>
      <w:r>
        <w:rPr>
          <w:rFonts w:hint="default" w:ascii="Times New Roman" w:hAnsi="Times New Roman" w:eastAsia="宋体" w:cs="Times New Roman"/>
          <w:color w:val="000000"/>
          <w:kern w:val="0"/>
          <w:sz w:val="24"/>
          <w:szCs w:val="24"/>
          <w:lang w:val="en-US" w:eastAsia="zh-CN" w:bidi="ar"/>
        </w:rPr>
        <w:t>t</w:t>
      </w:r>
      <w:r>
        <w:rPr>
          <w:rFonts w:hint="eastAsia" w:ascii="Times New Roman" w:hAnsi="Times New Roman" w:eastAsia="宋体" w:cs="Times New Roman"/>
          <w:color w:val="000000"/>
          <w:kern w:val="0"/>
          <w:sz w:val="24"/>
          <w:szCs w:val="24"/>
          <w:lang w:val="en-US" w:eastAsia="zh-CN" w:bidi="ar"/>
        </w:rPr>
        <w:t>，取自风险导则附录</w:t>
      </w:r>
      <w:r>
        <w:rPr>
          <w:rFonts w:hint="default" w:ascii="Times New Roman" w:hAnsi="Times New Roman" w:eastAsia="宋体" w:cs="Times New Roman"/>
          <w:color w:val="000000"/>
          <w:kern w:val="0"/>
          <w:sz w:val="24"/>
          <w:szCs w:val="24"/>
          <w:lang w:val="en-US" w:eastAsia="zh-CN" w:bidi="ar"/>
        </w:rPr>
        <w:t>B</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当</w:t>
      </w:r>
      <w:r>
        <w:rPr>
          <w:rFonts w:hint="default" w:ascii="Times New Roman" w:hAnsi="Times New Roman" w:eastAsia="宋体" w:cs="Times New Roman"/>
          <w:color w:val="000000"/>
          <w:kern w:val="0"/>
          <w:sz w:val="24"/>
          <w:szCs w:val="24"/>
          <w:lang w:val="en-US" w:eastAsia="zh-CN" w:bidi="ar"/>
        </w:rPr>
        <w:t>Q</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时，该项目环境风险潜势为</w:t>
      </w:r>
      <w:r>
        <w:rPr>
          <w:rFonts w:hint="default" w:ascii="Times New Roman" w:hAnsi="Times New Roman" w:eastAsia="宋体" w:cs="Times New Roman"/>
          <w:color w:val="000000"/>
          <w:kern w:val="0"/>
          <w:sz w:val="24"/>
          <w:szCs w:val="24"/>
          <w:lang w:val="en-US" w:eastAsia="zh-CN" w:bidi="ar"/>
        </w:rPr>
        <w:t>Ⅰ</w:t>
      </w:r>
      <w:r>
        <w:rPr>
          <w:rFonts w:hint="eastAsia" w:ascii="Times New Roman" w:hAnsi="Times New Roman" w:eastAsia="宋体" w:cs="Times New Roman"/>
          <w:color w:val="000000"/>
          <w:kern w:val="0"/>
          <w:sz w:val="24"/>
          <w:szCs w:val="24"/>
          <w:lang w:val="en-US" w:eastAsia="zh-CN" w:bidi="ar"/>
        </w:rPr>
        <w:t>；当</w:t>
      </w:r>
      <w:r>
        <w:rPr>
          <w:rFonts w:hint="default" w:ascii="Times New Roman" w:hAnsi="Times New Roman" w:eastAsia="宋体" w:cs="Times New Roman"/>
          <w:color w:val="000000"/>
          <w:kern w:val="0"/>
          <w:sz w:val="24"/>
          <w:szCs w:val="24"/>
          <w:lang w:val="en-US" w:eastAsia="zh-CN" w:bidi="ar"/>
        </w:rPr>
        <w:t>Q≥1</w:t>
      </w:r>
      <w:r>
        <w:rPr>
          <w:rFonts w:hint="eastAsia" w:ascii="Times New Roman" w:hAnsi="Times New Roman" w:eastAsia="宋体" w:cs="Times New Roman"/>
          <w:color w:val="000000"/>
          <w:kern w:val="0"/>
          <w:sz w:val="24"/>
          <w:szCs w:val="24"/>
          <w:lang w:val="en-US" w:eastAsia="zh-CN" w:bidi="ar"/>
        </w:rPr>
        <w:t>时，将</w:t>
      </w:r>
      <w:r>
        <w:rPr>
          <w:rFonts w:hint="default" w:ascii="Times New Roman" w:hAnsi="Times New Roman" w:eastAsia="宋体" w:cs="Times New Roman"/>
          <w:color w:val="000000"/>
          <w:kern w:val="0"/>
          <w:sz w:val="24"/>
          <w:szCs w:val="24"/>
          <w:lang w:val="en-US" w:eastAsia="zh-CN" w:bidi="ar"/>
        </w:rPr>
        <w:t>Q</w:t>
      </w:r>
      <w:r>
        <w:rPr>
          <w:rFonts w:hint="eastAsia" w:ascii="Times New Roman" w:hAnsi="Times New Roman" w:eastAsia="宋体" w:cs="Times New Roman"/>
          <w:color w:val="000000"/>
          <w:kern w:val="0"/>
          <w:sz w:val="24"/>
          <w:szCs w:val="24"/>
          <w:lang w:val="en-US" w:eastAsia="zh-CN" w:bidi="ar"/>
        </w:rPr>
        <w:t>值划分为：</w:t>
      </w:r>
      <w:r>
        <w:rPr>
          <w:rFonts w:hint="default" w:ascii="Times New Roman" w:hAnsi="Times New Roman" w:eastAsia="宋体" w:cs="Times New Roman"/>
          <w:color w:val="000000"/>
          <w:kern w:val="0"/>
          <w:sz w:val="24"/>
          <w:szCs w:val="24"/>
          <w:lang w:val="en-US" w:eastAsia="zh-CN" w:bidi="ar"/>
        </w:rPr>
        <w:t>1≤Q</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10≤Q</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100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Q≥100</w:t>
      </w:r>
      <w:r>
        <w:rPr>
          <w:rFonts w:hint="eastAsia" w:ascii="Times New Roman" w:hAnsi="Times New Roman" w:eastAsia="宋体" w:cs="Times New Roman"/>
          <w:color w:val="000000"/>
          <w:kern w:val="0"/>
          <w:sz w:val="24"/>
          <w:szCs w:val="24"/>
          <w:lang w:val="en-US" w:eastAsia="zh-CN" w:bidi="ar"/>
        </w:rPr>
        <w:t>三级。</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w:t>
      </w:r>
      <w:r>
        <w:rPr>
          <w:rFonts w:hint="default" w:ascii="Times New Roman" w:hAnsi="Times New Roman" w:eastAsia="宋体" w:cs="Times New Roman"/>
          <w:color w:val="000000"/>
          <w:kern w:val="0"/>
          <w:sz w:val="24"/>
          <w:szCs w:val="24"/>
          <w:lang w:val="en-US" w:eastAsia="zh-CN" w:bidi="ar"/>
        </w:rPr>
        <w:t>HJ169-2018</w:t>
      </w:r>
      <w:r>
        <w:rPr>
          <w:rFonts w:hint="eastAsia" w:ascii="Times New Roman" w:hAnsi="Times New Roman" w:eastAsia="宋体" w:cs="Times New Roman"/>
          <w:color w:val="000000"/>
          <w:kern w:val="0"/>
          <w:sz w:val="24"/>
          <w:szCs w:val="24"/>
          <w:lang w:val="en-US" w:eastAsia="zh-CN" w:bidi="ar"/>
        </w:rPr>
        <w:t>附录</w:t>
      </w:r>
      <w:r>
        <w:rPr>
          <w:rFonts w:hint="default" w:ascii="Times New Roman" w:hAnsi="Times New Roman" w:eastAsia="宋体" w:cs="Times New Roman"/>
          <w:color w:val="000000"/>
          <w:kern w:val="0"/>
          <w:sz w:val="24"/>
          <w:szCs w:val="24"/>
          <w:lang w:val="en-US" w:eastAsia="zh-CN" w:bidi="ar"/>
        </w:rPr>
        <w:t>B</w:t>
      </w:r>
      <w:r>
        <w:rPr>
          <w:rFonts w:hint="eastAsia" w:ascii="Times New Roman" w:hAnsi="Times New Roman" w:eastAsia="宋体" w:cs="Times New Roman"/>
          <w:color w:val="000000"/>
          <w:kern w:val="0"/>
          <w:sz w:val="24"/>
          <w:szCs w:val="24"/>
          <w:lang w:val="en-US" w:eastAsia="zh-CN" w:bidi="ar"/>
        </w:rPr>
        <w:t>，本项目在生产、使用、储存过程中涉及的危险物质为维修使用的润滑油，润滑油属附录</w:t>
      </w:r>
      <w:r>
        <w:rPr>
          <w:rFonts w:hint="default" w:ascii="Times New Roman" w:hAnsi="Times New Roman" w:eastAsia="宋体" w:cs="Times New Roman"/>
          <w:color w:val="000000"/>
          <w:kern w:val="0"/>
          <w:sz w:val="24"/>
          <w:szCs w:val="24"/>
          <w:lang w:val="en-US" w:eastAsia="zh-CN" w:bidi="ar"/>
        </w:rPr>
        <w:t>B</w:t>
      </w:r>
      <w:r>
        <w:rPr>
          <w:rFonts w:hint="eastAsia" w:ascii="Times New Roman" w:hAnsi="Times New Roman" w:eastAsia="宋体" w:cs="Times New Roman"/>
          <w:color w:val="000000"/>
          <w:kern w:val="0"/>
          <w:sz w:val="24"/>
          <w:szCs w:val="24"/>
          <w:lang w:val="en-US" w:eastAsia="zh-CN" w:bidi="ar"/>
        </w:rPr>
        <w:t>中油类物质（矿物油类，如石油、汽油、柴油等），经核算本项目</w:t>
      </w:r>
      <w:r>
        <w:rPr>
          <w:rFonts w:hint="default" w:ascii="Times New Roman" w:hAnsi="Times New Roman" w:eastAsia="宋体" w:cs="Times New Roman"/>
          <w:color w:val="000000"/>
          <w:kern w:val="0"/>
          <w:sz w:val="24"/>
          <w:szCs w:val="24"/>
          <w:lang w:val="en-US" w:eastAsia="zh-CN" w:bidi="ar"/>
        </w:rPr>
        <w:t>Q</w:t>
      </w:r>
      <w:r>
        <w:rPr>
          <w:rFonts w:hint="eastAsia" w:ascii="Times New Roman" w:hAnsi="Times New Roman" w:eastAsia="宋体" w:cs="Times New Roman"/>
          <w:color w:val="000000"/>
          <w:kern w:val="0"/>
          <w:sz w:val="24"/>
          <w:szCs w:val="24"/>
          <w:lang w:val="en-US" w:eastAsia="zh-CN" w:bidi="ar"/>
        </w:rPr>
        <w:t>值为</w:t>
      </w:r>
      <w:r>
        <w:rPr>
          <w:rFonts w:hint="default" w:ascii="Times New Roman" w:hAnsi="Times New Roman" w:eastAsia="宋体" w:cs="Times New Roman"/>
          <w:color w:val="000000"/>
          <w:kern w:val="0"/>
          <w:sz w:val="24"/>
          <w:szCs w:val="24"/>
          <w:lang w:val="en-US" w:eastAsia="zh-CN" w:bidi="ar"/>
        </w:rPr>
        <w:t>0.000132</w:t>
      </w:r>
      <w:r>
        <w:rPr>
          <w:rFonts w:hint="eastAsia" w:ascii="Times New Roman" w:hAnsi="Times New Roman" w:eastAsia="宋体" w:cs="Times New Roman"/>
          <w:color w:val="000000"/>
          <w:kern w:val="0"/>
          <w:sz w:val="24"/>
          <w:szCs w:val="24"/>
          <w:lang w:val="en-US" w:eastAsia="zh-CN" w:bidi="ar"/>
        </w:rPr>
        <w:t>，属于</w:t>
      </w:r>
      <w:r>
        <w:rPr>
          <w:rFonts w:hint="default" w:ascii="Times New Roman" w:hAnsi="Times New Roman" w:eastAsia="宋体" w:cs="Times New Roman"/>
          <w:color w:val="000000"/>
          <w:kern w:val="0"/>
          <w:sz w:val="24"/>
          <w:szCs w:val="24"/>
          <w:lang w:val="en-US" w:eastAsia="zh-CN" w:bidi="ar"/>
        </w:rPr>
        <w:t>Q</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级，项目环境风险潜势为</w:t>
      </w:r>
      <w:r>
        <w:rPr>
          <w:rFonts w:hint="default" w:ascii="Times New Roman" w:hAnsi="Times New Roman" w:eastAsia="宋体" w:cs="Times New Roman"/>
          <w:color w:val="000000"/>
          <w:kern w:val="0"/>
          <w:sz w:val="24"/>
          <w:szCs w:val="24"/>
          <w:lang w:val="en-US" w:eastAsia="zh-CN" w:bidi="ar"/>
        </w:rPr>
        <w:t>Ⅰ</w:t>
      </w:r>
      <w:r>
        <w:rPr>
          <w:rFonts w:hint="eastAsia" w:ascii="Times New Roman" w:hAnsi="Times New Roman" w:eastAsia="宋体" w:cs="Times New Roman"/>
          <w:color w:val="000000"/>
          <w:kern w:val="0"/>
          <w:sz w:val="24"/>
          <w:szCs w:val="24"/>
          <w:lang w:val="en-US" w:eastAsia="zh-CN" w:bidi="ar"/>
        </w:rPr>
        <w:t>，计算情况见表</w:t>
      </w:r>
      <w:r>
        <w:rPr>
          <w:rFonts w:hint="default" w:ascii="Times New Roman" w:hAnsi="Times New Roman" w:eastAsia="宋体" w:cs="Times New Roman"/>
          <w:color w:val="000000"/>
          <w:kern w:val="0"/>
          <w:sz w:val="24"/>
          <w:szCs w:val="18"/>
          <w:lang w:val="en-US" w:eastAsia="zh-CN" w:bidi="ar"/>
        </w:rPr>
        <w:t>1.5-13</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宋体" w:cs="Times New Roman"/>
          <w:color w:val="000000"/>
          <w:kern w:val="0"/>
          <w:sz w:val="24"/>
          <w:szCs w:val="18"/>
          <w:lang w:val="en-US" w:eastAsia="zh-CN" w:bidi="ar"/>
        </w:rPr>
        <w:t>1.5-13</w:t>
      </w:r>
      <w:r>
        <w:rPr>
          <w:rFonts w:hint="default" w:ascii="Times New Roman" w:hAnsi="Times New Roman" w:eastAsia="黑体" w:cs="Times New Roman"/>
          <w:color w:val="000000"/>
          <w:kern w:val="0"/>
          <w:sz w:val="24"/>
          <w:szCs w:val="24"/>
          <w:lang w:val="en-US" w:eastAsia="zh-CN" w:bidi="ar"/>
        </w:rPr>
        <w:t xml:space="preserve">  Q</w:t>
      </w:r>
      <w:r>
        <w:rPr>
          <w:rFonts w:hint="eastAsia" w:ascii="Times New Roman" w:hAnsi="Times New Roman" w:eastAsia="黑体" w:cs="Times New Roman"/>
          <w:color w:val="000000"/>
          <w:kern w:val="0"/>
          <w:sz w:val="24"/>
          <w:szCs w:val="24"/>
          <w:lang w:val="en-US" w:eastAsia="zh-CN" w:bidi="ar"/>
        </w:rPr>
        <w:t>值核算情况一览表</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2132"/>
        <w:gridCol w:w="1631"/>
        <w:gridCol w:w="1486"/>
        <w:gridCol w:w="1877"/>
        <w:gridCol w:w="1601"/>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cantSplit/>
          <w:trHeight w:val="340" w:hRule="atLeast"/>
          <w:tblHeader/>
          <w:jc w:val="center"/>
        </w:trPr>
        <w:tc>
          <w:tcPr>
            <w:tcW w:w="1222" w:type="pct"/>
            <w:tcBorders>
              <w:top w:val="thinThickSmallGap" w:color="auto" w:sz="12" w:space="0"/>
              <w:left w:val="nil"/>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危险化学品名称</w:t>
            </w:r>
          </w:p>
        </w:tc>
        <w:tc>
          <w:tcPr>
            <w:tcW w:w="934"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CAS</w:t>
            </w:r>
            <w:r>
              <w:rPr>
                <w:rFonts w:hint="eastAsia" w:ascii="Times New Roman" w:hAnsi="Times New Roman" w:eastAsia="宋体" w:cs="Times New Roman"/>
                <w:color w:val="000000"/>
                <w:kern w:val="0"/>
                <w:sz w:val="21"/>
                <w:szCs w:val="21"/>
                <w:bdr w:val="none" w:color="auto" w:sz="0" w:space="0"/>
                <w:lang w:val="en-US" w:eastAsia="zh-CN" w:bidi="ar"/>
              </w:rPr>
              <w:t>号</w:t>
            </w:r>
          </w:p>
        </w:tc>
        <w:tc>
          <w:tcPr>
            <w:tcW w:w="851"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临界量</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i/>
                <w:iCs w:val="0"/>
                <w:color w:val="000000"/>
                <w:kern w:val="0"/>
                <w:sz w:val="21"/>
                <w:szCs w:val="21"/>
                <w:bdr w:val="none" w:color="auto" w:sz="0" w:space="0"/>
                <w:lang w:val="en-US" w:eastAsia="zh-CN" w:bidi="ar"/>
              </w:rPr>
              <w:t>Q</w:t>
            </w:r>
            <w:r>
              <w:rPr>
                <w:rFonts w:hint="default" w:ascii="Times New Roman" w:hAnsi="Times New Roman" w:eastAsia="宋体" w:cs="Times New Roman"/>
                <w:i/>
                <w:iCs w:val="0"/>
                <w:color w:val="000000"/>
                <w:kern w:val="0"/>
                <w:sz w:val="21"/>
                <w:szCs w:val="21"/>
                <w:bdr w:val="none" w:color="auto" w:sz="0" w:space="0"/>
                <w:vertAlign w:val="subscript"/>
                <w:lang w:val="en-US" w:eastAsia="zh-CN" w:bidi="ar"/>
              </w:rPr>
              <w:t>n</w:t>
            </w:r>
            <w:r>
              <w:rPr>
                <w:rFonts w:hint="default" w:ascii="Times New Roman" w:hAnsi="Times New Roman" w:eastAsia="宋体" w:cs="Times New Roman"/>
                <w:color w:val="000000"/>
                <w:kern w:val="0"/>
                <w:sz w:val="21"/>
                <w:szCs w:val="21"/>
                <w:bdr w:val="none" w:color="auto" w:sz="0" w:space="0"/>
                <w:lang w:val="en-US" w:eastAsia="zh-CN" w:bidi="ar"/>
              </w:rPr>
              <w:t>(t)</w:t>
            </w:r>
          </w:p>
        </w:tc>
        <w:tc>
          <w:tcPr>
            <w:tcW w:w="1075"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最大存在总量</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i/>
                <w:iCs w:val="0"/>
                <w:color w:val="000000"/>
                <w:kern w:val="0"/>
                <w:sz w:val="21"/>
                <w:szCs w:val="21"/>
                <w:bdr w:val="none" w:color="auto" w:sz="0" w:space="0"/>
                <w:lang w:val="en-US" w:eastAsia="zh-CN" w:bidi="ar"/>
              </w:rPr>
              <w:t>q</w:t>
            </w:r>
            <w:r>
              <w:rPr>
                <w:rFonts w:hint="default" w:ascii="Times New Roman" w:hAnsi="Times New Roman" w:eastAsia="宋体" w:cs="Times New Roman"/>
                <w:i/>
                <w:iCs w:val="0"/>
                <w:color w:val="000000"/>
                <w:kern w:val="0"/>
                <w:sz w:val="21"/>
                <w:szCs w:val="21"/>
                <w:bdr w:val="none" w:color="auto" w:sz="0" w:space="0"/>
                <w:vertAlign w:val="subscript"/>
                <w:lang w:val="en-US" w:eastAsia="zh-CN" w:bidi="ar"/>
              </w:rPr>
              <w:t>n</w:t>
            </w:r>
            <w:r>
              <w:rPr>
                <w:rFonts w:hint="default" w:ascii="Times New Roman" w:hAnsi="Times New Roman" w:eastAsia="宋体" w:cs="Times New Roman"/>
                <w:color w:val="000000"/>
                <w:kern w:val="0"/>
                <w:sz w:val="21"/>
                <w:szCs w:val="21"/>
                <w:bdr w:val="none" w:color="auto" w:sz="0" w:space="0"/>
                <w:lang w:val="en-US" w:eastAsia="zh-CN" w:bidi="ar"/>
              </w:rPr>
              <w:t>(t)</w:t>
            </w:r>
          </w:p>
        </w:tc>
        <w:tc>
          <w:tcPr>
            <w:tcW w:w="917" w:type="pct"/>
            <w:tcBorders>
              <w:top w:val="thinThickSmallGap" w:color="auto" w:sz="12" w:space="0"/>
              <w:left w:val="single" w:color="auto" w:sz="4" w:space="0"/>
              <w:bottom w:val="single" w:color="auto" w:sz="4" w:space="0"/>
              <w:right w:val="nil"/>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iCs/>
                <w:color w:val="000000"/>
                <w:kern w:val="0"/>
                <w:sz w:val="21"/>
                <w:szCs w:val="21"/>
                <w:bdr w:val="none" w:color="auto" w:sz="0" w:space="0"/>
                <w:lang w:val="en-US" w:eastAsia="zh-CN" w:bidi="ar"/>
              </w:rPr>
              <w:t>Q</w:t>
            </w:r>
            <w:r>
              <w:rPr>
                <w:rFonts w:hint="eastAsia" w:ascii="Times New Roman" w:hAnsi="Times New Roman" w:eastAsia="宋体" w:cs="Times New Roman"/>
                <w:iCs/>
                <w:color w:val="000000"/>
                <w:kern w:val="0"/>
                <w:sz w:val="21"/>
                <w:szCs w:val="21"/>
                <w:bdr w:val="none" w:color="auto" w:sz="0" w:space="0"/>
                <w:lang w:val="en-US" w:eastAsia="zh-CN" w:bidi="ar"/>
              </w:rPr>
              <w:t>值</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22" w:type="pc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润滑油</w:t>
            </w:r>
          </w:p>
        </w:tc>
        <w:tc>
          <w:tcPr>
            <w:tcW w:w="934"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851"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2500</w:t>
            </w:r>
          </w:p>
        </w:tc>
        <w:tc>
          <w:tcPr>
            <w:tcW w:w="1075"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0.33</w:t>
            </w:r>
          </w:p>
        </w:tc>
        <w:tc>
          <w:tcPr>
            <w:tcW w:w="917"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0.000132</w:t>
            </w:r>
          </w:p>
        </w:tc>
      </w:tr>
    </w:tbl>
    <w:p>
      <w:pPr>
        <w:keepNext w:val="0"/>
        <w:keepLines w:val="0"/>
        <w:widowControl/>
        <w:suppressLineNumbers w:val="0"/>
        <w:adjustRightInd w:val="0"/>
        <w:spacing w:before="0" w:beforeAutospacing="0" w:after="0" w:afterAutospacing="0" w:line="500" w:lineRule="exact"/>
        <w:ind w:left="0" w:right="0" w:firstLine="480" w:firstLineChars="200"/>
        <w:jc w:val="left"/>
        <w:rPr>
          <w:rFonts w:cs="Times New Roman"/>
          <w:color w:val="000000"/>
          <w:lang w:val="en-US"/>
        </w:rPr>
      </w:pPr>
      <w:r>
        <w:rPr>
          <w:rFonts w:hint="eastAsia" w:ascii="Times New Roman" w:hAnsi="Times New Roman" w:eastAsia="宋体" w:cs="Times New Roman"/>
          <w:color w:val="000000"/>
          <w:kern w:val="0"/>
          <w:sz w:val="24"/>
          <w:szCs w:val="24"/>
          <w:lang w:val="en-US" w:eastAsia="zh-CN" w:bidi="ar"/>
        </w:rPr>
        <w:t>因此，本项目环境</w:t>
      </w:r>
      <w:r>
        <w:rPr>
          <w:rFonts w:hint="eastAsia" w:ascii="宋体" w:hAnsi="宋体" w:eastAsia="宋体" w:cs="Times New Roman"/>
          <w:color w:val="000000"/>
          <w:kern w:val="0"/>
          <w:sz w:val="24"/>
          <w:szCs w:val="24"/>
          <w:lang w:val="en-US" w:eastAsia="zh-CN" w:bidi="ar"/>
        </w:rPr>
        <w:t>风险潜势为Ⅰ，环境风险评价工作等级为简单分析。</w:t>
      </w:r>
    </w:p>
    <w:p>
      <w:pPr>
        <w:pStyle w:val="8"/>
        <w:widowControl/>
        <w:rPr>
          <w:color w:val="000000"/>
          <w:lang/>
        </w:rPr>
      </w:pPr>
      <w:bookmarkStart w:id="88" w:name="_Toc41656118"/>
      <w:r>
        <w:rPr>
          <w:color w:val="000000"/>
          <w:lang/>
        </w:rPr>
        <w:t xml:space="preserve">1.6 </w:t>
      </w:r>
      <w:r>
        <w:rPr>
          <w:rFonts w:hint="eastAsia" w:ascii="Times New Roman" w:hAnsi="Times New Roman" w:eastAsia="宋体" w:cs="宋体"/>
          <w:color w:val="000000"/>
          <w:lang w:eastAsia="zh-CN"/>
        </w:rPr>
        <w:t>相关规划及政策符合性分析</w:t>
      </w:r>
      <w:bookmarkEnd w:id="88"/>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 xml:space="preserve">1.6.1 </w:t>
      </w:r>
      <w:r>
        <w:rPr>
          <w:rFonts w:ascii="Times New Roman" w:hAnsi="Times New Roman" w:cs="Times New Roman"/>
          <w:color w:val="000000"/>
          <w:lang w:eastAsia="zh-CN"/>
        </w:rPr>
        <w:t>规划及选址</w:t>
      </w:r>
      <w:r>
        <w:rPr>
          <w:rFonts w:ascii="Times New Roman" w:hAnsi="Times New Roman" w:cs="Times New Roman"/>
          <w:color w:val="000000"/>
          <w:lang/>
        </w:rPr>
        <w:t>符合性分析</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拟利用华宇集团现有厂区内空地建设，无新增用地，土地性质为工业用地，且符合八里镇相关规划的要求（八里镇出具的关于本项目符合相关规划的说明详见附件）。项目所在地不属于自然保护区、风景名胜区、饮用水源保护区和其它需要特殊保护的区域，最近居民点为西北侧约</w:t>
      </w:r>
      <w:r>
        <w:rPr>
          <w:rFonts w:hint="default" w:ascii="Times New Roman" w:hAnsi="Times New Roman" w:eastAsia="宋体" w:cs="Times New Roman"/>
          <w:color w:val="000000"/>
          <w:kern w:val="0"/>
          <w:sz w:val="24"/>
          <w:szCs w:val="24"/>
          <w:lang w:val="en-US" w:eastAsia="zh-CN" w:bidi="ar"/>
        </w:rPr>
        <w:t>260m</w:t>
      </w:r>
      <w:r>
        <w:rPr>
          <w:rFonts w:hint="eastAsia" w:ascii="Times New Roman" w:hAnsi="Times New Roman" w:eastAsia="宋体" w:cs="Times New Roman"/>
          <w:color w:val="000000"/>
          <w:kern w:val="0"/>
          <w:sz w:val="24"/>
          <w:szCs w:val="24"/>
          <w:lang w:val="en-US" w:eastAsia="zh-CN" w:bidi="ar"/>
        </w:rPr>
        <w:t>处的范家峪村。</w:t>
      </w:r>
      <w:r>
        <w:rPr>
          <w:rFonts w:hint="eastAsia" w:ascii="Times New Roman" w:hAnsi="Times New Roman" w:eastAsia="宋体" w:cs="Times New Roman"/>
          <w:color w:val="000000"/>
          <w:kern w:val="0"/>
          <w:sz w:val="24"/>
          <w:szCs w:val="20"/>
          <w:lang w:val="en-US" w:eastAsia="zh-CN" w:bidi="ar"/>
        </w:rPr>
        <w:t>根据海城市生态保护红线范围，本项目不在生态保护红线内，见图</w:t>
      </w:r>
      <w:r>
        <w:rPr>
          <w:rFonts w:hint="default" w:ascii="Times New Roman" w:hAnsi="Times New Roman" w:eastAsia="宋体" w:cs="Times New Roman"/>
          <w:color w:val="000000"/>
          <w:kern w:val="0"/>
          <w:sz w:val="24"/>
          <w:szCs w:val="20"/>
          <w:lang w:val="en-US" w:eastAsia="zh-CN" w:bidi="ar"/>
        </w:rPr>
        <w:t>1-3</w:t>
      </w:r>
      <w:r>
        <w:rPr>
          <w:rFonts w:hint="eastAsia" w:ascii="Times New Roman" w:hAnsi="Times New Roman" w:eastAsia="宋体" w:cs="Times New Roman"/>
          <w:color w:val="000000"/>
          <w:kern w:val="0"/>
          <w:sz w:val="24"/>
          <w:szCs w:val="20"/>
          <w:lang w:val="en-US" w:eastAsia="zh-CN" w:bidi="ar"/>
        </w:rPr>
        <w:t>。</w:t>
      </w:r>
      <w:r>
        <w:rPr>
          <w:rFonts w:hint="eastAsia" w:ascii="Times New Roman" w:hAnsi="Times New Roman" w:eastAsia="宋体" w:cs="Times New Roman"/>
          <w:color w:val="000000"/>
          <w:kern w:val="0"/>
          <w:sz w:val="24"/>
          <w:szCs w:val="24"/>
          <w:lang w:val="en-US" w:eastAsia="zh-CN" w:bidi="ar"/>
        </w:rPr>
        <w:t>因此，本项目选址基本合理。</w:t>
      </w:r>
    </w:p>
    <w:p>
      <w:pPr>
        <w:rPr>
          <w:rFonts w:hint="default" w:ascii="Times New Roman" w:hAnsi="Times New Roman" w:eastAsia="宋体" w:cs="Times New Roman"/>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lang w:val="en-US"/>
        </w:rPr>
      </w:pPr>
      <w:r>
        <w:rPr>
          <w:rFonts w:hint="eastAsia" w:ascii="Times New Roman" w:hAnsi="Times New Roman" w:eastAsia="黑体" w:cs="黑体"/>
          <w:color w:val="000000"/>
          <w:kern w:val="0"/>
          <w:sz w:val="24"/>
          <w:szCs w:val="24"/>
          <w:lang w:val="en-US" w:eastAsia="zh-CN" w:bidi="ar"/>
        </w:rPr>
        <w:t>图</w:t>
      </w:r>
      <w:r>
        <w:rPr>
          <w:rFonts w:hint="default" w:ascii="Times New Roman" w:hAnsi="Times New Roman" w:eastAsia="黑体" w:cs="宋体"/>
          <w:color w:val="000000"/>
          <w:kern w:val="0"/>
          <w:sz w:val="24"/>
          <w:szCs w:val="24"/>
          <w:lang w:val="en-US" w:eastAsia="zh-CN" w:bidi="ar"/>
        </w:rPr>
        <w:t xml:space="preserve">1-3  </w:t>
      </w:r>
      <w:r>
        <w:rPr>
          <w:rFonts w:hint="eastAsia" w:ascii="Times New Roman" w:hAnsi="Times New Roman" w:eastAsia="黑体" w:cs="黑体"/>
          <w:color w:val="000000"/>
          <w:kern w:val="0"/>
          <w:sz w:val="24"/>
          <w:szCs w:val="24"/>
          <w:lang w:val="en-US" w:eastAsia="zh-CN" w:bidi="ar"/>
        </w:rPr>
        <w:t>海城市生态红线范围类型图</w:t>
      </w:r>
      <w:r>
        <w:rPr>
          <w:rFonts w:hint="default" w:ascii="Times New Roman" w:hAnsi="Times New Roman" w:eastAsia="黑体" w:cs="宋体"/>
          <w:color w:val="000000"/>
          <w:kern w:val="0"/>
          <w:sz w:val="24"/>
          <w:szCs w:val="24"/>
          <w:lang w:val="en-US" w:eastAsia="zh-CN" w:bidi="ar"/>
        </w:rPr>
        <w:t xml:space="preserve">       </w:t>
      </w:r>
      <w:r>
        <w:rPr>
          <w:rFonts w:hint="eastAsia" w:ascii="Times New Roman" w:hAnsi="Times New Roman" w:eastAsia="黑体" w:cs="黑体"/>
          <w:color w:val="000000"/>
          <w:kern w:val="0"/>
          <w:sz w:val="24"/>
          <w:szCs w:val="24"/>
          <w:lang w:val="en-US" w:eastAsia="zh-CN" w:bidi="ar"/>
        </w:rPr>
        <w:t>本项目所在位置</w:t>
      </w:r>
      <w:r>
        <w:rPr>
          <w:rFonts w:hint="eastAsia" w:ascii="宋体" w:hAnsi="宋体" w:eastAsia="宋体" w:cs="宋体"/>
          <w:kern w:val="0"/>
          <w:sz w:val="24"/>
          <w:szCs w:val="24"/>
          <w:lang w:val="en-US" w:eastAsia="zh-CN" w:bidi="ar"/>
        </w:rPr>
        <w:drawing>
          <wp:anchor distT="0" distB="0" distL="114300" distR="114300" simplePos="0" relativeHeight="251713536" behindDoc="0" locked="0" layoutInCell="1" allowOverlap="1">
            <wp:simplePos x="0" y="0"/>
            <wp:positionH relativeFrom="column">
              <wp:posOffset>4374515</wp:posOffset>
            </wp:positionH>
            <wp:positionV relativeFrom="paragraph">
              <wp:posOffset>-2329180</wp:posOffset>
            </wp:positionV>
            <wp:extent cx="122555" cy="113665"/>
            <wp:effectExtent l="0" t="0" r="10795" b="635"/>
            <wp:wrapNone/>
            <wp:docPr id="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pic:cNvPicPr>
                      <a:picLocks noChangeAspect="1"/>
                    </pic:cNvPicPr>
                  </pic:nvPicPr>
                  <pic:blipFill>
                    <a:blip r:embed="rId11"/>
                    <a:stretch>
                      <a:fillRect/>
                    </a:stretch>
                  </pic:blipFill>
                  <pic:spPr>
                    <a:xfrm>
                      <a:off x="0" y="0"/>
                      <a:ext cx="122555" cy="113665"/>
                    </a:xfrm>
                    <a:prstGeom prst="rect">
                      <a:avLst/>
                    </a:prstGeom>
                    <a:noFill/>
                    <a:ln>
                      <a:noFill/>
                    </a:ln>
                  </pic:spPr>
                </pic:pic>
              </a:graphicData>
            </a:graphic>
          </wp:anchor>
        </w:drawing>
      </w:r>
      <w:r>
        <w:rPr>
          <w:rFonts w:hint="eastAsia" w:ascii="宋体" w:hAnsi="宋体" w:eastAsia="宋体" w:cs="宋体"/>
          <w:kern w:val="0"/>
          <w:sz w:val="24"/>
          <w:szCs w:val="24"/>
          <w:lang w:val="en-US" w:eastAsia="zh-CN" w:bidi="ar"/>
        </w:rPr>
        <w:drawing>
          <wp:anchor distT="0" distB="0" distL="114300" distR="114300" simplePos="0" relativeHeight="251712512" behindDoc="0" locked="0" layoutInCell="1" allowOverlap="1">
            <wp:simplePos x="0" y="0"/>
            <wp:positionH relativeFrom="column">
              <wp:posOffset>387985</wp:posOffset>
            </wp:positionH>
            <wp:positionV relativeFrom="line">
              <wp:posOffset>-5527675</wp:posOffset>
            </wp:positionV>
            <wp:extent cx="963930" cy="1501140"/>
            <wp:effectExtent l="0" t="0" r="7620" b="3810"/>
            <wp:wrapNone/>
            <wp:docPr id="6" name="图片 9" descr="C:\Users\lh\Desktop\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descr="C:\Users\lh\Desktop\111111.jpg"/>
                    <pic:cNvPicPr>
                      <a:picLocks noChangeAspect="1"/>
                    </pic:cNvPicPr>
                  </pic:nvPicPr>
                  <pic:blipFill>
                    <a:blip r:embed="rId12"/>
                    <a:srcRect l="18935" t="16116" r="66762" b="69289"/>
                    <a:stretch>
                      <a:fillRect/>
                    </a:stretch>
                  </pic:blipFill>
                  <pic:spPr>
                    <a:xfrm>
                      <a:off x="0" y="0"/>
                      <a:ext cx="963930" cy="1501140"/>
                    </a:xfrm>
                    <a:prstGeom prst="rect">
                      <a:avLst/>
                    </a:prstGeom>
                    <a:noFill/>
                    <a:ln>
                      <a:noFill/>
                    </a:ln>
                  </pic:spPr>
                </pic:pic>
              </a:graphicData>
            </a:graphic>
          </wp:anchor>
        </w:drawing>
      </w:r>
      <w:r>
        <w:rPr>
          <w:rFonts w:hint="eastAsia" w:ascii="宋体" w:hAnsi="宋体" w:eastAsia="宋体" w:cs="宋体"/>
          <w:kern w:val="0"/>
          <w:sz w:val="24"/>
          <w:szCs w:val="24"/>
          <w:lang w:val="en-US" w:eastAsia="zh-CN" w:bidi="ar"/>
        </w:rPr>
        <w:drawing>
          <wp:anchor distT="0" distB="0" distL="114300" distR="114300" simplePos="0" relativeHeight="251711488" behindDoc="0" locked="0" layoutInCell="1" allowOverlap="1">
            <wp:simplePos x="0" y="0"/>
            <wp:positionH relativeFrom="column">
              <wp:posOffset>218440</wp:posOffset>
            </wp:positionH>
            <wp:positionV relativeFrom="paragraph">
              <wp:posOffset>-260985</wp:posOffset>
            </wp:positionV>
            <wp:extent cx="8086090" cy="5650865"/>
            <wp:effectExtent l="0" t="0" r="10160" b="6985"/>
            <wp:wrapTopAndBottom/>
            <wp:docPr id="5" name="图片 16" descr="C:\Users\THINK\Desktop\海城市生态保护红线范围类型图-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6" descr="C:\Users\THINK\Desktop\海城市生态保护红线范围类型图-02.jpg"/>
                    <pic:cNvPicPr>
                      <a:picLocks noChangeAspect="1"/>
                    </pic:cNvPicPr>
                  </pic:nvPicPr>
                  <pic:blipFill>
                    <a:blip r:embed="rId13"/>
                    <a:srcRect l="1169" t="1515" r="1456" b="2203"/>
                    <a:stretch>
                      <a:fillRect/>
                    </a:stretch>
                  </pic:blipFill>
                  <pic:spPr>
                    <a:xfrm>
                      <a:off x="0" y="0"/>
                      <a:ext cx="8086090" cy="5650865"/>
                    </a:xfrm>
                    <a:prstGeom prst="rect">
                      <a:avLst/>
                    </a:prstGeom>
                    <a:noFill/>
                    <a:ln>
                      <a:noFill/>
                    </a:ln>
                  </pic:spPr>
                </pic:pic>
              </a:graphicData>
            </a:graphic>
          </wp:anchor>
        </w:drawing>
      </w:r>
    </w:p>
    <w:p>
      <w:pPr>
        <w:rPr>
          <w:rFonts w:hint="default" w:ascii="Times New Roman" w:hAnsi="Times New Roman" w:eastAsia="宋体" w:cs="Times New Roman"/>
          <w:color w:val="000000"/>
          <w:sz w:val="24"/>
          <w:szCs w:val="24"/>
          <w:lang w:val="en-US" w:eastAsia="zh-CN" w:bidi="ar"/>
        </w:rPr>
        <w:sectPr>
          <w:pgSz w:w="16840" w:h="11915" w:orient="landscape"/>
          <w:pgMar w:top="1702" w:right="1702" w:bottom="1702" w:left="1702" w:header="851" w:footer="1077" w:gutter="0"/>
          <w:paperSrc/>
          <w:cols w:space="425" w:num="1"/>
          <w:docGrid w:type="lines" w:linePitch="479" w:charSpace="0"/>
        </w:sectPr>
      </w:pP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1.6.</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 </w:t>
      </w:r>
      <w:r>
        <w:rPr>
          <w:rFonts w:ascii="Times New Roman" w:hAnsi="Times New Roman" w:cs="Times New Roman"/>
          <w:color w:val="000000"/>
          <w:lang/>
        </w:rPr>
        <w:t>产业政策符合性分析</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bCs/>
          <w:color w:val="000000"/>
          <w:kern w:val="2"/>
          <w:lang w:val="en-US"/>
        </w:rPr>
      </w:pPr>
      <w:r>
        <w:rPr>
          <w:rFonts w:hint="eastAsia" w:ascii="Times New Roman" w:hAnsi="Times New Roman" w:eastAsia="宋体" w:cs="Times New Roman"/>
          <w:bCs/>
          <w:color w:val="000000"/>
          <w:kern w:val="2"/>
          <w:sz w:val="24"/>
          <w:szCs w:val="24"/>
          <w:lang w:val="en-US" w:eastAsia="zh-CN" w:bidi="ar"/>
        </w:rPr>
        <w:t>根据《产业结构调整指导目录（</w:t>
      </w:r>
      <w:r>
        <w:rPr>
          <w:rFonts w:hint="default" w:ascii="Times New Roman" w:hAnsi="Times New Roman" w:eastAsia="宋体" w:cs="Times New Roman"/>
          <w:bCs/>
          <w:color w:val="000000"/>
          <w:kern w:val="2"/>
          <w:sz w:val="24"/>
          <w:szCs w:val="24"/>
          <w:lang w:val="en-US" w:eastAsia="zh-CN" w:bidi="ar"/>
        </w:rPr>
        <w:t>2019</w:t>
      </w:r>
      <w:r>
        <w:rPr>
          <w:rFonts w:hint="eastAsia" w:ascii="Times New Roman" w:hAnsi="Times New Roman" w:eastAsia="宋体" w:cs="Times New Roman"/>
          <w:bCs/>
          <w:color w:val="000000"/>
          <w:kern w:val="2"/>
          <w:sz w:val="24"/>
          <w:szCs w:val="24"/>
          <w:lang w:val="en-US" w:eastAsia="zh-CN" w:bidi="ar"/>
        </w:rPr>
        <w:t>年本）》，本项目属于第一类鼓励类第四十三大类环境保护与资源节约综合利用第</w:t>
      </w:r>
      <w:r>
        <w:rPr>
          <w:rFonts w:hint="default" w:ascii="Times New Roman" w:hAnsi="Times New Roman" w:eastAsia="宋体" w:cs="Times New Roman"/>
          <w:bCs/>
          <w:color w:val="000000"/>
          <w:kern w:val="2"/>
          <w:sz w:val="24"/>
          <w:szCs w:val="24"/>
          <w:lang w:val="en-US" w:eastAsia="zh-CN" w:bidi="ar"/>
        </w:rPr>
        <w:t>23</w:t>
      </w:r>
      <w:r>
        <w:rPr>
          <w:rFonts w:hint="eastAsia" w:ascii="Times New Roman" w:hAnsi="Times New Roman" w:eastAsia="宋体" w:cs="Times New Roman"/>
          <w:bCs/>
          <w:color w:val="000000"/>
          <w:kern w:val="2"/>
          <w:sz w:val="24"/>
          <w:szCs w:val="24"/>
          <w:lang w:val="en-US" w:eastAsia="zh-CN" w:bidi="ar"/>
        </w:rPr>
        <w:t>小项</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低品位、复杂、难处理矿开发及综合利用技术与设备</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，符合国家的产业政策。</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bCs/>
          <w:color w:val="000000"/>
          <w:kern w:val="2"/>
          <w:lang w:val="en-US"/>
        </w:rPr>
      </w:pPr>
      <w:r>
        <w:rPr>
          <w:rFonts w:hint="eastAsia" w:ascii="Times New Roman" w:hAnsi="Times New Roman" w:eastAsia="宋体" w:cs="Times New Roman"/>
          <w:bCs/>
          <w:color w:val="000000"/>
          <w:kern w:val="2"/>
          <w:sz w:val="24"/>
          <w:szCs w:val="24"/>
          <w:lang w:val="en-US" w:eastAsia="zh-CN" w:bidi="ar"/>
        </w:rPr>
        <w:t>根据《辽宁省镁产业结构调整和转型升级指导意见》（</w:t>
      </w:r>
      <w:r>
        <w:rPr>
          <w:rFonts w:hint="default" w:ascii="Times New Roman" w:hAnsi="Times New Roman" w:eastAsia="宋体" w:cs="Times New Roman"/>
          <w:bCs/>
          <w:color w:val="000000"/>
          <w:kern w:val="2"/>
          <w:sz w:val="24"/>
          <w:szCs w:val="24"/>
          <w:lang w:val="en-US" w:eastAsia="zh-CN" w:bidi="ar"/>
        </w:rPr>
        <w:t>2018</w:t>
      </w:r>
      <w:r>
        <w:rPr>
          <w:rFonts w:hint="eastAsia" w:ascii="Times New Roman" w:hAnsi="Times New Roman" w:eastAsia="宋体" w:cs="Times New Roman"/>
          <w:bCs/>
          <w:color w:val="000000"/>
          <w:kern w:val="2"/>
          <w:sz w:val="24"/>
          <w:szCs w:val="24"/>
          <w:lang w:val="en-US" w:eastAsia="zh-CN" w:bidi="ar"/>
        </w:rPr>
        <w:t>年</w:t>
      </w:r>
      <w:r>
        <w:rPr>
          <w:rFonts w:hint="default" w:ascii="Times New Roman" w:hAnsi="Times New Roman" w:eastAsia="宋体" w:cs="Times New Roman"/>
          <w:bCs/>
          <w:color w:val="000000"/>
          <w:kern w:val="2"/>
          <w:sz w:val="24"/>
          <w:szCs w:val="24"/>
          <w:lang w:val="en-US" w:eastAsia="zh-CN" w:bidi="ar"/>
        </w:rPr>
        <w:t>4</w:t>
      </w:r>
      <w:r>
        <w:rPr>
          <w:rFonts w:hint="eastAsia" w:ascii="Times New Roman" w:hAnsi="Times New Roman" w:eastAsia="宋体" w:cs="Times New Roman"/>
          <w:bCs/>
          <w:color w:val="000000"/>
          <w:kern w:val="2"/>
          <w:sz w:val="24"/>
          <w:szCs w:val="24"/>
          <w:lang w:val="en-US" w:eastAsia="zh-CN" w:bidi="ar"/>
        </w:rPr>
        <w:t>月），本项目产品精矿粉属于</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三、辽宁镁产业结构调整和转型升级重点领域和发展方向：（一）镁质耐火材料产业：鼓励类新技术和新装备：</w:t>
      </w:r>
      <w:r>
        <w:rPr>
          <w:rFonts w:hint="default" w:ascii="Times New Roman" w:hAnsi="Times New Roman" w:eastAsia="宋体" w:cs="Times New Roman"/>
          <w:bCs/>
          <w:color w:val="000000"/>
          <w:kern w:val="2"/>
          <w:sz w:val="24"/>
          <w:szCs w:val="24"/>
          <w:lang w:val="en-US" w:eastAsia="zh-CN" w:bidi="ar"/>
        </w:rPr>
        <w:t>5</w:t>
      </w:r>
      <w:r>
        <w:rPr>
          <w:rFonts w:hint="eastAsia" w:ascii="Times New Roman" w:hAnsi="Times New Roman" w:eastAsia="宋体" w:cs="Times New Roman"/>
          <w:bCs/>
          <w:color w:val="000000"/>
          <w:kern w:val="2"/>
          <w:sz w:val="24"/>
          <w:szCs w:val="24"/>
          <w:lang w:val="en-US" w:eastAsia="zh-CN" w:bidi="ar"/>
        </w:rPr>
        <w:t>、高效、节能、环保采选矿技术（药剂）和鼓励类环境保护与资源节约综合利用：</w:t>
      </w:r>
      <w:r>
        <w:rPr>
          <w:rFonts w:hint="default" w:ascii="Times New Roman" w:hAnsi="Times New Roman" w:eastAsia="宋体" w:cs="Times New Roman"/>
          <w:bCs/>
          <w:color w:val="000000"/>
          <w:kern w:val="2"/>
          <w:sz w:val="24"/>
          <w:szCs w:val="24"/>
          <w:lang w:val="en-US" w:eastAsia="zh-CN" w:bidi="ar"/>
        </w:rPr>
        <w:t>1</w:t>
      </w:r>
      <w:r>
        <w:rPr>
          <w:rFonts w:hint="eastAsia" w:ascii="Times New Roman" w:hAnsi="Times New Roman" w:eastAsia="宋体" w:cs="Times New Roman"/>
          <w:bCs/>
          <w:color w:val="000000"/>
          <w:kern w:val="2"/>
          <w:sz w:val="24"/>
          <w:szCs w:val="24"/>
          <w:lang w:val="en-US" w:eastAsia="zh-CN" w:bidi="ar"/>
        </w:rPr>
        <w:t>、菱镁石及水镁石粉矿、碎矿、级外矿、尾矿的综合利用</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bCs/>
          <w:color w:val="000000"/>
          <w:kern w:val="2"/>
          <w:lang w:val="en-US"/>
        </w:rPr>
      </w:pPr>
      <w:r>
        <w:rPr>
          <w:rFonts w:hint="eastAsia" w:ascii="Times New Roman" w:hAnsi="Times New Roman" w:eastAsia="宋体" w:cs="Times New Roman"/>
          <w:bCs/>
          <w:color w:val="000000"/>
          <w:kern w:val="2"/>
          <w:sz w:val="24"/>
          <w:szCs w:val="24"/>
          <w:lang w:val="en-US" w:eastAsia="zh-CN" w:bidi="ar"/>
        </w:rPr>
        <w:t>根据《关于印发</w:t>
      </w:r>
      <w:r>
        <w:rPr>
          <w:rFonts w:hint="default" w:ascii="Times New Roman" w:hAnsi="Times New Roman" w:eastAsia="宋体" w:cs="Times New Roman"/>
          <w:bCs/>
          <w:color w:val="000000"/>
          <w:kern w:val="2"/>
          <w:sz w:val="24"/>
          <w:szCs w:val="24"/>
          <w:lang w:val="en-US" w:eastAsia="zh-CN" w:bidi="ar"/>
        </w:rPr>
        <w:t>&lt;</w:t>
      </w:r>
      <w:r>
        <w:rPr>
          <w:rFonts w:hint="eastAsia" w:ascii="Times New Roman" w:hAnsi="Times New Roman" w:eastAsia="宋体" w:cs="Times New Roman"/>
          <w:bCs/>
          <w:color w:val="000000"/>
          <w:kern w:val="2"/>
          <w:sz w:val="24"/>
          <w:szCs w:val="24"/>
          <w:lang w:val="en-US" w:eastAsia="zh-CN" w:bidi="ar"/>
        </w:rPr>
        <w:t>海城市镁制品项目建设指导意见</w:t>
      </w:r>
      <w:r>
        <w:rPr>
          <w:rFonts w:hint="default" w:ascii="Times New Roman" w:hAnsi="Times New Roman" w:eastAsia="宋体" w:cs="Times New Roman"/>
          <w:bCs/>
          <w:color w:val="000000"/>
          <w:kern w:val="2"/>
          <w:sz w:val="24"/>
          <w:szCs w:val="24"/>
          <w:lang w:val="en-US" w:eastAsia="zh-CN" w:bidi="ar"/>
        </w:rPr>
        <w:t>&gt;</w:t>
      </w:r>
      <w:r>
        <w:rPr>
          <w:rFonts w:hint="eastAsia" w:ascii="Times New Roman" w:hAnsi="Times New Roman" w:eastAsia="宋体" w:cs="Times New Roman"/>
          <w:bCs/>
          <w:color w:val="000000"/>
          <w:kern w:val="2"/>
          <w:sz w:val="24"/>
          <w:szCs w:val="24"/>
          <w:lang w:val="en-US" w:eastAsia="zh-CN" w:bidi="ar"/>
        </w:rPr>
        <w:t>的通知》（海政办发〔</w:t>
      </w:r>
      <w:r>
        <w:rPr>
          <w:rFonts w:hint="default" w:ascii="Times New Roman" w:hAnsi="Times New Roman" w:eastAsia="宋体" w:cs="Times New Roman"/>
          <w:bCs/>
          <w:color w:val="000000"/>
          <w:kern w:val="2"/>
          <w:sz w:val="24"/>
          <w:szCs w:val="24"/>
          <w:lang w:val="en-US" w:eastAsia="zh-CN" w:bidi="ar"/>
        </w:rPr>
        <w:t>2018</w:t>
      </w:r>
      <w:r>
        <w:rPr>
          <w:rFonts w:hint="eastAsia" w:ascii="Times New Roman" w:hAnsi="Times New Roman" w:eastAsia="宋体" w:cs="Times New Roman"/>
          <w:bCs/>
          <w:color w:val="000000"/>
          <w:kern w:val="2"/>
          <w:sz w:val="24"/>
          <w:szCs w:val="24"/>
          <w:lang w:val="en-US" w:eastAsia="zh-CN" w:bidi="ar"/>
        </w:rPr>
        <w:t>〕</w:t>
      </w:r>
      <w:r>
        <w:rPr>
          <w:rFonts w:hint="default" w:ascii="Times New Roman" w:hAnsi="Times New Roman" w:eastAsia="宋体" w:cs="Times New Roman"/>
          <w:bCs/>
          <w:color w:val="000000"/>
          <w:kern w:val="2"/>
          <w:sz w:val="24"/>
          <w:szCs w:val="24"/>
          <w:lang w:val="en-US" w:eastAsia="zh-CN" w:bidi="ar"/>
        </w:rPr>
        <w:t xml:space="preserve">41 </w:t>
      </w:r>
      <w:r>
        <w:rPr>
          <w:rFonts w:hint="eastAsia" w:ascii="Times New Roman" w:hAnsi="Times New Roman" w:eastAsia="宋体" w:cs="Times New Roman"/>
          <w:bCs/>
          <w:color w:val="000000"/>
          <w:kern w:val="2"/>
          <w:sz w:val="24"/>
          <w:szCs w:val="24"/>
          <w:lang w:val="en-US" w:eastAsia="zh-CN" w:bidi="ar"/>
        </w:rPr>
        <w:t>号），本项目属于</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四、鼓励类：（一）资源开发：</w:t>
      </w:r>
      <w:r>
        <w:rPr>
          <w:rFonts w:hint="default" w:ascii="Times New Roman" w:hAnsi="Times New Roman" w:eastAsia="宋体" w:cs="Times New Roman"/>
          <w:bCs/>
          <w:color w:val="000000"/>
          <w:kern w:val="2"/>
          <w:sz w:val="24"/>
          <w:szCs w:val="24"/>
          <w:lang w:val="en-US" w:eastAsia="zh-CN" w:bidi="ar"/>
        </w:rPr>
        <w:t>1</w:t>
      </w:r>
      <w:r>
        <w:rPr>
          <w:rFonts w:hint="eastAsia" w:ascii="Times New Roman" w:hAnsi="Times New Roman" w:eastAsia="宋体" w:cs="Times New Roman"/>
          <w:bCs/>
          <w:color w:val="000000"/>
          <w:kern w:val="2"/>
          <w:sz w:val="24"/>
          <w:szCs w:val="24"/>
          <w:lang w:val="en-US" w:eastAsia="zh-CN" w:bidi="ar"/>
        </w:rPr>
        <w:t>、菱镁矿高效选矿</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bCs/>
          <w:color w:val="000000"/>
          <w:kern w:val="2"/>
          <w:sz w:val="24"/>
          <w:szCs w:val="24"/>
          <w:lang w:val="en-US" w:eastAsia="zh-CN" w:bidi="ar"/>
        </w:rPr>
        <w:t>综上所述，本项目符合国家、地方的产业政策。</w:t>
      </w:r>
      <w:bookmarkStart w:id="89" w:name="OLE_LINK4"/>
      <w:bookmarkStart w:id="90" w:name="OLE_LINK3"/>
      <w:bookmarkStart w:id="91" w:name="_Toc151276133"/>
      <w:bookmarkStart w:id="92" w:name="_Toc151258714"/>
      <w:bookmarkStart w:id="93" w:name="_Toc151200245"/>
      <w:bookmarkStart w:id="94" w:name="_Toc151200085"/>
    </w:p>
    <w:bookmarkEnd w:id="89"/>
    <w:bookmarkEnd w:id="90"/>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1.6.</w:t>
      </w:r>
      <w:r>
        <w:rPr>
          <w:rFonts w:hint="default" w:ascii="Times New Roman" w:hAnsi="Times New Roman" w:cs="Times New Roman"/>
          <w:color w:val="000000"/>
          <w:lang w:eastAsia="zh-CN"/>
        </w:rPr>
        <w:t>3</w:t>
      </w:r>
      <w:r>
        <w:rPr>
          <w:rFonts w:hint="default" w:ascii="Times New Roman" w:hAnsi="Times New Roman" w:cs="Times New Roman"/>
          <w:color w:val="000000"/>
          <w:lang/>
        </w:rPr>
        <w:t xml:space="preserve"> </w:t>
      </w:r>
      <w:bookmarkEnd w:id="91"/>
      <w:bookmarkEnd w:id="92"/>
      <w:bookmarkEnd w:id="93"/>
      <w:bookmarkEnd w:id="94"/>
      <w:r>
        <w:rPr>
          <w:rFonts w:ascii="Times New Roman" w:hAnsi="Times New Roman" w:cs="Times New Roman"/>
          <w:color w:val="000000"/>
          <w:lang/>
        </w:rPr>
        <w:t>环保管理政策符合性分析</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rPr>
        <w:t>1.6.</w:t>
      </w:r>
      <w:r>
        <w:rPr>
          <w:rFonts w:hint="default" w:ascii="Times New Roman" w:hAnsi="Times New Roman" w:cs="Times New Roman"/>
          <w:color w:val="000000"/>
          <w:lang w:eastAsia="zh-CN"/>
        </w:rPr>
        <w:t>3</w:t>
      </w:r>
      <w:r>
        <w:rPr>
          <w:rFonts w:hint="default" w:ascii="Times New Roman" w:hAnsi="Times New Roman" w:cs="Times New Roman"/>
          <w:color w:val="000000"/>
          <w:lang/>
        </w:rPr>
        <w:t xml:space="preserve">.1 </w:t>
      </w:r>
      <w:r>
        <w:rPr>
          <w:rFonts w:ascii="Times New Roman" w:hAnsi="Times New Roman" w:cs="Times New Roman"/>
          <w:color w:val="000000"/>
          <w:lang w:eastAsia="zh-CN"/>
        </w:rPr>
        <w:t>“水十条”</w:t>
      </w:r>
      <w:r>
        <w:rPr>
          <w:rFonts w:ascii="Times New Roman" w:hAnsi="Times New Roman" w:cs="Times New Roman"/>
          <w:color w:val="000000"/>
          <w:lang/>
        </w:rPr>
        <w:t>符合性分析</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bCs/>
          <w:color w:val="000000"/>
          <w:kern w:val="2"/>
          <w:lang w:val="en-US"/>
        </w:rPr>
      </w:pPr>
      <w:r>
        <w:rPr>
          <w:rFonts w:hint="eastAsia" w:ascii="Times New Roman" w:hAnsi="Times New Roman" w:eastAsia="宋体" w:cs="Times New Roman"/>
          <w:bCs/>
          <w:color w:val="000000"/>
          <w:kern w:val="2"/>
          <w:sz w:val="24"/>
          <w:szCs w:val="24"/>
          <w:lang w:val="en-US" w:eastAsia="zh-CN" w:bidi="ar"/>
        </w:rPr>
        <w:t>对照《国务院关于印发水污染防治行动计划的通知》（国发〔</w:t>
      </w:r>
      <w:r>
        <w:rPr>
          <w:rFonts w:hint="default" w:ascii="Times New Roman" w:hAnsi="Times New Roman" w:eastAsia="宋体" w:cs="Times New Roman"/>
          <w:bCs/>
          <w:color w:val="000000"/>
          <w:kern w:val="2"/>
          <w:sz w:val="24"/>
          <w:szCs w:val="24"/>
          <w:lang w:val="en-US" w:eastAsia="zh-CN" w:bidi="ar"/>
        </w:rPr>
        <w:t>2015</w:t>
      </w:r>
      <w:r>
        <w:rPr>
          <w:rFonts w:hint="eastAsia" w:ascii="Times New Roman" w:hAnsi="Times New Roman" w:eastAsia="宋体" w:cs="Times New Roman"/>
          <w:bCs/>
          <w:color w:val="000000"/>
          <w:kern w:val="2"/>
          <w:sz w:val="24"/>
          <w:szCs w:val="24"/>
          <w:lang w:val="en-US" w:eastAsia="zh-CN" w:bidi="ar"/>
        </w:rPr>
        <w:t>〕</w:t>
      </w:r>
      <w:r>
        <w:rPr>
          <w:rFonts w:hint="default" w:ascii="Times New Roman" w:hAnsi="Times New Roman" w:eastAsia="宋体" w:cs="Times New Roman"/>
          <w:bCs/>
          <w:color w:val="000000"/>
          <w:kern w:val="2"/>
          <w:sz w:val="24"/>
          <w:szCs w:val="24"/>
          <w:lang w:val="en-US" w:eastAsia="zh-CN" w:bidi="ar"/>
        </w:rPr>
        <w:t>17</w:t>
      </w:r>
      <w:r>
        <w:rPr>
          <w:rFonts w:hint="eastAsia" w:ascii="Times New Roman" w:hAnsi="Times New Roman" w:eastAsia="宋体" w:cs="Times New Roman"/>
          <w:bCs/>
          <w:color w:val="000000"/>
          <w:kern w:val="2"/>
          <w:sz w:val="24"/>
          <w:szCs w:val="24"/>
          <w:lang w:val="en-US" w:eastAsia="zh-CN" w:bidi="ar"/>
        </w:rPr>
        <w:t>号）（以下简称国务院</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水十条</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）、《辽宁省人民政府关于印发辽宁省水污染防治工作方案的通知》（辽政发〔</w:t>
      </w:r>
      <w:r>
        <w:rPr>
          <w:rFonts w:hint="default" w:ascii="Times New Roman" w:hAnsi="Times New Roman" w:eastAsia="宋体" w:cs="Times New Roman"/>
          <w:bCs/>
          <w:color w:val="000000"/>
          <w:kern w:val="2"/>
          <w:sz w:val="24"/>
          <w:szCs w:val="24"/>
          <w:lang w:val="en-US" w:eastAsia="zh-CN" w:bidi="ar"/>
        </w:rPr>
        <w:t>2015</w:t>
      </w:r>
      <w:r>
        <w:rPr>
          <w:rFonts w:hint="eastAsia" w:ascii="Times New Roman" w:hAnsi="Times New Roman" w:eastAsia="宋体" w:cs="Times New Roman"/>
          <w:bCs/>
          <w:color w:val="000000"/>
          <w:kern w:val="2"/>
          <w:sz w:val="24"/>
          <w:szCs w:val="24"/>
          <w:lang w:val="en-US" w:eastAsia="zh-CN" w:bidi="ar"/>
        </w:rPr>
        <w:t>〕</w:t>
      </w:r>
      <w:r>
        <w:rPr>
          <w:rFonts w:hint="default" w:ascii="Times New Roman" w:hAnsi="Times New Roman" w:eastAsia="宋体" w:cs="Times New Roman"/>
          <w:bCs/>
          <w:color w:val="000000"/>
          <w:kern w:val="2"/>
          <w:sz w:val="24"/>
          <w:szCs w:val="24"/>
          <w:lang w:val="en-US" w:eastAsia="zh-CN" w:bidi="ar"/>
        </w:rPr>
        <w:t xml:space="preserve">79 </w:t>
      </w:r>
      <w:r>
        <w:rPr>
          <w:rFonts w:hint="eastAsia" w:ascii="Times New Roman" w:hAnsi="Times New Roman" w:eastAsia="宋体" w:cs="Times New Roman"/>
          <w:bCs/>
          <w:color w:val="000000"/>
          <w:kern w:val="2"/>
          <w:sz w:val="24"/>
          <w:szCs w:val="24"/>
          <w:lang w:val="en-US" w:eastAsia="zh-CN" w:bidi="ar"/>
        </w:rPr>
        <w:t>号）（以下简称辽宁省</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水十条</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）以及《鞍山市人民政府关于印发鞍山市水污染防治工作方案的通知》（鞍政发〔</w:t>
      </w:r>
      <w:r>
        <w:rPr>
          <w:rFonts w:hint="default" w:ascii="Times New Roman" w:hAnsi="Times New Roman" w:eastAsia="宋体" w:cs="Times New Roman"/>
          <w:bCs/>
          <w:color w:val="000000"/>
          <w:kern w:val="2"/>
          <w:sz w:val="24"/>
          <w:szCs w:val="24"/>
          <w:lang w:val="en-US" w:eastAsia="zh-CN" w:bidi="ar"/>
        </w:rPr>
        <w:t>2016</w:t>
      </w:r>
      <w:r>
        <w:rPr>
          <w:rFonts w:hint="eastAsia" w:ascii="Times New Roman" w:hAnsi="Times New Roman" w:eastAsia="宋体" w:cs="Times New Roman"/>
          <w:bCs/>
          <w:color w:val="000000"/>
          <w:kern w:val="2"/>
          <w:sz w:val="24"/>
          <w:szCs w:val="24"/>
          <w:lang w:val="en-US" w:eastAsia="zh-CN" w:bidi="ar"/>
        </w:rPr>
        <w:t>〕</w:t>
      </w:r>
      <w:r>
        <w:rPr>
          <w:rFonts w:hint="default" w:ascii="Times New Roman" w:hAnsi="Times New Roman" w:eastAsia="宋体" w:cs="Times New Roman"/>
          <w:bCs/>
          <w:color w:val="000000"/>
          <w:kern w:val="2"/>
          <w:sz w:val="24"/>
          <w:szCs w:val="24"/>
          <w:lang w:val="en-US" w:eastAsia="zh-CN" w:bidi="ar"/>
        </w:rPr>
        <w:t xml:space="preserve">28 </w:t>
      </w:r>
      <w:r>
        <w:rPr>
          <w:rFonts w:hint="eastAsia" w:ascii="Times New Roman" w:hAnsi="Times New Roman" w:eastAsia="宋体" w:cs="Times New Roman"/>
          <w:bCs/>
          <w:color w:val="000000"/>
          <w:kern w:val="2"/>
          <w:sz w:val="24"/>
          <w:szCs w:val="24"/>
          <w:lang w:val="en-US" w:eastAsia="zh-CN" w:bidi="ar"/>
        </w:rPr>
        <w:t>号）（以下简称鞍山市</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水十条</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），本项目与国家、省、市</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水十条</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相符性分析见表</w:t>
      </w:r>
      <w:r>
        <w:rPr>
          <w:rFonts w:hint="default" w:ascii="Times New Roman" w:hAnsi="Times New Roman" w:eastAsia="宋体" w:cs="Times New Roman"/>
          <w:bCs/>
          <w:color w:val="000000"/>
          <w:kern w:val="2"/>
          <w:sz w:val="24"/>
          <w:szCs w:val="24"/>
          <w:lang w:val="en-US" w:eastAsia="zh-CN" w:bidi="ar"/>
        </w:rPr>
        <w:t>1.6-1</w:t>
      </w:r>
      <w:r>
        <w:rPr>
          <w:rFonts w:hint="eastAsia" w:ascii="Times New Roman" w:hAnsi="Times New Roman" w:eastAsia="宋体" w:cs="Times New Roman"/>
          <w:bCs/>
          <w:color w:val="000000"/>
          <w:kern w:val="2"/>
          <w:sz w:val="24"/>
          <w:szCs w:val="24"/>
          <w:lang w:val="en-US" w:eastAsia="zh-CN" w:bidi="ar"/>
        </w:rPr>
        <w:t>，所列条目及规定均为项目涉及内容。</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bCs/>
          <w:color w:val="000000"/>
          <w:kern w:val="2"/>
          <w:lang w:val="en-US"/>
        </w:rPr>
      </w:pPr>
      <w:r>
        <w:rPr>
          <w:rFonts w:hint="eastAsia" w:ascii="Times New Roman" w:hAnsi="Times New Roman" w:eastAsia="宋体" w:cs="Times New Roman"/>
          <w:bCs/>
          <w:color w:val="000000"/>
          <w:kern w:val="2"/>
          <w:sz w:val="24"/>
          <w:szCs w:val="24"/>
          <w:lang w:val="en-US" w:eastAsia="zh-CN" w:bidi="ar"/>
        </w:rPr>
        <w:t>经比对，本项目不属于</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十小</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企业，不在专项整治十大重点行业的具体整改范围内，不属于严重污染水环境的企业，不在城市建成区内，不属于淘汰落后产能，不属于高耗水企业。企业重视节约用水，本项目生产废水经沉淀处理后回用，不外排；生活污水</w:t>
      </w:r>
      <w:r>
        <w:rPr>
          <w:rFonts w:hint="eastAsia" w:ascii="宋体" w:hAnsi="宋体" w:eastAsia="宋体" w:cs="宋体"/>
          <w:color w:val="000000"/>
          <w:kern w:val="0"/>
          <w:sz w:val="24"/>
          <w:szCs w:val="24"/>
          <w:lang w:val="en-US" w:eastAsia="zh-CN" w:bidi="ar"/>
        </w:rPr>
        <w:t>排入本项目化粪池，定期清掏，堆沤腐熟、就地就近就农利用。</w:t>
      </w:r>
      <w:r>
        <w:rPr>
          <w:rFonts w:hint="eastAsia" w:ascii="Times New Roman" w:hAnsi="Times New Roman" w:eastAsia="宋体" w:cs="Times New Roman"/>
          <w:bCs/>
          <w:color w:val="000000"/>
          <w:kern w:val="2"/>
          <w:sz w:val="24"/>
          <w:szCs w:val="24"/>
          <w:lang w:val="en-US" w:eastAsia="zh-CN" w:bidi="ar"/>
        </w:rPr>
        <w:t>因此，本项目符合国务院</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水十条</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、辽宁省</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水十条</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、鞍山市</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水十条</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要求。</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rPr>
        <w:t>1.6.</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 </w:t>
      </w:r>
      <w:r>
        <w:rPr>
          <w:rFonts w:ascii="Times New Roman" w:hAnsi="Times New Roman" w:cs="Times New Roman"/>
          <w:color w:val="000000"/>
          <w:lang w:eastAsia="zh-CN"/>
        </w:rPr>
        <w:t>“土十条”</w:t>
      </w:r>
      <w:r>
        <w:rPr>
          <w:rFonts w:ascii="Times New Roman" w:hAnsi="Times New Roman" w:cs="Times New Roman"/>
          <w:color w:val="000000"/>
          <w:lang/>
        </w:rPr>
        <w:t>符合性分析</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bCs/>
          <w:color w:val="000000"/>
          <w:kern w:val="2"/>
          <w:lang w:val="en-US"/>
        </w:rPr>
      </w:pPr>
      <w:r>
        <w:rPr>
          <w:rFonts w:hint="eastAsia" w:ascii="Times New Roman" w:hAnsi="Times New Roman" w:eastAsia="宋体" w:cs="Times New Roman"/>
          <w:bCs/>
          <w:color w:val="000000"/>
          <w:kern w:val="2"/>
          <w:sz w:val="24"/>
          <w:szCs w:val="24"/>
          <w:lang w:val="en-US" w:eastAsia="zh-CN" w:bidi="ar"/>
        </w:rPr>
        <w:t>国务院</w:t>
      </w:r>
      <w:r>
        <w:rPr>
          <w:rFonts w:hint="default" w:ascii="Times New Roman" w:hAnsi="Times New Roman" w:eastAsia="宋体" w:cs="Times New Roman"/>
          <w:bCs/>
          <w:color w:val="000000"/>
          <w:kern w:val="2"/>
          <w:sz w:val="24"/>
          <w:szCs w:val="24"/>
          <w:lang w:val="en-US" w:eastAsia="zh-CN" w:bidi="ar"/>
        </w:rPr>
        <w:t>2016</w:t>
      </w:r>
      <w:r>
        <w:rPr>
          <w:rFonts w:hint="eastAsia" w:ascii="Times New Roman" w:hAnsi="Times New Roman" w:eastAsia="宋体" w:cs="Times New Roman"/>
          <w:bCs/>
          <w:color w:val="000000"/>
          <w:kern w:val="2"/>
          <w:sz w:val="24"/>
          <w:szCs w:val="24"/>
          <w:lang w:val="en-US" w:eastAsia="zh-CN" w:bidi="ar"/>
        </w:rPr>
        <w:t>年</w:t>
      </w:r>
      <w:r>
        <w:rPr>
          <w:rFonts w:hint="default" w:ascii="Times New Roman" w:hAnsi="Times New Roman" w:eastAsia="宋体" w:cs="Times New Roman"/>
          <w:bCs/>
          <w:color w:val="000000"/>
          <w:kern w:val="2"/>
          <w:sz w:val="24"/>
          <w:szCs w:val="24"/>
          <w:lang w:val="en-US" w:eastAsia="zh-CN" w:bidi="ar"/>
        </w:rPr>
        <w:t>5</w:t>
      </w:r>
      <w:r>
        <w:rPr>
          <w:rFonts w:hint="eastAsia" w:ascii="Times New Roman" w:hAnsi="Times New Roman" w:eastAsia="宋体" w:cs="Times New Roman"/>
          <w:bCs/>
          <w:color w:val="000000"/>
          <w:kern w:val="2"/>
          <w:sz w:val="24"/>
          <w:szCs w:val="24"/>
          <w:lang w:val="en-US" w:eastAsia="zh-CN" w:bidi="ar"/>
        </w:rPr>
        <w:t>月</w:t>
      </w:r>
      <w:r>
        <w:rPr>
          <w:rFonts w:hint="default" w:ascii="Times New Roman" w:hAnsi="Times New Roman" w:eastAsia="宋体" w:cs="Times New Roman"/>
          <w:bCs/>
          <w:color w:val="000000"/>
          <w:kern w:val="2"/>
          <w:sz w:val="24"/>
          <w:szCs w:val="24"/>
          <w:lang w:val="en-US" w:eastAsia="zh-CN" w:bidi="ar"/>
        </w:rPr>
        <w:t>28</w:t>
      </w:r>
      <w:r>
        <w:rPr>
          <w:rFonts w:hint="eastAsia" w:ascii="Times New Roman" w:hAnsi="Times New Roman" w:eastAsia="宋体" w:cs="Times New Roman"/>
          <w:bCs/>
          <w:color w:val="000000"/>
          <w:kern w:val="2"/>
          <w:sz w:val="24"/>
          <w:szCs w:val="24"/>
          <w:lang w:val="en-US" w:eastAsia="zh-CN" w:bidi="ar"/>
        </w:rPr>
        <w:t>日下发了《国务院关于印发土壤污染防治行动计划的通知》</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国发</w:t>
      </w:r>
      <w:r>
        <w:rPr>
          <w:rFonts w:hint="default" w:ascii="Times New Roman" w:hAnsi="Times New Roman" w:eastAsia="宋体" w:cs="Times New Roman"/>
          <w:bCs/>
          <w:color w:val="000000"/>
          <w:kern w:val="2"/>
          <w:sz w:val="24"/>
          <w:szCs w:val="24"/>
          <w:lang w:val="en-US" w:eastAsia="zh-CN" w:bidi="ar"/>
        </w:rPr>
        <w:t>[2016]31</w:t>
      </w:r>
      <w:r>
        <w:rPr>
          <w:rFonts w:hint="eastAsia" w:ascii="Times New Roman" w:hAnsi="Times New Roman" w:eastAsia="宋体" w:cs="Times New Roman"/>
          <w:bCs/>
          <w:color w:val="000000"/>
          <w:kern w:val="2"/>
          <w:sz w:val="24"/>
          <w:szCs w:val="24"/>
          <w:lang w:val="en-US" w:eastAsia="zh-CN" w:bidi="ar"/>
        </w:rPr>
        <w:t>号</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以下称</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土十条</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；辽宁省人民政府</w:t>
      </w:r>
      <w:r>
        <w:rPr>
          <w:rFonts w:hint="default" w:ascii="Times New Roman" w:hAnsi="Times New Roman" w:eastAsia="宋体" w:cs="Times New Roman"/>
          <w:bCs/>
          <w:color w:val="000000"/>
          <w:kern w:val="2"/>
          <w:sz w:val="24"/>
          <w:szCs w:val="24"/>
          <w:lang w:val="en-US" w:eastAsia="zh-CN" w:bidi="ar"/>
        </w:rPr>
        <w:t>2016</w:t>
      </w:r>
      <w:r>
        <w:rPr>
          <w:rFonts w:hint="eastAsia" w:ascii="Times New Roman" w:hAnsi="Times New Roman" w:eastAsia="宋体" w:cs="Times New Roman"/>
          <w:bCs/>
          <w:color w:val="000000"/>
          <w:kern w:val="2"/>
          <w:sz w:val="24"/>
          <w:szCs w:val="24"/>
          <w:lang w:val="en-US" w:eastAsia="zh-CN" w:bidi="ar"/>
        </w:rPr>
        <w:t>年</w:t>
      </w:r>
      <w:r>
        <w:rPr>
          <w:rFonts w:hint="default" w:ascii="Times New Roman" w:hAnsi="Times New Roman" w:eastAsia="宋体" w:cs="Times New Roman"/>
          <w:bCs/>
          <w:color w:val="000000"/>
          <w:kern w:val="2"/>
          <w:sz w:val="24"/>
          <w:szCs w:val="24"/>
          <w:lang w:val="en-US" w:eastAsia="zh-CN" w:bidi="ar"/>
        </w:rPr>
        <w:t>8</w:t>
      </w:r>
      <w:r>
        <w:rPr>
          <w:rFonts w:hint="eastAsia" w:ascii="Times New Roman" w:hAnsi="Times New Roman" w:eastAsia="宋体" w:cs="Times New Roman"/>
          <w:bCs/>
          <w:color w:val="000000"/>
          <w:kern w:val="2"/>
          <w:sz w:val="24"/>
          <w:szCs w:val="24"/>
          <w:lang w:val="en-US" w:eastAsia="zh-CN" w:bidi="ar"/>
        </w:rPr>
        <w:t>月</w:t>
      </w:r>
      <w:r>
        <w:rPr>
          <w:rFonts w:hint="default" w:ascii="Times New Roman" w:hAnsi="Times New Roman" w:eastAsia="宋体" w:cs="Times New Roman"/>
          <w:bCs/>
          <w:color w:val="000000"/>
          <w:kern w:val="2"/>
          <w:sz w:val="24"/>
          <w:szCs w:val="24"/>
          <w:lang w:val="en-US" w:eastAsia="zh-CN" w:bidi="ar"/>
        </w:rPr>
        <w:t>24</w:t>
      </w:r>
      <w:r>
        <w:rPr>
          <w:rFonts w:hint="eastAsia" w:ascii="Times New Roman" w:hAnsi="Times New Roman" w:eastAsia="宋体" w:cs="Times New Roman"/>
          <w:bCs/>
          <w:color w:val="000000"/>
          <w:kern w:val="2"/>
          <w:sz w:val="24"/>
          <w:szCs w:val="24"/>
          <w:lang w:val="en-US" w:eastAsia="zh-CN" w:bidi="ar"/>
        </w:rPr>
        <w:t>日下发了《关于印发辽宁省土壤污染防治工作方案的通知》</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辽政发</w:t>
      </w:r>
      <w:r>
        <w:rPr>
          <w:rFonts w:hint="default" w:ascii="Times New Roman" w:hAnsi="Times New Roman" w:eastAsia="宋体" w:cs="Times New Roman"/>
          <w:bCs/>
          <w:color w:val="000000"/>
          <w:kern w:val="2"/>
          <w:sz w:val="24"/>
          <w:szCs w:val="24"/>
          <w:lang w:val="en-US" w:eastAsia="zh-CN" w:bidi="ar"/>
        </w:rPr>
        <w:t xml:space="preserve">[2016]58 </w:t>
      </w:r>
      <w:r>
        <w:rPr>
          <w:rFonts w:hint="eastAsia" w:ascii="Times New Roman" w:hAnsi="Times New Roman" w:eastAsia="宋体" w:cs="Times New Roman"/>
          <w:bCs/>
          <w:color w:val="000000"/>
          <w:kern w:val="2"/>
          <w:sz w:val="24"/>
          <w:szCs w:val="24"/>
          <w:lang w:val="en-US" w:eastAsia="zh-CN" w:bidi="ar"/>
        </w:rPr>
        <w:t>号</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以下称辽宁省</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土十条</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。本项目与国务院</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土十条</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、辽宁省</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土十条</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对比情况见表</w:t>
      </w:r>
      <w:r>
        <w:rPr>
          <w:rFonts w:hint="default" w:ascii="Times New Roman" w:hAnsi="Times New Roman" w:eastAsia="宋体" w:cs="Times New Roman"/>
          <w:bCs/>
          <w:color w:val="000000"/>
          <w:kern w:val="2"/>
          <w:sz w:val="24"/>
          <w:szCs w:val="24"/>
          <w:lang w:val="en-US" w:eastAsia="zh-CN" w:bidi="ar"/>
        </w:rPr>
        <w:t>1.6-2</w:t>
      </w:r>
      <w:r>
        <w:rPr>
          <w:rFonts w:hint="eastAsia" w:ascii="Times New Roman" w:hAnsi="Times New Roman" w:eastAsia="宋体" w:cs="Times New Roman"/>
          <w:bCs/>
          <w:color w:val="000000"/>
          <w:kern w:val="2"/>
          <w:sz w:val="24"/>
          <w:szCs w:val="24"/>
          <w:lang w:val="en-US" w:eastAsia="zh-CN" w:bidi="ar"/>
        </w:rPr>
        <w:t>。</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bCs/>
          <w:color w:val="000000"/>
          <w:kern w:val="2"/>
          <w:lang w:val="en-US"/>
        </w:rPr>
      </w:pPr>
      <w:r>
        <w:rPr>
          <w:rFonts w:hint="eastAsia" w:ascii="Times New Roman" w:hAnsi="Times New Roman" w:eastAsia="宋体" w:cs="Times New Roman"/>
          <w:bCs/>
          <w:color w:val="000000"/>
          <w:kern w:val="2"/>
          <w:sz w:val="24"/>
          <w:szCs w:val="24"/>
          <w:lang w:val="en-US" w:eastAsia="zh-CN" w:bidi="ar"/>
        </w:rPr>
        <w:t>根据与</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土十条</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对比：本项目不在</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淘汰涉重金属重点行业落后产能</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之列，不属于淘汰落后产能，符合国务院</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土十条</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、辽宁省</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土十条</w:t>
      </w:r>
      <w:r>
        <w:rPr>
          <w:rFonts w:hint="default" w:ascii="Times New Roman" w:hAnsi="Times New Roman" w:eastAsia="宋体" w:cs="Times New Roman"/>
          <w:bCs/>
          <w:color w:val="000000"/>
          <w:kern w:val="2"/>
          <w:sz w:val="24"/>
          <w:szCs w:val="24"/>
          <w:lang w:val="en-US" w:eastAsia="zh-CN" w:bidi="ar"/>
        </w:rPr>
        <w:t>”</w:t>
      </w:r>
      <w:r>
        <w:rPr>
          <w:rFonts w:hint="eastAsia" w:ascii="Times New Roman" w:hAnsi="Times New Roman" w:eastAsia="宋体" w:cs="Times New Roman"/>
          <w:bCs/>
          <w:color w:val="000000"/>
          <w:kern w:val="2"/>
          <w:sz w:val="24"/>
          <w:szCs w:val="24"/>
          <w:lang w:val="en-US" w:eastAsia="zh-CN" w:bidi="ar"/>
        </w:rPr>
        <w:t>要求。</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rPr>
        <w:t>1.6.</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 xml:space="preserve"> </w:t>
      </w:r>
      <w:r>
        <w:rPr>
          <w:rFonts w:ascii="Times New Roman" w:hAnsi="Times New Roman" w:cs="Times New Roman"/>
          <w:color w:val="000000"/>
          <w:lang/>
        </w:rPr>
        <w:t>打赢蓝天保卫战三年行动计划符合性分析</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本项目符合国家、地方</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打赢蓝天保卫战三年行动计划</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的相关要求，符合性分析见表</w:t>
      </w:r>
      <w:r>
        <w:rPr>
          <w:rFonts w:hint="default" w:ascii="Times New Roman" w:hAnsi="Times New Roman" w:eastAsia="宋体" w:cs="Times New Roman"/>
          <w:color w:val="000000"/>
          <w:kern w:val="0"/>
          <w:sz w:val="24"/>
          <w:szCs w:val="24"/>
          <w:lang w:val="en-US" w:eastAsia="zh-CN" w:bidi="ar"/>
        </w:rPr>
        <w:t>1.6-3</w:t>
      </w:r>
      <w:r>
        <w:rPr>
          <w:rFonts w:hint="eastAsia" w:ascii="Times New Roman" w:hAnsi="Times New Roman" w:eastAsia="宋体" w:cs="Times New Roman"/>
          <w:color w:val="000000"/>
          <w:kern w:val="0"/>
          <w:sz w:val="24"/>
          <w:szCs w:val="24"/>
          <w:lang w:val="en-US" w:eastAsia="zh-CN" w:bidi="ar"/>
        </w:rPr>
        <w:t>和表</w:t>
      </w:r>
      <w:r>
        <w:rPr>
          <w:rFonts w:hint="default" w:ascii="Times New Roman" w:hAnsi="Times New Roman" w:eastAsia="宋体" w:cs="Times New Roman"/>
          <w:color w:val="000000"/>
          <w:kern w:val="0"/>
          <w:sz w:val="24"/>
          <w:szCs w:val="24"/>
          <w:lang w:val="en-US" w:eastAsia="zh-CN" w:bidi="ar"/>
        </w:rPr>
        <w:t>1.6-4</w:t>
      </w:r>
      <w:r>
        <w:rPr>
          <w:rFonts w:hint="eastAsia" w:ascii="Times New Roman" w:hAnsi="Times New Roman" w:eastAsia="宋体" w:cs="Times New Roman"/>
          <w:color w:val="000000"/>
          <w:kern w:val="0"/>
          <w:sz w:val="24"/>
          <w:szCs w:val="24"/>
          <w:lang w:val="en-US" w:eastAsia="zh-CN" w:bidi="ar"/>
        </w:rPr>
        <w:t>。</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rPr>
        <w:t>1.6.</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 “</w:t>
      </w:r>
      <w:r>
        <w:rPr>
          <w:rFonts w:ascii="Times New Roman" w:hAnsi="Times New Roman" w:cs="Times New Roman"/>
          <w:color w:val="000000"/>
          <w:lang/>
        </w:rPr>
        <w:t>三线一单</w:t>
      </w:r>
      <w:r>
        <w:rPr>
          <w:rFonts w:hint="default" w:ascii="Times New Roman" w:hAnsi="Times New Roman" w:cs="Times New Roman"/>
          <w:color w:val="000000"/>
          <w:lang/>
        </w:rPr>
        <w:t>”</w:t>
      </w:r>
      <w:r>
        <w:rPr>
          <w:rFonts w:ascii="Times New Roman" w:hAnsi="Times New Roman" w:cs="Times New Roman"/>
          <w:color w:val="000000"/>
          <w:lang/>
        </w:rPr>
        <w:t>约束作用、</w:t>
      </w:r>
      <w:r>
        <w:rPr>
          <w:rFonts w:hint="default" w:ascii="Times New Roman" w:hAnsi="Times New Roman" w:cs="Times New Roman"/>
          <w:color w:val="000000"/>
          <w:lang/>
        </w:rPr>
        <w:t>“</w:t>
      </w:r>
      <w:r>
        <w:rPr>
          <w:rFonts w:ascii="Times New Roman" w:hAnsi="Times New Roman" w:cs="Times New Roman"/>
          <w:color w:val="000000"/>
          <w:lang/>
        </w:rPr>
        <w:t>三挂钩</w:t>
      </w:r>
      <w:r>
        <w:rPr>
          <w:rFonts w:hint="default" w:ascii="Times New Roman" w:hAnsi="Times New Roman" w:cs="Times New Roman"/>
          <w:color w:val="000000"/>
          <w:lang/>
        </w:rPr>
        <w:t>”</w:t>
      </w:r>
      <w:r>
        <w:rPr>
          <w:rFonts w:ascii="Times New Roman" w:hAnsi="Times New Roman" w:cs="Times New Roman"/>
          <w:color w:val="000000"/>
          <w:lang/>
        </w:rPr>
        <w:t>机制符合性分析</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通过对照环环评</w:t>
      </w:r>
      <w:r>
        <w:rPr>
          <w:rFonts w:hint="default" w:ascii="Times New Roman" w:hAnsi="Times New Roman" w:eastAsia="宋体" w:cs="Times New Roman"/>
          <w:color w:val="000000"/>
          <w:kern w:val="0"/>
          <w:sz w:val="24"/>
          <w:szCs w:val="24"/>
          <w:lang w:val="en-US" w:eastAsia="zh-CN" w:bidi="ar"/>
        </w:rPr>
        <w:t>[2016]150</w:t>
      </w:r>
      <w:r>
        <w:rPr>
          <w:rFonts w:hint="eastAsia" w:ascii="Times New Roman" w:hAnsi="Times New Roman" w:eastAsia="宋体" w:cs="Times New Roman"/>
          <w:color w:val="000000"/>
          <w:kern w:val="0"/>
          <w:sz w:val="24"/>
          <w:szCs w:val="24"/>
          <w:lang w:val="en-US" w:eastAsia="zh-CN" w:bidi="ar"/>
        </w:rPr>
        <w:t>号文《关于以改善环境质量为核心加强环境影响评价管理的通知》，本项目符合现行环境管理要求，具体见表</w:t>
      </w:r>
      <w:r>
        <w:rPr>
          <w:rFonts w:hint="default" w:ascii="Times New Roman" w:hAnsi="Times New Roman" w:eastAsia="宋体" w:cs="Times New Roman"/>
          <w:color w:val="000000"/>
          <w:kern w:val="0"/>
          <w:sz w:val="24"/>
          <w:szCs w:val="24"/>
          <w:lang w:val="en-US" w:eastAsia="zh-CN" w:bidi="ar"/>
        </w:rPr>
        <w:t>1.6-5</w:t>
      </w:r>
      <w:r>
        <w:rPr>
          <w:rFonts w:hint="eastAsia" w:ascii="Times New Roman" w:hAnsi="Times New Roman" w:eastAsia="宋体" w:cs="Times New Roman"/>
          <w:color w:val="000000"/>
          <w:kern w:val="0"/>
          <w:sz w:val="24"/>
          <w:szCs w:val="24"/>
          <w:lang w:val="en-US" w:eastAsia="zh-CN" w:bidi="ar"/>
        </w:rPr>
        <w:t>和表</w:t>
      </w:r>
      <w:r>
        <w:rPr>
          <w:rFonts w:hint="default" w:ascii="Times New Roman" w:hAnsi="Times New Roman" w:eastAsia="宋体" w:cs="Times New Roman"/>
          <w:color w:val="000000"/>
          <w:kern w:val="0"/>
          <w:sz w:val="24"/>
          <w:szCs w:val="24"/>
          <w:lang w:val="en-US" w:eastAsia="zh-CN" w:bidi="ar"/>
        </w:rPr>
        <w:t>1.6-6</w:t>
      </w:r>
      <w:r>
        <w:rPr>
          <w:rFonts w:hint="eastAsia" w:ascii="Times New Roman" w:hAnsi="Times New Roman" w:eastAsia="宋体" w:cs="Times New Roman"/>
          <w:color w:val="000000"/>
          <w:kern w:val="0"/>
          <w:sz w:val="24"/>
          <w:szCs w:val="24"/>
          <w:lang w:val="en-US" w:eastAsia="zh-CN" w:bidi="ar"/>
        </w:rPr>
        <w:t>。</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rPr>
        <w:t>1.6.</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5</w:t>
      </w:r>
      <w:r>
        <w:rPr>
          <w:rFonts w:hint="default" w:ascii="Times New Roman" w:hAnsi="Times New Roman" w:cs="Times New Roman"/>
          <w:color w:val="000000"/>
          <w:lang/>
        </w:rPr>
        <w:t xml:space="preserve"> </w:t>
      </w:r>
      <w:r>
        <w:rPr>
          <w:rFonts w:ascii="Times New Roman" w:hAnsi="Times New Roman" w:cs="Times New Roman"/>
          <w:color w:val="000000"/>
          <w:lang w:eastAsia="zh-CN"/>
        </w:rPr>
        <w:t>《海城市镁制品项目建设指导意见》</w:t>
      </w:r>
      <w:r>
        <w:rPr>
          <w:rFonts w:ascii="Times New Roman" w:hAnsi="Times New Roman" w:cs="Times New Roman"/>
          <w:color w:val="000000"/>
          <w:lang/>
        </w:rPr>
        <w:t>符合性分析</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bCs/>
          <w:color w:val="000000"/>
          <w:kern w:val="2"/>
          <w:sz w:val="24"/>
          <w:szCs w:val="24"/>
          <w:lang w:val="en-US" w:eastAsia="zh-CN" w:bidi="ar"/>
        </w:rPr>
        <w:t>本项目属于资源综合利用项目，符合</w:t>
      </w:r>
      <w:bookmarkStart w:id="95" w:name="_Hlk38460338"/>
      <w:r>
        <w:rPr>
          <w:rFonts w:hint="eastAsia" w:ascii="宋体" w:hAnsi="宋体" w:eastAsia="宋体" w:cs="宋体"/>
          <w:bCs/>
          <w:color w:val="000000"/>
          <w:kern w:val="2"/>
          <w:sz w:val="24"/>
          <w:szCs w:val="24"/>
          <w:lang w:val="en-US" w:eastAsia="zh-CN" w:bidi="ar"/>
        </w:rPr>
        <w:t>《海城市镁制品项目建设指导意见》</w:t>
      </w:r>
      <w:bookmarkEnd w:id="95"/>
      <w:r>
        <w:rPr>
          <w:rFonts w:hint="eastAsia" w:ascii="宋体" w:hAnsi="宋体" w:eastAsia="宋体" w:cs="宋体"/>
          <w:bCs/>
          <w:color w:val="000000"/>
          <w:kern w:val="2"/>
          <w:sz w:val="24"/>
          <w:szCs w:val="24"/>
          <w:lang w:val="en-US" w:eastAsia="zh-CN" w:bidi="ar"/>
        </w:rPr>
        <w:t>中的相关要求，具体见</w:t>
      </w:r>
      <w:r>
        <w:rPr>
          <w:rFonts w:hint="eastAsia" w:ascii="Times New Roman" w:hAnsi="Times New Roman" w:eastAsia="宋体" w:cs="Times New Roman"/>
          <w:color w:val="000000"/>
          <w:kern w:val="0"/>
          <w:sz w:val="24"/>
          <w:szCs w:val="24"/>
          <w:lang w:val="en-US" w:eastAsia="zh-CN" w:bidi="ar"/>
        </w:rPr>
        <w:t>表</w:t>
      </w:r>
      <w:r>
        <w:rPr>
          <w:rFonts w:hint="default" w:ascii="Times New Roman" w:hAnsi="Times New Roman" w:eastAsia="宋体" w:cs="Times New Roman"/>
          <w:color w:val="000000"/>
          <w:kern w:val="0"/>
          <w:sz w:val="24"/>
          <w:szCs w:val="24"/>
          <w:lang w:val="en-US" w:eastAsia="zh-CN" w:bidi="ar"/>
        </w:rPr>
        <w:t>1.6-7</w:t>
      </w:r>
      <w:r>
        <w:rPr>
          <w:rFonts w:hint="eastAsia" w:ascii="宋体" w:hAnsi="宋体" w:eastAsia="宋体" w:cs="宋体"/>
          <w:bCs/>
          <w:color w:val="000000"/>
          <w:kern w:val="2"/>
          <w:sz w:val="24"/>
          <w:szCs w:val="24"/>
          <w:lang w:val="en-US" w:eastAsia="zh-CN" w:bidi="ar"/>
        </w:rPr>
        <w:t>。</w:t>
      </w:r>
    </w:p>
    <w:p>
      <w:pPr>
        <w:keepNext w:val="0"/>
        <w:keepLines w:val="0"/>
        <w:widowControl/>
        <w:suppressLineNumbers w:val="0"/>
        <w:spacing w:before="0" w:beforeAutospacing="0" w:after="0" w:afterAutospacing="0" w:line="460" w:lineRule="exact"/>
        <w:ind w:left="0" w:right="0" w:firstLine="420" w:firstLineChars="200"/>
        <w:jc w:val="left"/>
        <w:rPr>
          <w:rFonts w:hint="default" w:ascii="Times New Roman" w:hAnsi="Times New Roman" w:cs="Times New Roman"/>
          <w:color w:val="000000"/>
          <w:lang w:val="en-US"/>
        </w:rPr>
      </w:pPr>
    </w:p>
    <w:p>
      <w:pPr>
        <w:rPr>
          <w:rFonts w:hint="default" w:ascii="Times New Roman" w:hAnsi="Times New Roman" w:eastAsia="宋体" w:cs="Times New Roman"/>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p>
      <w:pPr>
        <w:pStyle w:val="56"/>
        <w:widowControl/>
        <w:snapToGrid/>
        <w:rPr>
          <w:color w:val="000000"/>
          <w:lang w:val="en-US"/>
        </w:rPr>
      </w:pPr>
      <w:r>
        <w:rPr>
          <w:rFonts w:hint="eastAsia" w:ascii="Times New Roman" w:hAnsi="Times New Roman" w:eastAsia="黑体" w:cs="黑体"/>
          <w:color w:val="000000"/>
          <w:lang w:eastAsia="zh-CN"/>
        </w:rPr>
        <w:t>表</w:t>
      </w:r>
      <w:r>
        <w:rPr>
          <w:color w:val="000000"/>
          <w:lang w:val="en-US"/>
        </w:rPr>
        <w:t xml:space="preserve">1.6-1  </w:t>
      </w:r>
      <w:r>
        <w:rPr>
          <w:rFonts w:hint="eastAsia" w:ascii="Times New Roman" w:hAnsi="Times New Roman" w:eastAsia="黑体" w:cs="黑体"/>
          <w:color w:val="000000"/>
          <w:lang w:eastAsia="zh-CN"/>
        </w:rPr>
        <w:t>本项目与“水十条”相符性分析表</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646"/>
        <w:gridCol w:w="3687"/>
        <w:gridCol w:w="3277"/>
        <w:gridCol w:w="3687"/>
        <w:gridCol w:w="1366"/>
        <w:gridCol w:w="989"/>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50" w:hRule="atLeast"/>
          <w:tblHeader/>
          <w:jc w:val="center"/>
        </w:trPr>
        <w:tc>
          <w:tcPr>
            <w:tcW w:w="237" w:type="pc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序号</w:t>
            </w:r>
          </w:p>
        </w:tc>
        <w:tc>
          <w:tcPr>
            <w:tcW w:w="1350"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国务院“水十条”</w:t>
            </w:r>
          </w:p>
        </w:tc>
        <w:tc>
          <w:tcPr>
            <w:tcW w:w="1200"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辽宁省“水十条”</w:t>
            </w:r>
          </w:p>
        </w:tc>
        <w:tc>
          <w:tcPr>
            <w:tcW w:w="1350"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鞍山市“水十条”</w:t>
            </w:r>
          </w:p>
        </w:tc>
        <w:tc>
          <w:tcPr>
            <w:tcW w:w="500"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本项目情况</w:t>
            </w:r>
          </w:p>
        </w:tc>
        <w:tc>
          <w:tcPr>
            <w:tcW w:w="362"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符合性</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20" w:hRule="atLeast"/>
          <w:jc w:val="center"/>
        </w:trPr>
        <w:tc>
          <w:tcPr>
            <w:tcW w:w="237"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1</w:t>
            </w:r>
          </w:p>
        </w:tc>
        <w:tc>
          <w:tcPr>
            <w:tcW w:w="135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一、(一)狠抓工业污染防治。2016年底前，按照水污染防治法律法规要求，全部取缔不符合国家产业政策的小型造纸、制革、印染、染料、炼焦、炼硫、炼砷、炼油、电镀、农药等严重污染水环境的生产项目。</w:t>
            </w:r>
          </w:p>
        </w:tc>
        <w:tc>
          <w:tcPr>
            <w:tcW w:w="120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三、(一)1.狠抓工业污染防治。取缔不符合产业政策的工业企业。开展地方重点行业污染整治，全面排查装备水平低、环保设施差的小型工业企业，发现一个，缔一个。</w:t>
            </w:r>
          </w:p>
        </w:tc>
        <w:tc>
          <w:tcPr>
            <w:tcW w:w="135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三、(一)1.全市涉及的水污染重点行业主要有造纸、焦化、有色金属、印染、农副食品加工、制药、电镀等7 个行业。在“十三五”期间以取缔违规企业、清洁化和生产技术改造为抓手，开展水污染重点行业整治工作。</w:t>
            </w:r>
          </w:p>
        </w:tc>
        <w:tc>
          <w:tcPr>
            <w:tcW w:w="50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本项目不属于所列的严重污染水污染的企业。</w:t>
            </w:r>
          </w:p>
        </w:tc>
        <w:tc>
          <w:tcPr>
            <w:tcW w:w="36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20" w:hRule="atLeast"/>
          <w:jc w:val="center"/>
        </w:trPr>
        <w:tc>
          <w:tcPr>
            <w:tcW w:w="237"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2</w:t>
            </w:r>
          </w:p>
        </w:tc>
        <w:tc>
          <w:tcPr>
            <w:tcW w:w="135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二、(五)调整产业结构。依法淘汰落后产能。自2015 年起，各地要依据部分工业行业淘汰落后生产工艺装备和产品指导目录、产业结构调整指导目录及相关行业污染物排放标准，结合水质改善要求及产业发展情况，制定并实施分年度的落后产能淘汰方案，报工业和信息化部、环境保护部备案。</w:t>
            </w:r>
          </w:p>
        </w:tc>
        <w:tc>
          <w:tcPr>
            <w:tcW w:w="120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三、(二)1.依法淘汰落后产能。依据部分工业行业淘汰落后生产工艺装备和产品指导目录、产业结构调整指导目录及相关行业污染物排放标准，结合水质改善要</w:t>
            </w:r>
          </w:p>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求及产业发展情况，按照法制化、市场化原则，制定并实施年度落后产能淘汰方案。</w:t>
            </w:r>
          </w:p>
        </w:tc>
        <w:tc>
          <w:tcPr>
            <w:tcW w:w="135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三、(一)1.取缔不符合国家产业政策工业企业。2016 年底前，按照水污染防治法律法规要求，全部取缔不符合国家产业政策和行业准入条件的小型造纸、制革、印染、染料、炼焦、炼硫、炼砷、炼油、电镀、农药等严重污染水环境的企业。</w:t>
            </w:r>
          </w:p>
        </w:tc>
        <w:tc>
          <w:tcPr>
            <w:tcW w:w="50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本项目不属于落后产能，属于国家、省产业政策鼓励类项目。</w:t>
            </w:r>
          </w:p>
        </w:tc>
        <w:tc>
          <w:tcPr>
            <w:tcW w:w="36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20" w:hRule="atLeast"/>
          <w:jc w:val="center"/>
        </w:trPr>
        <w:tc>
          <w:tcPr>
            <w:tcW w:w="237"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3</w:t>
            </w:r>
          </w:p>
        </w:tc>
        <w:tc>
          <w:tcPr>
            <w:tcW w:w="135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二、(六)优化空间布局。鼓励发展节水高效现代农业、低耗水高新技术产业以及生态保护型旅游业，严格控制缺水地区、水污染严重地区和敏感区域高耗水、高污染行业发展，新建、改建、扩建重点行业建设项目实行主要污染物排放减量置换。推动污染企业退出。城市建成区内现有钢铁、有色金属、造纸、印染、原料药制造、化工等污染较重的企业应有序搬迁改造或依法关闭。</w:t>
            </w:r>
          </w:p>
        </w:tc>
        <w:tc>
          <w:tcPr>
            <w:tcW w:w="120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三、(二)3．优化产业空间布局。重大项目原则上布局在优化开发区和重点开发区，并符合城乡规划和土地利用总体规划。鼓励发展节水高效现代农业、低耗水高</w:t>
            </w:r>
          </w:p>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新技术产业以及生态保护型旅游业，严格控制缺水地区、水污染严重地区和敏感区域高耗水、高污染行业发展，新建、改建、扩建重点行业建设项目实行主要污染物排放减量置换。</w:t>
            </w:r>
          </w:p>
        </w:tc>
        <w:tc>
          <w:tcPr>
            <w:tcW w:w="135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三、(二)1．依法淘汰落后产能。按照国家产业结构调整指导目录，对全市范围内落后产能情况进行排查，着力解决印染行业过剩产能和落后产能问题，淘汰一批工艺落后、能耗、水耗高的企业。3.鼓励发展节水高效现代农业、低耗水高新技术产业以及生态保护型旅游业，严格控制缺水地区、水污染严重地区和敏感区域高耗水、高污染行业发展，新建、改建、扩建重点行业建设项目实行主要污染物排放减量置换。</w:t>
            </w:r>
          </w:p>
        </w:tc>
        <w:tc>
          <w:tcPr>
            <w:tcW w:w="50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本项目不在城市建成区，本项目选址满足规划要求；本项目不属于产能过剩项目，不属于高耗能、高耗水、高污染行业。</w:t>
            </w:r>
          </w:p>
        </w:tc>
        <w:tc>
          <w:tcPr>
            <w:tcW w:w="36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20" w:hRule="atLeast"/>
          <w:jc w:val="center"/>
        </w:trPr>
        <w:tc>
          <w:tcPr>
            <w:tcW w:w="237"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4</w:t>
            </w:r>
          </w:p>
        </w:tc>
        <w:tc>
          <w:tcPr>
            <w:tcW w:w="1350"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二、(七)推进循环发展。加强工业水循环利用。推进矿井水综合利用，煤炭矿区的补充用水、周边地区生产和生态用水应优先使用矿井水，加强洗煤废水循环利用。鼓励钢铁、纺织印染、造纸、石油石化、化工、制革等高耗水企业废水深度处理回用。</w:t>
            </w:r>
          </w:p>
        </w:tc>
        <w:tc>
          <w:tcPr>
            <w:tcW w:w="1200"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三、(二)4．推进循环发展。加强工业水循环利用。推进矿井水综合利用，煤炭矿区补充用水、周边地区生产和生态用水优先使用矿井水，加快洗煤废水循环利用，并在沈煤集团等重点企业开展试点。鼓励钢铁、纺织印染、造纸、石油石化、化工、制革等高耗水企业废水深度处理回用，不断提高中水回用率，提高水循环利用率。</w:t>
            </w:r>
          </w:p>
        </w:tc>
        <w:tc>
          <w:tcPr>
            <w:tcW w:w="1350"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三、(二)4．推进循环发展。加强工业水循环利用。重点调查钢铁、印染、农副</w:t>
            </w:r>
          </w:p>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食品加工、焦化企业的水资源利用情况，评估其工业水循环利用水平。鼓励钢铁、纺织印染、农副食品加工业等高耗水企业废水深度处理回用，不断提高中水回用率，提高水循环利用率。</w:t>
            </w:r>
          </w:p>
        </w:tc>
        <w:tc>
          <w:tcPr>
            <w:tcW w:w="500"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本项目选矿废水经沉淀后回用。</w:t>
            </w:r>
          </w:p>
        </w:tc>
        <w:tc>
          <w:tcPr>
            <w:tcW w:w="362"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符合</w:t>
            </w:r>
          </w:p>
        </w:tc>
      </w:tr>
    </w:tbl>
    <w:p>
      <w:pPr>
        <w:pStyle w:val="56"/>
        <w:widowControl/>
        <w:snapToGrid/>
        <w:rPr>
          <w:color w:val="000000"/>
          <w:lang w:val="en-US"/>
        </w:rPr>
      </w:pPr>
      <w:r>
        <w:rPr>
          <w:rFonts w:hint="eastAsia" w:ascii="Times New Roman" w:hAnsi="Times New Roman" w:eastAsia="黑体" w:cs="黑体"/>
          <w:color w:val="000000"/>
          <w:lang w:eastAsia="zh-CN"/>
        </w:rPr>
        <w:t>表</w:t>
      </w:r>
      <w:r>
        <w:rPr>
          <w:color w:val="000000"/>
          <w:lang w:val="en-US"/>
        </w:rPr>
        <w:t xml:space="preserve">1.6-2  </w:t>
      </w:r>
      <w:r>
        <w:rPr>
          <w:rFonts w:hint="eastAsia" w:ascii="Times New Roman" w:hAnsi="Times New Roman" w:eastAsia="黑体" w:cs="黑体"/>
          <w:color w:val="000000"/>
          <w:lang w:eastAsia="zh-CN"/>
        </w:rPr>
        <w:t>本项目与“土十条”相符性分析表</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712"/>
        <w:gridCol w:w="3932"/>
        <w:gridCol w:w="3825"/>
        <w:gridCol w:w="2750"/>
        <w:gridCol w:w="1584"/>
        <w:gridCol w:w="849"/>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blHeader/>
          <w:jc w:val="center"/>
        </w:trPr>
        <w:tc>
          <w:tcPr>
            <w:tcW w:w="261" w:type="pc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序号</w:t>
            </w:r>
          </w:p>
        </w:tc>
        <w:tc>
          <w:tcPr>
            <w:tcW w:w="1440"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国务院“土十条”</w:t>
            </w:r>
          </w:p>
        </w:tc>
        <w:tc>
          <w:tcPr>
            <w:tcW w:w="1401"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辽宁省“土十条”</w:t>
            </w:r>
          </w:p>
        </w:tc>
        <w:tc>
          <w:tcPr>
            <w:tcW w:w="1007"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鞍山市“土十条”</w:t>
            </w:r>
          </w:p>
        </w:tc>
        <w:tc>
          <w:tcPr>
            <w:tcW w:w="580"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本项目情况</w:t>
            </w:r>
          </w:p>
        </w:tc>
        <w:tc>
          <w:tcPr>
            <w:tcW w:w="311"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符合性</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jc w:val="center"/>
        </w:trPr>
        <w:tc>
          <w:tcPr>
            <w:tcW w:w="261"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1</w:t>
            </w:r>
          </w:p>
        </w:tc>
        <w:tc>
          <w:tcPr>
            <w:tcW w:w="144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二、(六)全面强化监管执法。明确监管重点。……，重点监管有色金属矿采选、有色金属冶炼、石油开采、石油加工、化工、焦化、电镀、制革等行业，以及产粮(油)大县、地级以上城市建成区等区域。</w:t>
            </w:r>
          </w:p>
        </w:tc>
        <w:tc>
          <w:tcPr>
            <w:tcW w:w="140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三、(二)6.全面强化监管执法。重点监测土壤中镉、汞、砷、铅、铬等重金属和多环芳烃、石油烃等有机污染物，重点监管有色金属矿采选、有色金属冶炼、石油开采、石油加工、化工、焦化、电镀、制革等行业以及产粮（油）大县、地级以上城市建成区等区域。</w:t>
            </w:r>
          </w:p>
        </w:tc>
        <w:tc>
          <w:tcPr>
            <w:tcW w:w="100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w:t>
            </w:r>
          </w:p>
        </w:tc>
        <w:tc>
          <w:tcPr>
            <w:tcW w:w="58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本项目不属于国家、辽宁省重点监管行业，不在所列严控工矿污染的行业范围内。</w:t>
            </w:r>
          </w:p>
        </w:tc>
        <w:tc>
          <w:tcPr>
            <w:tcW w:w="31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jc w:val="center"/>
        </w:trPr>
        <w:tc>
          <w:tcPr>
            <w:tcW w:w="261"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2</w:t>
            </w:r>
          </w:p>
        </w:tc>
        <w:tc>
          <w:tcPr>
            <w:tcW w:w="144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六、(十八)严防矿产资源开发污染土壤。自2017 年起，内蒙古、江西、河南、湖北、湖南、广东、广西、四川、贵州、云南、陕西、甘肃、新疆等省(区)矿产资源开发活动集中的区域，执行重点污染物特别排放限值。全面整治历史遗留尾矿库，完善覆膜、压土、排洪、堤坝加固等隐患治理和闭库措施。</w:t>
            </w:r>
          </w:p>
        </w:tc>
        <w:tc>
          <w:tcPr>
            <w:tcW w:w="140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三、(六)18．严控工矿污染。严防矿产资源开发污染土壤。对省内矿产资源开发活动集中区域，适时执行重点污染物特别排放限值。全面整治历史遗留尾矿库，完善覆膜、压土、排洪、堤坝加固等隐患治理和闭库措施。</w:t>
            </w:r>
          </w:p>
        </w:tc>
        <w:tc>
          <w:tcPr>
            <w:tcW w:w="100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三、(六)18．严控工矿污染,加强日常环境监管。依据国家有关规定，根据企业分布和污染排放情况，确定全市土壤环境重点监管企业共41家，名单实行动态更新，并向社会公布。</w:t>
            </w:r>
          </w:p>
        </w:tc>
        <w:tc>
          <w:tcPr>
            <w:tcW w:w="58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辽宁省不属于国务院“土十条”所列矿产资源开发活动集中区域，本项目尾矿外售综合利用。</w:t>
            </w:r>
          </w:p>
        </w:tc>
        <w:tc>
          <w:tcPr>
            <w:tcW w:w="31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jc w:val="center"/>
        </w:trPr>
        <w:tc>
          <w:tcPr>
            <w:tcW w:w="261"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3</w:t>
            </w:r>
          </w:p>
        </w:tc>
        <w:tc>
          <w:tcPr>
            <w:tcW w:w="144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六、(十八)继续淘汰涉重金属重点行业落后产能，完善重金属相关行业准入条件，禁止新建落后产能或产能严重过剩行业的建设项目。</w:t>
            </w:r>
          </w:p>
        </w:tc>
        <w:tc>
          <w:tcPr>
            <w:tcW w:w="140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三、(六)18．加强涉重金属行业污染防控。严格执行重金属污染物排放标准并落实相关总量控制指，……继续淘汰涉重金属重点行业落后产能，禁止新建落后产能或产能严重过剩行业项目。</w:t>
            </w:r>
          </w:p>
        </w:tc>
        <w:tc>
          <w:tcPr>
            <w:tcW w:w="100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三、(六)18．合理调整产业结构，加大涉重金属行业落后产能淘汰力度，禁止新建落后产能或产能严重过剩行业的建设项目。</w:t>
            </w:r>
          </w:p>
        </w:tc>
        <w:tc>
          <w:tcPr>
            <w:tcW w:w="58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本项目不属于涉重金属重点行业，也不属于落后产能。</w:t>
            </w:r>
          </w:p>
        </w:tc>
        <w:tc>
          <w:tcPr>
            <w:tcW w:w="31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jc w:val="center"/>
        </w:trPr>
        <w:tc>
          <w:tcPr>
            <w:tcW w:w="261"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4</w:t>
            </w:r>
          </w:p>
        </w:tc>
        <w:tc>
          <w:tcPr>
            <w:tcW w:w="1440"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六、(十八)加强工业废物处理处置。全面整治尾矿、煤矸石、工业副产石膏、粉煤灰、赤泥、冶炼渣、电石渣、铬渣、砷渣以及脱硫、脱硝、除尘产生固体废物的堆存场所，完善防扬散、防流失、防渗漏等设施，制定整治方案并有序实施。加强工业固体废物综合利用。</w:t>
            </w:r>
          </w:p>
        </w:tc>
        <w:tc>
          <w:tcPr>
            <w:tcW w:w="1401"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三、(六)18．加强工业废物处理处置。全面整治尾矿、煤矸石、工业副产石膏、粉煤灰、冶炼渣、电石渣、铬渣、砷渣以及脱硫、脱硝、除尘产生固体废物的堆存场所，完善防扬散、防流失、防渗漏等设施，制定整治方案并有序实施。</w:t>
            </w:r>
          </w:p>
        </w:tc>
        <w:tc>
          <w:tcPr>
            <w:tcW w:w="1007"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三、(六)18．加强工业废物处理处置。全面整治尾矿、工业副产石膏、粉煤灰、冶炼渣、电石渣、铬渣以及脱硫、脱硝、除尘产生固体废物的堆存场所。完善防扬散、防流失、防渗漏等设施，制定整治方案并有序实施。加强工业固体废物综合利用。</w:t>
            </w:r>
          </w:p>
        </w:tc>
        <w:tc>
          <w:tcPr>
            <w:tcW w:w="580"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left"/>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本项目产生的工业废物均在封闭的场所暂存。</w:t>
            </w:r>
          </w:p>
        </w:tc>
        <w:tc>
          <w:tcPr>
            <w:tcW w:w="311"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符合</w:t>
            </w:r>
          </w:p>
        </w:tc>
      </w:tr>
    </w:tbl>
    <w:p>
      <w:pPr>
        <w:keepNext w:val="0"/>
        <w:keepLines w:val="0"/>
        <w:widowControl/>
        <w:suppressLineNumbers w:val="0"/>
        <w:adjustRightInd w:val="0"/>
        <w:snapToGrid w:val="0"/>
        <w:spacing w:before="0" w:beforeAutospacing="0" w:after="0" w:afterAutospacing="0" w:line="288" w:lineRule="auto"/>
        <w:ind w:left="0" w:right="0"/>
        <w:jc w:val="left"/>
        <w:rPr>
          <w:rFonts w:hint="default" w:ascii="Times New Roman" w:hAnsi="Times New Roman" w:eastAsia="黑体" w:cs="Times New Roman"/>
          <w:color w:val="000000"/>
          <w:lang w:val="en-US"/>
        </w:rPr>
      </w:pPr>
    </w:p>
    <w:p>
      <w:pPr>
        <w:keepNext w:val="0"/>
        <w:keepLines w:val="0"/>
        <w:widowControl/>
        <w:suppressLineNumbers w:val="0"/>
        <w:adjustRightInd w:val="0"/>
        <w:snapToGrid w:val="0"/>
        <w:spacing w:before="0" w:beforeAutospacing="0" w:after="0" w:afterAutospacing="0" w:line="288" w:lineRule="auto"/>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1.6-3  </w:t>
      </w:r>
      <w:r>
        <w:rPr>
          <w:rFonts w:hint="eastAsia" w:ascii="Times New Roman" w:hAnsi="Times New Roman" w:eastAsia="黑体" w:cs="Times New Roman"/>
          <w:color w:val="000000"/>
          <w:kern w:val="0"/>
          <w:sz w:val="24"/>
          <w:szCs w:val="24"/>
          <w:lang w:val="en-US" w:eastAsia="zh-CN" w:bidi="ar"/>
        </w:rPr>
        <w:t>本项目与国家</w:t>
      </w:r>
      <w:r>
        <w:rPr>
          <w:rFonts w:hint="default" w:ascii="Times New Roman" w:hAnsi="Times New Roman" w:eastAsia="黑体" w:cs="Times New Roman"/>
          <w:color w:val="000000"/>
          <w:kern w:val="0"/>
          <w:sz w:val="24"/>
          <w:szCs w:val="24"/>
          <w:lang w:val="en-US" w:eastAsia="zh-CN" w:bidi="ar"/>
        </w:rPr>
        <w:t>“</w:t>
      </w:r>
      <w:r>
        <w:rPr>
          <w:rFonts w:hint="eastAsia" w:ascii="Times New Roman" w:hAnsi="Times New Roman" w:eastAsia="黑体" w:cs="Times New Roman"/>
          <w:color w:val="000000"/>
          <w:kern w:val="0"/>
          <w:sz w:val="24"/>
          <w:szCs w:val="24"/>
          <w:lang w:val="en-US" w:eastAsia="zh-CN" w:bidi="ar"/>
        </w:rPr>
        <w:t>打赢蓝天保卫战三年行动计划</w:t>
      </w:r>
      <w:r>
        <w:rPr>
          <w:rFonts w:hint="default" w:ascii="Times New Roman" w:hAnsi="Times New Roman" w:eastAsia="黑体" w:cs="Times New Roman"/>
          <w:color w:val="000000"/>
          <w:kern w:val="0"/>
          <w:sz w:val="24"/>
          <w:szCs w:val="24"/>
          <w:lang w:val="en-US" w:eastAsia="zh-CN" w:bidi="ar"/>
        </w:rPr>
        <w:t>”</w:t>
      </w:r>
      <w:r>
        <w:rPr>
          <w:rFonts w:hint="eastAsia" w:ascii="Times New Roman" w:hAnsi="Times New Roman" w:eastAsia="黑体" w:cs="Times New Roman"/>
          <w:color w:val="000000"/>
          <w:kern w:val="0"/>
          <w:sz w:val="24"/>
          <w:szCs w:val="24"/>
          <w:lang w:val="en-US" w:eastAsia="zh-CN" w:bidi="ar"/>
        </w:rPr>
        <w:t>符合性分析表</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954"/>
        <w:gridCol w:w="7181"/>
        <w:gridCol w:w="4536"/>
        <w:gridCol w:w="878"/>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291" w:hRule="atLeast"/>
          <w:tblHeader/>
          <w:jc w:val="center"/>
        </w:trPr>
        <w:tc>
          <w:tcPr>
            <w:tcW w:w="352" w:type="pct"/>
            <w:tcBorders>
              <w:top w:val="thinThickSmallGap" w:color="auto" w:sz="12" w:space="0"/>
              <w:left w:val="nil"/>
              <w:bottom w:val="single" w:color="auto" w:sz="6" w:space="0"/>
              <w:right w:val="single" w:color="auto" w:sz="6" w:space="0"/>
            </w:tcBorders>
            <w:shd w:val="clear" w:color="auto" w:fill="D9D9D9"/>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序号</w:t>
            </w:r>
          </w:p>
        </w:tc>
        <w:tc>
          <w:tcPr>
            <w:tcW w:w="2650" w:type="pct"/>
            <w:tcBorders>
              <w:top w:val="thinThickSmallGap" w:color="auto" w:sz="12" w:space="0"/>
              <w:left w:val="single" w:color="auto" w:sz="6" w:space="0"/>
              <w:bottom w:val="single" w:color="auto" w:sz="6" w:space="0"/>
              <w:right w:val="single" w:color="auto" w:sz="6" w:space="0"/>
            </w:tcBorders>
            <w:shd w:val="clear" w:color="auto" w:fill="D9D9D9"/>
            <w:tcMar>
              <w:left w:w="113" w:type="dxa"/>
              <w:right w:w="113"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文件要求</w:t>
            </w:r>
          </w:p>
        </w:tc>
        <w:tc>
          <w:tcPr>
            <w:tcW w:w="1674" w:type="pct"/>
            <w:tcBorders>
              <w:top w:val="thinThickSmallGap" w:color="auto" w:sz="12" w:space="0"/>
              <w:left w:val="single" w:color="auto" w:sz="6" w:space="0"/>
              <w:bottom w:val="single" w:color="auto" w:sz="6" w:space="0"/>
              <w:right w:val="single" w:color="auto" w:sz="6" w:space="0"/>
            </w:tcBorders>
            <w:shd w:val="clear" w:color="auto" w:fill="D9D9D9"/>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项目情况</w:t>
            </w:r>
          </w:p>
        </w:tc>
        <w:tc>
          <w:tcPr>
            <w:tcW w:w="324" w:type="pct"/>
            <w:tcBorders>
              <w:top w:val="thinThickSmallGap" w:color="auto" w:sz="12" w:space="0"/>
              <w:left w:val="single" w:color="auto" w:sz="6" w:space="0"/>
              <w:bottom w:val="single" w:color="auto" w:sz="6" w:space="0"/>
              <w:right w:val="nil"/>
            </w:tcBorders>
            <w:shd w:val="clear" w:color="auto" w:fill="D9D9D9"/>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符合性</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20" w:hRule="atLeast"/>
          <w:jc w:val="center"/>
        </w:trPr>
        <w:tc>
          <w:tcPr>
            <w:tcW w:w="352" w:type="pct"/>
            <w:tcBorders>
              <w:top w:val="single" w:color="auto" w:sz="6" w:space="0"/>
              <w:left w:val="nil"/>
              <w:bottom w:val="single" w:color="auto" w:sz="6"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1</w:t>
            </w:r>
          </w:p>
        </w:tc>
        <w:tc>
          <w:tcPr>
            <w:tcW w:w="2650" w:type="pct"/>
            <w:tcBorders>
              <w:top w:val="single" w:color="auto" w:sz="6" w:space="0"/>
              <w:left w:val="single" w:color="auto" w:sz="6" w:space="0"/>
              <w:bottom w:val="single" w:color="auto" w:sz="6" w:space="0"/>
              <w:right w:val="single" w:color="auto" w:sz="6" w:space="0"/>
            </w:tcBorders>
            <w:shd w:val="clear"/>
            <w:tcMar>
              <w:left w:w="113" w:type="dxa"/>
              <w:right w:w="113"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各地完成生态保护红线、环境质量底线、资源利用上线、环境准入清单编制工作，明确禁止和限制发展的行业、生产工艺和产业目录。修订完善高耗能、高污染和资源型行业准入条件，环境空气质量未达标城市应制订更严格的产业准入门槛。积极推行区域、规划环境影响评价，新、改、扩建钢铁、石化、化工、焦化、建材、有色等项目的环境影响评价，应满足区域、规划环评要求。</w:t>
            </w:r>
          </w:p>
        </w:tc>
        <w:tc>
          <w:tcPr>
            <w:tcW w:w="1674" w:type="pct"/>
            <w:tcBorders>
              <w:top w:val="single" w:color="auto" w:sz="6" w:space="0"/>
              <w:left w:val="single" w:color="auto" w:sz="6" w:space="0"/>
              <w:bottom w:val="single" w:color="auto" w:sz="6"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本项目建设区域内不涉及海城市生态保护红线。</w:t>
            </w:r>
          </w:p>
        </w:tc>
        <w:tc>
          <w:tcPr>
            <w:tcW w:w="324" w:type="pct"/>
            <w:tcBorders>
              <w:top w:val="single" w:color="auto" w:sz="6" w:space="0"/>
              <w:left w:val="single" w:color="auto" w:sz="6" w:space="0"/>
              <w:bottom w:val="single" w:color="auto" w:sz="6" w:space="0"/>
              <w:right w:val="nil"/>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99" w:leftChars="-47" w:right="-94" w:rightChars="-45"/>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20" w:hRule="atLeast"/>
          <w:jc w:val="center"/>
        </w:trPr>
        <w:tc>
          <w:tcPr>
            <w:tcW w:w="352" w:type="pct"/>
            <w:tcBorders>
              <w:top w:val="single" w:color="auto" w:sz="6" w:space="0"/>
              <w:left w:val="nil"/>
              <w:bottom w:val="single" w:color="auto" w:sz="6"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2</w:t>
            </w:r>
          </w:p>
        </w:tc>
        <w:tc>
          <w:tcPr>
            <w:tcW w:w="2650" w:type="pct"/>
            <w:tcBorders>
              <w:top w:val="single" w:color="auto" w:sz="6" w:space="0"/>
              <w:left w:val="single" w:color="auto" w:sz="6" w:space="0"/>
              <w:bottom w:val="single" w:color="auto" w:sz="6" w:space="0"/>
              <w:right w:val="single" w:color="auto" w:sz="6" w:space="0"/>
            </w:tcBorders>
            <w:shd w:val="clear"/>
            <w:tcMar>
              <w:left w:w="113" w:type="dxa"/>
              <w:right w:w="113"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重点区域严禁新增钢铁、焦化、电解铝、铸造、水泥和平板玻璃等产能；严格执行钢铁、水泥、平板玻璃等行业产能置换实施办法；新、改、扩建涉及大宗物料运输的建设项目，原则上不得采用公路运输。</w:t>
            </w:r>
          </w:p>
        </w:tc>
        <w:tc>
          <w:tcPr>
            <w:tcW w:w="1674" w:type="pct"/>
            <w:tcBorders>
              <w:top w:val="single" w:color="auto" w:sz="6" w:space="0"/>
              <w:left w:val="single" w:color="auto" w:sz="6" w:space="0"/>
              <w:bottom w:val="single" w:color="auto" w:sz="6" w:space="0"/>
              <w:right w:val="single" w:color="auto" w:sz="6" w:space="0"/>
            </w:tcBorders>
            <w:shd w:val="clear"/>
            <w:tcMar>
              <w:left w:w="85" w:type="dxa"/>
              <w:right w:w="28" w:type="dxa"/>
            </w:tcM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本项目为菱镁矿浮选项目，不新增钢铁、焦化、电解铝、铸造、水泥和平板玻璃等产能，不需要进行产能置换，不涉及大宗物料运输。</w:t>
            </w:r>
          </w:p>
        </w:tc>
        <w:tc>
          <w:tcPr>
            <w:tcW w:w="324" w:type="pct"/>
            <w:tcBorders>
              <w:top w:val="single" w:color="auto" w:sz="6" w:space="0"/>
              <w:left w:val="single" w:color="auto" w:sz="6" w:space="0"/>
              <w:bottom w:val="single" w:color="auto" w:sz="6" w:space="0"/>
              <w:right w:val="nil"/>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99" w:leftChars="-47" w:right="-94" w:rightChars="-45"/>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20" w:hRule="atLeast"/>
          <w:jc w:val="center"/>
        </w:trPr>
        <w:tc>
          <w:tcPr>
            <w:tcW w:w="352" w:type="pct"/>
            <w:tcBorders>
              <w:top w:val="single" w:color="auto" w:sz="6" w:space="0"/>
              <w:left w:val="nil"/>
              <w:bottom w:val="thickThinSmallGap" w:color="auto" w:sz="12"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3</w:t>
            </w:r>
          </w:p>
        </w:tc>
        <w:tc>
          <w:tcPr>
            <w:tcW w:w="2650" w:type="pct"/>
            <w:tcBorders>
              <w:top w:val="single" w:color="auto" w:sz="6" w:space="0"/>
              <w:left w:val="single" w:color="auto" w:sz="6" w:space="0"/>
              <w:bottom w:val="thickThinSmallGap" w:color="auto" w:sz="12" w:space="0"/>
              <w:right w:val="single" w:color="auto" w:sz="6" w:space="0"/>
            </w:tcBorders>
            <w:shd w:val="clear"/>
            <w:tcMar>
              <w:left w:w="113" w:type="dxa"/>
              <w:right w:w="113"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严格施工扬尘监管。2018年底前，各地建立施工工地管理清单。因地制宜稳步发展装配式建筑。将施工工地扬尘污染防治纳入文明施工管理范畴，建立扬尘控制责任制度，扬尘治理费用列入工程造价。重点区域建筑施工工地要做到工地周边围挡、物料堆放覆盖、土方开挖湿法作业、路面硬化、出入车辆清洗、渣土车辆密闭运输“六个百分之百”，安装在线监测和视频监控设备，并与当地有关主管部门联网。</w:t>
            </w:r>
          </w:p>
        </w:tc>
        <w:tc>
          <w:tcPr>
            <w:tcW w:w="1674" w:type="pct"/>
            <w:tcBorders>
              <w:top w:val="single" w:color="auto" w:sz="6" w:space="0"/>
              <w:left w:val="single" w:color="auto" w:sz="6" w:space="0"/>
              <w:bottom w:val="thickThinSmallGap" w:color="auto" w:sz="12"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项目施工期严格执行相关环境保护要求，严格监管施工扬尘，做到工地周边围挡、物料堆放覆盖、土方开挖湿法作业、路面硬化、出入车辆清洗、渣土车辆密闭运输。</w:t>
            </w:r>
          </w:p>
        </w:tc>
        <w:tc>
          <w:tcPr>
            <w:tcW w:w="324" w:type="pct"/>
            <w:tcBorders>
              <w:top w:val="single" w:color="auto" w:sz="6" w:space="0"/>
              <w:left w:val="single" w:color="auto" w:sz="6" w:space="0"/>
              <w:bottom w:val="thickThinSmallGap" w:color="auto" w:sz="12" w:space="0"/>
              <w:right w:val="nil"/>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99" w:leftChars="-47" w:right="-94" w:rightChars="-45"/>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bl>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color w:val="000000"/>
          <w:lang w:val="en-US"/>
        </w:rPr>
      </w:pPr>
    </w:p>
    <w:p>
      <w:pPr>
        <w:keepNext w:val="0"/>
        <w:keepLines w:val="0"/>
        <w:widowControl/>
        <w:suppressLineNumbers w:val="0"/>
        <w:adjustRightInd w:val="0"/>
        <w:snapToGrid w:val="0"/>
        <w:spacing w:before="0" w:beforeAutospacing="0" w:after="0" w:afterAutospacing="0" w:line="288" w:lineRule="auto"/>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1.6-4  </w:t>
      </w:r>
      <w:r>
        <w:rPr>
          <w:rFonts w:hint="eastAsia" w:ascii="Times New Roman" w:hAnsi="Times New Roman" w:eastAsia="黑体" w:cs="Times New Roman"/>
          <w:color w:val="000000"/>
          <w:kern w:val="0"/>
          <w:sz w:val="24"/>
          <w:szCs w:val="24"/>
          <w:lang w:val="en-US" w:eastAsia="zh-CN" w:bidi="ar"/>
        </w:rPr>
        <w:t>本项目与鞍山市</w:t>
      </w:r>
      <w:r>
        <w:rPr>
          <w:rFonts w:hint="default" w:ascii="Times New Roman" w:hAnsi="Times New Roman" w:eastAsia="黑体" w:cs="Times New Roman"/>
          <w:color w:val="000000"/>
          <w:kern w:val="0"/>
          <w:sz w:val="24"/>
          <w:szCs w:val="24"/>
          <w:lang w:val="en-US" w:eastAsia="zh-CN" w:bidi="ar"/>
        </w:rPr>
        <w:t>“</w:t>
      </w:r>
      <w:r>
        <w:rPr>
          <w:rFonts w:hint="eastAsia" w:ascii="Times New Roman" w:hAnsi="Times New Roman" w:eastAsia="黑体" w:cs="Times New Roman"/>
          <w:color w:val="000000"/>
          <w:kern w:val="0"/>
          <w:sz w:val="24"/>
          <w:szCs w:val="24"/>
          <w:lang w:val="en-US" w:eastAsia="zh-CN" w:bidi="ar"/>
        </w:rPr>
        <w:t>打赢蓝天保卫战实施方案</w:t>
      </w:r>
      <w:r>
        <w:rPr>
          <w:rFonts w:hint="default" w:ascii="Times New Roman" w:hAnsi="Times New Roman" w:eastAsia="黑体" w:cs="Times New Roman"/>
          <w:color w:val="000000"/>
          <w:kern w:val="0"/>
          <w:sz w:val="24"/>
          <w:szCs w:val="24"/>
          <w:lang w:val="en-US" w:eastAsia="zh-CN" w:bidi="ar"/>
        </w:rPr>
        <w:t>”</w:t>
      </w:r>
      <w:r>
        <w:rPr>
          <w:rFonts w:hint="eastAsia" w:ascii="Times New Roman" w:hAnsi="Times New Roman" w:eastAsia="黑体" w:cs="Times New Roman"/>
          <w:color w:val="000000"/>
          <w:kern w:val="0"/>
          <w:sz w:val="24"/>
          <w:szCs w:val="24"/>
          <w:lang w:val="en-US" w:eastAsia="zh-CN" w:bidi="ar"/>
        </w:rPr>
        <w:t>符合性分析表</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954"/>
        <w:gridCol w:w="8600"/>
        <w:gridCol w:w="3117"/>
        <w:gridCol w:w="878"/>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291" w:hRule="atLeast"/>
          <w:tblHeader/>
          <w:jc w:val="center"/>
        </w:trPr>
        <w:tc>
          <w:tcPr>
            <w:tcW w:w="352" w:type="pct"/>
            <w:tcBorders>
              <w:top w:val="thinThickSmallGap" w:color="auto" w:sz="12" w:space="0"/>
              <w:left w:val="nil"/>
              <w:bottom w:val="single" w:color="auto" w:sz="6" w:space="0"/>
              <w:right w:val="single" w:color="auto" w:sz="6" w:space="0"/>
            </w:tcBorders>
            <w:shd w:val="clear" w:color="auto" w:fill="D9D9D9"/>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序号</w:t>
            </w:r>
          </w:p>
        </w:tc>
        <w:tc>
          <w:tcPr>
            <w:tcW w:w="3173" w:type="pct"/>
            <w:tcBorders>
              <w:top w:val="thinThickSmallGap" w:color="auto" w:sz="12" w:space="0"/>
              <w:left w:val="single" w:color="auto" w:sz="6" w:space="0"/>
              <w:bottom w:val="single" w:color="auto" w:sz="6" w:space="0"/>
              <w:right w:val="single" w:color="auto" w:sz="6" w:space="0"/>
            </w:tcBorders>
            <w:shd w:val="clear" w:color="auto" w:fill="D9D9D9"/>
            <w:tcMar>
              <w:left w:w="113" w:type="dxa"/>
              <w:right w:w="113"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文件要求</w:t>
            </w:r>
          </w:p>
        </w:tc>
        <w:tc>
          <w:tcPr>
            <w:tcW w:w="1150" w:type="pct"/>
            <w:tcBorders>
              <w:top w:val="thinThickSmallGap" w:color="auto" w:sz="12" w:space="0"/>
              <w:left w:val="single" w:color="auto" w:sz="6" w:space="0"/>
              <w:bottom w:val="single" w:color="auto" w:sz="6" w:space="0"/>
              <w:right w:val="single" w:color="auto" w:sz="6" w:space="0"/>
            </w:tcBorders>
            <w:shd w:val="clear" w:color="auto" w:fill="D9D9D9"/>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项目情况</w:t>
            </w:r>
          </w:p>
        </w:tc>
        <w:tc>
          <w:tcPr>
            <w:tcW w:w="324" w:type="pct"/>
            <w:tcBorders>
              <w:top w:val="thinThickSmallGap" w:color="auto" w:sz="12" w:space="0"/>
              <w:left w:val="single" w:color="auto" w:sz="6" w:space="0"/>
              <w:bottom w:val="single" w:color="auto" w:sz="6" w:space="0"/>
              <w:right w:val="nil"/>
            </w:tcBorders>
            <w:shd w:val="clear" w:color="auto" w:fill="D9D9D9"/>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符合性</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20" w:hRule="atLeast"/>
          <w:jc w:val="center"/>
        </w:trPr>
        <w:tc>
          <w:tcPr>
            <w:tcW w:w="352" w:type="pct"/>
            <w:tcBorders>
              <w:top w:val="single" w:color="auto" w:sz="6" w:space="0"/>
              <w:left w:val="nil"/>
              <w:bottom w:val="single" w:color="auto" w:sz="6"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p>
        </w:tc>
        <w:tc>
          <w:tcPr>
            <w:tcW w:w="3173" w:type="pct"/>
            <w:tcBorders>
              <w:top w:val="single" w:color="auto" w:sz="6" w:space="0"/>
              <w:left w:val="single" w:color="auto" w:sz="6" w:space="0"/>
              <w:bottom w:val="single" w:color="auto" w:sz="6" w:space="0"/>
              <w:right w:val="single" w:color="auto" w:sz="6" w:space="0"/>
            </w:tcBorders>
            <w:shd w:val="clear"/>
            <w:tcMar>
              <w:left w:w="113" w:type="dxa"/>
              <w:right w:w="113"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加大燃煤小锅炉（包括燃煤锅炉及茶水炉、经营性炉灶、储粮烘干设备等燃煤设施）淘汰力度。按照拆小并大全面排查燃煤锅炉，逐一登记，建立管理清单和台帐，按照拆小并大和推动清洁能源利用的原则，统筹制定拆除方案。加强生态环境、住房城乡建设、市场监督管理部门联动，严控新建燃煤锅炉。</w:t>
            </w:r>
            <w:r>
              <w:rPr>
                <w:rFonts w:hint="default" w:ascii="Times New Roman" w:hAnsi="Times New Roman" w:eastAsia="宋体" w:cs="Times New Roman"/>
                <w:color w:val="000000"/>
                <w:kern w:val="2"/>
                <w:sz w:val="21"/>
                <w:szCs w:val="21"/>
                <w:bdr w:val="none" w:color="auto" w:sz="0" w:space="0"/>
                <w:lang w:val="en-US" w:eastAsia="zh-CN" w:bidi="ar"/>
              </w:rPr>
              <w:t>2019</w:t>
            </w:r>
            <w:r>
              <w:rPr>
                <w:rFonts w:hint="eastAsia" w:ascii="Times New Roman" w:hAnsi="Times New Roman" w:eastAsia="宋体" w:cs="Times New Roman"/>
                <w:color w:val="000000"/>
                <w:kern w:val="2"/>
                <w:sz w:val="21"/>
                <w:szCs w:val="21"/>
                <w:bdr w:val="none" w:color="auto" w:sz="0" w:space="0"/>
                <w:lang w:val="en-US" w:eastAsia="zh-CN" w:bidi="ar"/>
              </w:rPr>
              <w:t>年，提高淘汰燃煤锅炉标准，扩大实施范围，推进淘汰城市建成区内</w:t>
            </w:r>
            <w:r>
              <w:rPr>
                <w:rFonts w:hint="default" w:ascii="Times New Roman" w:hAnsi="Times New Roman" w:eastAsia="宋体" w:cs="Times New Roman"/>
                <w:color w:val="000000"/>
                <w:kern w:val="2"/>
                <w:sz w:val="21"/>
                <w:szCs w:val="21"/>
                <w:bdr w:val="none" w:color="auto" w:sz="0" w:space="0"/>
                <w:lang w:val="en-US" w:eastAsia="zh-CN" w:bidi="ar"/>
              </w:rPr>
              <w:t>20</w:t>
            </w:r>
            <w:r>
              <w:rPr>
                <w:rFonts w:hint="eastAsia" w:ascii="Times New Roman" w:hAnsi="Times New Roman" w:eastAsia="宋体" w:cs="Times New Roman"/>
                <w:color w:val="000000"/>
                <w:kern w:val="2"/>
                <w:sz w:val="21"/>
                <w:szCs w:val="21"/>
                <w:bdr w:val="none" w:color="auto" w:sz="0" w:space="0"/>
                <w:lang w:val="en-US" w:eastAsia="zh-CN" w:bidi="ar"/>
              </w:rPr>
              <w:t>蒸吨</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小时（或</w:t>
            </w:r>
            <w:r>
              <w:rPr>
                <w:rFonts w:hint="default" w:ascii="Times New Roman" w:hAnsi="Times New Roman" w:eastAsia="宋体" w:cs="Times New Roman"/>
                <w:color w:val="000000"/>
                <w:kern w:val="2"/>
                <w:sz w:val="21"/>
                <w:szCs w:val="21"/>
                <w:bdr w:val="none" w:color="auto" w:sz="0" w:space="0"/>
                <w:lang w:val="en-US" w:eastAsia="zh-CN" w:bidi="ar"/>
              </w:rPr>
              <w:t>14</w:t>
            </w:r>
            <w:r>
              <w:rPr>
                <w:rFonts w:hint="eastAsia" w:ascii="Times New Roman" w:hAnsi="Times New Roman" w:eastAsia="宋体" w:cs="Times New Roman"/>
                <w:color w:val="000000"/>
                <w:kern w:val="2"/>
                <w:sz w:val="21"/>
                <w:szCs w:val="21"/>
                <w:bdr w:val="none" w:color="auto" w:sz="0" w:space="0"/>
                <w:lang w:val="en-US" w:eastAsia="zh-CN" w:bidi="ar"/>
              </w:rPr>
              <w:t>兆瓦）及以下燃煤锅炉；到</w:t>
            </w:r>
            <w:r>
              <w:rPr>
                <w:rFonts w:hint="default" w:ascii="Times New Roman" w:hAnsi="Times New Roman" w:eastAsia="宋体" w:cs="Times New Roman"/>
                <w:color w:val="000000"/>
                <w:kern w:val="2"/>
                <w:sz w:val="21"/>
                <w:szCs w:val="21"/>
                <w:bdr w:val="none" w:color="auto" w:sz="0" w:space="0"/>
                <w:lang w:val="en-US" w:eastAsia="zh-CN" w:bidi="ar"/>
              </w:rPr>
              <w:t>2020</w:t>
            </w:r>
            <w:r>
              <w:rPr>
                <w:rFonts w:hint="eastAsia" w:ascii="Times New Roman" w:hAnsi="Times New Roman" w:eastAsia="宋体" w:cs="Times New Roman"/>
                <w:color w:val="000000"/>
                <w:kern w:val="2"/>
                <w:sz w:val="21"/>
                <w:szCs w:val="21"/>
                <w:bdr w:val="none" w:color="auto" w:sz="0" w:space="0"/>
                <w:lang w:val="en-US" w:eastAsia="zh-CN" w:bidi="ar"/>
              </w:rPr>
              <w:t>年，除依据城市供热专项规划确需保留的供暖锅炉以外，城市建成区</w:t>
            </w:r>
            <w:r>
              <w:rPr>
                <w:rFonts w:hint="default" w:ascii="Times New Roman" w:hAnsi="Times New Roman" w:eastAsia="宋体" w:cs="Times New Roman"/>
                <w:color w:val="000000"/>
                <w:kern w:val="2"/>
                <w:sz w:val="21"/>
                <w:szCs w:val="21"/>
                <w:bdr w:val="none" w:color="auto" w:sz="0" w:space="0"/>
                <w:lang w:val="en-US" w:eastAsia="zh-CN" w:bidi="ar"/>
              </w:rPr>
              <w:t>20</w:t>
            </w:r>
            <w:r>
              <w:rPr>
                <w:rFonts w:hint="eastAsia" w:ascii="Times New Roman" w:hAnsi="Times New Roman" w:eastAsia="宋体" w:cs="Times New Roman"/>
                <w:color w:val="000000"/>
                <w:kern w:val="2"/>
                <w:sz w:val="21"/>
                <w:szCs w:val="21"/>
                <w:bdr w:val="none" w:color="auto" w:sz="0" w:space="0"/>
                <w:lang w:val="en-US" w:eastAsia="zh-CN" w:bidi="ar"/>
              </w:rPr>
              <w:t>蒸吨</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小时（或</w:t>
            </w:r>
            <w:r>
              <w:rPr>
                <w:rFonts w:hint="default" w:ascii="Times New Roman" w:hAnsi="Times New Roman" w:eastAsia="宋体" w:cs="Times New Roman"/>
                <w:color w:val="000000"/>
                <w:kern w:val="2"/>
                <w:sz w:val="21"/>
                <w:szCs w:val="21"/>
                <w:bdr w:val="none" w:color="auto" w:sz="0" w:space="0"/>
                <w:lang w:val="en-US" w:eastAsia="zh-CN" w:bidi="ar"/>
              </w:rPr>
              <w:t>14</w:t>
            </w:r>
            <w:r>
              <w:rPr>
                <w:rFonts w:hint="eastAsia" w:ascii="Times New Roman" w:hAnsi="Times New Roman" w:eastAsia="宋体" w:cs="Times New Roman"/>
                <w:color w:val="000000"/>
                <w:kern w:val="2"/>
                <w:sz w:val="21"/>
                <w:szCs w:val="21"/>
                <w:bdr w:val="none" w:color="auto" w:sz="0" w:space="0"/>
                <w:lang w:val="en-US" w:eastAsia="zh-CN" w:bidi="ar"/>
              </w:rPr>
              <w:t>兆瓦）及以下燃煤锅炉全部予以淘汰。</w:t>
            </w:r>
          </w:p>
        </w:tc>
        <w:tc>
          <w:tcPr>
            <w:tcW w:w="1150" w:type="pct"/>
            <w:tcBorders>
              <w:top w:val="single" w:color="auto" w:sz="6" w:space="0"/>
              <w:left w:val="single" w:color="auto" w:sz="6" w:space="0"/>
              <w:bottom w:val="single" w:color="auto" w:sz="6"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本项目不使用锅炉。</w:t>
            </w:r>
          </w:p>
        </w:tc>
        <w:tc>
          <w:tcPr>
            <w:tcW w:w="324" w:type="pct"/>
            <w:tcBorders>
              <w:top w:val="single" w:color="auto" w:sz="6" w:space="0"/>
              <w:left w:val="single" w:color="auto" w:sz="6" w:space="0"/>
              <w:bottom w:val="single" w:color="auto" w:sz="6" w:space="0"/>
              <w:right w:val="nil"/>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99" w:leftChars="-47" w:right="-94" w:rightChars="-45"/>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20" w:hRule="atLeast"/>
          <w:jc w:val="center"/>
        </w:trPr>
        <w:tc>
          <w:tcPr>
            <w:tcW w:w="352" w:type="pct"/>
            <w:tcBorders>
              <w:top w:val="single" w:color="auto" w:sz="6" w:space="0"/>
              <w:left w:val="nil"/>
              <w:bottom w:val="single" w:color="auto" w:sz="6"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w:t>
            </w:r>
          </w:p>
        </w:tc>
        <w:tc>
          <w:tcPr>
            <w:tcW w:w="3173" w:type="pct"/>
            <w:tcBorders>
              <w:top w:val="single" w:color="auto" w:sz="6" w:space="0"/>
              <w:left w:val="single" w:color="auto" w:sz="6" w:space="0"/>
              <w:bottom w:val="single" w:color="auto" w:sz="6" w:space="0"/>
              <w:right w:val="single" w:color="auto" w:sz="6" w:space="0"/>
            </w:tcBorders>
            <w:shd w:val="clear"/>
            <w:tcMar>
              <w:left w:w="113" w:type="dxa"/>
              <w:right w:w="113"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加大区域产业布局调整力度。加快城市建成区重污染企业搬迁改造或关闭退出。对位于城市建成区范围内的钢铁、石化、化工、有色、冶金、水泥、制药等污染严重企业，由各城区人民政府、管委会制定计划，明确时间表，限期完成搬迁、改造，逾期不退城的依法予以停产。科学制定并严格实施城市规划，规范各类产业园区及城市新城、新区设立和布局，进一步推进</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多规合一</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，形成有利于大气污染物扩散的城市和区域空间格局。</w:t>
            </w:r>
          </w:p>
        </w:tc>
        <w:tc>
          <w:tcPr>
            <w:tcW w:w="1150" w:type="pct"/>
            <w:tcBorders>
              <w:top w:val="single" w:color="auto" w:sz="6" w:space="0"/>
              <w:left w:val="single" w:color="auto" w:sz="6" w:space="0"/>
              <w:bottom w:val="single" w:color="auto" w:sz="6" w:space="0"/>
              <w:right w:val="single" w:color="auto" w:sz="6" w:space="0"/>
            </w:tcBorders>
            <w:shd w:val="clear"/>
            <w:tcMar>
              <w:left w:w="85" w:type="dxa"/>
              <w:right w:w="28" w:type="dxa"/>
            </w:tcM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本项目建设位置不属于城市建成区，本项目为浮选项目，不属于上述污染严重企业。</w:t>
            </w:r>
          </w:p>
        </w:tc>
        <w:tc>
          <w:tcPr>
            <w:tcW w:w="324" w:type="pct"/>
            <w:tcBorders>
              <w:top w:val="single" w:color="auto" w:sz="6" w:space="0"/>
              <w:left w:val="single" w:color="auto" w:sz="6" w:space="0"/>
              <w:bottom w:val="single" w:color="auto" w:sz="6" w:space="0"/>
              <w:right w:val="nil"/>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99" w:leftChars="-47" w:right="-94" w:rightChars="-45"/>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20" w:hRule="atLeast"/>
          <w:jc w:val="center"/>
        </w:trPr>
        <w:tc>
          <w:tcPr>
            <w:tcW w:w="352" w:type="pct"/>
            <w:tcBorders>
              <w:top w:val="single" w:color="auto" w:sz="6" w:space="0"/>
              <w:left w:val="nil"/>
              <w:bottom w:val="single" w:color="auto" w:sz="6"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3</w:t>
            </w:r>
          </w:p>
        </w:tc>
        <w:tc>
          <w:tcPr>
            <w:tcW w:w="3173" w:type="pct"/>
            <w:tcBorders>
              <w:top w:val="single" w:color="auto" w:sz="6" w:space="0"/>
              <w:left w:val="single" w:color="auto" w:sz="6" w:space="0"/>
              <w:bottom w:val="single" w:color="auto" w:sz="6" w:space="0"/>
              <w:right w:val="single" w:color="auto" w:sz="6" w:space="0"/>
            </w:tcBorders>
            <w:shd w:val="clear"/>
            <w:tcMar>
              <w:left w:w="113" w:type="dxa"/>
              <w:right w:w="113"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严控</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两高</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行业产能。严禁钢铁、电解铝、水泥和平板玻璃等产能过剩行业新增产能，严格执行钢铁、水泥、平板玻璃等行业产能置换。新、改、扩建涉及大宗物料运输的建设项目，原则上不得采用公路运输。加大落后产能淘汰力度，严格执行质量、环保、能耗、安全等法规标准，严格执行国家及省产业结构调整指导目录，完成淘汰落后产能任务，加大高排放、高污染企业的淘汰力度。严防</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地条钢</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死灰复燃。</w:t>
            </w:r>
          </w:p>
        </w:tc>
        <w:tc>
          <w:tcPr>
            <w:tcW w:w="1150" w:type="pct"/>
            <w:tcBorders>
              <w:top w:val="single" w:color="auto" w:sz="6" w:space="0"/>
              <w:left w:val="single" w:color="auto" w:sz="6" w:space="0"/>
              <w:bottom w:val="single" w:color="auto" w:sz="6"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本项目为浮选项目，不属于上述污染严重企业。</w:t>
            </w:r>
          </w:p>
        </w:tc>
        <w:tc>
          <w:tcPr>
            <w:tcW w:w="324" w:type="pct"/>
            <w:tcBorders>
              <w:top w:val="single" w:color="auto" w:sz="6" w:space="0"/>
              <w:left w:val="single" w:color="auto" w:sz="6" w:space="0"/>
              <w:bottom w:val="single" w:color="auto" w:sz="6" w:space="0"/>
              <w:right w:val="nil"/>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99" w:leftChars="-47" w:right="-94" w:rightChars="-45"/>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20" w:hRule="atLeast"/>
          <w:jc w:val="center"/>
        </w:trPr>
        <w:tc>
          <w:tcPr>
            <w:tcW w:w="352" w:type="pct"/>
            <w:tcBorders>
              <w:top w:val="single" w:color="auto" w:sz="6" w:space="0"/>
              <w:left w:val="nil"/>
              <w:bottom w:val="single" w:color="auto" w:sz="6"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4</w:t>
            </w:r>
          </w:p>
        </w:tc>
        <w:tc>
          <w:tcPr>
            <w:tcW w:w="3173" w:type="pct"/>
            <w:tcBorders>
              <w:top w:val="single" w:color="auto" w:sz="6" w:space="0"/>
              <w:left w:val="single" w:color="auto" w:sz="6" w:space="0"/>
              <w:bottom w:val="single" w:color="auto" w:sz="6" w:space="0"/>
              <w:right w:val="single" w:color="auto" w:sz="6" w:space="0"/>
            </w:tcBorders>
            <w:shd w:val="clear"/>
            <w:tcMar>
              <w:left w:w="113" w:type="dxa"/>
              <w:right w:w="113"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深入开展</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散乱污</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企业整治。全面开展</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散乱污</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企业及集群综合整治专项行动，根据产业政策、产业布局规划，以及土地、环保、质量、安全、能耗等要求，制定全市</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散乱污</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企业及集群整治标准。各县（市）区政府、各开发区管委会要对辖区内</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散乱污</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企业及集群实行拉网式排查，实行清单制、台账式、网格式管理。出台</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散乱污</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企业整治工作方案，建立</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散乱污</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企业动态清单。实行</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一企一策、一业一册</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管理，逐一明确</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散乱污</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企业存在问题、治理方案和完成时限。采取关停取缔、整合搬迁、整改提升等措施，逐步完成</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散乱污</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企业整治工作。对已完成整治的</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散乱污</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企业开展巡查，实施动态管理，杜绝反弹。</w:t>
            </w:r>
            <w:r>
              <w:rPr>
                <w:rFonts w:hint="default" w:ascii="Times New Roman" w:hAnsi="Times New Roman" w:eastAsia="宋体" w:cs="Times New Roman"/>
                <w:color w:val="000000"/>
                <w:kern w:val="2"/>
                <w:sz w:val="21"/>
                <w:szCs w:val="21"/>
                <w:bdr w:val="none" w:color="auto" w:sz="0" w:space="0"/>
                <w:lang w:val="en-US" w:eastAsia="zh-CN" w:bidi="ar"/>
              </w:rPr>
              <w:t>2019</w:t>
            </w:r>
            <w:r>
              <w:rPr>
                <w:rFonts w:hint="eastAsia" w:ascii="Times New Roman" w:hAnsi="Times New Roman" w:eastAsia="宋体" w:cs="Times New Roman"/>
                <w:color w:val="000000"/>
                <w:kern w:val="2"/>
                <w:sz w:val="21"/>
                <w:szCs w:val="21"/>
                <w:bdr w:val="none" w:color="auto" w:sz="0" w:space="0"/>
                <w:lang w:val="en-US" w:eastAsia="zh-CN" w:bidi="ar"/>
              </w:rPr>
              <w:t>年完成</w:t>
            </w:r>
            <w:r>
              <w:rPr>
                <w:rFonts w:hint="default" w:ascii="Times New Roman" w:hAnsi="Times New Roman" w:eastAsia="宋体" w:cs="Times New Roman"/>
                <w:color w:val="000000"/>
                <w:kern w:val="2"/>
                <w:sz w:val="21"/>
                <w:szCs w:val="21"/>
                <w:bdr w:val="none" w:color="auto" w:sz="0" w:space="0"/>
                <w:lang w:val="en-US" w:eastAsia="zh-CN" w:bidi="ar"/>
              </w:rPr>
              <w:t>30%</w:t>
            </w:r>
            <w:r>
              <w:rPr>
                <w:rFonts w:hint="eastAsia" w:ascii="Times New Roman" w:hAnsi="Times New Roman" w:eastAsia="宋体" w:cs="Times New Roman"/>
                <w:color w:val="000000"/>
                <w:kern w:val="2"/>
                <w:sz w:val="21"/>
                <w:szCs w:val="21"/>
                <w:bdr w:val="none" w:color="auto" w:sz="0" w:space="0"/>
                <w:lang w:val="en-US" w:eastAsia="zh-CN" w:bidi="ar"/>
              </w:rPr>
              <w:t>企业整治任务，</w:t>
            </w:r>
            <w:r>
              <w:rPr>
                <w:rFonts w:hint="default" w:ascii="Times New Roman" w:hAnsi="Times New Roman" w:eastAsia="宋体" w:cs="Times New Roman"/>
                <w:color w:val="000000"/>
                <w:kern w:val="2"/>
                <w:sz w:val="21"/>
                <w:szCs w:val="21"/>
                <w:bdr w:val="none" w:color="auto" w:sz="0" w:space="0"/>
                <w:lang w:val="en-US" w:eastAsia="zh-CN" w:bidi="ar"/>
              </w:rPr>
              <w:t>2020</w:t>
            </w:r>
            <w:r>
              <w:rPr>
                <w:rFonts w:hint="eastAsia" w:ascii="Times New Roman" w:hAnsi="Times New Roman" w:eastAsia="宋体" w:cs="Times New Roman"/>
                <w:color w:val="000000"/>
                <w:kern w:val="2"/>
                <w:sz w:val="21"/>
                <w:szCs w:val="21"/>
                <w:bdr w:val="none" w:color="auto" w:sz="0" w:space="0"/>
                <w:lang w:val="en-US" w:eastAsia="zh-CN" w:bidi="ar"/>
              </w:rPr>
              <w:t>年完成全部</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散乱污</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企业整治任务。</w:t>
            </w:r>
          </w:p>
        </w:tc>
        <w:tc>
          <w:tcPr>
            <w:tcW w:w="1150" w:type="pct"/>
            <w:tcBorders>
              <w:top w:val="single" w:color="auto" w:sz="6" w:space="0"/>
              <w:left w:val="single" w:color="auto" w:sz="6" w:space="0"/>
              <w:bottom w:val="single" w:color="auto" w:sz="6"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本项目符合国家和地方产业政策、产业布局规划，用地性质为工业用地，采取了有效的污染防治措施，不属于</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散乱污</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企业。</w:t>
            </w:r>
          </w:p>
        </w:tc>
        <w:tc>
          <w:tcPr>
            <w:tcW w:w="324" w:type="pct"/>
            <w:tcBorders>
              <w:top w:val="single" w:color="auto" w:sz="6" w:space="0"/>
              <w:left w:val="single" w:color="auto" w:sz="6" w:space="0"/>
              <w:bottom w:val="single" w:color="auto" w:sz="6" w:space="0"/>
              <w:right w:val="nil"/>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99" w:leftChars="-47" w:right="-94" w:rightChars="-45"/>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20" w:hRule="atLeast"/>
          <w:jc w:val="center"/>
        </w:trPr>
        <w:tc>
          <w:tcPr>
            <w:tcW w:w="352" w:type="pct"/>
            <w:tcBorders>
              <w:top w:val="single" w:color="auto" w:sz="6" w:space="0"/>
              <w:left w:val="nil"/>
              <w:bottom w:val="single" w:color="auto" w:sz="6"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5</w:t>
            </w:r>
          </w:p>
        </w:tc>
        <w:tc>
          <w:tcPr>
            <w:tcW w:w="3173" w:type="pct"/>
            <w:tcBorders>
              <w:top w:val="single" w:color="auto" w:sz="6" w:space="0"/>
              <w:left w:val="single" w:color="auto" w:sz="6" w:space="0"/>
              <w:bottom w:val="single" w:color="auto" w:sz="6" w:space="0"/>
              <w:right w:val="single" w:color="auto" w:sz="6" w:space="0"/>
            </w:tcBorders>
            <w:shd w:val="clear"/>
            <w:tcMar>
              <w:left w:w="113" w:type="dxa"/>
              <w:right w:w="113"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开展镁产业镁砂行业环境专项执法行动，建立镁质耐火材料企业管理台帐，制定区域污染整治工作方案，对布局分散、装备水平低、环保治理设施差的镁质耐火材料企业进行全面治理。开展镁砂行业矿山整合。在严控菱镁开采的基础上，加速推进菱镁矿山资源开采整合，对闭坑矿山和暂时不开采的矿山，制定矿山生态恢复方案，进行全面矿山生态恢复。</w:t>
            </w:r>
            <w:r>
              <w:rPr>
                <w:rFonts w:hint="default" w:ascii="Times New Roman" w:hAnsi="Times New Roman" w:eastAsia="宋体" w:cs="Times New Roman"/>
                <w:color w:val="000000"/>
                <w:kern w:val="2"/>
                <w:sz w:val="21"/>
                <w:szCs w:val="21"/>
                <w:bdr w:val="none" w:color="auto" w:sz="0" w:space="0"/>
                <w:lang w:val="en-US" w:eastAsia="zh-CN" w:bidi="ar"/>
              </w:rPr>
              <w:t>2019</w:t>
            </w:r>
            <w:r>
              <w:rPr>
                <w:rFonts w:hint="eastAsia" w:ascii="Times New Roman" w:hAnsi="Times New Roman" w:eastAsia="宋体" w:cs="Times New Roman"/>
                <w:color w:val="000000"/>
                <w:kern w:val="2"/>
                <w:sz w:val="21"/>
                <w:szCs w:val="21"/>
                <w:bdr w:val="none" w:color="auto" w:sz="0" w:space="0"/>
                <w:lang w:val="en-US" w:eastAsia="zh-CN" w:bidi="ar"/>
              </w:rPr>
              <w:t>年，按照《辽宁省镁质耐火材料大气污染物排放标准》完成全市</w:t>
            </w:r>
            <w:r>
              <w:rPr>
                <w:rFonts w:hint="default" w:ascii="Times New Roman" w:hAnsi="Times New Roman" w:eastAsia="宋体" w:cs="Times New Roman"/>
                <w:color w:val="000000"/>
                <w:kern w:val="2"/>
                <w:sz w:val="21"/>
                <w:szCs w:val="21"/>
                <w:bdr w:val="none" w:color="auto" w:sz="0" w:space="0"/>
                <w:lang w:val="en-US" w:eastAsia="zh-CN" w:bidi="ar"/>
              </w:rPr>
              <w:t>70%</w:t>
            </w:r>
            <w:r>
              <w:rPr>
                <w:rFonts w:hint="eastAsia" w:ascii="Times New Roman" w:hAnsi="Times New Roman" w:eastAsia="宋体" w:cs="Times New Roman"/>
                <w:color w:val="000000"/>
                <w:kern w:val="2"/>
                <w:sz w:val="21"/>
                <w:szCs w:val="21"/>
                <w:bdr w:val="none" w:color="auto" w:sz="0" w:space="0"/>
                <w:lang w:val="en-US" w:eastAsia="zh-CN" w:bidi="ar"/>
              </w:rPr>
              <w:t>镁质耐火材料企业环保设施提标改造。</w:t>
            </w:r>
            <w:r>
              <w:rPr>
                <w:rFonts w:hint="default" w:ascii="Times New Roman" w:hAnsi="Times New Roman" w:eastAsia="宋体" w:cs="Times New Roman"/>
                <w:color w:val="000000"/>
                <w:kern w:val="2"/>
                <w:sz w:val="21"/>
                <w:szCs w:val="21"/>
                <w:bdr w:val="none" w:color="auto" w:sz="0" w:space="0"/>
                <w:lang w:val="en-US" w:eastAsia="zh-CN" w:bidi="ar"/>
              </w:rPr>
              <w:t>2020</w:t>
            </w:r>
            <w:r>
              <w:rPr>
                <w:rFonts w:hint="eastAsia" w:ascii="Times New Roman" w:hAnsi="Times New Roman" w:eastAsia="宋体" w:cs="Times New Roman"/>
                <w:color w:val="000000"/>
                <w:kern w:val="2"/>
                <w:sz w:val="21"/>
                <w:szCs w:val="21"/>
                <w:bdr w:val="none" w:color="auto" w:sz="0" w:space="0"/>
                <w:lang w:val="en-US" w:eastAsia="zh-CN" w:bidi="ar"/>
              </w:rPr>
              <w:t>年，完成全市镁质耐火材料企业环保设施提标改造。</w:t>
            </w:r>
          </w:p>
        </w:tc>
        <w:tc>
          <w:tcPr>
            <w:tcW w:w="1150" w:type="pct"/>
            <w:tcBorders>
              <w:top w:val="single" w:color="auto" w:sz="6" w:space="0"/>
              <w:left w:val="single" w:color="auto" w:sz="6" w:space="0"/>
              <w:bottom w:val="single" w:color="auto" w:sz="6"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本项目的建设符合《海城市镁制品项目建设指导意见》中的相关要求，项目装备水平较为先进，在华宇集团厂区内、毗邻自有矿山建设，采取了有效的污染防治措施，能够满足《辽宁省镁质耐火材料大气污染物排放标准》中的要求。</w:t>
            </w:r>
          </w:p>
        </w:tc>
        <w:tc>
          <w:tcPr>
            <w:tcW w:w="324" w:type="pct"/>
            <w:tcBorders>
              <w:top w:val="single" w:color="auto" w:sz="6" w:space="0"/>
              <w:left w:val="single" w:color="auto" w:sz="6" w:space="0"/>
              <w:bottom w:val="single" w:color="auto" w:sz="6" w:space="0"/>
              <w:right w:val="nil"/>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99" w:leftChars="-47" w:right="-94" w:rightChars="-45"/>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20" w:hRule="atLeast"/>
          <w:jc w:val="center"/>
        </w:trPr>
        <w:tc>
          <w:tcPr>
            <w:tcW w:w="352" w:type="pct"/>
            <w:tcBorders>
              <w:top w:val="single" w:color="auto" w:sz="6" w:space="0"/>
              <w:left w:val="nil"/>
              <w:bottom w:val="single" w:color="auto" w:sz="6"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6</w:t>
            </w:r>
          </w:p>
        </w:tc>
        <w:tc>
          <w:tcPr>
            <w:tcW w:w="3173" w:type="pct"/>
            <w:tcBorders>
              <w:top w:val="single" w:color="auto" w:sz="6" w:space="0"/>
              <w:left w:val="single" w:color="auto" w:sz="6" w:space="0"/>
              <w:bottom w:val="single" w:color="auto" w:sz="6" w:space="0"/>
              <w:right w:val="single" w:color="auto" w:sz="6" w:space="0"/>
            </w:tcBorders>
            <w:shd w:val="clear"/>
            <w:tcMar>
              <w:left w:w="113" w:type="dxa"/>
              <w:right w:w="113"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严格施工扬尘监管。城市建成区建筑工地要做到工地周边围挡、物料堆放覆盖、工地湿法作业、路面硬化、出入车辆清洗、渣土车辆密闭运输</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六个百分百</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严格执行《施工及堆料场地扬尘排放标准》，城市主要工地安装视频监控。将施工工地扬尘污染防治纳入文明施工管理范畴，将工地安装视频监控费用、建筑垃圾和工程渣土运输费用、处置费用等扬尘治理费用列入工程造价。建立建筑施工扬尘管理清单并实行动态更新。将扬尘管理工作不到位的不良信息纳入建筑市场信用管理体系，情节严重的，列入建筑市场主体</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黑名单</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w:t>
            </w:r>
          </w:p>
        </w:tc>
        <w:tc>
          <w:tcPr>
            <w:tcW w:w="1150" w:type="pct"/>
            <w:tcBorders>
              <w:top w:val="single" w:color="auto" w:sz="6" w:space="0"/>
              <w:left w:val="single" w:color="auto" w:sz="6" w:space="0"/>
              <w:bottom w:val="single" w:color="auto" w:sz="6"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项目施工期严格执行相关环境保护要求，严格监管施工扬尘，做到工地周边围挡、物料堆放覆盖、土方开挖湿法作业、路面硬化、出入车辆清洗、渣土车辆密闭运输。</w:t>
            </w:r>
          </w:p>
        </w:tc>
        <w:tc>
          <w:tcPr>
            <w:tcW w:w="324" w:type="pct"/>
            <w:tcBorders>
              <w:top w:val="single" w:color="auto" w:sz="6" w:space="0"/>
              <w:left w:val="single" w:color="auto" w:sz="6" w:space="0"/>
              <w:bottom w:val="single" w:color="auto" w:sz="6" w:space="0"/>
              <w:right w:val="nil"/>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99" w:leftChars="-47" w:right="-94" w:rightChars="-45"/>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20" w:hRule="atLeast"/>
          <w:jc w:val="center"/>
        </w:trPr>
        <w:tc>
          <w:tcPr>
            <w:tcW w:w="352" w:type="pct"/>
            <w:tcBorders>
              <w:top w:val="single" w:color="auto" w:sz="6" w:space="0"/>
              <w:left w:val="nil"/>
              <w:bottom w:val="thickThinSmallGap" w:color="auto" w:sz="12"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7</w:t>
            </w:r>
          </w:p>
        </w:tc>
        <w:tc>
          <w:tcPr>
            <w:tcW w:w="3173" w:type="pct"/>
            <w:tcBorders>
              <w:top w:val="single" w:color="auto" w:sz="6" w:space="0"/>
              <w:left w:val="single" w:color="auto" w:sz="6" w:space="0"/>
              <w:bottom w:val="thickThinSmallGap" w:color="auto" w:sz="12" w:space="0"/>
              <w:right w:val="single" w:color="auto" w:sz="6" w:space="0"/>
            </w:tcBorders>
            <w:shd w:val="clear"/>
            <w:tcMar>
              <w:left w:w="113" w:type="dxa"/>
              <w:right w:w="113"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开展工业企业料场堆场扬尘源调查，掌握扬尘污染源种类、分布、数量及现有防治设施的使用建设情况，建立工业企业料场堆场扬尘源管理清单并实行动态更新。督促工业企业严格执行环评及排污许可证要求，严格落实密闭、围挡、覆盖、喷淋、硬化、清扫、洒水、复垦绿化等抑尘措施，加强工业料场堆场管理，对厂区内各种易产生扬尘的物料存放、运送、装卸流程实施管控，防治扬尘污染，做到</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一源一策、一企一档</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整治重点主要包括钢铁、水泥、火电、镁砂、焦化企业的料场堆场；供暖企业锅炉房的煤场、渣场；矿山企业的采矿场、排岩场、尾矿库和运输道路；大型煤场、大型工业固废堆场；沥青拌合站、商砼搅拌站、碎石加工、砖厂、石材加工等行业的料场堆场；城市垃圾填埋场、城市建筑渣土及垃圾消纳场等。通过综合整治，实现</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三个一批</w:t>
            </w:r>
            <w:r>
              <w:rPr>
                <w:rFonts w:hint="default" w:ascii="Times New Roman" w:hAnsi="Times New Roman" w:eastAsia="宋体" w:cs="Times New Roman"/>
                <w:color w:val="000000"/>
                <w:kern w:val="2"/>
                <w:sz w:val="21"/>
                <w:szCs w:val="21"/>
                <w:bdr w:val="none" w:color="auto" w:sz="0" w:space="0"/>
                <w:lang w:val="en-US" w:eastAsia="zh-CN" w:bidi="ar"/>
              </w:rPr>
              <w:t>”</w:t>
            </w:r>
            <w:r>
              <w:rPr>
                <w:rFonts w:hint="eastAsia" w:ascii="Times New Roman" w:hAnsi="Times New Roman" w:eastAsia="宋体" w:cs="Times New Roman"/>
                <w:color w:val="000000"/>
                <w:kern w:val="2"/>
                <w:sz w:val="21"/>
                <w:szCs w:val="21"/>
                <w:bdr w:val="none" w:color="auto" w:sz="0" w:space="0"/>
                <w:lang w:val="en-US" w:eastAsia="zh-CN" w:bidi="ar"/>
              </w:rPr>
              <w:t>，即治理一批、治理与监管一批、关停取缔一批。</w:t>
            </w:r>
            <w:r>
              <w:rPr>
                <w:rFonts w:hint="default" w:ascii="Times New Roman" w:hAnsi="Times New Roman" w:eastAsia="宋体" w:cs="Times New Roman"/>
                <w:color w:val="000000"/>
                <w:kern w:val="2"/>
                <w:sz w:val="21"/>
                <w:szCs w:val="21"/>
                <w:bdr w:val="none" w:color="auto" w:sz="0" w:space="0"/>
                <w:lang w:val="en-US" w:eastAsia="zh-CN" w:bidi="ar"/>
              </w:rPr>
              <w:t>2020</w:t>
            </w:r>
            <w:r>
              <w:rPr>
                <w:rFonts w:hint="eastAsia" w:ascii="Times New Roman" w:hAnsi="Times New Roman" w:eastAsia="宋体" w:cs="Times New Roman"/>
                <w:color w:val="000000"/>
                <w:kern w:val="2"/>
                <w:sz w:val="21"/>
                <w:szCs w:val="21"/>
                <w:bdr w:val="none" w:color="auto" w:sz="0" w:space="0"/>
                <w:lang w:val="en-US" w:eastAsia="zh-CN" w:bidi="ar"/>
              </w:rPr>
              <w:t>年，完成</w:t>
            </w:r>
            <w:r>
              <w:rPr>
                <w:rFonts w:hint="default" w:ascii="Times New Roman" w:hAnsi="Times New Roman" w:eastAsia="宋体" w:cs="Times New Roman"/>
                <w:color w:val="000000"/>
                <w:kern w:val="2"/>
                <w:sz w:val="21"/>
                <w:szCs w:val="21"/>
                <w:bdr w:val="none" w:color="auto" w:sz="0" w:space="0"/>
                <w:lang w:val="en-US" w:eastAsia="zh-CN" w:bidi="ar"/>
              </w:rPr>
              <w:t>40</w:t>
            </w:r>
            <w:r>
              <w:rPr>
                <w:rFonts w:hint="eastAsia" w:ascii="Times New Roman" w:hAnsi="Times New Roman" w:eastAsia="宋体" w:cs="Times New Roman"/>
                <w:color w:val="000000"/>
                <w:kern w:val="2"/>
                <w:sz w:val="21"/>
                <w:szCs w:val="21"/>
                <w:bdr w:val="none" w:color="auto" w:sz="0" w:space="0"/>
                <w:lang w:val="en-US" w:eastAsia="zh-CN" w:bidi="ar"/>
              </w:rPr>
              <w:t>个工业料场堆场抑尘项目治理工作。</w:t>
            </w:r>
          </w:p>
        </w:tc>
        <w:tc>
          <w:tcPr>
            <w:tcW w:w="1150" w:type="pct"/>
            <w:tcBorders>
              <w:top w:val="single" w:color="auto" w:sz="6" w:space="0"/>
              <w:left w:val="single" w:color="auto" w:sz="6" w:space="0"/>
              <w:bottom w:val="thickThinSmallGap" w:color="auto" w:sz="12" w:space="0"/>
              <w:right w:val="single" w:color="auto" w:sz="6" w:space="0"/>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本项目不设露天料场、堆场，原料、产品均存放在封闭库房内。</w:t>
            </w:r>
          </w:p>
        </w:tc>
        <w:tc>
          <w:tcPr>
            <w:tcW w:w="324" w:type="pct"/>
            <w:tcBorders>
              <w:top w:val="single" w:color="auto" w:sz="6" w:space="0"/>
              <w:left w:val="single" w:color="auto" w:sz="6" w:space="0"/>
              <w:bottom w:val="thickThinSmallGap" w:color="auto" w:sz="12" w:space="0"/>
              <w:right w:val="nil"/>
            </w:tcBorders>
            <w:shd w:val="clear"/>
            <w:tcMar>
              <w:left w:w="85" w:type="dxa"/>
              <w:right w:w="28" w:type="dxa"/>
            </w:tcMar>
            <w:vAlign w:val="center"/>
          </w:tcPr>
          <w:p>
            <w:pPr>
              <w:keepNext w:val="0"/>
              <w:keepLines w:val="0"/>
              <w:widowControl/>
              <w:suppressLineNumbers w:val="0"/>
              <w:tabs>
                <w:tab w:val="left" w:pos="370"/>
                <w:tab w:val="center" w:pos="675"/>
                <w:tab w:val="left" w:pos="724"/>
              </w:tabs>
              <w:snapToGrid w:val="0"/>
              <w:spacing w:before="0" w:beforeAutospacing="0" w:after="0" w:afterAutospacing="0"/>
              <w:ind w:left="-99" w:leftChars="-47" w:right="-94" w:rightChars="-45"/>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符合</w:t>
            </w:r>
          </w:p>
        </w:tc>
      </w:tr>
    </w:tbl>
    <w:p>
      <w:pPr>
        <w:keepNext w:val="0"/>
        <w:keepLines w:val="0"/>
        <w:widowControl/>
        <w:suppressLineNumbers w:val="0"/>
        <w:adjustRightInd w:val="0"/>
        <w:snapToGrid w:val="0"/>
        <w:spacing w:before="0" w:beforeAutospacing="0" w:after="0" w:afterAutospacing="0" w:line="288" w:lineRule="auto"/>
        <w:ind w:left="0" w:right="0"/>
        <w:jc w:val="center"/>
        <w:rPr>
          <w:rFonts w:hint="default" w:ascii="Times New Roman" w:hAnsi="Times New Roman" w:eastAsia="黑体" w:cs="Times New Roman"/>
          <w:color w:val="000000"/>
          <w:lang w:val="en-US"/>
        </w:rPr>
      </w:pPr>
    </w:p>
    <w:p>
      <w:pPr>
        <w:keepNext w:val="0"/>
        <w:keepLines w:val="0"/>
        <w:widowControl/>
        <w:suppressLineNumbers w:val="0"/>
        <w:adjustRightInd w:val="0"/>
        <w:snapToGrid w:val="0"/>
        <w:spacing w:before="0" w:beforeAutospacing="0" w:after="0" w:afterAutospacing="0" w:line="288" w:lineRule="auto"/>
        <w:ind w:left="0" w:right="0"/>
        <w:jc w:val="center"/>
        <w:rPr>
          <w:rFonts w:hint="default" w:ascii="Times New Roman" w:hAnsi="Times New Roman" w:eastAsia="黑体" w:cs="Times New Roman"/>
          <w:color w:val="000000"/>
          <w:lang w:val="en-US"/>
        </w:rPr>
      </w:pPr>
    </w:p>
    <w:p>
      <w:pPr>
        <w:keepNext w:val="0"/>
        <w:keepLines w:val="0"/>
        <w:widowControl/>
        <w:suppressLineNumbers w:val="0"/>
        <w:adjustRightInd w:val="0"/>
        <w:snapToGrid w:val="0"/>
        <w:spacing w:before="0" w:beforeAutospacing="0" w:after="0" w:afterAutospacing="0" w:line="288" w:lineRule="auto"/>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1.6-5  </w:t>
      </w:r>
      <w:r>
        <w:rPr>
          <w:rFonts w:hint="eastAsia" w:ascii="Times New Roman" w:hAnsi="Times New Roman" w:eastAsia="黑体" w:cs="Times New Roman"/>
          <w:color w:val="000000"/>
          <w:kern w:val="0"/>
          <w:sz w:val="24"/>
          <w:szCs w:val="24"/>
          <w:lang w:val="en-US" w:eastAsia="zh-CN" w:bidi="ar"/>
        </w:rPr>
        <w:t>本项目与强化</w:t>
      </w:r>
      <w:r>
        <w:rPr>
          <w:rFonts w:hint="default" w:ascii="Times New Roman" w:hAnsi="Times New Roman" w:eastAsia="黑体" w:cs="Times New Roman"/>
          <w:color w:val="000000"/>
          <w:kern w:val="0"/>
          <w:sz w:val="24"/>
          <w:szCs w:val="24"/>
          <w:lang w:val="en-US" w:eastAsia="zh-CN" w:bidi="ar"/>
        </w:rPr>
        <w:t>“</w:t>
      </w:r>
      <w:r>
        <w:rPr>
          <w:rFonts w:hint="eastAsia" w:ascii="Times New Roman" w:hAnsi="Times New Roman" w:eastAsia="黑体" w:cs="Times New Roman"/>
          <w:color w:val="000000"/>
          <w:kern w:val="0"/>
          <w:sz w:val="24"/>
          <w:szCs w:val="24"/>
          <w:lang w:val="en-US" w:eastAsia="zh-CN" w:bidi="ar"/>
        </w:rPr>
        <w:t>三线一单</w:t>
      </w:r>
      <w:r>
        <w:rPr>
          <w:rFonts w:hint="default" w:ascii="Times New Roman" w:hAnsi="Times New Roman" w:eastAsia="黑体" w:cs="Times New Roman"/>
          <w:color w:val="000000"/>
          <w:kern w:val="0"/>
          <w:sz w:val="24"/>
          <w:szCs w:val="24"/>
          <w:lang w:val="en-US" w:eastAsia="zh-CN" w:bidi="ar"/>
        </w:rPr>
        <w:t>”</w:t>
      </w:r>
      <w:r>
        <w:rPr>
          <w:rFonts w:hint="eastAsia" w:ascii="Times New Roman" w:hAnsi="Times New Roman" w:eastAsia="黑体" w:cs="Times New Roman"/>
          <w:color w:val="000000"/>
          <w:kern w:val="0"/>
          <w:sz w:val="24"/>
          <w:szCs w:val="24"/>
          <w:lang w:val="en-US" w:eastAsia="zh-CN" w:bidi="ar"/>
        </w:rPr>
        <w:t>约束作用符合性分析表</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8259"/>
        <w:gridCol w:w="3883"/>
        <w:gridCol w:w="1523"/>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4" w:hRule="atLeast"/>
          <w:jc w:val="center"/>
        </w:trPr>
        <w:tc>
          <w:tcPr>
            <w:tcW w:w="8259" w:type="dxa"/>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ind w:left="-99" w:leftChars="-47" w:right="-94" w:rightChars="-45"/>
              <w:jc w:val="center"/>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文件要求</w:t>
            </w:r>
          </w:p>
        </w:tc>
        <w:tc>
          <w:tcPr>
            <w:tcW w:w="3883" w:type="dxa"/>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ind w:left="-99" w:leftChars="-47" w:right="-94" w:rightChars="-45"/>
              <w:jc w:val="center"/>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项目情况</w:t>
            </w:r>
          </w:p>
        </w:tc>
        <w:tc>
          <w:tcPr>
            <w:tcW w:w="1523" w:type="dxa"/>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spacing w:before="0" w:beforeAutospacing="0" w:after="0" w:afterAutospacing="0"/>
              <w:ind w:left="-99" w:leftChars="-47" w:right="-94" w:rightChars="-45"/>
              <w:jc w:val="center"/>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符合情况</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259"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wordWrap w:val="0"/>
              <w:spacing w:before="0" w:beforeAutospacing="1" w:after="0" w:afterAutospacing="1"/>
              <w:ind w:left="0" w:right="0"/>
              <w:jc w:val="left"/>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3883"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cs="Times New Roman"/>
                <w:color w:val="000000"/>
                <w:sz w:val="21"/>
                <w:szCs w:val="24"/>
                <w:bdr w:val="none" w:color="auto" w:sz="0" w:space="0"/>
                <w:lang/>
              </w:rPr>
            </w:pPr>
            <w:r>
              <w:rPr>
                <w:rFonts w:hint="eastAsia" w:ascii="Times New Roman" w:hAnsi="Times New Roman" w:eastAsia="宋体" w:cs="Times New Roman"/>
                <w:color w:val="000000"/>
                <w:kern w:val="0"/>
                <w:sz w:val="21"/>
                <w:szCs w:val="24"/>
                <w:bdr w:val="none" w:color="auto" w:sz="0" w:space="0"/>
                <w:lang w:val="en-US" w:eastAsia="zh-CN" w:bidi="ar"/>
              </w:rPr>
              <w:t>本项目建设区域内不涉及海城市生态保护红线。</w:t>
            </w:r>
          </w:p>
        </w:tc>
        <w:tc>
          <w:tcPr>
            <w:tcW w:w="1523"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99" w:leftChars="-47" w:right="-94" w:rightChars="-45"/>
              <w:jc w:val="center"/>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259"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wordWrap w:val="0"/>
              <w:spacing w:before="0" w:beforeAutospacing="1" w:after="0" w:afterAutospacing="1"/>
              <w:ind w:left="0" w:right="0"/>
              <w:jc w:val="left"/>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tc>
        <w:tc>
          <w:tcPr>
            <w:tcW w:w="3883"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cs="Times New Roman"/>
                <w:color w:val="000000"/>
                <w:sz w:val="21"/>
                <w:szCs w:val="24"/>
                <w:bdr w:val="none" w:color="auto" w:sz="0" w:space="0"/>
                <w:lang/>
              </w:rPr>
            </w:pPr>
            <w:r>
              <w:rPr>
                <w:rFonts w:hint="eastAsia" w:ascii="Times New Roman" w:hAnsi="Times New Roman" w:eastAsia="宋体" w:cs="Times New Roman"/>
                <w:color w:val="000000"/>
                <w:kern w:val="0"/>
                <w:sz w:val="21"/>
                <w:szCs w:val="24"/>
                <w:bdr w:val="none" w:color="auto" w:sz="0" w:space="0"/>
                <w:lang w:val="en-US" w:eastAsia="zh-CN" w:bidi="ar"/>
              </w:rPr>
              <w:t>本项目深入分析预测项目建设对环境质量的影响，强化污染防治措施和污染物排放控制要求。</w:t>
            </w:r>
          </w:p>
        </w:tc>
        <w:tc>
          <w:tcPr>
            <w:tcW w:w="1523"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99" w:leftChars="-47" w:right="-94" w:rightChars="-45"/>
              <w:jc w:val="center"/>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259"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wordWrap w:val="0"/>
              <w:spacing w:before="0" w:beforeAutospacing="1" w:after="0" w:afterAutospacing="1"/>
              <w:ind w:left="0" w:right="0"/>
              <w:jc w:val="left"/>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资源是环境的载体，资源利用上线是各地区能源、水、土地等资源消耗不得突破的</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天花板</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tc>
        <w:tc>
          <w:tcPr>
            <w:tcW w:w="3883"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cs="Times New Roman"/>
                <w:bCs/>
                <w:color w:val="000000"/>
                <w:sz w:val="21"/>
                <w:szCs w:val="21"/>
                <w:bdr w:val="none" w:color="auto" w:sz="0" w:space="0"/>
                <w:lang/>
              </w:rPr>
            </w:pPr>
            <w:r>
              <w:rPr>
                <w:rFonts w:hint="eastAsia" w:ascii="Times New Roman" w:hAnsi="Times New Roman" w:eastAsia="宋体" w:cs="Times New Roman"/>
                <w:bCs/>
                <w:color w:val="000000"/>
                <w:kern w:val="0"/>
                <w:sz w:val="21"/>
                <w:szCs w:val="21"/>
                <w:bdr w:val="none" w:color="auto" w:sz="0" w:space="0"/>
                <w:lang w:val="en-US" w:eastAsia="zh-CN" w:bidi="ar"/>
              </w:rPr>
              <w:t>本项目</w:t>
            </w:r>
            <w:r>
              <w:rPr>
                <w:rFonts w:hint="eastAsia" w:ascii="Times New Roman" w:hAnsi="Times New Roman" w:eastAsia="宋体" w:cs="Times New Roman"/>
                <w:color w:val="000000"/>
                <w:kern w:val="0"/>
                <w:sz w:val="21"/>
                <w:szCs w:val="21"/>
                <w:bdr w:val="none" w:color="auto" w:sz="0" w:space="0"/>
                <w:lang w:val="en-US" w:eastAsia="zh-CN" w:bidi="ar"/>
              </w:rPr>
              <w:t>水耗、能耗均较低；废水大部分回用于生产，</w:t>
            </w:r>
            <w:r>
              <w:rPr>
                <w:rFonts w:hint="eastAsia" w:ascii="Times New Roman" w:hAnsi="Times New Roman" w:eastAsia="宋体" w:cs="Times New Roman"/>
                <w:bCs/>
                <w:color w:val="000000"/>
                <w:kern w:val="0"/>
                <w:sz w:val="21"/>
                <w:szCs w:val="21"/>
                <w:bdr w:val="none" w:color="auto" w:sz="0" w:space="0"/>
                <w:lang w:val="en-US" w:eastAsia="zh-CN" w:bidi="ar"/>
              </w:rPr>
              <w:t>资源消耗</w:t>
            </w:r>
            <w:r>
              <w:rPr>
                <w:rFonts w:hint="eastAsia" w:ascii="Times New Roman" w:hAnsi="Times New Roman" w:eastAsia="宋体" w:cs="Times New Roman"/>
                <w:color w:val="000000"/>
                <w:kern w:val="0"/>
                <w:sz w:val="21"/>
                <w:szCs w:val="24"/>
                <w:bdr w:val="none" w:color="auto" w:sz="0" w:space="0"/>
                <w:lang w:val="en-US" w:eastAsia="zh-CN" w:bidi="ar"/>
              </w:rPr>
              <w:t>得到</w:t>
            </w:r>
            <w:r>
              <w:rPr>
                <w:rFonts w:hint="eastAsia" w:ascii="Times New Roman" w:hAnsi="Times New Roman" w:eastAsia="宋体" w:cs="Times New Roman"/>
                <w:bCs/>
                <w:color w:val="000000"/>
                <w:kern w:val="0"/>
                <w:sz w:val="21"/>
                <w:szCs w:val="21"/>
                <w:bdr w:val="none" w:color="auto" w:sz="0" w:space="0"/>
                <w:lang w:val="en-US" w:eastAsia="zh-CN" w:bidi="ar"/>
              </w:rPr>
              <w:t>充分有效利用。</w:t>
            </w:r>
          </w:p>
        </w:tc>
        <w:tc>
          <w:tcPr>
            <w:tcW w:w="1523"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99" w:leftChars="-47" w:right="-94" w:rightChars="-45"/>
              <w:jc w:val="center"/>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259" w:type="dxa"/>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wordWrap w:val="0"/>
              <w:spacing w:before="0" w:beforeAutospacing="1" w:after="0" w:afterAutospacing="1"/>
              <w:ind w:left="0" w:right="0"/>
              <w:jc w:val="left"/>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tc>
        <w:tc>
          <w:tcPr>
            <w:tcW w:w="3883"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本项目符合国家和地方产业政策，不在环境准入负面清单列出的禁止、限制内容上。</w:t>
            </w:r>
          </w:p>
        </w:tc>
        <w:tc>
          <w:tcPr>
            <w:tcW w:w="1523" w:type="dxa"/>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99" w:leftChars="-47" w:right="-94" w:rightChars="-45"/>
              <w:jc w:val="center"/>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符合</w:t>
            </w:r>
          </w:p>
        </w:tc>
      </w:tr>
    </w:tbl>
    <w:p>
      <w:pPr>
        <w:keepNext w:val="0"/>
        <w:keepLines w:val="0"/>
        <w:widowControl/>
        <w:suppressLineNumbers w:val="0"/>
        <w:adjustRightInd w:val="0"/>
        <w:snapToGrid w:val="0"/>
        <w:spacing w:before="0" w:beforeAutospacing="0" w:after="0" w:afterAutospacing="0" w:line="288" w:lineRule="auto"/>
        <w:ind w:left="0" w:right="0"/>
        <w:jc w:val="center"/>
        <w:rPr>
          <w:rFonts w:hint="default" w:ascii="Times New Roman" w:hAnsi="Times New Roman" w:eastAsia="黑体" w:cs="Times New Roman"/>
          <w:color w:val="000000"/>
          <w:lang w:val="en-US"/>
        </w:rPr>
      </w:pPr>
    </w:p>
    <w:p>
      <w:pPr>
        <w:keepNext w:val="0"/>
        <w:keepLines w:val="0"/>
        <w:widowControl/>
        <w:suppressLineNumbers w:val="0"/>
        <w:adjustRightInd w:val="0"/>
        <w:snapToGrid w:val="0"/>
        <w:spacing w:before="0" w:beforeAutospacing="0" w:after="0" w:afterAutospacing="0" w:line="288" w:lineRule="auto"/>
        <w:ind w:left="0" w:right="0"/>
        <w:jc w:val="center"/>
        <w:rPr>
          <w:rFonts w:hint="default" w:ascii="Times New Roman" w:hAnsi="Times New Roman" w:eastAsia="黑体" w:cs="Times New Roman"/>
          <w:color w:val="000000"/>
          <w:lang w:val="en-US"/>
        </w:rPr>
      </w:pPr>
    </w:p>
    <w:p>
      <w:pPr>
        <w:keepNext w:val="0"/>
        <w:keepLines w:val="0"/>
        <w:widowControl/>
        <w:suppressLineNumbers w:val="0"/>
        <w:adjustRightInd w:val="0"/>
        <w:snapToGrid w:val="0"/>
        <w:spacing w:before="0" w:beforeAutospacing="0" w:after="0" w:afterAutospacing="0" w:line="288" w:lineRule="auto"/>
        <w:ind w:left="0" w:right="0"/>
        <w:jc w:val="center"/>
        <w:rPr>
          <w:rFonts w:hint="default" w:ascii="Times New Roman" w:hAnsi="Times New Roman" w:eastAsia="黑体" w:cs="Times New Roman"/>
          <w:color w:val="000000"/>
          <w:lang w:val="en-US"/>
        </w:rPr>
      </w:pPr>
    </w:p>
    <w:p>
      <w:pPr>
        <w:keepNext w:val="0"/>
        <w:keepLines w:val="0"/>
        <w:widowControl/>
        <w:suppressLineNumbers w:val="0"/>
        <w:adjustRightInd w:val="0"/>
        <w:snapToGrid w:val="0"/>
        <w:spacing w:before="0" w:beforeAutospacing="0" w:after="0" w:afterAutospacing="0" w:line="288" w:lineRule="auto"/>
        <w:ind w:left="0" w:right="0"/>
        <w:jc w:val="center"/>
        <w:rPr>
          <w:rFonts w:hint="default" w:ascii="Times New Roman" w:hAnsi="Times New Roman" w:eastAsia="黑体" w:cs="Times New Roman"/>
          <w:color w:val="000000"/>
          <w:lang w:val="en-US"/>
        </w:rPr>
      </w:pPr>
    </w:p>
    <w:p>
      <w:pPr>
        <w:keepNext w:val="0"/>
        <w:keepLines w:val="0"/>
        <w:widowControl/>
        <w:suppressLineNumbers w:val="0"/>
        <w:adjustRightInd w:val="0"/>
        <w:snapToGrid w:val="0"/>
        <w:spacing w:before="0" w:beforeAutospacing="0" w:after="0" w:afterAutospacing="0" w:line="288" w:lineRule="auto"/>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1.6-6  </w:t>
      </w:r>
      <w:r>
        <w:rPr>
          <w:rFonts w:hint="eastAsia" w:ascii="Times New Roman" w:hAnsi="Times New Roman" w:eastAsia="黑体" w:cs="Times New Roman"/>
          <w:color w:val="000000"/>
          <w:kern w:val="0"/>
          <w:sz w:val="24"/>
          <w:szCs w:val="24"/>
          <w:lang w:val="en-US" w:eastAsia="zh-CN" w:bidi="ar"/>
        </w:rPr>
        <w:t>本项目与建立</w:t>
      </w:r>
      <w:r>
        <w:rPr>
          <w:rFonts w:hint="default" w:ascii="Times New Roman" w:hAnsi="Times New Roman" w:eastAsia="黑体" w:cs="Times New Roman"/>
          <w:color w:val="000000"/>
          <w:kern w:val="0"/>
          <w:sz w:val="24"/>
          <w:szCs w:val="24"/>
          <w:lang w:val="en-US" w:eastAsia="zh-CN" w:bidi="ar"/>
        </w:rPr>
        <w:t>“</w:t>
      </w:r>
      <w:r>
        <w:rPr>
          <w:rFonts w:hint="eastAsia" w:ascii="Times New Roman" w:hAnsi="Times New Roman" w:eastAsia="黑体" w:cs="Times New Roman"/>
          <w:color w:val="000000"/>
          <w:kern w:val="0"/>
          <w:sz w:val="24"/>
          <w:szCs w:val="24"/>
          <w:lang w:val="en-US" w:eastAsia="zh-CN" w:bidi="ar"/>
        </w:rPr>
        <w:t>三挂钩</w:t>
      </w:r>
      <w:r>
        <w:rPr>
          <w:rFonts w:hint="default" w:ascii="Times New Roman" w:hAnsi="Times New Roman" w:eastAsia="黑体" w:cs="Times New Roman"/>
          <w:color w:val="000000"/>
          <w:kern w:val="0"/>
          <w:sz w:val="24"/>
          <w:szCs w:val="24"/>
          <w:lang w:val="en-US" w:eastAsia="zh-CN" w:bidi="ar"/>
        </w:rPr>
        <w:t>”</w:t>
      </w:r>
      <w:r>
        <w:rPr>
          <w:rFonts w:hint="eastAsia" w:ascii="Times New Roman" w:hAnsi="Times New Roman" w:eastAsia="黑体" w:cs="Times New Roman"/>
          <w:color w:val="000000"/>
          <w:kern w:val="0"/>
          <w:sz w:val="24"/>
          <w:szCs w:val="24"/>
          <w:lang w:val="en-US" w:eastAsia="zh-CN" w:bidi="ar"/>
        </w:rPr>
        <w:t>机制符合性分析表</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7276"/>
        <w:gridCol w:w="4705"/>
        <w:gridCol w:w="1487"/>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51" w:hRule="atLeast"/>
          <w:jc w:val="center"/>
        </w:trPr>
        <w:tc>
          <w:tcPr>
            <w:tcW w:w="7276" w:type="dxa"/>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ind w:left="-99" w:leftChars="-47" w:right="-94" w:rightChars="-45"/>
              <w:jc w:val="center"/>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文件要求</w:t>
            </w:r>
          </w:p>
        </w:tc>
        <w:tc>
          <w:tcPr>
            <w:tcW w:w="4705" w:type="dxa"/>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ind w:left="-99" w:leftChars="-47" w:right="-94" w:rightChars="-45"/>
              <w:jc w:val="center"/>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项目情况</w:t>
            </w:r>
          </w:p>
        </w:tc>
        <w:tc>
          <w:tcPr>
            <w:tcW w:w="1487" w:type="dxa"/>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spacing w:before="0" w:beforeAutospacing="0" w:after="0" w:afterAutospacing="0"/>
              <w:ind w:left="-99" w:leftChars="-47" w:right="-94" w:rightChars="-45"/>
              <w:jc w:val="center"/>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符合情况</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7276"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加强规划环评与建设项目环评联动。规划环评要探索清单式管理，在结论和审查意见中明确</w:t>
            </w:r>
            <w:r>
              <w:rPr>
                <w:rFonts w:hint="default" w:ascii="Times New Roman" w:hAnsi="Times New Roman" w:eastAsia="宋体" w:cs="Times New Roman"/>
                <w:bCs/>
                <w:color w:val="000000"/>
                <w:kern w:val="0"/>
                <w:sz w:val="21"/>
                <w:szCs w:val="21"/>
                <w:bdr w:val="none" w:color="auto" w:sz="0" w:space="0"/>
                <w:lang w:val="en-US" w:eastAsia="zh-CN" w:bidi="ar"/>
              </w:rPr>
              <w:t>“</w:t>
            </w:r>
            <w:r>
              <w:rPr>
                <w:rFonts w:hint="eastAsia" w:ascii="Times New Roman" w:hAnsi="Times New Roman" w:eastAsia="宋体" w:cs="Times New Roman"/>
                <w:bCs/>
                <w:color w:val="000000"/>
                <w:kern w:val="0"/>
                <w:sz w:val="21"/>
                <w:szCs w:val="21"/>
                <w:bdr w:val="none" w:color="auto" w:sz="0" w:space="0"/>
                <w:lang w:val="en-US" w:eastAsia="zh-CN" w:bidi="ar"/>
              </w:rPr>
              <w:t>三线一单</w:t>
            </w:r>
            <w:r>
              <w:rPr>
                <w:rFonts w:hint="default" w:ascii="Times New Roman" w:hAnsi="Times New Roman" w:eastAsia="宋体" w:cs="Times New Roman"/>
                <w:bCs/>
                <w:color w:val="000000"/>
                <w:kern w:val="0"/>
                <w:sz w:val="21"/>
                <w:szCs w:val="21"/>
                <w:bdr w:val="none" w:color="auto" w:sz="0" w:space="0"/>
                <w:lang w:val="en-US" w:eastAsia="zh-CN" w:bidi="ar"/>
              </w:rPr>
              <w:t>”</w:t>
            </w:r>
            <w:r>
              <w:rPr>
                <w:rFonts w:hint="eastAsia" w:ascii="Times New Roman" w:hAnsi="Times New Roman" w:eastAsia="宋体" w:cs="Times New Roman"/>
                <w:bCs/>
                <w:color w:val="000000"/>
                <w:kern w:val="0"/>
                <w:sz w:val="21"/>
                <w:szCs w:val="21"/>
                <w:bdr w:val="none" w:color="auto" w:sz="0" w:space="0"/>
                <w:lang w:val="en-US" w:eastAsia="zh-CN" w:bidi="ar"/>
              </w:rPr>
              <w:t>相关管控要求，并推动将管控要求纳入规划。规划环评要作为规划所包含项目环评的重要依据，对于不符合规划环评结论及审查意见的项目环评，依法不予审批。规划所包含项目的环评内容，应当根据规划环评结论和审查意见予以简化。</w:t>
            </w:r>
          </w:p>
        </w:tc>
        <w:tc>
          <w:tcPr>
            <w:tcW w:w="470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本项目在集团公司现有厂区内建设，不新增用地。</w:t>
            </w:r>
          </w:p>
        </w:tc>
        <w:tc>
          <w:tcPr>
            <w:tcW w:w="148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99" w:leftChars="-47" w:right="-94" w:rightChars="-45"/>
              <w:jc w:val="center"/>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7276"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建立项目环评审批与现有项目环境管理联动机制。对于现有同类型项目环境污染或生态破坏严重、环境违法违规现象多发，致使环境容量接近或超过承载能力的地区，在现有问题整改到位前，依法暂停审批该地区同类行业的项目环评文件。改建、扩建和技术改造项目，应对现有工程的环境保护措施及效果进行全面梳理；如现有工程已经造成明显环境问题，应提出有效的整改方案和</w:t>
            </w:r>
            <w:r>
              <w:rPr>
                <w:rFonts w:hint="default" w:ascii="Times New Roman" w:hAnsi="Times New Roman" w:eastAsia="宋体" w:cs="Times New Roman"/>
                <w:bCs/>
                <w:color w:val="000000"/>
                <w:kern w:val="0"/>
                <w:sz w:val="21"/>
                <w:szCs w:val="21"/>
                <w:bdr w:val="none" w:color="auto" w:sz="0" w:space="0"/>
                <w:lang w:val="en-US" w:eastAsia="zh-CN" w:bidi="ar"/>
              </w:rPr>
              <w:t>“</w:t>
            </w:r>
            <w:r>
              <w:rPr>
                <w:rFonts w:hint="eastAsia" w:ascii="Times New Roman" w:hAnsi="Times New Roman" w:eastAsia="宋体" w:cs="Times New Roman"/>
                <w:bCs/>
                <w:color w:val="000000"/>
                <w:kern w:val="0"/>
                <w:sz w:val="21"/>
                <w:szCs w:val="21"/>
                <w:bdr w:val="none" w:color="auto" w:sz="0" w:space="0"/>
                <w:lang w:val="en-US" w:eastAsia="zh-CN" w:bidi="ar"/>
              </w:rPr>
              <w:t>以新带老</w:t>
            </w:r>
            <w:r>
              <w:rPr>
                <w:rFonts w:hint="default" w:ascii="Times New Roman" w:hAnsi="Times New Roman" w:eastAsia="宋体" w:cs="Times New Roman"/>
                <w:bCs/>
                <w:color w:val="000000"/>
                <w:kern w:val="0"/>
                <w:sz w:val="21"/>
                <w:szCs w:val="21"/>
                <w:bdr w:val="none" w:color="auto" w:sz="0" w:space="0"/>
                <w:lang w:val="en-US" w:eastAsia="zh-CN" w:bidi="ar"/>
              </w:rPr>
              <w:t>”</w:t>
            </w:r>
            <w:r>
              <w:rPr>
                <w:rFonts w:hint="eastAsia" w:ascii="Times New Roman" w:hAnsi="Times New Roman" w:eastAsia="宋体" w:cs="Times New Roman"/>
                <w:bCs/>
                <w:color w:val="000000"/>
                <w:kern w:val="0"/>
                <w:sz w:val="21"/>
                <w:szCs w:val="21"/>
                <w:bdr w:val="none" w:color="auto" w:sz="0" w:space="0"/>
                <w:lang w:val="en-US" w:eastAsia="zh-CN" w:bidi="ar"/>
              </w:rPr>
              <w:t>措施。</w:t>
            </w:r>
          </w:p>
        </w:tc>
        <w:tc>
          <w:tcPr>
            <w:tcW w:w="470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本项目对现有工程的环保问题提出了整改方案。</w:t>
            </w:r>
          </w:p>
        </w:tc>
        <w:tc>
          <w:tcPr>
            <w:tcW w:w="148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99" w:leftChars="-47" w:right="-94" w:rightChars="-45"/>
              <w:jc w:val="center"/>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7276" w:type="dxa"/>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建立项目环评审批与区域环境质量联动机制。对环境质量现状超标的地区，项目拟采取的措施不能满足区域环境质量改善目标管理要求的，依法不予审批其环评文件。对未达到环境质量目标考核要求的地区，除民生项目与节能减排项目外，依法暂停审批该地区新增排放相应重点污染物的项目环评文件。严格控制在优先保护类耕地集中区域新建有色金属冶炼、石油加工、化工、焦化、电镀、制革等项目。</w:t>
            </w:r>
          </w:p>
        </w:tc>
        <w:tc>
          <w:tcPr>
            <w:tcW w:w="4705"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本项目所在地的环境质量现状不超标，项目对产生的废气、废水、噪声和固废均采取了措施，</w:t>
            </w:r>
            <w:r>
              <w:rPr>
                <w:rFonts w:hint="eastAsia" w:ascii="Times New Roman" w:hAnsi="Times New Roman" w:eastAsia="宋体" w:cs="Times New Roman"/>
                <w:color w:val="000000"/>
                <w:kern w:val="0"/>
                <w:sz w:val="21"/>
                <w:szCs w:val="24"/>
                <w:bdr w:val="none" w:color="auto" w:sz="0" w:space="0"/>
                <w:lang w:val="en-US" w:eastAsia="zh-CN" w:bidi="ar"/>
              </w:rPr>
              <w:t>营运后可实现污染物排放总量较小。</w:t>
            </w:r>
          </w:p>
        </w:tc>
        <w:tc>
          <w:tcPr>
            <w:tcW w:w="1487" w:type="dxa"/>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99" w:leftChars="-47" w:right="-94" w:rightChars="-45"/>
              <w:jc w:val="center"/>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符合</w:t>
            </w:r>
          </w:p>
        </w:tc>
      </w:tr>
    </w:tbl>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color w:val="000000"/>
          <w:lang w:val="en-US"/>
        </w:rPr>
      </w:pPr>
    </w:p>
    <w:p>
      <w:pPr>
        <w:keepNext w:val="0"/>
        <w:keepLines w:val="0"/>
        <w:widowControl/>
        <w:suppressLineNumbers w:val="0"/>
        <w:adjustRightInd w:val="0"/>
        <w:snapToGrid w:val="0"/>
        <w:spacing w:before="0" w:beforeAutospacing="0" w:after="0" w:afterAutospacing="0" w:line="288" w:lineRule="auto"/>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1.6-7  </w:t>
      </w:r>
      <w:r>
        <w:rPr>
          <w:rFonts w:hint="eastAsia" w:ascii="Times New Roman" w:hAnsi="Times New Roman" w:eastAsia="黑体" w:cs="Times New Roman"/>
          <w:color w:val="000000"/>
          <w:kern w:val="0"/>
          <w:sz w:val="24"/>
          <w:szCs w:val="24"/>
          <w:lang w:val="en-US" w:eastAsia="zh-CN" w:bidi="ar"/>
        </w:rPr>
        <w:t>本项目与</w:t>
      </w:r>
      <w:r>
        <w:rPr>
          <w:rFonts w:hint="eastAsia" w:ascii="宋体" w:hAnsi="宋体" w:eastAsia="黑体" w:cs="黑体"/>
          <w:color w:val="000000"/>
          <w:kern w:val="0"/>
          <w:sz w:val="24"/>
          <w:szCs w:val="24"/>
          <w:lang w:val="en-US" w:eastAsia="zh-CN" w:bidi="ar"/>
        </w:rPr>
        <w:t>海城市镁制品项目建设指导意见</w:t>
      </w:r>
      <w:r>
        <w:rPr>
          <w:rFonts w:hint="eastAsia" w:ascii="Times New Roman" w:hAnsi="Times New Roman" w:eastAsia="黑体" w:cs="Times New Roman"/>
          <w:color w:val="000000"/>
          <w:kern w:val="0"/>
          <w:sz w:val="24"/>
          <w:szCs w:val="24"/>
          <w:lang w:val="en-US" w:eastAsia="zh-CN" w:bidi="ar"/>
        </w:rPr>
        <w:t>符合性分析表</w:t>
      </w:r>
    </w:p>
    <w:tbl>
      <w:tblPr>
        <w:tblStyle w:val="32"/>
        <w:tblW w:w="4939"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998"/>
        <w:gridCol w:w="5871"/>
        <w:gridCol w:w="5224"/>
        <w:gridCol w:w="1392"/>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blHeader/>
          <w:jc w:val="center"/>
        </w:trPr>
        <w:tc>
          <w:tcPr>
            <w:tcW w:w="2547" w:type="pct"/>
            <w:gridSpan w:val="2"/>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b/>
                <w:bCs w:val="0"/>
                <w:color w:val="000000"/>
                <w:kern w:val="2"/>
                <w:sz w:val="21"/>
                <w:szCs w:val="21"/>
                <w:bdr w:val="none" w:color="auto" w:sz="0" w:space="0"/>
                <w:lang w:val="en-US"/>
              </w:rPr>
            </w:pPr>
            <w:r>
              <w:rPr>
                <w:rFonts w:hint="eastAsia" w:ascii="宋体" w:hAnsi="宋体" w:eastAsia="宋体" w:cs="宋体"/>
                <w:b/>
                <w:bCs w:val="0"/>
                <w:color w:val="000000"/>
                <w:kern w:val="2"/>
                <w:sz w:val="21"/>
                <w:szCs w:val="21"/>
                <w:bdr w:val="none" w:color="auto" w:sz="0" w:space="0"/>
                <w:lang w:val="en-US" w:eastAsia="zh-CN" w:bidi="ar"/>
              </w:rPr>
              <w:t>指导意见要求</w:t>
            </w:r>
          </w:p>
        </w:tc>
        <w:tc>
          <w:tcPr>
            <w:tcW w:w="1937"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b/>
                <w:bCs w:val="0"/>
                <w:color w:val="000000"/>
                <w:kern w:val="2"/>
                <w:sz w:val="21"/>
                <w:szCs w:val="21"/>
                <w:bdr w:val="none" w:color="auto" w:sz="0" w:space="0"/>
                <w:lang w:val="en-US"/>
              </w:rPr>
            </w:pPr>
            <w:r>
              <w:rPr>
                <w:rFonts w:hint="eastAsia" w:ascii="宋体" w:hAnsi="宋体" w:eastAsia="宋体" w:cs="宋体"/>
                <w:b/>
                <w:bCs w:val="0"/>
                <w:color w:val="000000"/>
                <w:kern w:val="2"/>
                <w:sz w:val="21"/>
                <w:szCs w:val="21"/>
                <w:bdr w:val="none" w:color="auto" w:sz="0" w:space="0"/>
                <w:lang w:val="en-US" w:eastAsia="zh-CN" w:bidi="ar"/>
              </w:rPr>
              <w:t>本项目情况</w:t>
            </w:r>
          </w:p>
        </w:tc>
        <w:tc>
          <w:tcPr>
            <w:tcW w:w="516"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b/>
                <w:bCs w:val="0"/>
                <w:color w:val="000000"/>
                <w:kern w:val="2"/>
                <w:sz w:val="21"/>
                <w:szCs w:val="21"/>
                <w:bdr w:val="none" w:color="auto" w:sz="0" w:space="0"/>
                <w:lang w:val="en-US"/>
              </w:rPr>
            </w:pPr>
            <w:r>
              <w:rPr>
                <w:rFonts w:hint="eastAsia" w:ascii="宋体" w:hAnsi="宋体" w:eastAsia="宋体" w:cs="宋体"/>
                <w:b/>
                <w:bCs w:val="0"/>
                <w:color w:val="000000"/>
                <w:kern w:val="2"/>
                <w:sz w:val="21"/>
                <w:szCs w:val="21"/>
                <w:bdr w:val="none" w:color="auto" w:sz="0" w:space="0"/>
                <w:lang w:val="en-US" w:eastAsia="zh-CN" w:bidi="ar"/>
              </w:rPr>
              <w:t>符合性</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b/>
                <w:bCs w:val="0"/>
                <w:color w:val="000000"/>
                <w:kern w:val="2"/>
                <w:sz w:val="21"/>
                <w:szCs w:val="21"/>
                <w:bdr w:val="none" w:color="auto" w:sz="0" w:space="0"/>
                <w:lang w:val="en-US" w:eastAsia="zh-CN" w:bidi="ar"/>
              </w:rPr>
              <w:t>一</w:t>
            </w:r>
          </w:p>
        </w:tc>
        <w:tc>
          <w:tcPr>
            <w:tcW w:w="4630" w:type="pct"/>
            <w:gridSpan w:val="3"/>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b/>
                <w:bCs w:val="0"/>
                <w:color w:val="000000"/>
                <w:kern w:val="2"/>
                <w:sz w:val="21"/>
                <w:szCs w:val="21"/>
                <w:bdr w:val="none" w:color="auto" w:sz="0" w:space="0"/>
                <w:lang w:val="en-US" w:eastAsia="zh-CN" w:bidi="ar"/>
              </w:rPr>
              <w:t>限制类别</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1.1</w:t>
            </w:r>
          </w:p>
        </w:tc>
        <w:tc>
          <w:tcPr>
            <w:tcW w:w="21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b/>
                <w:bCs w:val="0"/>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达不到现行环保标准，不符合我市产业发展方向，不利于产业结构优化升级，不利于节约资源和保护生态环境的项目。</w:t>
            </w:r>
          </w:p>
        </w:tc>
        <w:tc>
          <w:tcPr>
            <w:tcW w:w="19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本项目采用环保治理措施，满足环保标准要求，符合海城市产业发展方向及产业结构优化升级，节约资源和保护生态环境的项目。</w:t>
            </w:r>
          </w:p>
        </w:tc>
        <w:tc>
          <w:tcPr>
            <w:tcW w:w="51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1.2</w:t>
            </w:r>
          </w:p>
        </w:tc>
        <w:tc>
          <w:tcPr>
            <w:tcW w:w="21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国家限制类的菱镁初级产品项目</w:t>
            </w:r>
          </w:p>
        </w:tc>
        <w:tc>
          <w:tcPr>
            <w:tcW w:w="19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本项目属于《产业结构调整指导目录（2019年本）》中第一类鼓励类第四十三大类环境保护与资源节约综合利用第23小项“低品位、复杂、难处理矿开发及综合利用技术与设备”，符合国家产业政策。</w:t>
            </w:r>
          </w:p>
        </w:tc>
        <w:tc>
          <w:tcPr>
            <w:tcW w:w="51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1.3</w:t>
            </w:r>
          </w:p>
        </w:tc>
        <w:tc>
          <w:tcPr>
            <w:tcW w:w="21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运用传统技术和装备新建轻烧反射窑、重烧镁砂窑、中档镁砂窑、高纯镁砂窑、电熔镁砂炉；</w:t>
            </w:r>
          </w:p>
        </w:tc>
        <w:tc>
          <w:tcPr>
            <w:tcW w:w="19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不涉及</w:t>
            </w:r>
          </w:p>
        </w:tc>
        <w:tc>
          <w:tcPr>
            <w:tcW w:w="51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1.4</w:t>
            </w:r>
          </w:p>
        </w:tc>
        <w:tc>
          <w:tcPr>
            <w:tcW w:w="21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借用生产产品、延长产业链条名义而建设使用低技术、低水平窑炉项目；</w:t>
            </w:r>
          </w:p>
        </w:tc>
        <w:tc>
          <w:tcPr>
            <w:tcW w:w="19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不涉及</w:t>
            </w:r>
          </w:p>
        </w:tc>
        <w:tc>
          <w:tcPr>
            <w:tcW w:w="51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1.5</w:t>
            </w:r>
          </w:p>
        </w:tc>
        <w:tc>
          <w:tcPr>
            <w:tcW w:w="21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一段式煤气发生炉；</w:t>
            </w:r>
          </w:p>
        </w:tc>
        <w:tc>
          <w:tcPr>
            <w:tcW w:w="19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不涉及</w:t>
            </w:r>
          </w:p>
        </w:tc>
        <w:tc>
          <w:tcPr>
            <w:tcW w:w="51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1.6</w:t>
            </w:r>
          </w:p>
        </w:tc>
        <w:tc>
          <w:tcPr>
            <w:tcW w:w="21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未取得镁制品产能和污染物排放总量指标的项目。</w:t>
            </w:r>
          </w:p>
        </w:tc>
        <w:tc>
          <w:tcPr>
            <w:tcW w:w="19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本项目为菱镁矿浮选项目，根据海城市镁制品项目建设联合审议领导小组第五次联合审议会议意见，不需要进行产能和主要污染物排放总量指标置换。</w:t>
            </w:r>
          </w:p>
        </w:tc>
        <w:tc>
          <w:tcPr>
            <w:tcW w:w="51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二</w:t>
            </w:r>
          </w:p>
        </w:tc>
        <w:tc>
          <w:tcPr>
            <w:tcW w:w="4630" w:type="pct"/>
            <w:gridSpan w:val="3"/>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b/>
                <w:bCs w:val="0"/>
                <w:color w:val="000000"/>
                <w:kern w:val="2"/>
                <w:sz w:val="21"/>
                <w:szCs w:val="21"/>
                <w:bdr w:val="none" w:color="auto" w:sz="0" w:space="0"/>
                <w:lang w:val="en-US" w:eastAsia="zh-CN" w:bidi="ar"/>
              </w:rPr>
              <w:t>鼓励类</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2.1</w:t>
            </w:r>
          </w:p>
        </w:tc>
        <w:tc>
          <w:tcPr>
            <w:tcW w:w="21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在符合安全生产、环境保护及其他国家法律法规的前提下，建设有利于节约资源、保护环境、产业结构优化升级，对我市经济社会发展有重要促进作用的项目。</w:t>
            </w:r>
          </w:p>
        </w:tc>
        <w:tc>
          <w:tcPr>
            <w:tcW w:w="19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本项目建设符合安全生产、环境保护及其他国家法律法规，建设有利于节约资源、保护环境、产业结构优化升级。</w:t>
            </w:r>
          </w:p>
        </w:tc>
        <w:tc>
          <w:tcPr>
            <w:tcW w:w="51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2.2</w:t>
            </w:r>
          </w:p>
        </w:tc>
        <w:tc>
          <w:tcPr>
            <w:tcW w:w="21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（1）资源开发</w:t>
            </w:r>
          </w:p>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1.菱镁矿高效选矿。</w:t>
            </w:r>
          </w:p>
        </w:tc>
        <w:tc>
          <w:tcPr>
            <w:tcW w:w="19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采用反浮选生产工艺进行菱镁精矿生产，属于菱镁矿高效选矿。</w:t>
            </w:r>
          </w:p>
        </w:tc>
        <w:tc>
          <w:tcPr>
            <w:tcW w:w="51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b/>
                <w:bCs w:val="0"/>
                <w:color w:val="000000"/>
                <w:kern w:val="2"/>
                <w:sz w:val="21"/>
                <w:szCs w:val="21"/>
                <w:bdr w:val="none" w:color="auto" w:sz="0" w:space="0"/>
                <w:lang w:val="en-US"/>
              </w:rPr>
            </w:pPr>
            <w:r>
              <w:rPr>
                <w:rFonts w:hint="eastAsia" w:ascii="宋体" w:hAnsi="宋体" w:eastAsia="宋体" w:cs="宋体"/>
                <w:b/>
                <w:bCs w:val="0"/>
                <w:color w:val="000000"/>
                <w:kern w:val="2"/>
                <w:sz w:val="21"/>
                <w:szCs w:val="21"/>
                <w:bdr w:val="none" w:color="auto" w:sz="0" w:space="0"/>
                <w:lang w:val="en-US" w:eastAsia="zh-CN" w:bidi="ar"/>
              </w:rPr>
              <w:t>三</w:t>
            </w:r>
          </w:p>
        </w:tc>
        <w:tc>
          <w:tcPr>
            <w:tcW w:w="4630" w:type="pct"/>
            <w:gridSpan w:val="3"/>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b/>
                <w:bCs w:val="0"/>
                <w:color w:val="000000"/>
                <w:kern w:val="2"/>
                <w:sz w:val="21"/>
                <w:szCs w:val="21"/>
                <w:bdr w:val="none" w:color="auto" w:sz="0" w:space="0"/>
                <w:lang w:val="en-US"/>
              </w:rPr>
            </w:pPr>
            <w:r>
              <w:rPr>
                <w:rFonts w:hint="eastAsia" w:ascii="宋体" w:hAnsi="宋体" w:eastAsia="宋体" w:cs="宋体"/>
                <w:b/>
                <w:bCs w:val="0"/>
                <w:color w:val="000000"/>
                <w:kern w:val="2"/>
                <w:sz w:val="21"/>
                <w:szCs w:val="21"/>
                <w:bdr w:val="none" w:color="auto" w:sz="0" w:space="0"/>
                <w:lang w:val="en-US" w:eastAsia="zh-CN" w:bidi="ar"/>
              </w:rPr>
              <w:t>生产布局</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3.1</w:t>
            </w:r>
          </w:p>
        </w:tc>
        <w:tc>
          <w:tcPr>
            <w:tcW w:w="21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镁制品加工项目应综合考虑资源、能源、环境容量和市场需求，必须符合海城市城乡建设规划、土地利用规划、环境保护规划和产业发展规划。</w:t>
            </w:r>
          </w:p>
        </w:tc>
        <w:tc>
          <w:tcPr>
            <w:tcW w:w="19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本项目已取得</w:t>
            </w:r>
            <w:r>
              <w:rPr>
                <w:rFonts w:hint="eastAsia" w:ascii="宋体" w:hAnsi="宋体" w:eastAsia="宋体" w:cs="宋体"/>
                <w:bCs/>
                <w:color w:val="000000"/>
                <w:kern w:val="2"/>
                <w:sz w:val="21"/>
                <w:szCs w:val="21"/>
                <w:bdr w:val="none" w:color="auto" w:sz="0" w:space="0"/>
                <w:lang w:val="en-US" w:eastAsia="zh-CN" w:bidi="ar"/>
              </w:rPr>
              <w:t>海城市发展和改革局的备案证明</w:t>
            </w:r>
            <w:r>
              <w:rPr>
                <w:rFonts w:hint="eastAsia" w:ascii="宋体" w:hAnsi="宋体" w:eastAsia="宋体" w:cs="宋体"/>
                <w:color w:val="000000"/>
                <w:kern w:val="2"/>
                <w:sz w:val="21"/>
                <w:szCs w:val="21"/>
                <w:bdr w:val="none" w:color="auto" w:sz="0" w:space="0"/>
                <w:lang w:val="en-US" w:eastAsia="zh-CN" w:bidi="ar"/>
              </w:rPr>
              <w:t>，位于现有厂区工业用地内，符合八里镇规划和当地产业发展规划要求。</w:t>
            </w:r>
          </w:p>
        </w:tc>
        <w:tc>
          <w:tcPr>
            <w:tcW w:w="51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b/>
                <w:bCs w:val="0"/>
                <w:color w:val="000000"/>
                <w:kern w:val="2"/>
                <w:sz w:val="21"/>
                <w:szCs w:val="21"/>
                <w:bdr w:val="none" w:color="auto" w:sz="0" w:space="0"/>
                <w:lang w:val="en-US" w:eastAsia="zh-CN" w:bidi="ar"/>
              </w:rPr>
              <w:t>四</w:t>
            </w:r>
          </w:p>
        </w:tc>
        <w:tc>
          <w:tcPr>
            <w:tcW w:w="4630" w:type="pct"/>
            <w:gridSpan w:val="3"/>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b/>
                <w:bCs w:val="0"/>
                <w:color w:val="000000"/>
                <w:kern w:val="2"/>
                <w:sz w:val="21"/>
                <w:szCs w:val="21"/>
                <w:bdr w:val="none" w:color="auto" w:sz="0" w:space="0"/>
                <w:lang w:val="en-US" w:eastAsia="zh-CN" w:bidi="ar"/>
              </w:rPr>
              <w:t>产能标准</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4.1</w:t>
            </w:r>
          </w:p>
        </w:tc>
        <w:tc>
          <w:tcPr>
            <w:tcW w:w="21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单条浮选生产线处理低品位矿石能力≥20万吨/年；</w:t>
            </w:r>
          </w:p>
        </w:tc>
        <w:tc>
          <w:tcPr>
            <w:tcW w:w="19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本项目单条浮选生产线处理低品位矿石能力31.25万吨/年；</w:t>
            </w:r>
          </w:p>
        </w:tc>
        <w:tc>
          <w:tcPr>
            <w:tcW w:w="51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b/>
                <w:bCs w:val="0"/>
                <w:color w:val="000000"/>
                <w:kern w:val="2"/>
                <w:sz w:val="21"/>
                <w:szCs w:val="21"/>
                <w:bdr w:val="none" w:color="auto" w:sz="0" w:space="0"/>
                <w:lang w:val="en-US"/>
              </w:rPr>
            </w:pPr>
            <w:r>
              <w:rPr>
                <w:rFonts w:hint="eastAsia" w:ascii="宋体" w:hAnsi="宋体" w:eastAsia="宋体" w:cs="宋体"/>
                <w:b/>
                <w:bCs w:val="0"/>
                <w:color w:val="000000"/>
                <w:kern w:val="2"/>
                <w:sz w:val="21"/>
                <w:szCs w:val="21"/>
                <w:bdr w:val="none" w:color="auto" w:sz="0" w:space="0"/>
                <w:lang w:val="en-US" w:eastAsia="zh-CN" w:bidi="ar"/>
              </w:rPr>
              <w:t>五</w:t>
            </w:r>
          </w:p>
        </w:tc>
        <w:tc>
          <w:tcPr>
            <w:tcW w:w="4630" w:type="pct"/>
            <w:gridSpan w:val="3"/>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b/>
                <w:bCs w:val="0"/>
                <w:color w:val="000000"/>
                <w:kern w:val="2"/>
                <w:sz w:val="21"/>
                <w:szCs w:val="21"/>
                <w:bdr w:val="none" w:color="auto" w:sz="0" w:space="0"/>
                <w:lang w:val="en-US" w:eastAsia="zh-CN" w:bidi="ar"/>
              </w:rPr>
              <w:t>环境保护</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5.1</w:t>
            </w:r>
          </w:p>
        </w:tc>
        <w:tc>
          <w:tcPr>
            <w:tcW w:w="21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b/>
                <w:bCs w:val="0"/>
                <w:color w:val="000000"/>
                <w:kern w:val="2"/>
                <w:sz w:val="21"/>
                <w:szCs w:val="21"/>
                <w:bdr w:val="none" w:color="auto" w:sz="0" w:space="0"/>
                <w:lang w:val="en-US"/>
              </w:rPr>
            </w:pPr>
            <w:r>
              <w:rPr>
                <w:rFonts w:hint="eastAsia" w:ascii="宋体" w:hAnsi="宋体" w:eastAsia="宋体" w:cs="宋体"/>
                <w:b/>
                <w:bCs w:val="0"/>
                <w:color w:val="000000"/>
                <w:kern w:val="2"/>
                <w:sz w:val="21"/>
                <w:szCs w:val="21"/>
                <w:bdr w:val="none" w:color="auto" w:sz="0" w:space="0"/>
                <w:lang w:val="en-US" w:eastAsia="zh-CN" w:bidi="ar"/>
              </w:rPr>
              <w:t>污染物排放：</w:t>
            </w:r>
            <w:r>
              <w:rPr>
                <w:rFonts w:hint="eastAsia" w:ascii="宋体" w:hAnsi="宋体" w:eastAsia="宋体" w:cs="宋体"/>
                <w:color w:val="000000"/>
                <w:kern w:val="2"/>
                <w:sz w:val="21"/>
                <w:szCs w:val="21"/>
                <w:bdr w:val="none" w:color="auto" w:sz="0" w:space="0"/>
                <w:lang w:val="en-US" w:eastAsia="zh-CN" w:bidi="ar"/>
              </w:rPr>
              <w:t>配套建设窑炉烟气除尘、脱硫、脱硝等治理装置，各项污染物经治理达标后排放。</w:t>
            </w:r>
          </w:p>
        </w:tc>
        <w:tc>
          <w:tcPr>
            <w:tcW w:w="19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本项目破碎、筛分等工序均配套布袋除尘器，经除尘后颗粒物＜</w:t>
            </w:r>
            <w:r>
              <w:rPr>
                <w:rFonts w:hint="default" w:ascii="Times New Roman" w:hAnsi="Times New Roman" w:eastAsia="宋体" w:cs="Times New Roman"/>
                <w:color w:val="000000"/>
                <w:kern w:val="2"/>
                <w:sz w:val="21"/>
                <w:szCs w:val="21"/>
                <w:bdr w:val="none" w:color="auto" w:sz="0" w:space="0"/>
                <w:lang w:val="en-US" w:eastAsia="zh-CN" w:bidi="ar"/>
              </w:rPr>
              <w:t>30mg/m</w:t>
            </w:r>
            <w:r>
              <w:rPr>
                <w:rFonts w:hint="default" w:ascii="Times New Roman" w:hAnsi="Times New Roman" w:eastAsia="宋体" w:cs="Times New Roman"/>
                <w:color w:val="000000"/>
                <w:kern w:val="2"/>
                <w:sz w:val="21"/>
                <w:szCs w:val="21"/>
                <w:bdr w:val="none" w:color="auto" w:sz="0" w:space="0"/>
                <w:vertAlign w:val="superscript"/>
                <w:lang w:val="en-US" w:eastAsia="zh-CN" w:bidi="ar"/>
              </w:rPr>
              <w:t>3</w:t>
            </w:r>
            <w:r>
              <w:rPr>
                <w:rFonts w:hint="eastAsia" w:ascii="Times New Roman" w:hAnsi="Times New Roman" w:eastAsia="宋体" w:cs="Times New Roman"/>
                <w:color w:val="000000"/>
                <w:kern w:val="2"/>
                <w:sz w:val="21"/>
                <w:szCs w:val="21"/>
                <w:bdr w:val="none" w:color="auto" w:sz="0" w:space="0"/>
                <w:lang w:val="en-US" w:eastAsia="zh-CN" w:bidi="ar"/>
              </w:rPr>
              <w:t>，厂界无组织颗粒物排放限值＜</w:t>
            </w:r>
            <w:r>
              <w:rPr>
                <w:rFonts w:hint="default" w:ascii="Times New Roman" w:hAnsi="Times New Roman" w:eastAsia="宋体" w:cs="Times New Roman"/>
                <w:color w:val="000000"/>
                <w:kern w:val="2"/>
                <w:sz w:val="21"/>
                <w:szCs w:val="21"/>
                <w:bdr w:val="none" w:color="auto" w:sz="0" w:space="0"/>
                <w:lang w:val="en-US" w:eastAsia="zh-CN" w:bidi="ar"/>
              </w:rPr>
              <w:t>0.8mg/m</w:t>
            </w:r>
            <w:r>
              <w:rPr>
                <w:rFonts w:hint="default" w:ascii="Times New Roman" w:hAnsi="Times New Roman" w:eastAsia="宋体" w:cs="Times New Roman"/>
                <w:color w:val="000000"/>
                <w:kern w:val="2"/>
                <w:sz w:val="21"/>
                <w:szCs w:val="21"/>
                <w:bdr w:val="none" w:color="auto" w:sz="0" w:space="0"/>
                <w:vertAlign w:val="superscript"/>
                <w:lang w:val="en-US" w:eastAsia="zh-CN" w:bidi="ar"/>
              </w:rPr>
              <w:t>3</w:t>
            </w:r>
            <w:r>
              <w:rPr>
                <w:rFonts w:hint="eastAsia" w:ascii="Times New Roman" w:hAnsi="Times New Roman" w:eastAsia="宋体" w:cs="Times New Roman"/>
                <w:color w:val="000000"/>
                <w:kern w:val="2"/>
                <w:sz w:val="21"/>
                <w:szCs w:val="21"/>
                <w:bdr w:val="none" w:color="auto" w:sz="0" w:space="0"/>
                <w:lang w:val="en-US" w:eastAsia="zh-CN" w:bidi="ar"/>
              </w:rPr>
              <w:t>。</w:t>
            </w:r>
          </w:p>
        </w:tc>
        <w:tc>
          <w:tcPr>
            <w:tcW w:w="51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tabs>
                <w:tab w:val="center" w:pos="1451"/>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5.2</w:t>
            </w:r>
          </w:p>
        </w:tc>
        <w:tc>
          <w:tcPr>
            <w:tcW w:w="21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center" w:pos="1451"/>
              </w:tabs>
              <w:snapToGrid w:val="0"/>
              <w:spacing w:before="0" w:beforeAutospacing="0" w:after="0" w:afterAutospacing="0"/>
              <w:ind w:left="0" w:right="0"/>
              <w:jc w:val="left"/>
              <w:rPr>
                <w:b/>
                <w:bCs w:val="0"/>
                <w:color w:val="000000"/>
                <w:kern w:val="2"/>
                <w:sz w:val="21"/>
                <w:szCs w:val="21"/>
                <w:bdr w:val="none" w:color="auto" w:sz="0" w:space="0"/>
                <w:lang w:val="en-US"/>
              </w:rPr>
            </w:pPr>
            <w:r>
              <w:rPr>
                <w:rFonts w:hint="eastAsia" w:ascii="宋体" w:hAnsi="宋体" w:eastAsia="宋体" w:cs="宋体"/>
                <w:b/>
                <w:bCs w:val="0"/>
                <w:color w:val="000000"/>
                <w:kern w:val="2"/>
                <w:sz w:val="21"/>
                <w:szCs w:val="21"/>
                <w:bdr w:val="none" w:color="auto" w:sz="0" w:space="0"/>
                <w:lang w:val="en-US" w:eastAsia="zh-CN" w:bidi="ar"/>
              </w:rPr>
              <w:t>物料的储存、装卸及运输：</w:t>
            </w:r>
          </w:p>
          <w:p>
            <w:pPr>
              <w:keepNext w:val="0"/>
              <w:keepLines w:val="0"/>
              <w:widowControl/>
              <w:suppressLineNumbers w:val="0"/>
              <w:tabs>
                <w:tab w:val="center" w:pos="1451"/>
              </w:tabs>
              <w:snapToGrid w:val="0"/>
              <w:spacing w:before="0" w:beforeAutospacing="0" w:after="0" w:afterAutospacing="0"/>
              <w:ind w:left="0" w:right="0"/>
              <w:jc w:val="center"/>
              <w:rPr>
                <w:color w:val="000000"/>
                <w:kern w:val="2"/>
                <w:sz w:val="21"/>
                <w:szCs w:val="21"/>
                <w:bdr w:val="none" w:color="auto" w:sz="0" w:space="0"/>
                <w:lang w:val="en-US"/>
              </w:rPr>
            </w:pPr>
            <w:bookmarkStart w:id="96" w:name="_Hlk38461093"/>
            <w:r>
              <w:rPr>
                <w:rFonts w:hint="eastAsia" w:ascii="宋体" w:hAnsi="宋体" w:eastAsia="宋体" w:cs="宋体"/>
                <w:color w:val="000000"/>
                <w:kern w:val="2"/>
                <w:sz w:val="21"/>
                <w:szCs w:val="21"/>
                <w:bdr w:val="none" w:color="auto" w:sz="0" w:space="0"/>
                <w:lang w:val="en-US" w:eastAsia="zh-CN" w:bidi="ar"/>
              </w:rPr>
              <w:t>1.各类物料应设置在封闭的储库或堆棚内，确实不能封闭或临时露天存放的应设置不低于堆放高度 1.1倍的围挡，并采取洒水、防尘网覆盖等防尘措施。</w:t>
            </w:r>
          </w:p>
          <w:p>
            <w:pPr>
              <w:keepNext w:val="0"/>
              <w:keepLines w:val="0"/>
              <w:widowControl/>
              <w:suppressLineNumbers w:val="0"/>
              <w:tabs>
                <w:tab w:val="center" w:pos="1451"/>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2.物料装卸应在封闭厂房内进行，卸料位置应配备除尘设施。</w:t>
            </w:r>
          </w:p>
          <w:p>
            <w:pPr>
              <w:keepNext w:val="0"/>
              <w:keepLines w:val="0"/>
              <w:widowControl/>
              <w:suppressLineNumbers w:val="0"/>
              <w:tabs>
                <w:tab w:val="center" w:pos="1451"/>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3.运输车辆应采取封闭措施，厂区道路应硬化，并定期清扫、洒水保持清洁。</w:t>
            </w:r>
            <w:bookmarkEnd w:id="96"/>
          </w:p>
        </w:tc>
        <w:tc>
          <w:tcPr>
            <w:tcW w:w="19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center" w:pos="1451"/>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1.本工程原料为菱镁矿石，存于封闭原料库内。</w:t>
            </w:r>
          </w:p>
          <w:p>
            <w:pPr>
              <w:keepNext w:val="0"/>
              <w:keepLines w:val="0"/>
              <w:widowControl/>
              <w:suppressLineNumbers w:val="0"/>
              <w:tabs>
                <w:tab w:val="center" w:pos="1451"/>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2.本项目物料装卸在在封闭原料库内进行，定期洒水抑尘。</w:t>
            </w:r>
          </w:p>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3.运输车辆应采取封闭措施，厂区道路硬化，并定期清扫、洒水保持清洁。</w:t>
            </w:r>
          </w:p>
        </w:tc>
        <w:tc>
          <w:tcPr>
            <w:tcW w:w="51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tabs>
                <w:tab w:val="center" w:pos="1451"/>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5.3</w:t>
            </w:r>
          </w:p>
        </w:tc>
        <w:tc>
          <w:tcPr>
            <w:tcW w:w="21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center" w:pos="1451"/>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b/>
                <w:bCs w:val="0"/>
                <w:color w:val="000000"/>
                <w:kern w:val="2"/>
                <w:sz w:val="21"/>
                <w:szCs w:val="21"/>
                <w:bdr w:val="none" w:color="auto" w:sz="0" w:space="0"/>
                <w:lang w:val="en-US" w:eastAsia="zh-CN" w:bidi="ar"/>
              </w:rPr>
              <w:t>物料输送：</w:t>
            </w:r>
            <w:bookmarkStart w:id="97" w:name="_Hlk38461063"/>
            <w:r>
              <w:rPr>
                <w:rFonts w:hint="eastAsia" w:ascii="宋体" w:hAnsi="宋体" w:eastAsia="宋体" w:cs="宋体"/>
                <w:color w:val="000000"/>
                <w:kern w:val="2"/>
                <w:sz w:val="21"/>
                <w:szCs w:val="21"/>
                <w:bdr w:val="none" w:color="auto" w:sz="0" w:space="0"/>
                <w:lang w:val="en-US" w:eastAsia="zh-CN" w:bidi="ar"/>
              </w:rPr>
              <w:t>物料输送应采用封闭输送系统，或在封闭厂房、通廊内运行，开放式输送设备在转运点、进出料口应设置集气罩，配备除尘设施。</w:t>
            </w:r>
            <w:bookmarkEnd w:id="97"/>
          </w:p>
        </w:tc>
        <w:tc>
          <w:tcPr>
            <w:tcW w:w="19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center" w:pos="1451"/>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本工程原料输送采用封闭的输送系统，对于开放式输送设备在转运点、进出料口设置集气罩，并配除尘设施。</w:t>
            </w:r>
          </w:p>
        </w:tc>
        <w:tc>
          <w:tcPr>
            <w:tcW w:w="51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tabs>
                <w:tab w:val="center" w:pos="1451"/>
              </w:tabs>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5.4</w:t>
            </w:r>
          </w:p>
        </w:tc>
        <w:tc>
          <w:tcPr>
            <w:tcW w:w="2177"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center" w:pos="1451"/>
              </w:tabs>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加工与处理工序：</w:t>
            </w:r>
            <w:bookmarkStart w:id="98" w:name="_Hlk38460370"/>
            <w:r>
              <w:rPr>
                <w:rFonts w:hint="eastAsia" w:ascii="宋体" w:hAnsi="宋体" w:eastAsia="宋体" w:cs="宋体"/>
                <w:color w:val="000000"/>
                <w:kern w:val="2"/>
                <w:sz w:val="21"/>
                <w:szCs w:val="24"/>
                <w:bdr w:val="none" w:color="auto" w:sz="0" w:space="0"/>
                <w:lang w:val="en-US" w:eastAsia="zh-CN" w:bidi="ar"/>
              </w:rPr>
              <w:t>破粉碎、筛分、配料、混合、成型、成品加工、包装等易散发粉尘的物料加工与处理工序应在封闭厂房内进行，采用密封良好的设备，进出料端均应采用密闭装置，并配备除尘设施，实施有组织排放。</w:t>
            </w:r>
            <w:bookmarkEnd w:id="98"/>
          </w:p>
        </w:tc>
        <w:tc>
          <w:tcPr>
            <w:tcW w:w="1937"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center" w:pos="1451"/>
              </w:tabs>
              <w:snapToGrid w:val="0"/>
              <w:spacing w:before="0" w:beforeAutospacing="0" w:after="0" w:afterAutospacing="0"/>
              <w:ind w:left="0" w:right="0"/>
              <w:jc w:val="center"/>
              <w:rPr>
                <w:color w:val="000000"/>
                <w:kern w:val="2"/>
                <w:sz w:val="21"/>
                <w:szCs w:val="24"/>
                <w:bdr w:val="none" w:color="auto" w:sz="0" w:space="0"/>
                <w:lang w:val="en-US"/>
              </w:rPr>
            </w:pPr>
            <w:r>
              <w:rPr>
                <w:rFonts w:hint="eastAsia" w:ascii="宋体" w:hAnsi="宋体" w:eastAsia="宋体" w:cs="宋体"/>
                <w:color w:val="000000"/>
                <w:kern w:val="2"/>
                <w:sz w:val="21"/>
                <w:szCs w:val="24"/>
                <w:bdr w:val="none" w:color="auto" w:sz="0" w:space="0"/>
                <w:lang w:val="en-US" w:eastAsia="zh-CN" w:bidi="ar"/>
              </w:rPr>
              <w:t>本工程原料破碎、筛分等环节均设置在封闭的厂房内，采用密封良好的设备和捕集罩，并配备除尘设施。</w:t>
            </w:r>
          </w:p>
        </w:tc>
        <w:tc>
          <w:tcPr>
            <w:tcW w:w="516"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kern w:val="2"/>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符合</w:t>
            </w:r>
          </w:p>
        </w:tc>
      </w:tr>
    </w:tbl>
    <w:p>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cs="Times New Roman"/>
          <w:color w:val="000000"/>
          <w:sz w:val="21"/>
          <w:szCs w:val="21"/>
          <w:lang/>
        </w:rPr>
      </w:pPr>
    </w:p>
    <w:p>
      <w:pPr>
        <w:keepNext w:val="0"/>
        <w:keepLines w:val="0"/>
        <w:widowControl/>
        <w:suppressLineNumbers w:val="0"/>
        <w:spacing w:before="0" w:beforeAutospacing="0" w:after="0" w:afterAutospacing="0" w:line="460" w:lineRule="exact"/>
        <w:ind w:left="0" w:right="0" w:firstLine="420" w:firstLineChars="200"/>
        <w:jc w:val="left"/>
        <w:rPr>
          <w:rFonts w:hint="default" w:ascii="Times New Roman" w:hAnsi="Times New Roman" w:cs="Times New Roman"/>
          <w:color w:val="000000"/>
          <w:lang w:val="en-US"/>
        </w:rPr>
      </w:pPr>
    </w:p>
    <w:p>
      <w:pPr>
        <w:keepNext w:val="0"/>
        <w:keepLines w:val="0"/>
        <w:widowControl/>
        <w:suppressLineNumbers w:val="0"/>
        <w:spacing w:before="0" w:beforeAutospacing="0" w:after="0" w:afterAutospacing="0" w:line="460" w:lineRule="exact"/>
        <w:ind w:left="0" w:right="0" w:firstLine="420" w:firstLineChars="200"/>
        <w:jc w:val="left"/>
        <w:rPr>
          <w:rFonts w:hint="default" w:ascii="Times New Roman" w:hAnsi="Times New Roman" w:cs="Times New Roman"/>
          <w:color w:val="000000"/>
          <w:lang w:val="en-US"/>
        </w:rPr>
      </w:pPr>
    </w:p>
    <w:p>
      <w:pPr>
        <w:keepNext w:val="0"/>
        <w:keepLines w:val="0"/>
        <w:widowControl/>
        <w:suppressLineNumbers w:val="0"/>
        <w:spacing w:before="0" w:beforeAutospacing="0" w:after="0" w:afterAutospacing="0" w:line="460" w:lineRule="exact"/>
        <w:ind w:left="0" w:right="0" w:firstLine="420" w:firstLineChars="200"/>
        <w:jc w:val="left"/>
        <w:rPr>
          <w:rFonts w:hint="default" w:ascii="Times New Roman" w:hAnsi="Times New Roman" w:cs="Times New Roman"/>
          <w:color w:val="000000"/>
          <w:lang w:val="en-US"/>
        </w:rPr>
      </w:pPr>
    </w:p>
    <w:p>
      <w:pPr>
        <w:rPr>
          <w:rFonts w:hint="default" w:ascii="Times New Roman" w:hAnsi="Times New Roman" w:eastAsia="宋体" w:cs="Times New Roman"/>
          <w:color w:val="000000"/>
          <w:sz w:val="24"/>
          <w:szCs w:val="24"/>
          <w:lang w:val="en-US" w:eastAsia="zh-CN" w:bidi="ar"/>
        </w:rPr>
        <w:sectPr>
          <w:pgSz w:w="16840" w:h="11915" w:orient="landscape"/>
          <w:pgMar w:top="1702" w:right="1702" w:bottom="1702" w:left="1702" w:header="851" w:footer="1077" w:gutter="0"/>
          <w:paperSrc/>
          <w:cols w:space="425" w:num="1"/>
          <w:docGrid w:type="lines" w:linePitch="479" w:charSpace="0"/>
        </w:sectPr>
      </w:pPr>
    </w:p>
    <w:p>
      <w:pPr>
        <w:pStyle w:val="8"/>
        <w:widowControl/>
        <w:rPr>
          <w:color w:val="000000"/>
          <w:lang/>
        </w:rPr>
      </w:pPr>
      <w:bookmarkStart w:id="99" w:name="_Toc41656119"/>
      <w:bookmarkStart w:id="100" w:name="_Toc175714244"/>
      <w:bookmarkStart w:id="101" w:name="_Toc175711411"/>
      <w:bookmarkStart w:id="102" w:name="_Toc166464716"/>
      <w:bookmarkStart w:id="103" w:name="_Toc158523396"/>
      <w:bookmarkStart w:id="104" w:name="_Toc154570234"/>
      <w:bookmarkStart w:id="105" w:name="_Toc154569847"/>
      <w:bookmarkStart w:id="106" w:name="_Toc153878443"/>
      <w:bookmarkStart w:id="107" w:name="_Toc153007107"/>
      <w:bookmarkStart w:id="108" w:name="_Toc151278908"/>
      <w:bookmarkStart w:id="109" w:name="_Toc151276134"/>
      <w:bookmarkStart w:id="110" w:name="_Toc151200246"/>
      <w:bookmarkStart w:id="111" w:name="_Toc151200086"/>
      <w:r>
        <w:rPr>
          <w:color w:val="000000"/>
          <w:lang/>
        </w:rPr>
        <w:t xml:space="preserve">1.7 </w:t>
      </w:r>
      <w:r>
        <w:rPr>
          <w:rFonts w:hint="eastAsia" w:ascii="Times New Roman" w:hAnsi="Times New Roman" w:eastAsia="宋体" w:cs="宋体"/>
          <w:color w:val="000000"/>
          <w:lang w:eastAsia="zh-CN"/>
        </w:rPr>
        <w:t>主要环境保护目标</w:t>
      </w:r>
      <w:bookmarkEnd w:id="99"/>
      <w:bookmarkEnd w:id="100"/>
      <w:bookmarkEnd w:id="101"/>
      <w:bookmarkEnd w:id="102"/>
      <w:bookmarkEnd w:id="103"/>
      <w:bookmarkEnd w:id="104"/>
      <w:bookmarkEnd w:id="105"/>
      <w:bookmarkEnd w:id="106"/>
      <w:bookmarkEnd w:id="107"/>
      <w:bookmarkEnd w:id="108"/>
      <w:bookmarkEnd w:id="109"/>
      <w:bookmarkEnd w:id="110"/>
      <w:bookmarkEnd w:id="111"/>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 xml:space="preserve">1.7.1 </w:t>
      </w:r>
      <w:r>
        <w:rPr>
          <w:rFonts w:ascii="Times New Roman" w:hAnsi="Times New Roman" w:cs="Times New Roman"/>
          <w:color w:val="000000"/>
          <w:lang/>
        </w:rPr>
        <w:t>周围环境概况</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本项目位于辽宁省海城市八里镇铧子峪村、华宇集团现有厂区内，与现有浮选工程分为两个生产区域独立建设，厂区周围环境简述如下：</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color w:val="000000"/>
          <w:lang w:val="en-US"/>
        </w:rPr>
      </w:pPr>
      <w:r>
        <w:rPr>
          <w:rFonts w:hint="eastAsia" w:ascii="Times New Roman" w:hAnsi="Times New Roman" w:eastAsia="宋体" w:cs="Times New Roman"/>
          <w:b/>
          <w:bCs w:val="0"/>
          <w:color w:val="000000"/>
          <w:kern w:val="0"/>
          <w:sz w:val="24"/>
          <w:szCs w:val="24"/>
          <w:lang w:val="en-US" w:eastAsia="zh-CN" w:bidi="ar"/>
        </w:rPr>
        <w:t>东侧：</w:t>
      </w:r>
      <w:r>
        <w:rPr>
          <w:rFonts w:hint="eastAsia" w:ascii="Times New Roman" w:hAnsi="Times New Roman" w:eastAsia="宋体" w:cs="Times New Roman"/>
          <w:color w:val="000000"/>
          <w:kern w:val="0"/>
          <w:sz w:val="24"/>
          <w:szCs w:val="24"/>
          <w:lang w:val="en-US" w:eastAsia="zh-CN" w:bidi="ar"/>
        </w:rPr>
        <w:t>华宇集团空地、金鼎集团空地</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color w:val="000000"/>
          <w:lang w:val="en-US"/>
        </w:rPr>
      </w:pPr>
      <w:r>
        <w:rPr>
          <w:rFonts w:hint="eastAsia" w:ascii="Times New Roman" w:hAnsi="Times New Roman" w:eastAsia="宋体" w:cs="Times New Roman"/>
          <w:b/>
          <w:bCs w:val="0"/>
          <w:color w:val="000000"/>
          <w:kern w:val="0"/>
          <w:sz w:val="24"/>
          <w:szCs w:val="24"/>
          <w:lang w:val="en-US" w:eastAsia="zh-CN" w:bidi="ar"/>
        </w:rPr>
        <w:t>南侧：</w:t>
      </w:r>
      <w:r>
        <w:rPr>
          <w:rFonts w:hint="eastAsia" w:ascii="Times New Roman" w:hAnsi="Times New Roman" w:eastAsia="宋体" w:cs="Times New Roman"/>
          <w:color w:val="000000"/>
          <w:kern w:val="0"/>
          <w:sz w:val="24"/>
          <w:szCs w:val="24"/>
          <w:lang w:val="en-US" w:eastAsia="zh-CN" w:bidi="ar"/>
        </w:rPr>
        <w:t>海城华宇矿产品有限公司厂区、华宇集团矿区</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color w:val="000000"/>
          <w:lang w:val="en-US"/>
        </w:rPr>
      </w:pPr>
      <w:r>
        <w:rPr>
          <w:rFonts w:hint="eastAsia" w:ascii="Times New Roman" w:hAnsi="Times New Roman" w:eastAsia="宋体" w:cs="Times New Roman"/>
          <w:b/>
          <w:bCs w:val="0"/>
          <w:color w:val="000000"/>
          <w:kern w:val="0"/>
          <w:sz w:val="24"/>
          <w:szCs w:val="24"/>
          <w:lang w:val="en-US" w:eastAsia="zh-CN" w:bidi="ar"/>
        </w:rPr>
        <w:t>西侧：</w:t>
      </w:r>
      <w:r>
        <w:rPr>
          <w:rFonts w:hint="eastAsia" w:ascii="Times New Roman" w:hAnsi="Times New Roman" w:eastAsia="宋体" w:cs="Times New Roman"/>
          <w:color w:val="000000"/>
          <w:kern w:val="0"/>
          <w:sz w:val="24"/>
          <w:szCs w:val="24"/>
          <w:lang w:val="en-US" w:eastAsia="zh-CN" w:bidi="ar"/>
        </w:rPr>
        <w:t>金鼎集团空地</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color w:val="000000"/>
          <w:lang w:val="en-US"/>
        </w:rPr>
      </w:pPr>
      <w:r>
        <w:rPr>
          <w:rFonts w:hint="eastAsia" w:ascii="Times New Roman" w:hAnsi="Times New Roman" w:eastAsia="宋体" w:cs="Times New Roman"/>
          <w:b/>
          <w:bCs w:val="0"/>
          <w:color w:val="000000"/>
          <w:kern w:val="0"/>
          <w:sz w:val="24"/>
          <w:szCs w:val="24"/>
          <w:lang w:val="en-US" w:eastAsia="zh-CN" w:bidi="ar"/>
        </w:rPr>
        <w:t>北侧：</w:t>
      </w:r>
      <w:r>
        <w:rPr>
          <w:rFonts w:hint="eastAsia" w:ascii="Times New Roman" w:hAnsi="Times New Roman" w:eastAsia="宋体" w:cs="Times New Roman"/>
          <w:color w:val="000000"/>
          <w:kern w:val="0"/>
          <w:sz w:val="24"/>
          <w:szCs w:val="24"/>
          <w:lang w:val="en-US" w:eastAsia="zh-CN" w:bidi="ar"/>
        </w:rPr>
        <w:t>金鼎集团空地、海城华宇镁砂有限公司厂区</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本项目周围环境及与现有工程位置关系见图</w:t>
      </w:r>
      <w:r>
        <w:rPr>
          <w:rFonts w:hint="default" w:ascii="Times New Roman" w:hAnsi="Times New Roman" w:eastAsia="宋体" w:cs="Times New Roman"/>
          <w:color w:val="000000"/>
          <w:kern w:val="0"/>
          <w:sz w:val="24"/>
          <w:szCs w:val="24"/>
          <w:lang w:val="en-US" w:eastAsia="zh-CN" w:bidi="ar"/>
        </w:rPr>
        <w:t>1-4</w:t>
      </w:r>
      <w:r>
        <w:rPr>
          <w:rFonts w:hint="eastAsia" w:ascii="Times New Roman" w:hAnsi="Times New Roman" w:eastAsia="宋体" w:cs="Times New Roman"/>
          <w:color w:val="000000"/>
          <w:kern w:val="0"/>
          <w:sz w:val="24"/>
          <w:szCs w:val="24"/>
          <w:lang w:val="en-US" w:eastAsia="zh-CN" w:bidi="ar"/>
        </w:rPr>
        <w:t>。</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 xml:space="preserve">1.7.2 </w:t>
      </w:r>
      <w:r>
        <w:rPr>
          <w:rFonts w:ascii="Times New Roman" w:hAnsi="Times New Roman" w:cs="Times New Roman"/>
          <w:color w:val="000000"/>
          <w:lang/>
        </w:rPr>
        <w:t>主要环境保护目标</w:t>
      </w: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eastAsia="zh-CN"/>
        </w:rPr>
      </w:pPr>
      <w:r>
        <w:rPr>
          <w:rFonts w:hint="eastAsia" w:ascii="Times New Roman" w:hAnsi="Times New Roman" w:eastAsia="宋体" w:cs="Times New Roman"/>
          <w:color w:val="000000"/>
          <w:kern w:val="0"/>
          <w:sz w:val="24"/>
          <w:szCs w:val="24"/>
          <w:lang w:val="en-US" w:eastAsia="zh-CN" w:bidi="ar"/>
        </w:rPr>
        <w:t>本</w:t>
      </w:r>
      <w:r>
        <w:rPr>
          <w:rFonts w:hint="eastAsia" w:ascii="Times New Roman" w:hAnsi="Times New Roman" w:eastAsia="宋体" w:cs="Times New Roman"/>
          <w:color w:val="000000"/>
          <w:kern w:val="0"/>
          <w:sz w:val="24"/>
          <w:szCs w:val="24"/>
          <w:lang w:eastAsia="zh-CN" w:bidi="ar"/>
        </w:rPr>
        <w:t>项目</w:t>
      </w:r>
      <w:r>
        <w:rPr>
          <w:rFonts w:hint="eastAsia" w:ascii="Times New Roman" w:hAnsi="Times New Roman" w:eastAsia="宋体" w:cs="Times New Roman"/>
          <w:color w:val="000000"/>
          <w:kern w:val="0"/>
          <w:sz w:val="24"/>
          <w:szCs w:val="24"/>
          <w:lang w:val="en-US" w:eastAsia="zh-CN" w:bidi="ar"/>
        </w:rPr>
        <w:t>建设用地内</w:t>
      </w:r>
      <w:r>
        <w:rPr>
          <w:rFonts w:hint="eastAsia" w:ascii="Times New Roman" w:hAnsi="Times New Roman" w:eastAsia="宋体" w:cs="Times New Roman"/>
          <w:color w:val="000000"/>
          <w:kern w:val="0"/>
          <w:sz w:val="24"/>
          <w:szCs w:val="24"/>
          <w:lang w:eastAsia="zh-CN" w:bidi="ar"/>
        </w:rPr>
        <w:t>无重点文物保护单位、生态功能保护区、自然保护区、风景名胜区等需要特殊保护的区域以及珍稀、濒危物种</w:t>
      </w:r>
      <w:r>
        <w:rPr>
          <w:rFonts w:hint="eastAsia" w:ascii="Times New Roman" w:hAnsi="Times New Roman" w:eastAsia="宋体" w:cs="Times New Roman"/>
          <w:color w:val="000000"/>
          <w:kern w:val="0"/>
          <w:sz w:val="24"/>
          <w:szCs w:val="24"/>
          <w:lang w:val="en-US" w:eastAsia="zh-CN" w:bidi="ar"/>
        </w:rPr>
        <w:t>，不占用生态红线。</w:t>
      </w: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eastAsia="zh-CN"/>
        </w:rPr>
      </w:pPr>
      <w:r>
        <w:rPr>
          <w:rFonts w:hint="eastAsia" w:ascii="Times New Roman" w:hAnsi="Times New Roman" w:eastAsia="宋体" w:cs="Times New Roman"/>
          <w:color w:val="000000"/>
          <w:kern w:val="0"/>
          <w:sz w:val="24"/>
          <w:szCs w:val="24"/>
          <w:lang w:eastAsia="zh-CN" w:bidi="ar"/>
        </w:rPr>
        <w:t>根据</w:t>
      </w:r>
      <w:r>
        <w:rPr>
          <w:rFonts w:hint="eastAsia" w:ascii="Times New Roman" w:hAnsi="Times New Roman" w:eastAsia="宋体" w:cs="Times New Roman"/>
          <w:color w:val="000000"/>
          <w:kern w:val="0"/>
          <w:sz w:val="24"/>
          <w:szCs w:val="24"/>
          <w:lang w:val="en-US" w:eastAsia="zh-CN" w:bidi="ar"/>
        </w:rPr>
        <w:t>本项目</w:t>
      </w:r>
      <w:r>
        <w:rPr>
          <w:rFonts w:hint="eastAsia" w:ascii="Times New Roman" w:hAnsi="Times New Roman" w:eastAsia="宋体" w:cs="Times New Roman"/>
          <w:color w:val="000000"/>
          <w:kern w:val="0"/>
          <w:sz w:val="24"/>
          <w:szCs w:val="24"/>
          <w:lang w:eastAsia="zh-CN" w:bidi="ar"/>
        </w:rPr>
        <w:t>周围环境特点确定</w:t>
      </w:r>
      <w:r>
        <w:rPr>
          <w:rFonts w:hint="eastAsia" w:ascii="Times New Roman" w:hAnsi="Times New Roman" w:eastAsia="宋体" w:cs="Times New Roman"/>
          <w:color w:val="000000"/>
          <w:kern w:val="0"/>
          <w:sz w:val="24"/>
          <w:szCs w:val="24"/>
          <w:lang w:val="en-US" w:eastAsia="zh-CN" w:bidi="ar"/>
        </w:rPr>
        <w:t>本次评价的环保目标和保护要素见表</w:t>
      </w:r>
      <w:r>
        <w:rPr>
          <w:rFonts w:hint="default" w:ascii="Times New Roman" w:hAnsi="Times New Roman" w:eastAsia="宋体" w:cs="Times New Roman"/>
          <w:color w:val="000000"/>
          <w:kern w:val="0"/>
          <w:sz w:val="24"/>
          <w:szCs w:val="24"/>
          <w:lang w:eastAsia="zh-CN" w:bidi="ar"/>
        </w:rPr>
        <w:t>1.7-1</w:t>
      </w:r>
      <w:r>
        <w:rPr>
          <w:rFonts w:hint="eastAsia" w:ascii="Times New Roman" w:hAnsi="Times New Roman" w:eastAsia="宋体" w:cs="Times New Roman"/>
          <w:color w:val="000000"/>
          <w:kern w:val="0"/>
          <w:sz w:val="24"/>
          <w:szCs w:val="24"/>
          <w:lang w:val="en-US" w:eastAsia="zh-CN" w:bidi="ar"/>
        </w:rPr>
        <w:t>，环保目标分布情况见图</w:t>
      </w:r>
      <w:r>
        <w:rPr>
          <w:rFonts w:hint="default" w:ascii="Times New Roman" w:hAnsi="Times New Roman" w:eastAsia="宋体" w:cs="Times New Roman"/>
          <w:color w:val="000000"/>
          <w:kern w:val="0"/>
          <w:sz w:val="24"/>
          <w:szCs w:val="24"/>
          <w:lang w:eastAsia="zh-CN" w:bidi="ar"/>
        </w:rPr>
        <w:t>1-2</w:t>
      </w:r>
      <w:r>
        <w:rPr>
          <w:rFonts w:hint="eastAsia" w:ascii="Times New Roman" w:hAnsi="Times New Roman" w:eastAsia="宋体" w:cs="Times New Roman"/>
          <w:color w:val="000000"/>
          <w:kern w:val="0"/>
          <w:sz w:val="24"/>
          <w:szCs w:val="24"/>
          <w:lang w:val="en-US" w:eastAsia="zh-CN" w:bidi="ar"/>
        </w:rPr>
        <w:t>。</w:t>
      </w: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eastAsia="zh-CN"/>
        </w:rPr>
      </w:pPr>
    </w:p>
    <w:p>
      <w:pPr>
        <w:rPr>
          <w:rFonts w:hint="default" w:ascii="Times New Roman" w:hAnsi="Times New Roman" w:eastAsia="宋体" w:cs="Times New Roman"/>
          <w:color w:val="000000"/>
          <w:sz w:val="24"/>
          <w:szCs w:val="24"/>
          <w:lang w:eastAsia="zh-CN" w:bidi="ar"/>
        </w:rPr>
        <w:sectPr>
          <w:pgSz w:w="11915" w:h="16840"/>
          <w:pgMar w:top="1702" w:right="1702" w:bottom="1702" w:left="1702" w:header="851" w:footer="1077" w:gutter="0"/>
          <w:paperSrc/>
          <w:cols w:space="425" w:num="1"/>
          <w:docGrid w:type="lines" w:linePitch="479" w:charSpace="0"/>
        </w:sectPr>
      </w:pPr>
    </w:p>
    <w:p>
      <w:pPr>
        <w:pStyle w:val="56"/>
        <w:widowControl/>
        <w:snapToGrid/>
        <w:rPr>
          <w:color w:val="000000"/>
          <w:lang w:val="en-US"/>
        </w:rPr>
      </w:pPr>
      <w:r>
        <w:rPr>
          <w:snapToGrid/>
          <w:lang w:eastAsia="zh-CN"/>
        </w:rPr>
        <w:drawing>
          <wp:anchor distT="0" distB="0" distL="114300" distR="114300" simplePos="0" relativeHeight="251724800" behindDoc="0" locked="0" layoutInCell="1" allowOverlap="1">
            <wp:simplePos x="0" y="0"/>
            <wp:positionH relativeFrom="margin">
              <wp:posOffset>424815</wp:posOffset>
            </wp:positionH>
            <wp:positionV relativeFrom="paragraph">
              <wp:posOffset>-337185</wp:posOffset>
            </wp:positionV>
            <wp:extent cx="7705725" cy="5810250"/>
            <wp:effectExtent l="0" t="0" r="9525" b="0"/>
            <wp:wrapTopAndBottom/>
            <wp:docPr id="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1"/>
                    <pic:cNvPicPr>
                      <a:picLocks noChangeAspect="1"/>
                    </pic:cNvPicPr>
                  </pic:nvPicPr>
                  <pic:blipFill>
                    <a:blip r:embed="rId14"/>
                    <a:stretch>
                      <a:fillRect/>
                    </a:stretch>
                  </pic:blipFill>
                  <pic:spPr>
                    <a:xfrm>
                      <a:off x="0" y="0"/>
                      <a:ext cx="7705725" cy="5810250"/>
                    </a:xfrm>
                    <a:prstGeom prst="rect">
                      <a:avLst/>
                    </a:prstGeom>
                    <a:noFill/>
                    <a:ln>
                      <a:noFill/>
                    </a:ln>
                  </pic:spPr>
                </pic:pic>
              </a:graphicData>
            </a:graphic>
          </wp:anchor>
        </w:drawing>
      </w:r>
      <w:r>
        <w:rPr>
          <w:rFonts w:hint="eastAsia" w:ascii="Times New Roman" w:hAnsi="Times New Roman" w:eastAsia="黑体" w:cs="黑体"/>
          <w:color w:val="000000"/>
          <w:lang w:eastAsia="zh-CN"/>
        </w:rPr>
        <w:t>图</w:t>
      </w:r>
      <w:r>
        <w:rPr>
          <w:color w:val="000000"/>
          <w:lang w:val="en-US"/>
        </w:rPr>
        <w:t xml:space="preserve">1-4  </w:t>
      </w:r>
      <w:r>
        <w:rPr>
          <w:rFonts w:hint="eastAsia" w:ascii="Times New Roman" w:hAnsi="Times New Roman" w:eastAsia="黑体" w:cs="黑体"/>
          <w:color w:val="000000"/>
          <w:lang w:eastAsia="zh-CN"/>
        </w:rPr>
        <w:t>本项目周边关系图</w:t>
      </w:r>
    </w:p>
    <w:p>
      <w:pPr>
        <w:pStyle w:val="56"/>
        <w:widowControl/>
        <w:snapToGrid/>
        <w:rPr>
          <w:color w:val="000000"/>
          <w:lang w:val="en-US"/>
        </w:rPr>
      </w:pPr>
      <w:r>
        <w:rPr>
          <w:rFonts w:hint="eastAsia" w:ascii="Times New Roman" w:hAnsi="Times New Roman" w:eastAsia="黑体" w:cs="黑体"/>
          <w:color w:val="000000"/>
          <w:lang w:eastAsia="zh-CN"/>
        </w:rPr>
        <w:t>表</w:t>
      </w:r>
      <w:r>
        <w:rPr>
          <w:color w:val="000000"/>
          <w:lang w:val="en-US"/>
        </w:rPr>
        <w:t xml:space="preserve">1.7-1  </w:t>
      </w:r>
      <w:r>
        <w:rPr>
          <w:rFonts w:hint="eastAsia" w:ascii="Times New Roman" w:hAnsi="Times New Roman" w:eastAsia="黑体" w:cs="黑体"/>
          <w:color w:val="000000"/>
          <w:lang w:eastAsia="zh-CN"/>
        </w:rPr>
        <w:t>主要环境保护目标一览表</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1101"/>
        <w:gridCol w:w="1417"/>
        <w:gridCol w:w="1418"/>
        <w:gridCol w:w="1419"/>
        <w:gridCol w:w="1135"/>
        <w:gridCol w:w="1559"/>
        <w:gridCol w:w="1276"/>
        <w:gridCol w:w="1559"/>
        <w:gridCol w:w="3119"/>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40" w:hRule="atLeast"/>
          <w:tblHeader/>
        </w:trPr>
        <w:tc>
          <w:tcPr>
            <w:tcW w:w="1101" w:type="dxa"/>
            <w:vMerge w:val="restart"/>
            <w:tcBorders>
              <w:top w:val="thinThickSmallGap" w:color="auto" w:sz="12" w:space="0"/>
              <w:left w:val="nil"/>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w:t>
            </w:r>
          </w:p>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要素</w:t>
            </w:r>
          </w:p>
        </w:tc>
        <w:tc>
          <w:tcPr>
            <w:tcW w:w="8221" w:type="dxa"/>
            <w:gridSpan w:val="6"/>
            <w:tcBorders>
              <w:top w:val="thinThickSmallGap" w:color="auto" w:sz="12" w:space="0"/>
              <w:left w:val="single" w:color="auto" w:sz="4" w:space="0"/>
              <w:bottom w:val="single" w:color="auto" w:sz="4" w:space="0"/>
              <w:right w:val="single" w:color="auto" w:sz="4" w:space="0"/>
            </w:tcBorders>
            <w:shd w:val="clear" w:color="auto" w:fill="E0E0E0"/>
            <w:vAlign w:val="top"/>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环境保护目标</w:t>
            </w:r>
          </w:p>
        </w:tc>
        <w:tc>
          <w:tcPr>
            <w:tcW w:w="1559" w:type="dxa"/>
            <w:vMerge w:val="restar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保护对象</w:t>
            </w:r>
          </w:p>
        </w:tc>
        <w:tc>
          <w:tcPr>
            <w:tcW w:w="3119" w:type="dxa"/>
            <w:vMerge w:val="restart"/>
            <w:tcBorders>
              <w:top w:val="thinThickSmallGap" w:color="auto" w:sz="12" w:space="0"/>
              <w:left w:val="single" w:color="auto" w:sz="4" w:space="0"/>
              <w:bottom w:val="single" w:color="auto" w:sz="4" w:space="0"/>
              <w:right w:val="nil"/>
            </w:tcBorders>
            <w:shd w:val="clear" w:color="auto" w:fill="E0E0E0"/>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保护目标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101" w:type="dxa"/>
            <w:vMerge w:val="continue"/>
            <w:tcBorders>
              <w:top w:val="thinThickSmallGap" w:color="auto" w:sz="12" w:space="0"/>
              <w:left w:val="nil"/>
              <w:bottom w:val="single" w:color="auto" w:sz="4" w:space="0"/>
              <w:right w:val="single" w:color="auto" w:sz="4" w:space="0"/>
            </w:tcBorders>
            <w:shd w:val="clear" w:color="auto" w:fill="E0E0E0"/>
            <w:vAlign w:val="center"/>
          </w:tcPr>
          <w:p>
            <w:pPr>
              <w:rPr>
                <w:rFonts w:hint="default" w:ascii="Times New Roman" w:hAnsi="Times New Roman" w:cs="Times New Roman"/>
                <w:sz w:val="20"/>
                <w:szCs w:val="20"/>
              </w:rPr>
            </w:pPr>
          </w:p>
        </w:tc>
        <w:tc>
          <w:tcPr>
            <w:tcW w:w="1417" w:type="dxa"/>
            <w:vMerge w:val="restart"/>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名称</w:t>
            </w:r>
          </w:p>
        </w:tc>
        <w:tc>
          <w:tcPr>
            <w:tcW w:w="2837" w:type="dxa"/>
            <w:gridSpan w:val="2"/>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坐标</w:t>
            </w:r>
          </w:p>
        </w:tc>
        <w:tc>
          <w:tcPr>
            <w:tcW w:w="1135" w:type="dxa"/>
            <w:vMerge w:val="restart"/>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相对厂址方位</w:t>
            </w:r>
          </w:p>
        </w:tc>
        <w:tc>
          <w:tcPr>
            <w:tcW w:w="1559" w:type="dxa"/>
            <w:vMerge w:val="restart"/>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相对本项目厂界距离（</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1276" w:type="dxa"/>
            <w:vMerge w:val="restart"/>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规模</w:t>
            </w:r>
          </w:p>
        </w:tc>
        <w:tc>
          <w:tcPr>
            <w:tcW w:w="1559" w:type="dxa"/>
            <w:vMerge w:val="continue"/>
            <w:tcBorders>
              <w:top w:val="thinThickSmallGap" w:color="auto" w:sz="12" w:space="0"/>
              <w:left w:val="single" w:color="auto" w:sz="4" w:space="0"/>
              <w:bottom w:val="single" w:color="auto" w:sz="4" w:space="0"/>
              <w:right w:val="single" w:color="auto" w:sz="4" w:space="0"/>
            </w:tcBorders>
            <w:shd w:val="clear" w:color="auto" w:fill="E0E0E0"/>
            <w:vAlign w:val="center"/>
          </w:tcPr>
          <w:p>
            <w:pPr>
              <w:rPr>
                <w:rFonts w:hint="default" w:ascii="Times New Roman" w:hAnsi="Times New Roman" w:cs="Times New Roman"/>
                <w:sz w:val="20"/>
                <w:szCs w:val="20"/>
              </w:rPr>
            </w:pPr>
          </w:p>
        </w:tc>
        <w:tc>
          <w:tcPr>
            <w:tcW w:w="3119" w:type="dxa"/>
            <w:vMerge w:val="continue"/>
            <w:tcBorders>
              <w:top w:val="thinThickSmallGap" w:color="auto" w:sz="12" w:space="0"/>
              <w:left w:val="single" w:color="auto" w:sz="4" w:space="0"/>
              <w:bottom w:val="single" w:color="auto" w:sz="4" w:space="0"/>
              <w:right w:val="nil"/>
            </w:tcBorders>
            <w:shd w:val="clear" w:color="auto" w:fill="E0E0E0"/>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101" w:type="dxa"/>
            <w:vMerge w:val="continue"/>
            <w:tcBorders>
              <w:top w:val="thinThickSmallGap" w:color="auto" w:sz="12" w:space="0"/>
              <w:left w:val="nil"/>
              <w:bottom w:val="single" w:color="auto" w:sz="4" w:space="0"/>
              <w:right w:val="single" w:color="auto" w:sz="4" w:space="0"/>
            </w:tcBorders>
            <w:shd w:val="clear" w:color="auto" w:fill="E0E0E0"/>
            <w:vAlign w:val="center"/>
          </w:tcPr>
          <w:p>
            <w:pPr>
              <w:rPr>
                <w:rFonts w:hint="default" w:ascii="Times New Roman" w:hAnsi="Times New Roman" w:cs="Times New Roman"/>
                <w:sz w:val="20"/>
                <w:szCs w:val="20"/>
              </w:rPr>
            </w:pPr>
          </w:p>
        </w:tc>
        <w:tc>
          <w:tcPr>
            <w:tcW w:w="1417" w:type="dxa"/>
            <w:vMerge w:val="continue"/>
            <w:tcBorders>
              <w:top w:val="single" w:color="auto" w:sz="4" w:space="0"/>
              <w:left w:val="single" w:color="auto" w:sz="4" w:space="0"/>
              <w:bottom w:val="single" w:color="auto" w:sz="4" w:space="0"/>
              <w:right w:val="single" w:color="auto" w:sz="4" w:space="0"/>
            </w:tcBorders>
            <w:shd w:val="clear" w:color="auto" w:fill="E0E0E0"/>
            <w:vAlign w:val="center"/>
          </w:tcPr>
          <w:p>
            <w:pPr>
              <w:rPr>
                <w:rFonts w:hint="default" w:ascii="Times New Roman" w:hAnsi="Times New Roman" w:cs="Times New Roman"/>
                <w:sz w:val="20"/>
                <w:szCs w:val="20"/>
              </w:rPr>
            </w:pPr>
          </w:p>
        </w:tc>
        <w:tc>
          <w:tcPr>
            <w:tcW w:w="1418" w:type="dxa"/>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纬度</w:t>
            </w:r>
          </w:p>
        </w:tc>
        <w:tc>
          <w:tcPr>
            <w:tcW w:w="1417" w:type="dxa"/>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经度</w:t>
            </w:r>
          </w:p>
        </w:tc>
        <w:tc>
          <w:tcPr>
            <w:tcW w:w="1135" w:type="dxa"/>
            <w:vMerge w:val="continue"/>
            <w:tcBorders>
              <w:top w:val="single" w:color="auto" w:sz="4" w:space="0"/>
              <w:left w:val="single" w:color="auto" w:sz="4" w:space="0"/>
              <w:bottom w:val="single" w:color="auto" w:sz="4" w:space="0"/>
              <w:right w:val="single" w:color="auto" w:sz="4" w:space="0"/>
            </w:tcBorders>
            <w:shd w:val="clear" w:color="auto" w:fill="E0E0E0"/>
            <w:vAlign w:val="center"/>
          </w:tcPr>
          <w:p>
            <w:pPr>
              <w:rPr>
                <w:rFonts w:hint="default" w:ascii="Times New Roman" w:hAnsi="Times New Roman" w:cs="Times New Roman"/>
                <w:sz w:val="20"/>
                <w:szCs w:val="20"/>
              </w:rPr>
            </w:pPr>
          </w:p>
        </w:tc>
        <w:tc>
          <w:tcPr>
            <w:tcW w:w="1559" w:type="dxa"/>
            <w:vMerge w:val="continue"/>
            <w:tcBorders>
              <w:top w:val="single" w:color="auto" w:sz="4" w:space="0"/>
              <w:left w:val="single" w:color="auto" w:sz="4" w:space="0"/>
              <w:bottom w:val="single" w:color="auto" w:sz="4" w:space="0"/>
              <w:right w:val="single" w:color="auto" w:sz="4" w:space="0"/>
            </w:tcBorders>
            <w:shd w:val="clear" w:color="auto" w:fill="E0E0E0"/>
            <w:vAlign w:val="center"/>
          </w:tcPr>
          <w:p>
            <w:pPr>
              <w:rPr>
                <w:rFonts w:hint="default" w:ascii="Times New Roman" w:hAnsi="Times New Roman" w:cs="Times New Roman"/>
                <w:sz w:val="20"/>
                <w:szCs w:val="20"/>
              </w:rPr>
            </w:pPr>
          </w:p>
        </w:tc>
        <w:tc>
          <w:tcPr>
            <w:tcW w:w="1276" w:type="dxa"/>
            <w:vMerge w:val="continue"/>
            <w:tcBorders>
              <w:top w:val="single" w:color="auto" w:sz="4" w:space="0"/>
              <w:left w:val="single" w:color="auto" w:sz="4" w:space="0"/>
              <w:bottom w:val="single" w:color="auto" w:sz="4" w:space="0"/>
              <w:right w:val="single" w:color="auto" w:sz="4" w:space="0"/>
            </w:tcBorders>
            <w:shd w:val="clear" w:color="auto" w:fill="E0E0E0"/>
            <w:vAlign w:val="center"/>
          </w:tcPr>
          <w:p>
            <w:pPr>
              <w:rPr>
                <w:rFonts w:hint="default" w:ascii="Times New Roman" w:hAnsi="Times New Roman" w:cs="Times New Roman"/>
                <w:sz w:val="20"/>
                <w:szCs w:val="20"/>
              </w:rPr>
            </w:pPr>
          </w:p>
        </w:tc>
        <w:tc>
          <w:tcPr>
            <w:tcW w:w="1559" w:type="dxa"/>
            <w:vMerge w:val="continue"/>
            <w:tcBorders>
              <w:top w:val="thinThickSmallGap" w:color="auto" w:sz="12" w:space="0"/>
              <w:left w:val="single" w:color="auto" w:sz="4" w:space="0"/>
              <w:bottom w:val="single" w:color="auto" w:sz="4" w:space="0"/>
              <w:right w:val="single" w:color="auto" w:sz="4" w:space="0"/>
            </w:tcBorders>
            <w:shd w:val="clear" w:color="auto" w:fill="E0E0E0"/>
            <w:vAlign w:val="center"/>
          </w:tcPr>
          <w:p>
            <w:pPr>
              <w:rPr>
                <w:rFonts w:hint="default" w:ascii="Times New Roman" w:hAnsi="Times New Roman" w:cs="Times New Roman"/>
                <w:sz w:val="20"/>
                <w:szCs w:val="20"/>
              </w:rPr>
            </w:pPr>
          </w:p>
        </w:tc>
        <w:tc>
          <w:tcPr>
            <w:tcW w:w="3119" w:type="dxa"/>
            <w:vMerge w:val="continue"/>
            <w:tcBorders>
              <w:top w:val="thinThickSmallGap" w:color="auto" w:sz="12" w:space="0"/>
              <w:left w:val="single" w:color="auto" w:sz="4" w:space="0"/>
              <w:bottom w:val="single" w:color="auto" w:sz="4" w:space="0"/>
              <w:right w:val="nil"/>
            </w:tcBorders>
            <w:shd w:val="clear" w:color="auto" w:fill="E0E0E0"/>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环境空气</w:t>
            </w:r>
          </w:p>
        </w:tc>
        <w:tc>
          <w:tcPr>
            <w:tcW w:w="1417" w:type="dxa"/>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范家峪村</w:t>
            </w:r>
          </w:p>
        </w:tc>
        <w:tc>
          <w:tcPr>
            <w:tcW w:w="1418" w:type="dxa"/>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40.718998</w:t>
            </w:r>
          </w:p>
        </w:tc>
        <w:tc>
          <w:tcPr>
            <w:tcW w:w="1417" w:type="dxa"/>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122.716427</w:t>
            </w:r>
          </w:p>
        </w:tc>
        <w:tc>
          <w:tcPr>
            <w:tcW w:w="113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260</w:t>
            </w:r>
          </w:p>
        </w:tc>
        <w:tc>
          <w:tcPr>
            <w:tcW w:w="127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120</w:t>
            </w:r>
            <w:r>
              <w:rPr>
                <w:rFonts w:hint="eastAsia" w:ascii="Times New Roman" w:hAnsi="Times New Roman" w:eastAsia="宋体" w:cs="Times New Roman"/>
                <w:color w:val="000000"/>
                <w:kern w:val="0"/>
                <w:sz w:val="21"/>
                <w:szCs w:val="21"/>
                <w:bdr w:val="none" w:color="auto" w:sz="0" w:space="0"/>
                <w:lang w:val="en-US" w:eastAsia="zh-CN" w:bidi="ar"/>
              </w:rPr>
              <w:t>人</w:t>
            </w:r>
          </w:p>
        </w:tc>
        <w:tc>
          <w:tcPr>
            <w:tcW w:w="1559" w:type="dxa"/>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居民聚集区</w:t>
            </w:r>
          </w:p>
        </w:tc>
        <w:tc>
          <w:tcPr>
            <w:tcW w:w="3119" w:type="dxa"/>
            <w:vMerge w:val="restar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SO</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NO</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2.5</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CO</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O</w:t>
            </w:r>
            <w:r>
              <w:rPr>
                <w:rFonts w:hint="default" w:ascii="Times New Roman" w:hAnsi="Times New Roman" w:eastAsia="宋体" w:cs="Times New Roman"/>
                <w:color w:val="000000"/>
                <w:kern w:val="0"/>
                <w:sz w:val="21"/>
                <w:szCs w:val="21"/>
                <w:bdr w:val="none" w:color="auto" w:sz="0" w:space="0"/>
                <w:vertAlign w:val="subscript"/>
                <w:lang w:val="en-US" w:eastAsia="zh-CN" w:bidi="ar"/>
              </w:rPr>
              <w:t>3</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TSP</w:t>
            </w:r>
            <w:r>
              <w:rPr>
                <w:rFonts w:hint="eastAsia" w:ascii="Times New Roman" w:hAnsi="Times New Roman" w:eastAsia="宋体" w:cs="Times New Roman"/>
                <w:color w:val="000000"/>
                <w:kern w:val="0"/>
                <w:sz w:val="21"/>
                <w:szCs w:val="21"/>
                <w:bdr w:val="none" w:color="auto" w:sz="0" w:space="0"/>
                <w:lang w:val="en-US" w:eastAsia="zh-CN" w:bidi="ar"/>
              </w:rPr>
              <w:t>、执行《环境空气质量标准》（</w:t>
            </w:r>
            <w:r>
              <w:rPr>
                <w:rFonts w:hint="default" w:ascii="Times New Roman" w:hAnsi="Times New Roman" w:eastAsia="宋体" w:cs="Times New Roman"/>
                <w:color w:val="000000"/>
                <w:kern w:val="0"/>
                <w:sz w:val="21"/>
                <w:szCs w:val="21"/>
                <w:bdr w:val="none" w:color="auto" w:sz="0" w:space="0"/>
                <w:lang w:val="en-US" w:eastAsia="zh-CN" w:bidi="ar"/>
              </w:rPr>
              <w:t>GB3095-2012</w:t>
            </w:r>
            <w:r>
              <w:rPr>
                <w:rFonts w:hint="eastAsia" w:ascii="Times New Roman" w:hAnsi="Times New Roman" w:eastAsia="宋体" w:cs="Times New Roman"/>
                <w:color w:val="000000"/>
                <w:kern w:val="0"/>
                <w:sz w:val="21"/>
                <w:szCs w:val="21"/>
                <w:bdr w:val="none" w:color="auto" w:sz="0" w:space="0"/>
                <w:lang w:val="en-US" w:eastAsia="zh-CN" w:bidi="ar"/>
              </w:rPr>
              <w:t>）二级标准</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17"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18"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17"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13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595</w:t>
            </w:r>
          </w:p>
        </w:tc>
        <w:tc>
          <w:tcPr>
            <w:tcW w:w="127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1860</w:t>
            </w:r>
            <w:r>
              <w:rPr>
                <w:rFonts w:hint="eastAsia" w:ascii="Times New Roman" w:hAnsi="Times New Roman" w:eastAsia="宋体" w:cs="Times New Roman"/>
                <w:color w:val="000000"/>
                <w:kern w:val="0"/>
                <w:sz w:val="21"/>
                <w:szCs w:val="21"/>
                <w:bdr w:val="none" w:color="auto" w:sz="0" w:space="0"/>
                <w:lang w:val="en-US" w:eastAsia="zh-CN" w:bidi="ar"/>
              </w:rPr>
              <w:t>人</w:t>
            </w:r>
          </w:p>
        </w:tc>
        <w:tc>
          <w:tcPr>
            <w:tcW w:w="1559"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19"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草庙村</w:t>
            </w:r>
          </w:p>
        </w:tc>
        <w:tc>
          <w:tcPr>
            <w:tcW w:w="141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40.720347</w:t>
            </w: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122.703638</w:t>
            </w:r>
          </w:p>
        </w:tc>
        <w:tc>
          <w:tcPr>
            <w:tcW w:w="113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1852</w:t>
            </w:r>
          </w:p>
        </w:tc>
        <w:tc>
          <w:tcPr>
            <w:tcW w:w="127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1000</w:t>
            </w:r>
            <w:r>
              <w:rPr>
                <w:rFonts w:hint="eastAsia" w:ascii="Times New Roman" w:hAnsi="Times New Roman" w:eastAsia="宋体" w:cs="Times New Roman"/>
                <w:color w:val="000000"/>
                <w:kern w:val="0"/>
                <w:sz w:val="21"/>
                <w:szCs w:val="21"/>
                <w:bdr w:val="none" w:color="auto" w:sz="0" w:space="0"/>
                <w:lang w:val="en-US" w:eastAsia="zh-CN" w:bidi="ar"/>
              </w:rPr>
              <w:t>人</w:t>
            </w:r>
          </w:p>
        </w:tc>
        <w:tc>
          <w:tcPr>
            <w:tcW w:w="1559"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19"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后草庙村</w:t>
            </w:r>
          </w:p>
        </w:tc>
        <w:tc>
          <w:tcPr>
            <w:tcW w:w="141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40.718998</w:t>
            </w: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122.716427</w:t>
            </w:r>
          </w:p>
        </w:tc>
        <w:tc>
          <w:tcPr>
            <w:tcW w:w="113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1663</w:t>
            </w:r>
          </w:p>
        </w:tc>
        <w:tc>
          <w:tcPr>
            <w:tcW w:w="127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400</w:t>
            </w:r>
            <w:r>
              <w:rPr>
                <w:rFonts w:hint="eastAsia" w:ascii="Times New Roman" w:hAnsi="Times New Roman" w:eastAsia="宋体" w:cs="Times New Roman"/>
                <w:color w:val="000000"/>
                <w:kern w:val="0"/>
                <w:sz w:val="21"/>
                <w:szCs w:val="21"/>
                <w:bdr w:val="none" w:color="auto" w:sz="0" w:space="0"/>
                <w:lang w:val="en-US" w:eastAsia="zh-CN" w:bidi="ar"/>
              </w:rPr>
              <w:t>人</w:t>
            </w:r>
          </w:p>
        </w:tc>
        <w:tc>
          <w:tcPr>
            <w:tcW w:w="1559"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19"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任家西沟</w:t>
            </w:r>
          </w:p>
        </w:tc>
        <w:tc>
          <w:tcPr>
            <w:tcW w:w="141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40.721876</w:t>
            </w: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122.700870</w:t>
            </w:r>
          </w:p>
        </w:tc>
        <w:tc>
          <w:tcPr>
            <w:tcW w:w="113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1827</w:t>
            </w:r>
          </w:p>
        </w:tc>
        <w:tc>
          <w:tcPr>
            <w:tcW w:w="127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200</w:t>
            </w:r>
            <w:r>
              <w:rPr>
                <w:rFonts w:hint="eastAsia" w:ascii="Times New Roman" w:hAnsi="Times New Roman" w:eastAsia="宋体" w:cs="Times New Roman"/>
                <w:color w:val="000000"/>
                <w:kern w:val="0"/>
                <w:sz w:val="21"/>
                <w:szCs w:val="21"/>
                <w:bdr w:val="none" w:color="auto" w:sz="0" w:space="0"/>
                <w:lang w:val="en-US" w:eastAsia="zh-CN" w:bidi="ar"/>
              </w:rPr>
              <w:t>人</w:t>
            </w:r>
          </w:p>
        </w:tc>
        <w:tc>
          <w:tcPr>
            <w:tcW w:w="1559"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19"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山城子</w:t>
            </w:r>
          </w:p>
        </w:tc>
        <w:tc>
          <w:tcPr>
            <w:tcW w:w="141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40.710150</w:t>
            </w: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122.700183</w:t>
            </w:r>
          </w:p>
        </w:tc>
        <w:tc>
          <w:tcPr>
            <w:tcW w:w="113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SW</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1985</w:t>
            </w:r>
          </w:p>
        </w:tc>
        <w:tc>
          <w:tcPr>
            <w:tcW w:w="127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220</w:t>
            </w:r>
            <w:r>
              <w:rPr>
                <w:rFonts w:hint="eastAsia" w:ascii="Times New Roman" w:hAnsi="Times New Roman" w:eastAsia="宋体" w:cs="Times New Roman"/>
                <w:color w:val="000000"/>
                <w:kern w:val="0"/>
                <w:sz w:val="21"/>
                <w:szCs w:val="21"/>
                <w:bdr w:val="none" w:color="auto" w:sz="0" w:space="0"/>
                <w:lang w:val="en-US" w:eastAsia="zh-CN" w:bidi="ar"/>
              </w:rPr>
              <w:t>人</w:t>
            </w:r>
          </w:p>
        </w:tc>
        <w:tc>
          <w:tcPr>
            <w:tcW w:w="1559"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19"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南三道村</w:t>
            </w:r>
          </w:p>
        </w:tc>
        <w:tc>
          <w:tcPr>
            <w:tcW w:w="141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40.731096</w:t>
            </w: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122.706170</w:t>
            </w:r>
          </w:p>
        </w:tc>
        <w:tc>
          <w:tcPr>
            <w:tcW w:w="113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NW</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1400</w:t>
            </w:r>
          </w:p>
        </w:tc>
        <w:tc>
          <w:tcPr>
            <w:tcW w:w="127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1780</w:t>
            </w:r>
            <w:r>
              <w:rPr>
                <w:rFonts w:hint="eastAsia" w:ascii="Times New Roman" w:hAnsi="Times New Roman" w:eastAsia="宋体" w:cs="Times New Roman"/>
                <w:color w:val="000000"/>
                <w:kern w:val="0"/>
                <w:sz w:val="21"/>
                <w:szCs w:val="21"/>
                <w:bdr w:val="none" w:color="auto" w:sz="0" w:space="0"/>
                <w:lang w:val="en-US" w:eastAsia="zh-CN" w:bidi="ar"/>
              </w:rPr>
              <w:t>人</w:t>
            </w:r>
          </w:p>
        </w:tc>
        <w:tc>
          <w:tcPr>
            <w:tcW w:w="1559"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19"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南二道村</w:t>
            </w:r>
          </w:p>
        </w:tc>
        <w:tc>
          <w:tcPr>
            <w:tcW w:w="141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40.735161</w:t>
            </w: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122.719388</w:t>
            </w:r>
          </w:p>
        </w:tc>
        <w:tc>
          <w:tcPr>
            <w:tcW w:w="113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1600</w:t>
            </w:r>
          </w:p>
        </w:tc>
        <w:tc>
          <w:tcPr>
            <w:tcW w:w="127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1550</w:t>
            </w:r>
            <w:r>
              <w:rPr>
                <w:rFonts w:hint="eastAsia" w:ascii="Times New Roman" w:hAnsi="Times New Roman" w:eastAsia="宋体" w:cs="Times New Roman"/>
                <w:color w:val="000000"/>
                <w:kern w:val="0"/>
                <w:sz w:val="21"/>
                <w:szCs w:val="21"/>
                <w:bdr w:val="none" w:color="auto" w:sz="0" w:space="0"/>
                <w:lang w:val="en-US" w:eastAsia="zh-CN" w:bidi="ar"/>
              </w:rPr>
              <w:t>人</w:t>
            </w:r>
          </w:p>
        </w:tc>
        <w:tc>
          <w:tcPr>
            <w:tcW w:w="1559"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19"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高家峪村</w:t>
            </w:r>
          </w:p>
        </w:tc>
        <w:tc>
          <w:tcPr>
            <w:tcW w:w="141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40.736852</w:t>
            </w: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122.734194</w:t>
            </w:r>
          </w:p>
        </w:tc>
        <w:tc>
          <w:tcPr>
            <w:tcW w:w="113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1960</w:t>
            </w:r>
          </w:p>
        </w:tc>
        <w:tc>
          <w:tcPr>
            <w:tcW w:w="127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1350</w:t>
            </w:r>
            <w:r>
              <w:rPr>
                <w:rFonts w:hint="eastAsia" w:ascii="Times New Roman" w:hAnsi="Times New Roman" w:eastAsia="宋体" w:cs="Times New Roman"/>
                <w:color w:val="000000"/>
                <w:kern w:val="0"/>
                <w:sz w:val="21"/>
                <w:szCs w:val="21"/>
                <w:bdr w:val="none" w:color="auto" w:sz="0" w:space="0"/>
                <w:lang w:val="en-US" w:eastAsia="zh-CN" w:bidi="ar"/>
              </w:rPr>
              <w:t>人</w:t>
            </w:r>
          </w:p>
        </w:tc>
        <w:tc>
          <w:tcPr>
            <w:tcW w:w="1559"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19"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铧子峪村</w:t>
            </w:r>
          </w:p>
        </w:tc>
        <w:tc>
          <w:tcPr>
            <w:tcW w:w="141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40.731007</w:t>
            </w: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122.728733</w:t>
            </w:r>
          </w:p>
        </w:tc>
        <w:tc>
          <w:tcPr>
            <w:tcW w:w="113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1283</w:t>
            </w:r>
          </w:p>
        </w:tc>
        <w:tc>
          <w:tcPr>
            <w:tcW w:w="127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1200</w:t>
            </w:r>
            <w:r>
              <w:rPr>
                <w:rFonts w:hint="eastAsia" w:ascii="Times New Roman" w:hAnsi="Times New Roman" w:eastAsia="宋体" w:cs="Times New Roman"/>
                <w:color w:val="000000"/>
                <w:kern w:val="0"/>
                <w:sz w:val="21"/>
                <w:szCs w:val="21"/>
                <w:bdr w:val="none" w:color="auto" w:sz="0" w:space="0"/>
                <w:lang w:val="en-US" w:eastAsia="zh-CN" w:bidi="ar"/>
              </w:rPr>
              <w:t>人</w:t>
            </w:r>
          </w:p>
        </w:tc>
        <w:tc>
          <w:tcPr>
            <w:tcW w:w="1559"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19"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齐家沟</w:t>
            </w:r>
          </w:p>
        </w:tc>
        <w:tc>
          <w:tcPr>
            <w:tcW w:w="141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40.736950</w:t>
            </w: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122.754407</w:t>
            </w:r>
          </w:p>
        </w:tc>
        <w:tc>
          <w:tcPr>
            <w:tcW w:w="113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NE</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2862</w:t>
            </w:r>
          </w:p>
        </w:tc>
        <w:tc>
          <w:tcPr>
            <w:tcW w:w="127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750</w:t>
            </w:r>
            <w:r>
              <w:rPr>
                <w:rFonts w:hint="eastAsia" w:ascii="Times New Roman" w:hAnsi="Times New Roman" w:eastAsia="宋体" w:cs="Times New Roman"/>
                <w:color w:val="000000"/>
                <w:kern w:val="0"/>
                <w:sz w:val="21"/>
                <w:szCs w:val="21"/>
                <w:bdr w:val="none" w:color="auto" w:sz="0" w:space="0"/>
                <w:lang w:val="en-US" w:eastAsia="zh-CN" w:bidi="ar"/>
              </w:rPr>
              <w:t>人</w:t>
            </w:r>
          </w:p>
        </w:tc>
        <w:tc>
          <w:tcPr>
            <w:tcW w:w="1559"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19"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修家沟</w:t>
            </w:r>
          </w:p>
        </w:tc>
        <w:tc>
          <w:tcPr>
            <w:tcW w:w="141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40.708149</w:t>
            </w: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122.754922</w:t>
            </w:r>
          </w:p>
        </w:tc>
        <w:tc>
          <w:tcPr>
            <w:tcW w:w="113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EW</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2633</w:t>
            </w:r>
          </w:p>
        </w:tc>
        <w:tc>
          <w:tcPr>
            <w:tcW w:w="127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280</w:t>
            </w:r>
            <w:r>
              <w:rPr>
                <w:rFonts w:hint="eastAsia" w:ascii="Times New Roman" w:hAnsi="Times New Roman" w:eastAsia="宋体" w:cs="Times New Roman"/>
                <w:color w:val="000000"/>
                <w:kern w:val="0"/>
                <w:sz w:val="21"/>
                <w:szCs w:val="21"/>
                <w:bdr w:val="none" w:color="auto" w:sz="0" w:space="0"/>
                <w:lang w:val="en-US" w:eastAsia="zh-CN" w:bidi="ar"/>
              </w:rPr>
              <w:t>人</w:t>
            </w:r>
          </w:p>
        </w:tc>
        <w:tc>
          <w:tcPr>
            <w:tcW w:w="1559"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19"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宋体" w:hAnsi="宋体" w:eastAsia="宋体" w:cs="宋体"/>
                <w:color w:val="000000"/>
                <w:kern w:val="0"/>
                <w:sz w:val="18"/>
                <w:szCs w:val="18"/>
                <w:bdr w:val="none" w:color="auto" w:sz="0" w:space="0"/>
                <w:lang w:val="en-US" w:eastAsia="zh-CN" w:bidi="ar"/>
              </w:rPr>
              <w:t>范家峪小学</w:t>
            </w:r>
          </w:p>
        </w:tc>
        <w:tc>
          <w:tcPr>
            <w:tcW w:w="141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40.721112</w:t>
            </w: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18"/>
                <w:szCs w:val="18"/>
                <w:bdr w:val="none" w:color="auto" w:sz="0" w:space="0"/>
                <w:lang w:val="en-US"/>
              </w:rPr>
            </w:pPr>
            <w:r>
              <w:rPr>
                <w:rFonts w:hint="default" w:ascii="Times New Roman" w:hAnsi="Times New Roman" w:eastAsia="宋体" w:cs="Times New Roman"/>
                <w:color w:val="000000"/>
                <w:kern w:val="0"/>
                <w:sz w:val="18"/>
                <w:szCs w:val="18"/>
                <w:bdr w:val="none" w:color="auto" w:sz="0" w:space="0"/>
                <w:lang w:val="en-US" w:eastAsia="zh-CN" w:bidi="ar"/>
              </w:rPr>
              <w:t>122.715955</w:t>
            </w:r>
          </w:p>
        </w:tc>
        <w:tc>
          <w:tcPr>
            <w:tcW w:w="113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850</w:t>
            </w:r>
          </w:p>
        </w:tc>
        <w:tc>
          <w:tcPr>
            <w:tcW w:w="127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180</w:t>
            </w:r>
            <w:r>
              <w:rPr>
                <w:rFonts w:hint="eastAsia" w:ascii="Times New Roman" w:hAnsi="Times New Roman" w:eastAsia="宋体" w:cs="Times New Roman"/>
                <w:color w:val="000000"/>
                <w:kern w:val="0"/>
                <w:sz w:val="21"/>
                <w:szCs w:val="21"/>
                <w:bdr w:val="none" w:color="auto" w:sz="0" w:space="0"/>
                <w:lang w:val="en-US" w:eastAsia="zh-CN" w:bidi="ar"/>
              </w:rPr>
              <w:t>人</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学校</w:t>
            </w:r>
          </w:p>
        </w:tc>
        <w:tc>
          <w:tcPr>
            <w:tcW w:w="3119"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声环境</w:t>
            </w:r>
          </w:p>
        </w:tc>
        <w:tc>
          <w:tcPr>
            <w:tcW w:w="141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厂界</w:t>
            </w:r>
          </w:p>
        </w:tc>
        <w:tc>
          <w:tcPr>
            <w:tcW w:w="2837" w:type="dxa"/>
            <w:gridSpan w:val="2"/>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四周</w:t>
            </w:r>
          </w:p>
        </w:tc>
        <w:tc>
          <w:tcPr>
            <w:tcW w:w="113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127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声环境</w:t>
            </w:r>
          </w:p>
        </w:tc>
        <w:tc>
          <w:tcPr>
            <w:tcW w:w="3119"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《声环境质量标准》（</w:t>
            </w:r>
            <w:r>
              <w:rPr>
                <w:rFonts w:hint="default" w:ascii="Times New Roman" w:hAnsi="Times New Roman" w:eastAsia="宋体" w:cs="Times New Roman"/>
                <w:color w:val="000000"/>
                <w:kern w:val="0"/>
                <w:sz w:val="21"/>
                <w:szCs w:val="21"/>
                <w:bdr w:val="none" w:color="auto" w:sz="0" w:space="0"/>
                <w:lang w:val="en-US" w:eastAsia="zh-CN" w:bidi="ar"/>
              </w:rPr>
              <w:t>GB3096-2008</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2</w:t>
            </w:r>
            <w:r>
              <w:rPr>
                <w:rFonts w:hint="eastAsia" w:ascii="Times New Roman" w:hAnsi="Times New Roman" w:eastAsia="宋体" w:cs="Times New Roman"/>
                <w:color w:val="000000"/>
                <w:kern w:val="0"/>
                <w:sz w:val="21"/>
                <w:szCs w:val="21"/>
                <w:bdr w:val="none" w:color="auto" w:sz="0" w:space="0"/>
                <w:lang w:val="en-US" w:eastAsia="zh-CN" w:bidi="ar"/>
              </w:rPr>
              <w:t>类标准</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地下水</w:t>
            </w:r>
          </w:p>
        </w:tc>
        <w:tc>
          <w:tcPr>
            <w:tcW w:w="4252" w:type="dxa"/>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宋体" w:hAnsi="宋体" w:eastAsia="宋体" w:cs="宋体"/>
                <w:color w:val="000000"/>
                <w:kern w:val="2"/>
                <w:sz w:val="21"/>
                <w:szCs w:val="21"/>
                <w:bdr w:val="none" w:color="auto" w:sz="0" w:space="0"/>
                <w:lang w:val="en-US" w:eastAsia="zh-CN" w:bidi="ar"/>
              </w:rPr>
              <w:t>评价范围内地下水</w:t>
            </w:r>
          </w:p>
        </w:tc>
        <w:tc>
          <w:tcPr>
            <w:tcW w:w="113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127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155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地下水水质</w:t>
            </w:r>
          </w:p>
        </w:tc>
        <w:tc>
          <w:tcPr>
            <w:tcW w:w="3119"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《地下水质量标准》（</w:t>
            </w:r>
            <w:r>
              <w:rPr>
                <w:rFonts w:hint="default" w:ascii="Times New Roman" w:hAnsi="Times New Roman" w:eastAsia="宋体" w:cs="Times New Roman"/>
                <w:color w:val="000000"/>
                <w:kern w:val="0"/>
                <w:sz w:val="21"/>
                <w:szCs w:val="21"/>
                <w:bdr w:val="none" w:color="auto" w:sz="0" w:space="0"/>
                <w:lang w:val="en-US" w:eastAsia="zh-CN" w:bidi="ar"/>
              </w:rPr>
              <w:t>GB/T14848</w:t>
            </w:r>
          </w:p>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-2017</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Ⅲ</w:t>
            </w:r>
            <w:r>
              <w:rPr>
                <w:rFonts w:hint="eastAsia" w:ascii="Times New Roman" w:hAnsi="Times New Roman" w:eastAsia="宋体" w:cs="Times New Roman"/>
                <w:color w:val="000000"/>
                <w:kern w:val="0"/>
                <w:sz w:val="21"/>
                <w:szCs w:val="21"/>
                <w:bdr w:val="none" w:color="auto" w:sz="0" w:space="0"/>
                <w:lang w:val="en-US" w:eastAsia="zh-CN" w:bidi="ar"/>
              </w:rPr>
              <w:t>类标准</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1" w:type="dxa"/>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土壤</w:t>
            </w:r>
          </w:p>
        </w:tc>
        <w:tc>
          <w:tcPr>
            <w:tcW w:w="4252" w:type="dxa"/>
            <w:gridSpan w:val="3"/>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color w:val="000000"/>
                <w:kern w:val="2"/>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厂区及周边土壤环境</w:t>
            </w:r>
          </w:p>
        </w:tc>
        <w:tc>
          <w:tcPr>
            <w:tcW w:w="1135"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1559"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1276"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1559"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土壤环境</w:t>
            </w:r>
          </w:p>
        </w:tc>
        <w:tc>
          <w:tcPr>
            <w:tcW w:w="3119" w:type="dxa"/>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(GB36600-2018)</w:t>
            </w:r>
            <w:r>
              <w:rPr>
                <w:rFonts w:hint="eastAsia" w:ascii="Times New Roman" w:hAnsi="Times New Roman" w:eastAsia="宋体" w:cs="Times New Roman"/>
                <w:color w:val="000000"/>
                <w:kern w:val="0"/>
                <w:sz w:val="21"/>
                <w:szCs w:val="21"/>
                <w:bdr w:val="none" w:color="auto" w:sz="0" w:space="0"/>
                <w:lang w:val="en-US" w:eastAsia="zh-CN" w:bidi="ar"/>
              </w:rPr>
              <w:t>第二类用地筛选值</w:t>
            </w:r>
          </w:p>
        </w:tc>
      </w:tr>
    </w:tbl>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p>
    <w:p>
      <w:pPr>
        <w:rPr>
          <w:rFonts w:hint="default" w:ascii="Times New Roman" w:hAnsi="Times New Roman" w:eastAsia="宋体" w:cs="Times New Roman"/>
          <w:color w:val="000000"/>
          <w:sz w:val="24"/>
          <w:szCs w:val="24"/>
          <w:lang w:eastAsia="zh-CN" w:bidi="ar"/>
        </w:rPr>
        <w:sectPr>
          <w:pgSz w:w="16840" w:h="11915" w:orient="landscape"/>
          <w:pgMar w:top="1702" w:right="1702" w:bottom="1702" w:left="1702" w:header="851" w:footer="1077" w:gutter="0"/>
          <w:paperSrc/>
          <w:cols w:space="425" w:num="1"/>
          <w:docGrid w:type="lines" w:linePitch="479" w:charSpace="0"/>
        </w:sectPr>
      </w:pPr>
    </w:p>
    <w:p>
      <w:pPr>
        <w:pStyle w:val="7"/>
        <w:widowControl/>
        <w:rPr>
          <w:rFonts w:hint="default" w:ascii="Times New Roman" w:hAnsi="Times New Roman" w:cs="Times New Roman"/>
          <w:color w:val="000000"/>
          <w:lang/>
        </w:rPr>
      </w:pPr>
      <w:bookmarkStart w:id="112" w:name="_Toc175714247"/>
      <w:bookmarkStart w:id="113" w:name="_Toc175711414"/>
      <w:bookmarkStart w:id="114" w:name="_Toc41656120"/>
      <w:bookmarkStart w:id="115" w:name="_Toc166464731"/>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 </w:t>
      </w:r>
      <w:bookmarkEnd w:id="112"/>
      <w:bookmarkEnd w:id="113"/>
      <w:r>
        <w:rPr>
          <w:rFonts w:ascii="Times New Roman" w:hAnsi="Times New Roman" w:cs="Times New Roman"/>
          <w:color w:val="000000"/>
          <w:lang w:eastAsia="zh-CN"/>
        </w:rPr>
        <w:t>现有工程概况</w:t>
      </w:r>
      <w:bookmarkEnd w:id="114"/>
    </w:p>
    <w:p>
      <w:pPr>
        <w:pStyle w:val="8"/>
        <w:widowControl/>
        <w:rPr>
          <w:color w:val="000000"/>
          <w:lang/>
        </w:rPr>
      </w:pPr>
      <w:bookmarkStart w:id="116" w:name="_Toc41656121"/>
      <w:r>
        <w:rPr>
          <w:color w:val="000000"/>
          <w:lang/>
        </w:rPr>
        <w:t xml:space="preserve">2.1 </w:t>
      </w:r>
      <w:r>
        <w:rPr>
          <w:rFonts w:hint="eastAsia" w:ascii="Times New Roman" w:hAnsi="Times New Roman" w:eastAsia="宋体" w:cs="宋体"/>
          <w:color w:val="000000"/>
          <w:lang w:eastAsia="zh-CN"/>
        </w:rPr>
        <w:t>项目概况</w:t>
      </w:r>
      <w:bookmarkEnd w:id="116"/>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现有项目占地面积</w:t>
      </w:r>
      <w:r>
        <w:rPr>
          <w:rFonts w:hint="default" w:ascii="Times New Roman" w:hAnsi="Times New Roman" w:eastAsia="宋体" w:cs="Times New Roman"/>
          <w:color w:val="000000"/>
          <w:kern w:val="0"/>
          <w:sz w:val="24"/>
          <w:szCs w:val="24"/>
          <w:lang w:val="en-US" w:eastAsia="zh-CN" w:bidi="ar"/>
        </w:rPr>
        <w:t>20000 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，总建筑面积</w:t>
      </w:r>
      <w:r>
        <w:rPr>
          <w:rFonts w:hint="default" w:ascii="Times New Roman" w:hAnsi="Times New Roman" w:eastAsia="宋体" w:cs="Times New Roman"/>
          <w:color w:val="000000"/>
          <w:kern w:val="0"/>
          <w:sz w:val="24"/>
          <w:szCs w:val="24"/>
          <w:lang w:val="en-US" w:eastAsia="zh-CN" w:bidi="ar"/>
        </w:rPr>
        <w:t>6732 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，现有工程建筑物占地面积及结构形式见表</w:t>
      </w:r>
      <w:r>
        <w:rPr>
          <w:rFonts w:hint="default" w:ascii="Times New Roman" w:hAnsi="Times New Roman" w:eastAsia="宋体" w:cs="Times New Roman"/>
          <w:color w:val="000000"/>
          <w:kern w:val="0"/>
          <w:sz w:val="24"/>
          <w:szCs w:val="24"/>
          <w:lang w:val="en-US" w:eastAsia="zh-CN" w:bidi="ar"/>
        </w:rPr>
        <w:t>2.1-1</w:t>
      </w:r>
      <w:r>
        <w:rPr>
          <w:rFonts w:hint="eastAsia" w:ascii="Times New Roman" w:hAnsi="Times New Roman" w:eastAsia="宋体" w:cs="Times New Roman"/>
          <w:color w:val="000000"/>
          <w:kern w:val="0"/>
          <w:sz w:val="24"/>
          <w:szCs w:val="24"/>
          <w:lang w:val="en-US" w:eastAsia="zh-CN" w:bidi="ar"/>
        </w:rPr>
        <w:t>，现有工程组成见表</w:t>
      </w:r>
      <w:r>
        <w:rPr>
          <w:rFonts w:hint="default" w:ascii="Times New Roman" w:hAnsi="Times New Roman" w:eastAsia="宋体" w:cs="Times New Roman"/>
          <w:color w:val="000000"/>
          <w:kern w:val="0"/>
          <w:sz w:val="24"/>
          <w:szCs w:val="24"/>
          <w:lang w:val="en-US" w:eastAsia="zh-CN" w:bidi="ar"/>
        </w:rPr>
        <w:t>2.1-2</w:t>
      </w:r>
      <w:r>
        <w:rPr>
          <w:rFonts w:hint="eastAsia" w:ascii="Times New Roman" w:hAnsi="Times New Roman" w:eastAsia="宋体" w:cs="Times New Roman"/>
          <w:color w:val="000000"/>
          <w:kern w:val="0"/>
          <w:sz w:val="24"/>
          <w:szCs w:val="24"/>
          <w:lang w:val="en-US" w:eastAsia="zh-CN" w:bidi="ar"/>
        </w:rPr>
        <w:t>，现有工程总平面布置见图</w:t>
      </w:r>
      <w:r>
        <w:rPr>
          <w:rFonts w:hint="default" w:ascii="Times New Roman" w:hAnsi="Times New Roman" w:eastAsia="宋体" w:cs="Times New Roman"/>
          <w:color w:val="000000"/>
          <w:kern w:val="0"/>
          <w:sz w:val="24"/>
          <w:szCs w:val="24"/>
          <w:lang w:val="en-US" w:eastAsia="zh-CN" w:bidi="ar"/>
        </w:rPr>
        <w:t>2-1</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2.1-1  </w:t>
      </w:r>
      <w:r>
        <w:rPr>
          <w:rFonts w:hint="eastAsia" w:ascii="Times New Roman" w:hAnsi="Times New Roman" w:eastAsia="黑体" w:cs="Times New Roman"/>
          <w:color w:val="000000"/>
          <w:kern w:val="0"/>
          <w:sz w:val="24"/>
          <w:szCs w:val="24"/>
          <w:lang w:val="en-US" w:eastAsia="zh-CN" w:bidi="ar"/>
        </w:rPr>
        <w:t>现有工程建构筑物一览表</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shd w:val="clear"/>
        <w:tblLayout w:type="autofit"/>
        <w:tblCellMar>
          <w:top w:w="0" w:type="dxa"/>
          <w:left w:w="108" w:type="dxa"/>
          <w:bottom w:w="0" w:type="dxa"/>
          <w:right w:w="108" w:type="dxa"/>
        </w:tblCellMar>
      </w:tblPr>
      <w:tblGrid>
        <w:gridCol w:w="1141"/>
        <w:gridCol w:w="2231"/>
        <w:gridCol w:w="2128"/>
        <w:gridCol w:w="1418"/>
        <w:gridCol w:w="1809"/>
      </w:tblGrid>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shd w:val="clear"/>
          <w:tblCellMar>
            <w:top w:w="0" w:type="dxa"/>
            <w:left w:w="108" w:type="dxa"/>
            <w:bottom w:w="0" w:type="dxa"/>
            <w:right w:w="108" w:type="dxa"/>
          </w:tblCellMar>
        </w:tblPrEx>
        <w:trPr>
          <w:trHeight w:val="394" w:hRule="atLeast"/>
          <w:tblHeader/>
          <w:jc w:val="center"/>
        </w:trPr>
        <w:tc>
          <w:tcPr>
            <w:tcW w:w="654" w:type="pct"/>
            <w:tcBorders>
              <w:top w:val="thinThickSmallGap" w:color="auto" w:sz="12" w:space="0"/>
              <w:left w:val="nil"/>
              <w:bottom w:val="single" w:color="auto" w:sz="2" w:space="0"/>
              <w:right w:val="single" w:color="auto" w:sz="2" w:space="0"/>
            </w:tcBorders>
            <w:shd w:val="clear" w:color="auto" w:fill="E0E0E0"/>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序号</w:t>
            </w:r>
          </w:p>
        </w:tc>
        <w:tc>
          <w:tcPr>
            <w:tcW w:w="1278" w:type="pct"/>
            <w:tcBorders>
              <w:top w:val="thinThickSmallGap" w:color="auto" w:sz="12" w:space="0"/>
              <w:left w:val="single" w:color="auto" w:sz="2" w:space="0"/>
              <w:bottom w:val="single" w:color="auto" w:sz="2" w:space="0"/>
              <w:right w:val="single" w:color="auto" w:sz="2" w:space="0"/>
            </w:tcBorders>
            <w:shd w:val="clear" w:color="auto" w:fill="E0E0E0"/>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建构筑物名称</w:t>
            </w:r>
          </w:p>
        </w:tc>
        <w:tc>
          <w:tcPr>
            <w:tcW w:w="1219" w:type="pct"/>
            <w:tcBorders>
              <w:top w:val="thinThickSmallGap" w:color="auto" w:sz="12" w:space="0"/>
              <w:left w:val="single" w:color="auto" w:sz="2" w:space="0"/>
              <w:bottom w:val="single" w:color="auto" w:sz="2" w:space="0"/>
              <w:right w:val="single" w:color="auto" w:sz="2" w:space="0"/>
            </w:tcBorders>
            <w:shd w:val="clear" w:color="auto" w:fill="E0E0E0"/>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建筑物占地面积</w:t>
            </w:r>
          </w:p>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m</w:t>
            </w:r>
            <w:r>
              <w:rPr>
                <w:rFonts w:hint="default" w:ascii="Times New Roman" w:hAnsi="Times New Roman" w:cs="Times New Roman"/>
                <w:color w:val="000000"/>
                <w:sz w:val="21"/>
                <w:szCs w:val="21"/>
                <w:bdr w:val="none" w:color="auto" w:sz="0" w:space="0"/>
                <w:vertAlign w:val="superscript"/>
                <w:lang w:val="en-US"/>
              </w:rPr>
              <w:t>2</w:t>
            </w:r>
            <w:r>
              <w:rPr>
                <w:rFonts w:ascii="Times New Roman" w:hAnsi="Times New Roman" w:cs="Times New Roman"/>
                <w:color w:val="000000"/>
                <w:sz w:val="21"/>
                <w:szCs w:val="21"/>
                <w:bdr w:val="none" w:color="auto" w:sz="0" w:space="0"/>
              </w:rPr>
              <w:t>）</w:t>
            </w:r>
          </w:p>
        </w:tc>
        <w:tc>
          <w:tcPr>
            <w:tcW w:w="812" w:type="pct"/>
            <w:tcBorders>
              <w:top w:val="thinThickSmallGap" w:color="auto" w:sz="12" w:space="0"/>
              <w:left w:val="single" w:color="auto" w:sz="2" w:space="0"/>
              <w:bottom w:val="single" w:color="auto" w:sz="2" w:space="0"/>
              <w:right w:val="single" w:color="auto" w:sz="2" w:space="0"/>
            </w:tcBorders>
            <w:shd w:val="clear" w:color="auto" w:fill="E0E0E0"/>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层数</w:t>
            </w:r>
          </w:p>
        </w:tc>
        <w:tc>
          <w:tcPr>
            <w:tcW w:w="1036" w:type="pct"/>
            <w:tcBorders>
              <w:top w:val="thinThickSmallGap" w:color="auto" w:sz="12" w:space="0"/>
              <w:left w:val="single" w:color="auto" w:sz="2" w:space="0"/>
              <w:bottom w:val="single" w:color="auto" w:sz="2" w:space="0"/>
              <w:right w:val="nil"/>
            </w:tcBorders>
            <w:shd w:val="clear" w:color="auto" w:fill="E0E0E0"/>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备注</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94" w:hRule="atLeast"/>
          <w:jc w:val="center"/>
        </w:trPr>
        <w:tc>
          <w:tcPr>
            <w:tcW w:w="654"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1278"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原料库</w:t>
            </w:r>
          </w:p>
        </w:tc>
        <w:tc>
          <w:tcPr>
            <w:tcW w:w="121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2800</w:t>
            </w:r>
          </w:p>
        </w:tc>
        <w:tc>
          <w:tcPr>
            <w:tcW w:w="81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1036"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混凝土结构</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94" w:hRule="atLeast"/>
          <w:jc w:val="center"/>
        </w:trPr>
        <w:tc>
          <w:tcPr>
            <w:tcW w:w="654"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p>
        </w:tc>
        <w:tc>
          <w:tcPr>
            <w:tcW w:w="1278"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磨矿车间</w:t>
            </w:r>
          </w:p>
        </w:tc>
        <w:tc>
          <w:tcPr>
            <w:tcW w:w="121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630</w:t>
            </w:r>
          </w:p>
        </w:tc>
        <w:tc>
          <w:tcPr>
            <w:tcW w:w="81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1036"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框架结构</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94" w:hRule="atLeast"/>
          <w:jc w:val="center"/>
        </w:trPr>
        <w:tc>
          <w:tcPr>
            <w:tcW w:w="654"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w:t>
            </w:r>
          </w:p>
        </w:tc>
        <w:tc>
          <w:tcPr>
            <w:tcW w:w="1278"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浮选车间</w:t>
            </w:r>
          </w:p>
        </w:tc>
        <w:tc>
          <w:tcPr>
            <w:tcW w:w="121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560</w:t>
            </w:r>
          </w:p>
        </w:tc>
        <w:tc>
          <w:tcPr>
            <w:tcW w:w="81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1036"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框架结构</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94" w:hRule="atLeast"/>
          <w:jc w:val="center"/>
        </w:trPr>
        <w:tc>
          <w:tcPr>
            <w:tcW w:w="654"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w:t>
            </w:r>
          </w:p>
        </w:tc>
        <w:tc>
          <w:tcPr>
            <w:tcW w:w="1278"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过滤车间</w:t>
            </w:r>
          </w:p>
        </w:tc>
        <w:tc>
          <w:tcPr>
            <w:tcW w:w="121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720</w:t>
            </w:r>
          </w:p>
        </w:tc>
        <w:tc>
          <w:tcPr>
            <w:tcW w:w="81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1036"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框架结构</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94" w:hRule="atLeast"/>
          <w:jc w:val="center"/>
        </w:trPr>
        <w:tc>
          <w:tcPr>
            <w:tcW w:w="654"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w:t>
            </w:r>
          </w:p>
        </w:tc>
        <w:tc>
          <w:tcPr>
            <w:tcW w:w="1278"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成品库房</w:t>
            </w:r>
          </w:p>
        </w:tc>
        <w:tc>
          <w:tcPr>
            <w:tcW w:w="121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1800</w:t>
            </w:r>
          </w:p>
        </w:tc>
        <w:tc>
          <w:tcPr>
            <w:tcW w:w="81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1036"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框架结构</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94" w:hRule="atLeast"/>
          <w:jc w:val="center"/>
        </w:trPr>
        <w:tc>
          <w:tcPr>
            <w:tcW w:w="654"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w:t>
            </w:r>
          </w:p>
        </w:tc>
        <w:tc>
          <w:tcPr>
            <w:tcW w:w="1278"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化验室、办公室</w:t>
            </w:r>
          </w:p>
        </w:tc>
        <w:tc>
          <w:tcPr>
            <w:tcW w:w="121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112</w:t>
            </w:r>
          </w:p>
        </w:tc>
        <w:tc>
          <w:tcPr>
            <w:tcW w:w="81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p>
        </w:tc>
        <w:tc>
          <w:tcPr>
            <w:tcW w:w="1036"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砖混结构</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94" w:hRule="atLeast"/>
          <w:jc w:val="center"/>
        </w:trPr>
        <w:tc>
          <w:tcPr>
            <w:tcW w:w="654"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w:t>
            </w:r>
          </w:p>
        </w:tc>
        <w:tc>
          <w:tcPr>
            <w:tcW w:w="1278"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仓库</w:t>
            </w:r>
          </w:p>
        </w:tc>
        <w:tc>
          <w:tcPr>
            <w:tcW w:w="121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110</w:t>
            </w:r>
          </w:p>
        </w:tc>
        <w:tc>
          <w:tcPr>
            <w:tcW w:w="81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1036"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框架结构</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94" w:hRule="atLeast"/>
          <w:jc w:val="center"/>
        </w:trPr>
        <w:tc>
          <w:tcPr>
            <w:tcW w:w="654"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w:t>
            </w:r>
          </w:p>
        </w:tc>
        <w:tc>
          <w:tcPr>
            <w:tcW w:w="1278"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尾矿沉淀池</w:t>
            </w:r>
          </w:p>
        </w:tc>
        <w:tc>
          <w:tcPr>
            <w:tcW w:w="121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81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36"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容积</w:t>
            </w:r>
            <w:r>
              <w:rPr>
                <w:rFonts w:hint="default" w:ascii="Times New Roman" w:hAnsi="Times New Roman" w:cs="Times New Roman"/>
                <w:color w:val="000000"/>
                <w:sz w:val="21"/>
                <w:szCs w:val="21"/>
                <w:bdr w:val="none" w:color="auto" w:sz="0" w:space="0"/>
                <w:lang w:val="en-US"/>
              </w:rPr>
              <w:t>4800m</w:t>
            </w:r>
            <w:r>
              <w:rPr>
                <w:rFonts w:hint="default" w:ascii="Times New Roman" w:hAnsi="Times New Roman" w:cs="Times New Roman"/>
                <w:color w:val="000000"/>
                <w:sz w:val="21"/>
                <w:szCs w:val="21"/>
                <w:bdr w:val="none" w:color="auto" w:sz="0" w:space="0"/>
                <w:vertAlign w:val="superscript"/>
                <w:lang w:val="en-US"/>
              </w:rPr>
              <w:t>3</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94" w:hRule="atLeast"/>
          <w:jc w:val="center"/>
        </w:trPr>
        <w:tc>
          <w:tcPr>
            <w:tcW w:w="654"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9</w:t>
            </w:r>
          </w:p>
        </w:tc>
        <w:tc>
          <w:tcPr>
            <w:tcW w:w="1278"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精矿沉淀池</w:t>
            </w:r>
          </w:p>
        </w:tc>
        <w:tc>
          <w:tcPr>
            <w:tcW w:w="121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81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36"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容积</w:t>
            </w:r>
            <w:r>
              <w:rPr>
                <w:rFonts w:hint="default" w:ascii="Times New Roman" w:hAnsi="Times New Roman" w:cs="Times New Roman"/>
                <w:color w:val="000000"/>
                <w:sz w:val="21"/>
                <w:szCs w:val="21"/>
                <w:bdr w:val="none" w:color="auto" w:sz="0" w:space="0"/>
                <w:lang w:val="en-US"/>
              </w:rPr>
              <w:t>1000m</w:t>
            </w:r>
            <w:r>
              <w:rPr>
                <w:rFonts w:hint="default" w:ascii="Times New Roman" w:hAnsi="Times New Roman" w:cs="Times New Roman"/>
                <w:color w:val="000000"/>
                <w:sz w:val="21"/>
                <w:szCs w:val="21"/>
                <w:bdr w:val="none" w:color="auto" w:sz="0" w:space="0"/>
                <w:vertAlign w:val="superscript"/>
                <w:lang w:val="en-US"/>
              </w:rPr>
              <w:t>3</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94" w:hRule="atLeast"/>
          <w:jc w:val="center"/>
        </w:trPr>
        <w:tc>
          <w:tcPr>
            <w:tcW w:w="654"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w:t>
            </w:r>
          </w:p>
        </w:tc>
        <w:tc>
          <w:tcPr>
            <w:tcW w:w="1278"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循环水池</w:t>
            </w:r>
          </w:p>
        </w:tc>
        <w:tc>
          <w:tcPr>
            <w:tcW w:w="121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81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36"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容积</w:t>
            </w:r>
            <w:r>
              <w:rPr>
                <w:rFonts w:hint="default" w:ascii="Times New Roman" w:hAnsi="Times New Roman" w:cs="Times New Roman"/>
                <w:color w:val="000000"/>
                <w:sz w:val="21"/>
                <w:szCs w:val="21"/>
                <w:bdr w:val="none" w:color="auto" w:sz="0" w:space="0"/>
                <w:lang w:val="en-US"/>
              </w:rPr>
              <w:t>12750m</w:t>
            </w:r>
            <w:r>
              <w:rPr>
                <w:rFonts w:hint="default" w:ascii="Times New Roman" w:hAnsi="Times New Roman" w:cs="Times New Roman"/>
                <w:color w:val="000000"/>
                <w:sz w:val="21"/>
                <w:szCs w:val="21"/>
                <w:bdr w:val="none" w:color="auto" w:sz="0" w:space="0"/>
                <w:vertAlign w:val="superscript"/>
                <w:lang w:val="en-US"/>
              </w:rPr>
              <w:t>3</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94" w:hRule="atLeast"/>
          <w:jc w:val="center"/>
        </w:trPr>
        <w:tc>
          <w:tcPr>
            <w:tcW w:w="654"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11</w:t>
            </w:r>
          </w:p>
        </w:tc>
        <w:tc>
          <w:tcPr>
            <w:tcW w:w="1278"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清水池</w:t>
            </w:r>
          </w:p>
        </w:tc>
        <w:tc>
          <w:tcPr>
            <w:tcW w:w="121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81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36"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容积</w:t>
            </w:r>
            <w:r>
              <w:rPr>
                <w:rFonts w:hint="default" w:ascii="Times New Roman" w:hAnsi="Times New Roman" w:cs="Times New Roman"/>
                <w:color w:val="000000"/>
                <w:sz w:val="21"/>
                <w:szCs w:val="21"/>
                <w:bdr w:val="none" w:color="auto" w:sz="0" w:space="0"/>
                <w:lang w:val="en-US"/>
              </w:rPr>
              <w:t>6000m</w:t>
            </w:r>
            <w:r>
              <w:rPr>
                <w:rFonts w:hint="default" w:ascii="Times New Roman" w:hAnsi="Times New Roman" w:cs="Times New Roman"/>
                <w:color w:val="000000"/>
                <w:sz w:val="21"/>
                <w:szCs w:val="21"/>
                <w:bdr w:val="none" w:color="auto" w:sz="0" w:space="0"/>
                <w:vertAlign w:val="superscript"/>
                <w:lang w:val="en-US"/>
              </w:rPr>
              <w:t>3</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94" w:hRule="atLeast"/>
          <w:jc w:val="center"/>
        </w:trPr>
        <w:tc>
          <w:tcPr>
            <w:tcW w:w="1932" w:type="pct"/>
            <w:gridSpan w:val="2"/>
            <w:tcBorders>
              <w:top w:val="single" w:color="auto" w:sz="2" w:space="0"/>
              <w:left w:val="nil"/>
              <w:bottom w:val="thickThinSmallGap" w:color="auto" w:sz="12" w:space="0"/>
              <w:right w:val="single" w:color="auto" w:sz="2" w:space="0"/>
            </w:tcBorders>
            <w:shd w:val="clear"/>
            <w:vAlign w:val="center"/>
          </w:tcPr>
          <w:p>
            <w:pPr>
              <w:keepNext w:val="0"/>
              <w:keepLines w:val="0"/>
              <w:widowControl/>
              <w:suppressLineNumbers w:val="0"/>
              <w:spacing w:before="0" w:beforeAutospacing="0" w:after="0" w:afterAutospacing="0"/>
              <w:ind w:left="0" w:right="23"/>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合计</w:t>
            </w:r>
          </w:p>
        </w:tc>
        <w:tc>
          <w:tcPr>
            <w:tcW w:w="1219" w:type="pct"/>
            <w:tcBorders>
              <w:top w:val="single" w:color="auto" w:sz="2" w:space="0"/>
              <w:left w:val="single" w:color="auto" w:sz="2" w:space="0"/>
              <w:bottom w:val="thickThinSmallGap" w:color="auto" w:sz="12" w:space="0"/>
              <w:right w:val="single" w:color="auto" w:sz="2" w:space="0"/>
            </w:tcBorders>
            <w:shd w:val="clear"/>
            <w:vAlign w:val="center"/>
          </w:tcPr>
          <w:p>
            <w:pPr>
              <w:keepNext w:val="0"/>
              <w:keepLines w:val="0"/>
              <w:widowControl/>
              <w:suppressLineNumbers w:val="0"/>
              <w:spacing w:before="0" w:beforeAutospacing="0" w:after="0" w:afterAutospacing="0"/>
              <w:ind w:left="0" w:right="23"/>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6732</w:t>
            </w:r>
          </w:p>
        </w:tc>
        <w:tc>
          <w:tcPr>
            <w:tcW w:w="812" w:type="pct"/>
            <w:tcBorders>
              <w:top w:val="single" w:color="auto" w:sz="2" w:space="0"/>
              <w:left w:val="single" w:color="auto" w:sz="2" w:space="0"/>
              <w:bottom w:val="thickThinSmallGap" w:color="auto" w:sz="12" w:space="0"/>
              <w:right w:val="single" w:color="auto" w:sz="2" w:space="0"/>
            </w:tcBorders>
            <w:shd w:val="clear"/>
            <w:vAlign w:val="center"/>
          </w:tcPr>
          <w:p>
            <w:pPr>
              <w:keepNext w:val="0"/>
              <w:keepLines w:val="0"/>
              <w:widowControl/>
              <w:suppressLineNumbers w:val="0"/>
              <w:spacing w:before="0" w:beforeAutospacing="0" w:after="0" w:afterAutospacing="0"/>
              <w:ind w:left="0" w:right="23"/>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w:t>
            </w:r>
          </w:p>
        </w:tc>
        <w:tc>
          <w:tcPr>
            <w:tcW w:w="1036" w:type="pct"/>
            <w:tcBorders>
              <w:top w:val="single" w:color="auto" w:sz="2" w:space="0"/>
              <w:left w:val="single" w:color="auto" w:sz="2"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23"/>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w:t>
            </w:r>
          </w:p>
        </w:tc>
      </w:tr>
    </w:tbl>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2.1-2  </w:t>
      </w:r>
      <w:r>
        <w:rPr>
          <w:rFonts w:hint="eastAsia" w:ascii="Times New Roman" w:hAnsi="Times New Roman" w:eastAsia="黑体" w:cs="Times New Roman"/>
          <w:color w:val="000000"/>
          <w:kern w:val="0"/>
          <w:sz w:val="24"/>
          <w:szCs w:val="24"/>
          <w:lang w:val="en-US" w:eastAsia="zh-CN" w:bidi="ar"/>
        </w:rPr>
        <w:t>现有工程组成一览表</w:t>
      </w:r>
    </w:p>
    <w:tbl>
      <w:tblPr>
        <w:tblStyle w:val="32"/>
        <w:tblW w:w="5000" w:type="pct"/>
        <w:tblInd w:w="0" w:type="dxa"/>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384"/>
        <w:gridCol w:w="1988"/>
        <w:gridCol w:w="5355"/>
      </w:tblGrid>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shd w:val="clear"/>
          <w:tblCellMar>
            <w:top w:w="0" w:type="dxa"/>
            <w:left w:w="108" w:type="dxa"/>
            <w:bottom w:w="0" w:type="dxa"/>
            <w:right w:w="108" w:type="dxa"/>
          </w:tblCellMar>
        </w:tblPrEx>
        <w:trPr>
          <w:trHeight w:val="397" w:hRule="atLeast"/>
          <w:tblHeader/>
        </w:trPr>
        <w:tc>
          <w:tcPr>
            <w:tcW w:w="793" w:type="pct"/>
            <w:tcBorders>
              <w:top w:val="thinThickSmallGap" w:color="auto" w:sz="12" w:space="0"/>
              <w:left w:val="nil"/>
              <w:bottom w:val="single" w:color="auto" w:sz="6" w:space="0"/>
              <w:right w:val="single" w:color="auto" w:sz="4" w:space="0"/>
            </w:tcBorders>
            <w:shd w:val="clear" w:color="auto" w:fill="D9D9D9"/>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分类</w:t>
            </w:r>
          </w:p>
        </w:tc>
        <w:tc>
          <w:tcPr>
            <w:tcW w:w="1139" w:type="pct"/>
            <w:tcBorders>
              <w:top w:val="thinThickSmallGap" w:color="auto" w:sz="12" w:space="0"/>
              <w:left w:val="single" w:color="auto" w:sz="4" w:space="0"/>
              <w:bottom w:val="single" w:color="auto" w:sz="6" w:space="0"/>
              <w:right w:val="single" w:color="auto" w:sz="4" w:space="0"/>
            </w:tcBorders>
            <w:shd w:val="clear" w:color="auto" w:fill="D9D9D9"/>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项目组成</w:t>
            </w:r>
          </w:p>
        </w:tc>
        <w:tc>
          <w:tcPr>
            <w:tcW w:w="3068" w:type="pct"/>
            <w:tcBorders>
              <w:top w:val="thinThickSmallGap" w:color="auto" w:sz="12" w:space="0"/>
              <w:left w:val="single" w:color="auto" w:sz="4" w:space="0"/>
              <w:bottom w:val="single" w:color="auto" w:sz="6" w:space="0"/>
              <w:right w:val="nil"/>
            </w:tcBorders>
            <w:shd w:val="clear" w:color="auto" w:fill="D9D9D9"/>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主要建设内容</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restar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主体工程</w:t>
            </w:r>
          </w:p>
        </w:tc>
        <w:tc>
          <w:tcPr>
            <w:tcW w:w="1139"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磨矿车间</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内设</w:t>
            </w:r>
            <w:r>
              <w:rPr>
                <w:color w:val="000000"/>
                <w:bdr w:val="none" w:color="auto" w:sz="0" w:space="0"/>
                <w:lang w:eastAsia="zh-CN"/>
              </w:rPr>
              <w:t>2</w:t>
            </w:r>
            <w:r>
              <w:rPr>
                <w:rFonts w:hint="eastAsia" w:ascii="Times New Roman" w:hAnsi="Times New Roman" w:eastAsia="宋体" w:cs="宋体"/>
                <w:color w:val="000000"/>
                <w:bdr w:val="none" w:color="auto" w:sz="0" w:space="0"/>
                <w:lang w:eastAsia="zh-CN"/>
              </w:rPr>
              <w:t>条</w:t>
            </w:r>
            <w:r>
              <w:rPr>
                <w:rFonts w:hint="eastAsia" w:ascii="Times New Roman" w:hAnsi="Times New Roman" w:eastAsia="宋体" w:cs="宋体"/>
                <w:color w:val="000000"/>
                <w:bdr w:val="none" w:color="auto" w:sz="0" w:space="0"/>
                <w:lang/>
              </w:rPr>
              <w:t>球磨</w:t>
            </w:r>
            <w:r>
              <w:rPr>
                <w:rFonts w:hint="eastAsia" w:ascii="Times New Roman" w:hAnsi="Times New Roman" w:eastAsia="宋体" w:cs="宋体"/>
                <w:color w:val="000000"/>
                <w:bdr w:val="none" w:color="auto" w:sz="0" w:space="0"/>
                <w:lang w:eastAsia="zh-CN"/>
              </w:rPr>
              <w:t>生产线（一用一备）</w:t>
            </w:r>
            <w:r>
              <w:rPr>
                <w:rFonts w:hint="eastAsia" w:ascii="Times New Roman" w:hAnsi="Times New Roman" w:eastAsia="宋体" w:cs="宋体"/>
                <w:color w:val="000000"/>
                <w:bdr w:val="none" w:color="auto" w:sz="0" w:space="0"/>
                <w:lang/>
              </w:rPr>
              <w:t>，包括分级机、湿式球磨机等设备</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39"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浮选车间</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内设</w:t>
            </w:r>
            <w:r>
              <w:rPr>
                <w:color w:val="000000"/>
                <w:bdr w:val="none" w:color="auto" w:sz="0" w:space="0"/>
                <w:lang/>
              </w:rPr>
              <w:t>2</w:t>
            </w:r>
            <w:r>
              <w:rPr>
                <w:rFonts w:hint="eastAsia" w:ascii="Times New Roman" w:hAnsi="Times New Roman" w:eastAsia="宋体" w:cs="宋体"/>
                <w:color w:val="000000"/>
                <w:bdr w:val="none" w:color="auto" w:sz="0" w:space="0"/>
                <w:lang/>
              </w:rPr>
              <w:t>条浮选生产线（一用一备），包括浮选机、搅拌槽等设备</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39"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过滤车间</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内设真空吸滤机等设备</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restar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辅助工程</w:t>
            </w:r>
          </w:p>
        </w:tc>
        <w:tc>
          <w:tcPr>
            <w:tcW w:w="113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精矿沉淀池</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设一座</w:t>
            </w:r>
            <w:r>
              <w:rPr>
                <w:rFonts w:hint="eastAsia" w:ascii="Times New Roman" w:hAnsi="Times New Roman" w:eastAsia="宋体" w:cs="宋体"/>
                <w:color w:val="000000"/>
                <w:bdr w:val="none" w:color="auto" w:sz="0" w:space="0"/>
                <w:lang w:eastAsia="zh-CN"/>
              </w:rPr>
              <w:t>精矿沉淀</w:t>
            </w:r>
            <w:r>
              <w:rPr>
                <w:rFonts w:hint="eastAsia" w:ascii="Times New Roman" w:hAnsi="Times New Roman" w:eastAsia="宋体" w:cs="宋体"/>
                <w:color w:val="000000"/>
                <w:bdr w:val="none" w:color="auto" w:sz="0" w:space="0"/>
                <w:lang/>
              </w:rPr>
              <w:t>池，容积</w:t>
            </w:r>
            <w:r>
              <w:rPr>
                <w:color w:val="000000"/>
                <w:bdr w:val="none" w:color="auto" w:sz="0" w:space="0"/>
                <w:lang w:eastAsia="zh-CN"/>
              </w:rPr>
              <w:t>10</w:t>
            </w:r>
            <w:r>
              <w:rPr>
                <w:color w:val="000000"/>
                <w:bdr w:val="none" w:color="auto" w:sz="0" w:space="0"/>
                <w:lang/>
              </w:rPr>
              <w:t>00m</w:t>
            </w:r>
            <w:r>
              <w:rPr>
                <w:color w:val="000000"/>
                <w:bdr w:val="none" w:color="auto" w:sz="0" w:space="0"/>
                <w:vertAlign w:val="superscript"/>
                <w:lang/>
              </w:rPr>
              <w:t>3</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3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尾矿沉淀池</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设一座尾矿</w:t>
            </w:r>
            <w:r>
              <w:rPr>
                <w:rFonts w:hint="eastAsia" w:ascii="Times New Roman" w:hAnsi="Times New Roman" w:eastAsia="宋体" w:cs="宋体"/>
                <w:color w:val="000000"/>
                <w:bdr w:val="none" w:color="auto" w:sz="0" w:space="0"/>
                <w:lang w:eastAsia="zh-CN"/>
              </w:rPr>
              <w:t>沉淀</w:t>
            </w:r>
            <w:r>
              <w:rPr>
                <w:rFonts w:hint="eastAsia" w:ascii="Times New Roman" w:hAnsi="Times New Roman" w:eastAsia="宋体" w:cs="宋体"/>
                <w:color w:val="000000"/>
                <w:bdr w:val="none" w:color="auto" w:sz="0" w:space="0"/>
                <w:lang/>
              </w:rPr>
              <w:t>池，容积</w:t>
            </w:r>
            <w:r>
              <w:rPr>
                <w:color w:val="000000"/>
                <w:bdr w:val="none" w:color="auto" w:sz="0" w:space="0"/>
                <w:lang w:eastAsia="zh-CN"/>
              </w:rPr>
              <w:t>480</w:t>
            </w:r>
            <w:r>
              <w:rPr>
                <w:color w:val="000000"/>
                <w:bdr w:val="none" w:color="auto" w:sz="0" w:space="0"/>
                <w:lang/>
              </w:rPr>
              <w:t>0m</w:t>
            </w:r>
            <w:r>
              <w:rPr>
                <w:color w:val="000000"/>
                <w:bdr w:val="none" w:color="auto" w:sz="0" w:space="0"/>
                <w:vertAlign w:val="superscript"/>
                <w:lang/>
              </w:rPr>
              <w:t>3</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3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循环水池</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设</w:t>
            </w:r>
            <w:r>
              <w:rPr>
                <w:rFonts w:hint="eastAsia" w:ascii="Times New Roman" w:hAnsi="Times New Roman" w:eastAsia="宋体" w:cs="宋体"/>
                <w:color w:val="000000"/>
                <w:bdr w:val="none" w:color="auto" w:sz="0" w:space="0"/>
                <w:lang w:eastAsia="zh-CN"/>
              </w:rPr>
              <w:t>一</w:t>
            </w:r>
            <w:r>
              <w:rPr>
                <w:rFonts w:hint="eastAsia" w:ascii="Times New Roman" w:hAnsi="Times New Roman" w:eastAsia="宋体" w:cs="宋体"/>
                <w:color w:val="000000"/>
                <w:bdr w:val="none" w:color="auto" w:sz="0" w:space="0"/>
                <w:lang/>
              </w:rPr>
              <w:t>座循环水池，容积</w:t>
            </w:r>
            <w:r>
              <w:rPr>
                <w:color w:val="000000"/>
                <w:bdr w:val="none" w:color="auto" w:sz="0" w:space="0"/>
                <w:lang/>
              </w:rPr>
              <w:t>1</w:t>
            </w:r>
            <w:r>
              <w:rPr>
                <w:color w:val="000000"/>
                <w:bdr w:val="none" w:color="auto" w:sz="0" w:space="0"/>
                <w:lang w:eastAsia="zh-CN"/>
              </w:rPr>
              <w:t>2</w:t>
            </w:r>
            <w:r>
              <w:rPr>
                <w:color w:val="000000"/>
                <w:bdr w:val="none" w:color="auto" w:sz="0" w:space="0"/>
                <w:lang/>
              </w:rPr>
              <w:t>750m</w:t>
            </w:r>
            <w:r>
              <w:rPr>
                <w:color w:val="000000"/>
                <w:bdr w:val="none" w:color="auto" w:sz="0" w:space="0"/>
                <w:vertAlign w:val="superscript"/>
                <w:lang/>
              </w:rPr>
              <w:t>3</w:t>
            </w:r>
          </w:p>
        </w:tc>
      </w:tr>
    </w:tbl>
    <w:p>
      <w:pPr>
        <w:rPr>
          <w:rFonts w:hint="eastAsia" w:ascii="宋体" w:hAnsi="宋体" w:eastAsia="宋体" w:cs="宋体"/>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p>
      <w:pPr>
        <w:keepNext w:val="0"/>
        <w:keepLines w:val="0"/>
        <w:widowControl/>
        <w:suppressLineNumbers w:val="0"/>
        <w:spacing w:before="0" w:beforeAutospacing="0" w:after="0" w:afterAutospacing="0"/>
        <w:ind w:left="0" w:right="0"/>
        <w:jc w:val="center"/>
        <w:rPr>
          <w:color w:val="000000"/>
          <w:lang w:val="en-US"/>
        </w:rPr>
      </w:pPr>
      <w:r>
        <w:rPr>
          <w:rFonts w:hint="eastAsia" w:ascii="宋体" w:hAnsi="宋体" w:eastAsia="宋体" w:cs="宋体"/>
          <w:kern w:val="0"/>
          <w:sz w:val="24"/>
          <w:szCs w:val="24"/>
          <w:lang w:val="en-US" w:eastAsia="zh-CN" w:bidi="ar"/>
        </w:rPr>
        <w:drawing>
          <wp:anchor distT="0" distB="0" distL="114300" distR="114300" simplePos="0" relativeHeight="251723776" behindDoc="0" locked="0" layoutInCell="1" allowOverlap="1">
            <wp:simplePos x="0" y="0"/>
            <wp:positionH relativeFrom="column">
              <wp:posOffset>871855</wp:posOffset>
            </wp:positionH>
            <wp:positionV relativeFrom="line">
              <wp:posOffset>-5338445</wp:posOffset>
            </wp:positionV>
            <wp:extent cx="715010" cy="1051560"/>
            <wp:effectExtent l="0" t="0" r="8890" b="15240"/>
            <wp:wrapNone/>
            <wp:docPr id="10" name="图片 12" descr="C:\Users\lh\Desktop\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2" descr="C:\Users\lh\Desktop\111111.jpg"/>
                    <pic:cNvPicPr>
                      <a:picLocks noChangeAspect="1"/>
                    </pic:cNvPicPr>
                  </pic:nvPicPr>
                  <pic:blipFill>
                    <a:blip r:embed="rId12"/>
                    <a:srcRect l="18935" t="16116" r="66762" b="69289"/>
                    <a:stretch>
                      <a:fillRect/>
                    </a:stretch>
                  </pic:blipFill>
                  <pic:spPr>
                    <a:xfrm>
                      <a:off x="0" y="0"/>
                      <a:ext cx="715010" cy="1051560"/>
                    </a:xfrm>
                    <a:prstGeom prst="rect">
                      <a:avLst/>
                    </a:prstGeom>
                    <a:noFill/>
                    <a:ln>
                      <a:noFill/>
                    </a:ln>
                  </pic:spPr>
                </pic:pic>
              </a:graphicData>
            </a:graphic>
          </wp:anchor>
        </w:drawing>
      </w:r>
      <w:r>
        <w:rPr>
          <w:rFonts w:hint="eastAsia" w:ascii="宋体" w:hAnsi="宋体" w:eastAsia="宋体" w:cs="宋体"/>
          <w:kern w:val="0"/>
          <w:sz w:val="24"/>
          <w:szCs w:val="24"/>
          <w:lang w:val="en-US" w:eastAsia="zh-CN" w:bidi="ar"/>
        </w:rPr>
        <w:drawing>
          <wp:anchor distT="0" distB="0" distL="114300" distR="114300" simplePos="0" relativeHeight="251722752" behindDoc="0" locked="0" layoutInCell="1" allowOverlap="1">
            <wp:simplePos x="0" y="0"/>
            <wp:positionH relativeFrom="margin">
              <wp:posOffset>636270</wp:posOffset>
            </wp:positionH>
            <wp:positionV relativeFrom="margin">
              <wp:posOffset>-228600</wp:posOffset>
            </wp:positionV>
            <wp:extent cx="7348220" cy="5561965"/>
            <wp:effectExtent l="12700" t="12700" r="30480" b="26035"/>
            <wp:wrapTopAndBottom/>
            <wp:docPr id="3" name="图片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3" descr="1"/>
                    <pic:cNvPicPr>
                      <a:picLocks noChangeAspect="1"/>
                    </pic:cNvPicPr>
                  </pic:nvPicPr>
                  <pic:blipFill>
                    <a:blip r:embed="rId15"/>
                    <a:stretch>
                      <a:fillRect/>
                    </a:stretch>
                  </pic:blipFill>
                  <pic:spPr>
                    <a:xfrm>
                      <a:off x="0" y="0"/>
                      <a:ext cx="7348220" cy="5561965"/>
                    </a:xfrm>
                    <a:prstGeom prst="rect">
                      <a:avLst/>
                    </a:prstGeom>
                    <a:noFill/>
                    <a:ln w="12700" cap="flat" cmpd="sng">
                      <a:solidFill>
                        <a:srgbClr val="000000"/>
                      </a:solidFill>
                      <a:prstDash val="solid"/>
                      <a:miter/>
                      <a:headEnd type="none" w="med" len="med"/>
                      <a:tailEnd type="none" w="med" len="med"/>
                    </a:ln>
                  </pic:spPr>
                </pic:pic>
              </a:graphicData>
            </a:graphic>
          </wp:anchor>
        </w:drawing>
      </w:r>
      <w:r>
        <w:rPr>
          <w:rFonts w:hint="eastAsia" w:ascii="宋体" w:hAnsi="宋体" w:eastAsia="宋体" w:cs="宋体"/>
          <w:color w:val="000000"/>
          <w:kern w:val="0"/>
          <w:sz w:val="24"/>
          <w:szCs w:val="24"/>
          <w:lang w:val="en-US" w:eastAsia="zh-CN" w:bidi="ar"/>
        </w:rPr>
        <w:t xml:space="preserve"> </w:t>
      </w: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2-1  </w:t>
      </w:r>
      <w:r>
        <w:rPr>
          <w:rFonts w:hint="eastAsia" w:ascii="Times New Roman" w:hAnsi="Times New Roman" w:eastAsia="黑体" w:cs="Times New Roman"/>
          <w:color w:val="000000"/>
          <w:kern w:val="0"/>
          <w:sz w:val="24"/>
          <w:szCs w:val="24"/>
          <w:lang w:val="en-US" w:eastAsia="zh-CN" w:bidi="ar"/>
        </w:rPr>
        <w:t>现有工程总平面布置图</w:t>
      </w:r>
    </w:p>
    <w:p>
      <w:pPr>
        <w:rPr>
          <w:rFonts w:hint="eastAsia" w:ascii="宋体" w:hAnsi="宋体" w:eastAsia="宋体" w:cs="宋体"/>
          <w:color w:val="000000"/>
          <w:sz w:val="24"/>
          <w:szCs w:val="24"/>
          <w:lang w:val="en-US" w:eastAsia="zh-CN" w:bidi="ar"/>
        </w:rPr>
        <w:sectPr>
          <w:pgSz w:w="16840" w:h="11915" w:orient="landscape"/>
          <w:pgMar w:top="1702" w:right="1702" w:bottom="1702" w:left="1702" w:header="851" w:footer="1077" w:gutter="0"/>
          <w:paperSrc/>
          <w:cols w:space="425" w:num="1"/>
          <w:docGrid w:type="lines" w:linePitch="479" w:charSpace="0"/>
        </w:sectPr>
      </w:pPr>
    </w:p>
    <w:p>
      <w:pPr>
        <w:keepNext w:val="0"/>
        <w:keepLines w:val="0"/>
        <w:widowControl/>
        <w:suppressLineNumbers w:val="0"/>
        <w:spacing w:before="0" w:beforeAutospacing="0" w:after="0" w:afterAutospacing="0"/>
        <w:ind w:left="0" w:right="0"/>
        <w:jc w:val="left"/>
        <w:rPr>
          <w:color w:val="000000"/>
          <w:lang w:val="en-US"/>
        </w:rPr>
      </w:pPr>
    </w:p>
    <w:tbl>
      <w:tblPr>
        <w:tblStyle w:val="32"/>
        <w:tblW w:w="5000" w:type="pct"/>
        <w:tblInd w:w="0" w:type="dxa"/>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384"/>
        <w:gridCol w:w="1988"/>
        <w:gridCol w:w="5355"/>
      </w:tblGrid>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shd w:val="clear"/>
          <w:tblCellMar>
            <w:top w:w="0" w:type="dxa"/>
            <w:left w:w="108" w:type="dxa"/>
            <w:bottom w:w="0" w:type="dxa"/>
            <w:right w:w="108" w:type="dxa"/>
          </w:tblCellMar>
        </w:tblPrEx>
        <w:trPr>
          <w:trHeight w:val="397" w:hRule="atLeast"/>
        </w:trPr>
        <w:tc>
          <w:tcPr>
            <w:tcW w:w="793" w:type="pc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分类</w:t>
            </w:r>
          </w:p>
        </w:tc>
        <w:tc>
          <w:tcPr>
            <w:tcW w:w="1139"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项目组成</w:t>
            </w:r>
          </w:p>
        </w:tc>
        <w:tc>
          <w:tcPr>
            <w:tcW w:w="3068"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主要建设内容</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restar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辅助工程</w:t>
            </w:r>
          </w:p>
        </w:tc>
        <w:tc>
          <w:tcPr>
            <w:tcW w:w="113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清水池</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设</w:t>
            </w:r>
            <w:r>
              <w:rPr>
                <w:rFonts w:hint="eastAsia" w:ascii="Times New Roman" w:hAnsi="Times New Roman" w:eastAsia="宋体" w:cs="宋体"/>
                <w:color w:val="000000"/>
                <w:bdr w:val="none" w:color="auto" w:sz="0" w:space="0"/>
                <w:lang w:eastAsia="zh-CN"/>
              </w:rPr>
              <w:t>一</w:t>
            </w:r>
            <w:r>
              <w:rPr>
                <w:rFonts w:hint="eastAsia" w:ascii="Times New Roman" w:hAnsi="Times New Roman" w:eastAsia="宋体" w:cs="宋体"/>
                <w:color w:val="000000"/>
                <w:bdr w:val="none" w:color="auto" w:sz="0" w:space="0"/>
                <w:lang/>
              </w:rPr>
              <w:t>座</w:t>
            </w:r>
            <w:r>
              <w:rPr>
                <w:rFonts w:hint="eastAsia" w:ascii="Times New Roman" w:hAnsi="Times New Roman" w:eastAsia="宋体" w:cs="宋体"/>
                <w:color w:val="000000"/>
                <w:bdr w:val="none" w:color="auto" w:sz="0" w:space="0"/>
                <w:lang w:eastAsia="zh-CN"/>
              </w:rPr>
              <w:t>清</w:t>
            </w:r>
            <w:r>
              <w:rPr>
                <w:rFonts w:hint="eastAsia" w:ascii="Times New Roman" w:hAnsi="Times New Roman" w:eastAsia="宋体" w:cs="宋体"/>
                <w:color w:val="000000"/>
                <w:bdr w:val="none" w:color="auto" w:sz="0" w:space="0"/>
                <w:lang/>
              </w:rPr>
              <w:t>水池，容积</w:t>
            </w:r>
            <w:r>
              <w:rPr>
                <w:color w:val="000000"/>
                <w:bdr w:val="none" w:color="auto" w:sz="0" w:space="0"/>
                <w:lang w:eastAsia="zh-CN"/>
              </w:rPr>
              <w:t>6000</w:t>
            </w:r>
            <w:r>
              <w:rPr>
                <w:color w:val="000000"/>
                <w:bdr w:val="none" w:color="auto" w:sz="0" w:space="0"/>
                <w:lang/>
              </w:rPr>
              <w:t>m</w:t>
            </w:r>
            <w:r>
              <w:rPr>
                <w:color w:val="000000"/>
                <w:bdr w:val="none" w:color="auto" w:sz="0" w:space="0"/>
                <w:vertAlign w:val="superscript"/>
                <w:lang/>
              </w:rPr>
              <w:t>3</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39"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办公室</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用于办公、休息</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restar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储运工程</w:t>
            </w:r>
          </w:p>
        </w:tc>
        <w:tc>
          <w:tcPr>
            <w:tcW w:w="1139"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原料库</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半封闭库房，</w:t>
            </w:r>
            <w:r>
              <w:rPr>
                <w:rFonts w:hint="eastAsia" w:ascii="Times New Roman" w:hAnsi="Times New Roman" w:eastAsia="宋体" w:cs="宋体"/>
                <w:color w:val="000000"/>
                <w:bdr w:val="none" w:color="auto" w:sz="0" w:space="0"/>
                <w:lang w:eastAsia="zh-CN"/>
              </w:rPr>
              <w:t>面积</w:t>
            </w:r>
            <w:r>
              <w:rPr>
                <w:color w:val="000000"/>
                <w:bdr w:val="none" w:color="auto" w:sz="0" w:space="0"/>
                <w:lang w:eastAsia="zh-CN"/>
              </w:rPr>
              <w:t>2800m</w:t>
            </w:r>
            <w:r>
              <w:rPr>
                <w:color w:val="000000"/>
                <w:bdr w:val="none" w:color="auto" w:sz="0" w:space="0"/>
                <w:vertAlign w:val="superscript"/>
                <w:lang w:eastAsia="zh-CN"/>
              </w:rPr>
              <w:t>2</w:t>
            </w:r>
            <w:r>
              <w:rPr>
                <w:rFonts w:hint="eastAsia" w:ascii="Times New Roman" w:hAnsi="Times New Roman" w:eastAsia="宋体" w:cs="宋体"/>
                <w:color w:val="000000"/>
                <w:bdr w:val="none" w:color="auto" w:sz="0" w:space="0"/>
                <w:lang w:eastAsia="zh-CN"/>
              </w:rPr>
              <w:t>，</w:t>
            </w:r>
            <w:r>
              <w:rPr>
                <w:rFonts w:hint="eastAsia" w:ascii="Times New Roman" w:hAnsi="Times New Roman" w:eastAsia="宋体" w:cs="宋体"/>
                <w:color w:val="000000"/>
                <w:bdr w:val="none" w:color="auto" w:sz="0" w:space="0"/>
                <w:lang/>
              </w:rPr>
              <w:t>用于存放原矿</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39"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成品库</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封闭库房，</w:t>
            </w:r>
            <w:r>
              <w:rPr>
                <w:rFonts w:hint="eastAsia" w:ascii="Times New Roman" w:hAnsi="Times New Roman" w:eastAsia="宋体" w:cs="宋体"/>
                <w:color w:val="000000"/>
                <w:bdr w:val="none" w:color="auto" w:sz="0" w:space="0"/>
                <w:lang w:eastAsia="zh-CN"/>
              </w:rPr>
              <w:t>面积</w:t>
            </w:r>
            <w:r>
              <w:rPr>
                <w:color w:val="000000"/>
                <w:bdr w:val="none" w:color="auto" w:sz="0" w:space="0"/>
                <w:lang w:eastAsia="zh-CN"/>
              </w:rPr>
              <w:t>1800m</w:t>
            </w:r>
            <w:r>
              <w:rPr>
                <w:color w:val="000000"/>
                <w:bdr w:val="none" w:color="auto" w:sz="0" w:space="0"/>
                <w:vertAlign w:val="superscript"/>
                <w:lang w:eastAsia="zh-CN"/>
              </w:rPr>
              <w:t>2</w:t>
            </w:r>
            <w:r>
              <w:rPr>
                <w:rFonts w:hint="eastAsia" w:ascii="Times New Roman" w:hAnsi="Times New Roman" w:eastAsia="宋体" w:cs="宋体"/>
                <w:color w:val="000000"/>
                <w:bdr w:val="none" w:color="auto" w:sz="0" w:space="0"/>
                <w:lang w:eastAsia="zh-CN"/>
              </w:rPr>
              <w:t>，</w:t>
            </w:r>
            <w:r>
              <w:rPr>
                <w:rFonts w:hint="eastAsia" w:ascii="Times New Roman" w:hAnsi="Times New Roman" w:eastAsia="宋体" w:cs="宋体"/>
                <w:color w:val="000000"/>
                <w:bdr w:val="none" w:color="auto" w:sz="0" w:space="0"/>
                <w:lang/>
              </w:rPr>
              <w:t>用于存放精矿和尾矿</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39"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仓库</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封闭库房，</w:t>
            </w:r>
            <w:r>
              <w:rPr>
                <w:rFonts w:hint="eastAsia" w:ascii="Times New Roman" w:hAnsi="Times New Roman" w:eastAsia="宋体" w:cs="宋体"/>
                <w:color w:val="000000"/>
                <w:bdr w:val="none" w:color="auto" w:sz="0" w:space="0"/>
                <w:lang w:eastAsia="zh-CN"/>
              </w:rPr>
              <w:t>面积</w:t>
            </w:r>
            <w:r>
              <w:rPr>
                <w:color w:val="000000"/>
                <w:bdr w:val="none" w:color="auto" w:sz="0" w:space="0"/>
                <w:lang w:eastAsia="zh-CN"/>
              </w:rPr>
              <w:t>110m</w:t>
            </w:r>
            <w:r>
              <w:rPr>
                <w:color w:val="000000"/>
                <w:bdr w:val="none" w:color="auto" w:sz="0" w:space="0"/>
                <w:vertAlign w:val="superscript"/>
                <w:lang w:eastAsia="zh-CN"/>
              </w:rPr>
              <w:t>2</w:t>
            </w:r>
            <w:r>
              <w:rPr>
                <w:rFonts w:hint="eastAsia" w:ascii="Times New Roman" w:hAnsi="Times New Roman" w:eastAsia="宋体" w:cs="宋体"/>
                <w:color w:val="000000"/>
                <w:bdr w:val="none" w:color="auto" w:sz="0" w:space="0"/>
                <w:lang w:eastAsia="zh-CN"/>
              </w:rPr>
              <w:t>，</w:t>
            </w:r>
            <w:r>
              <w:rPr>
                <w:rFonts w:hint="eastAsia" w:ascii="Times New Roman" w:hAnsi="Times New Roman" w:eastAsia="宋体" w:cs="宋体"/>
                <w:color w:val="000000"/>
                <w:bdr w:val="none" w:color="auto" w:sz="0" w:space="0"/>
                <w:lang/>
              </w:rPr>
              <w:t>用于存放各种生产备件</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39"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厂区道路</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路面硬化</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39"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物料皮带输送</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eastAsia="zh-CN"/>
              </w:rPr>
              <w:t>球磨机上料</w:t>
            </w:r>
            <w:r>
              <w:rPr>
                <w:rFonts w:hint="eastAsia" w:ascii="Times New Roman" w:hAnsi="Times New Roman" w:eastAsia="宋体" w:cs="宋体"/>
                <w:color w:val="000000"/>
                <w:bdr w:val="none" w:color="auto" w:sz="0" w:space="0"/>
                <w:lang/>
              </w:rPr>
              <w:t>通过皮带输送系统进行物料转移</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restar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公用工程</w:t>
            </w:r>
          </w:p>
        </w:tc>
        <w:tc>
          <w:tcPr>
            <w:tcW w:w="1139"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给水</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厂区内自备水井</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39"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排水</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生产废水循环利用不外排；生活污水排入化粪池（</w:t>
            </w:r>
            <w:r>
              <w:rPr>
                <w:color w:val="000000"/>
                <w:bdr w:val="none" w:color="auto" w:sz="0" w:space="0"/>
                <w:lang/>
              </w:rPr>
              <w:t>15m</w:t>
            </w:r>
            <w:r>
              <w:rPr>
                <w:color w:val="000000"/>
                <w:bdr w:val="none" w:color="auto" w:sz="0" w:space="0"/>
                <w:vertAlign w:val="superscript"/>
                <w:lang/>
              </w:rPr>
              <w:t>3</w:t>
            </w:r>
            <w:r>
              <w:rPr>
                <w:rFonts w:hint="eastAsia" w:ascii="Times New Roman" w:hAnsi="Times New Roman" w:eastAsia="宋体" w:cs="宋体"/>
                <w:color w:val="000000"/>
                <w:bdr w:val="none" w:color="auto" w:sz="0" w:space="0"/>
                <w:lang/>
              </w:rPr>
              <w:t>），</w:t>
            </w:r>
            <w:r>
              <w:rPr>
                <w:rFonts w:hint="eastAsia" w:ascii="宋体" w:hAnsi="宋体" w:eastAsia="宋体" w:cs="宋体"/>
                <w:color w:val="000000"/>
                <w:szCs w:val="24"/>
                <w:bdr w:val="none" w:color="auto" w:sz="0" w:space="0"/>
                <w:lang/>
              </w:rPr>
              <w:t>定期清掏，堆沤腐熟、就地就近就农利用</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39"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供电</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供电电源来自国家电网，厂内设一座变电所，内有</w:t>
            </w:r>
            <w:r>
              <w:rPr>
                <w:color w:val="000000"/>
                <w:bdr w:val="none" w:color="auto" w:sz="0" w:space="0"/>
                <w:lang/>
              </w:rPr>
              <w:t>630KVA</w:t>
            </w:r>
            <w:r>
              <w:rPr>
                <w:rFonts w:hint="eastAsia" w:ascii="Times New Roman" w:hAnsi="Times New Roman" w:eastAsia="宋体" w:cs="宋体"/>
                <w:color w:val="000000"/>
                <w:bdr w:val="none" w:color="auto" w:sz="0" w:space="0"/>
                <w:lang/>
              </w:rPr>
              <w:t>变压器一台</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39"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采暖</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办公室冬季采用电供暖，生产厂房无供暖设施</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restart"/>
            <w:tcBorders>
              <w:top w:val="single" w:color="auto" w:sz="6" w:space="0"/>
              <w:left w:val="nil"/>
              <w:bottom w:val="thickThinSmallGap" w:color="auto" w:sz="12"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环保工程</w:t>
            </w:r>
          </w:p>
        </w:tc>
        <w:tc>
          <w:tcPr>
            <w:tcW w:w="1139"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eastAsia="zh-CN"/>
              </w:rPr>
              <w:t>废气</w:t>
            </w:r>
            <w:r>
              <w:rPr>
                <w:rFonts w:hint="eastAsia" w:ascii="Times New Roman" w:hAnsi="Times New Roman" w:eastAsia="宋体" w:cs="宋体"/>
                <w:color w:val="000000"/>
                <w:bdr w:val="none" w:color="auto" w:sz="0" w:space="0"/>
                <w:lang/>
              </w:rPr>
              <w:t>控制</w:t>
            </w:r>
          </w:p>
        </w:tc>
        <w:tc>
          <w:tcPr>
            <w:tcW w:w="306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封闭厂房、原料加湿</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139" w:type="pct"/>
            <w:tcBorders>
              <w:top w:val="single" w:color="auto" w:sz="6" w:space="0"/>
              <w:left w:val="single" w:color="auto" w:sz="6" w:space="0"/>
              <w:bottom w:val="thickThinSmallGap" w:color="auto" w:sz="12"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噪声控制</w:t>
            </w:r>
          </w:p>
        </w:tc>
        <w:tc>
          <w:tcPr>
            <w:tcW w:w="3068" w:type="pct"/>
            <w:tcBorders>
              <w:top w:val="single" w:color="auto" w:sz="6" w:space="0"/>
              <w:left w:val="single" w:color="auto" w:sz="6" w:space="0"/>
              <w:bottom w:val="thickThinSmallGap" w:color="auto" w:sz="12"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隔声、消声、减振等措施</w:t>
            </w:r>
          </w:p>
        </w:tc>
      </w:tr>
    </w:tbl>
    <w:p>
      <w:pPr>
        <w:pStyle w:val="233"/>
        <w:widowControl/>
        <w:ind w:left="0" w:firstLine="480"/>
        <w:rPr>
          <w:rFonts w:hint="default" w:ascii="Times New Roman" w:hAnsi="Times New Roman" w:cs="Times New Roman"/>
          <w:color w:val="000000"/>
          <w:lang w:val="en-US"/>
        </w:rPr>
      </w:pPr>
    </w:p>
    <w:p>
      <w:pPr>
        <w:pStyle w:val="8"/>
        <w:widowControl/>
        <w:rPr>
          <w:color w:val="000000"/>
          <w:lang/>
        </w:rPr>
      </w:pPr>
      <w:bookmarkStart w:id="117" w:name="_Toc41656122"/>
      <w:r>
        <w:rPr>
          <w:color w:val="000000"/>
          <w:lang/>
        </w:rPr>
        <w:t xml:space="preserve">2.2 </w:t>
      </w:r>
      <w:r>
        <w:rPr>
          <w:rFonts w:hint="eastAsia" w:ascii="Times New Roman" w:hAnsi="Times New Roman" w:eastAsia="宋体" w:cs="宋体"/>
          <w:color w:val="000000"/>
          <w:lang w:eastAsia="zh-CN"/>
        </w:rPr>
        <w:t>现有工程产品方案</w:t>
      </w:r>
      <w:bookmarkEnd w:id="117"/>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现有工程产品方案见表</w:t>
      </w:r>
      <w:r>
        <w:rPr>
          <w:rFonts w:hint="default" w:ascii="Times New Roman" w:hAnsi="Times New Roman" w:eastAsia="宋体" w:cs="Times New Roman"/>
          <w:color w:val="000000"/>
          <w:kern w:val="0"/>
          <w:sz w:val="24"/>
          <w:szCs w:val="24"/>
          <w:lang w:val="en-US" w:eastAsia="zh-CN" w:bidi="ar"/>
        </w:rPr>
        <w:t>2.2-1</w:t>
      </w:r>
      <w:r>
        <w:rPr>
          <w:rFonts w:hint="eastAsia" w:ascii="Times New Roman" w:hAnsi="Times New Roman" w:eastAsia="宋体" w:cs="Times New Roman"/>
          <w:color w:val="000000"/>
          <w:kern w:val="0"/>
          <w:sz w:val="24"/>
          <w:szCs w:val="24"/>
          <w:lang w:val="en-US" w:eastAsia="zh-CN" w:bidi="ar"/>
        </w:rPr>
        <w:t>，产品化学组分见表</w:t>
      </w:r>
      <w:r>
        <w:rPr>
          <w:rFonts w:hint="default" w:ascii="Times New Roman" w:hAnsi="Times New Roman" w:eastAsia="宋体" w:cs="Times New Roman"/>
          <w:color w:val="000000"/>
          <w:kern w:val="0"/>
          <w:sz w:val="24"/>
          <w:szCs w:val="24"/>
          <w:lang w:val="en-US" w:eastAsia="zh-CN" w:bidi="ar"/>
        </w:rPr>
        <w:t>2.2-2</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2.2-1  </w:t>
      </w:r>
      <w:r>
        <w:rPr>
          <w:rFonts w:hint="eastAsia" w:ascii="Times New Roman" w:hAnsi="Times New Roman" w:eastAsia="黑体" w:cs="Times New Roman"/>
          <w:color w:val="000000"/>
          <w:kern w:val="0"/>
          <w:sz w:val="24"/>
          <w:szCs w:val="24"/>
          <w:lang w:val="en-US" w:eastAsia="zh-CN" w:bidi="ar"/>
        </w:rPr>
        <w:t>现有工程产品方案一览表（单位：万</w:t>
      </w:r>
      <w:r>
        <w:rPr>
          <w:rFonts w:hint="default" w:ascii="Times New Roman" w:hAnsi="Times New Roman" w:eastAsia="黑体" w:cs="Times New Roman"/>
          <w:color w:val="000000"/>
          <w:kern w:val="0"/>
          <w:sz w:val="24"/>
          <w:szCs w:val="24"/>
          <w:lang w:val="en-US" w:eastAsia="zh-CN" w:bidi="ar"/>
        </w:rPr>
        <w:t>t/a</w:t>
      </w:r>
      <w:r>
        <w:rPr>
          <w:rFonts w:hint="eastAsia" w:ascii="Times New Roman" w:hAnsi="Times New Roman" w:eastAsia="黑体" w:cs="Times New Roman"/>
          <w:color w:val="000000"/>
          <w:kern w:val="0"/>
          <w:sz w:val="24"/>
          <w:szCs w:val="24"/>
          <w:lang w:val="en-US" w:eastAsia="zh-CN" w:bidi="ar"/>
        </w:rPr>
        <w:t>）</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808"/>
        <w:gridCol w:w="1144"/>
        <w:gridCol w:w="1568"/>
        <w:gridCol w:w="1128"/>
        <w:gridCol w:w="1503"/>
        <w:gridCol w:w="1311"/>
        <w:gridCol w:w="1265"/>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72" w:hRule="atLeast"/>
          <w:tblHeader/>
          <w:jc w:val="center"/>
        </w:trPr>
        <w:tc>
          <w:tcPr>
            <w:tcW w:w="463" w:type="pct"/>
            <w:tcBorders>
              <w:top w:val="thinThickSmallGap" w:color="auto" w:sz="12" w:space="0"/>
              <w:left w:val="nil"/>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序号</w:t>
            </w:r>
          </w:p>
        </w:tc>
        <w:tc>
          <w:tcPr>
            <w:tcW w:w="655"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名称</w:t>
            </w:r>
          </w:p>
        </w:tc>
        <w:tc>
          <w:tcPr>
            <w:tcW w:w="898"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现有工程产能</w:t>
            </w:r>
          </w:p>
        </w:tc>
        <w:tc>
          <w:tcPr>
            <w:tcW w:w="646"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粒度</w:t>
            </w:r>
          </w:p>
        </w:tc>
        <w:tc>
          <w:tcPr>
            <w:tcW w:w="861"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包装</w:t>
            </w:r>
          </w:p>
        </w:tc>
        <w:tc>
          <w:tcPr>
            <w:tcW w:w="751"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主要成分</w:t>
            </w:r>
          </w:p>
        </w:tc>
        <w:tc>
          <w:tcPr>
            <w:tcW w:w="724" w:type="pct"/>
            <w:tcBorders>
              <w:top w:val="thinThickSmallGap" w:color="auto" w:sz="12" w:space="0"/>
              <w:left w:val="single" w:color="auto" w:sz="4" w:space="0"/>
              <w:bottom w:val="single" w:color="auto" w:sz="4" w:space="0"/>
              <w:right w:val="nil"/>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贮存位置</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3"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65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精矿粉</w:t>
            </w:r>
          </w:p>
        </w:tc>
        <w:tc>
          <w:tcPr>
            <w:tcW w:w="8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15.5</w:t>
            </w:r>
          </w:p>
        </w:tc>
        <w:tc>
          <w:tcPr>
            <w:tcW w:w="64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200</w:t>
            </w:r>
            <w:r>
              <w:rPr>
                <w:rFonts w:ascii="Times New Roman" w:hAnsi="Times New Roman" w:cs="Times New Roman"/>
                <w:color w:val="000000"/>
                <w:sz w:val="21"/>
                <w:szCs w:val="21"/>
                <w:bdr w:val="none" w:color="auto" w:sz="0" w:space="0"/>
              </w:rPr>
              <w:t>目</w:t>
            </w:r>
          </w:p>
        </w:tc>
        <w:tc>
          <w:tcPr>
            <w:tcW w:w="86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铲车散装</w:t>
            </w:r>
          </w:p>
        </w:tc>
        <w:tc>
          <w:tcPr>
            <w:tcW w:w="75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MgCO</w:t>
            </w:r>
            <w:r>
              <w:rPr>
                <w:rFonts w:hint="default" w:ascii="Times New Roman" w:hAnsi="Times New Roman" w:cs="Times New Roman"/>
                <w:color w:val="000000"/>
                <w:sz w:val="21"/>
                <w:szCs w:val="21"/>
                <w:bdr w:val="none" w:color="auto" w:sz="0" w:space="0"/>
                <w:vertAlign w:val="subscript"/>
                <w:lang w:val="en-US"/>
              </w:rPr>
              <w:t>3</w:t>
            </w:r>
          </w:p>
        </w:tc>
        <w:tc>
          <w:tcPr>
            <w:tcW w:w="724"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精矿库</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63" w:type="pc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p>
        </w:tc>
        <w:tc>
          <w:tcPr>
            <w:tcW w:w="655"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尾矿粉</w:t>
            </w:r>
          </w:p>
        </w:tc>
        <w:tc>
          <w:tcPr>
            <w:tcW w:w="898"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4.5</w:t>
            </w:r>
          </w:p>
        </w:tc>
        <w:tc>
          <w:tcPr>
            <w:tcW w:w="646"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200</w:t>
            </w:r>
            <w:r>
              <w:rPr>
                <w:rFonts w:ascii="Times New Roman" w:hAnsi="Times New Roman" w:cs="Times New Roman"/>
                <w:color w:val="000000"/>
                <w:sz w:val="21"/>
                <w:szCs w:val="21"/>
                <w:bdr w:val="none" w:color="auto" w:sz="0" w:space="0"/>
              </w:rPr>
              <w:t>目</w:t>
            </w:r>
          </w:p>
        </w:tc>
        <w:tc>
          <w:tcPr>
            <w:tcW w:w="861"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铲车散装</w:t>
            </w:r>
          </w:p>
        </w:tc>
        <w:tc>
          <w:tcPr>
            <w:tcW w:w="751"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MgCO</w:t>
            </w:r>
            <w:r>
              <w:rPr>
                <w:rFonts w:hint="default" w:ascii="Times New Roman" w:hAnsi="Times New Roman" w:cs="Times New Roman"/>
                <w:color w:val="000000"/>
                <w:sz w:val="21"/>
                <w:szCs w:val="21"/>
                <w:bdr w:val="none" w:color="auto" w:sz="0" w:space="0"/>
                <w:vertAlign w:val="subscript"/>
                <w:lang w:val="en-US"/>
              </w:rPr>
              <w:t>3</w:t>
            </w:r>
          </w:p>
        </w:tc>
        <w:tc>
          <w:tcPr>
            <w:tcW w:w="724"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尾矿库</w:t>
            </w:r>
          </w:p>
        </w:tc>
      </w:tr>
    </w:tbl>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2.2-2  </w:t>
      </w:r>
      <w:r>
        <w:rPr>
          <w:rFonts w:hint="eastAsia" w:ascii="Times New Roman" w:hAnsi="Times New Roman" w:eastAsia="黑体" w:cs="Times New Roman"/>
          <w:color w:val="000000"/>
          <w:kern w:val="0"/>
          <w:sz w:val="24"/>
          <w:szCs w:val="24"/>
          <w:lang w:val="en-US" w:eastAsia="zh-CN" w:bidi="ar"/>
        </w:rPr>
        <w:t>产品化学组分平均含量表（</w:t>
      </w:r>
      <w:r>
        <w:rPr>
          <w:rFonts w:hint="default" w:ascii="Times New Roman" w:hAnsi="Times New Roman" w:eastAsia="黑体" w:cs="Times New Roman"/>
          <w:color w:val="000000"/>
          <w:kern w:val="0"/>
          <w:sz w:val="24"/>
          <w:szCs w:val="24"/>
          <w:lang w:val="en-US" w:eastAsia="zh-CN" w:bidi="ar"/>
        </w:rPr>
        <w:t>%</w:t>
      </w:r>
      <w:r>
        <w:rPr>
          <w:rFonts w:hint="eastAsia" w:ascii="Times New Roman" w:hAnsi="Times New Roman" w:eastAsia="黑体" w:cs="Times New Roman"/>
          <w:color w:val="000000"/>
          <w:kern w:val="0"/>
          <w:sz w:val="24"/>
          <w:szCs w:val="24"/>
          <w:lang w:val="en-US" w:eastAsia="zh-CN" w:bidi="ar"/>
        </w:rPr>
        <w:t>）</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253"/>
        <w:gridCol w:w="1246"/>
        <w:gridCol w:w="1246"/>
        <w:gridCol w:w="1246"/>
        <w:gridCol w:w="1246"/>
        <w:gridCol w:w="1246"/>
        <w:gridCol w:w="1244"/>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jc w:val="center"/>
        </w:trPr>
        <w:tc>
          <w:tcPr>
            <w:tcW w:w="718" w:type="pc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项目</w:t>
            </w:r>
          </w:p>
        </w:tc>
        <w:tc>
          <w:tcPr>
            <w:tcW w:w="713"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MgO</w:t>
            </w:r>
          </w:p>
        </w:tc>
        <w:tc>
          <w:tcPr>
            <w:tcW w:w="713"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SiO</w:t>
            </w:r>
            <w:r>
              <w:rPr>
                <w:rFonts w:hint="default" w:ascii="Times New Roman" w:hAnsi="Times New Roman" w:cs="Times New Roman"/>
                <w:color w:val="000000"/>
                <w:sz w:val="21"/>
                <w:szCs w:val="21"/>
                <w:bdr w:val="none" w:color="auto" w:sz="0" w:space="0"/>
                <w:vertAlign w:val="subscript"/>
                <w:lang w:val="en-US"/>
              </w:rPr>
              <w:t>2</w:t>
            </w:r>
          </w:p>
        </w:tc>
        <w:tc>
          <w:tcPr>
            <w:tcW w:w="713"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Fe</w:t>
            </w:r>
            <w:r>
              <w:rPr>
                <w:rFonts w:hint="default" w:ascii="Times New Roman" w:hAnsi="Times New Roman" w:cs="Times New Roman"/>
                <w:color w:val="000000"/>
                <w:sz w:val="21"/>
                <w:szCs w:val="21"/>
                <w:bdr w:val="none" w:color="auto" w:sz="0" w:space="0"/>
                <w:vertAlign w:val="subscript"/>
                <w:lang w:val="en-US"/>
              </w:rPr>
              <w:t>2</w:t>
            </w:r>
            <w:r>
              <w:rPr>
                <w:rFonts w:hint="default" w:ascii="Times New Roman" w:hAnsi="Times New Roman" w:cs="Times New Roman"/>
                <w:color w:val="000000"/>
                <w:sz w:val="21"/>
                <w:szCs w:val="21"/>
                <w:bdr w:val="none" w:color="auto" w:sz="0" w:space="0"/>
                <w:lang w:val="en-US"/>
              </w:rPr>
              <w:t>O</w:t>
            </w:r>
            <w:r>
              <w:rPr>
                <w:rFonts w:hint="default" w:ascii="Times New Roman" w:hAnsi="Times New Roman" w:cs="Times New Roman"/>
                <w:color w:val="000000"/>
                <w:sz w:val="21"/>
                <w:szCs w:val="21"/>
                <w:bdr w:val="none" w:color="auto" w:sz="0" w:space="0"/>
                <w:vertAlign w:val="subscript"/>
                <w:lang w:val="en-US"/>
              </w:rPr>
              <w:t>3</w:t>
            </w:r>
          </w:p>
        </w:tc>
        <w:tc>
          <w:tcPr>
            <w:tcW w:w="713"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CaO</w:t>
            </w:r>
          </w:p>
        </w:tc>
        <w:tc>
          <w:tcPr>
            <w:tcW w:w="713"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Al</w:t>
            </w:r>
            <w:r>
              <w:rPr>
                <w:rFonts w:hint="default" w:ascii="Times New Roman" w:hAnsi="Times New Roman" w:cs="Times New Roman"/>
                <w:color w:val="000000"/>
                <w:sz w:val="21"/>
                <w:szCs w:val="21"/>
                <w:bdr w:val="none" w:color="auto" w:sz="0" w:space="0"/>
                <w:vertAlign w:val="subscript"/>
                <w:lang w:val="en-US"/>
              </w:rPr>
              <w:t>2</w:t>
            </w:r>
            <w:r>
              <w:rPr>
                <w:rFonts w:hint="default" w:ascii="Times New Roman" w:hAnsi="Times New Roman" w:cs="Times New Roman"/>
                <w:color w:val="000000"/>
                <w:sz w:val="21"/>
                <w:szCs w:val="21"/>
                <w:bdr w:val="none" w:color="auto" w:sz="0" w:space="0"/>
                <w:lang w:val="en-US"/>
              </w:rPr>
              <w:t>O</w:t>
            </w:r>
            <w:r>
              <w:rPr>
                <w:rFonts w:hint="default" w:ascii="Times New Roman" w:hAnsi="Times New Roman" w:cs="Times New Roman"/>
                <w:color w:val="000000"/>
                <w:sz w:val="21"/>
                <w:szCs w:val="21"/>
                <w:bdr w:val="none" w:color="auto" w:sz="0" w:space="0"/>
                <w:vertAlign w:val="subscript"/>
                <w:lang w:val="en-US"/>
              </w:rPr>
              <w:t>3</w:t>
            </w:r>
          </w:p>
        </w:tc>
        <w:tc>
          <w:tcPr>
            <w:tcW w:w="712"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灼减</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8"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精矿粉</w:t>
            </w:r>
          </w:p>
        </w:tc>
        <w:tc>
          <w:tcPr>
            <w:tcW w:w="71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47</w:t>
            </w:r>
          </w:p>
        </w:tc>
        <w:tc>
          <w:tcPr>
            <w:tcW w:w="71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0.16</w:t>
            </w:r>
          </w:p>
        </w:tc>
        <w:tc>
          <w:tcPr>
            <w:tcW w:w="71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0.42</w:t>
            </w:r>
          </w:p>
        </w:tc>
        <w:tc>
          <w:tcPr>
            <w:tcW w:w="71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0.7</w:t>
            </w:r>
          </w:p>
        </w:tc>
        <w:tc>
          <w:tcPr>
            <w:tcW w:w="71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0.13</w:t>
            </w:r>
          </w:p>
        </w:tc>
        <w:tc>
          <w:tcPr>
            <w:tcW w:w="71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46.49</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8"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尾矿粉</w:t>
            </w:r>
          </w:p>
        </w:tc>
        <w:tc>
          <w:tcPr>
            <w:tcW w:w="713"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36.8</w:t>
            </w:r>
          </w:p>
        </w:tc>
        <w:tc>
          <w:tcPr>
            <w:tcW w:w="713"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18.86</w:t>
            </w:r>
          </w:p>
        </w:tc>
        <w:tc>
          <w:tcPr>
            <w:tcW w:w="713"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0.45</w:t>
            </w:r>
          </w:p>
        </w:tc>
        <w:tc>
          <w:tcPr>
            <w:tcW w:w="713"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1.12</w:t>
            </w:r>
          </w:p>
        </w:tc>
        <w:tc>
          <w:tcPr>
            <w:tcW w:w="713"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0.97</w:t>
            </w:r>
          </w:p>
        </w:tc>
        <w:tc>
          <w:tcPr>
            <w:tcW w:w="712"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bl>
    <w:p>
      <w:pPr>
        <w:pStyle w:val="8"/>
        <w:widowControl/>
        <w:rPr>
          <w:color w:val="000000"/>
          <w:lang/>
        </w:rPr>
      </w:pPr>
      <w:bookmarkStart w:id="118" w:name="_Toc41656123"/>
      <w:r>
        <w:rPr>
          <w:color w:val="000000"/>
          <w:lang/>
        </w:rPr>
        <w:t xml:space="preserve">2.3 </w:t>
      </w:r>
      <w:r>
        <w:rPr>
          <w:rFonts w:hint="eastAsia" w:ascii="Times New Roman" w:hAnsi="Times New Roman" w:eastAsia="宋体" w:cs="宋体"/>
          <w:color w:val="000000"/>
          <w:lang w:eastAsia="zh-CN"/>
        </w:rPr>
        <w:t>现有工程主要原辅材料</w:t>
      </w:r>
      <w:bookmarkEnd w:id="118"/>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根据对企业生产情况调查，现有工程主要原辅材料用量见表</w:t>
      </w:r>
      <w:r>
        <w:rPr>
          <w:rFonts w:hint="default" w:ascii="Times New Roman" w:hAnsi="Times New Roman" w:eastAsia="宋体" w:cs="Times New Roman"/>
          <w:color w:val="000000"/>
          <w:kern w:val="0"/>
          <w:sz w:val="24"/>
          <w:szCs w:val="24"/>
          <w:lang w:val="en-US" w:eastAsia="zh-CN" w:bidi="ar"/>
        </w:rPr>
        <w:t>2.3-1</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2.3-1  </w:t>
      </w:r>
      <w:r>
        <w:rPr>
          <w:rFonts w:hint="eastAsia" w:ascii="Times New Roman" w:hAnsi="Times New Roman" w:eastAsia="黑体" w:cs="Times New Roman"/>
          <w:color w:val="000000"/>
          <w:kern w:val="0"/>
          <w:sz w:val="24"/>
          <w:szCs w:val="24"/>
          <w:lang w:val="en-US" w:eastAsia="zh-CN" w:bidi="ar"/>
        </w:rPr>
        <w:t>本项目主要原辅材料用量统计表</w:t>
      </w:r>
    </w:p>
    <w:tbl>
      <w:tblPr>
        <w:tblStyle w:val="32"/>
        <w:tblW w:w="5103"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28" w:type="dxa"/>
          <w:bottom w:w="0" w:type="dxa"/>
          <w:right w:w="28" w:type="dxa"/>
        </w:tblCellMar>
      </w:tblPr>
      <w:tblGrid>
        <w:gridCol w:w="687"/>
        <w:gridCol w:w="1558"/>
        <w:gridCol w:w="1279"/>
        <w:gridCol w:w="1133"/>
        <w:gridCol w:w="993"/>
        <w:gridCol w:w="1277"/>
        <w:gridCol w:w="1079"/>
        <w:gridCol w:w="737"/>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28" w:type="dxa"/>
            <w:bottom w:w="0" w:type="dxa"/>
            <w:right w:w="28" w:type="dxa"/>
          </w:tblCellMar>
        </w:tblPrEx>
        <w:trPr>
          <w:trHeight w:val="340" w:hRule="atLeast"/>
          <w:tblHeader/>
          <w:jc w:val="center"/>
        </w:trPr>
        <w:tc>
          <w:tcPr>
            <w:tcW w:w="393" w:type="pc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序号</w:t>
            </w:r>
          </w:p>
        </w:tc>
        <w:tc>
          <w:tcPr>
            <w:tcW w:w="891"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名称</w:t>
            </w:r>
          </w:p>
        </w:tc>
        <w:tc>
          <w:tcPr>
            <w:tcW w:w="731"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消耗量</w:t>
            </w:r>
          </w:p>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648"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单耗</w:t>
            </w:r>
          </w:p>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t/t</w:t>
            </w:r>
            <w:r>
              <w:rPr>
                <w:rFonts w:ascii="Times New Roman" w:hAnsi="Times New Roman" w:cs="Times New Roman"/>
                <w:color w:val="000000"/>
                <w:sz w:val="21"/>
                <w:szCs w:val="21"/>
                <w:bdr w:val="none" w:color="auto" w:sz="0" w:space="0"/>
              </w:rPr>
              <w:t>产品）</w:t>
            </w:r>
          </w:p>
        </w:tc>
        <w:tc>
          <w:tcPr>
            <w:tcW w:w="568"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物质形态</w:t>
            </w:r>
          </w:p>
        </w:tc>
        <w:tc>
          <w:tcPr>
            <w:tcW w:w="730"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来源</w:t>
            </w:r>
          </w:p>
        </w:tc>
        <w:tc>
          <w:tcPr>
            <w:tcW w:w="617"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贮存位置</w:t>
            </w:r>
          </w:p>
        </w:tc>
        <w:tc>
          <w:tcPr>
            <w:tcW w:w="421"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运输</w:t>
            </w:r>
          </w:p>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方式</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93"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89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菱镁矿石</w:t>
            </w:r>
          </w:p>
        </w:tc>
        <w:tc>
          <w:tcPr>
            <w:tcW w:w="73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200000</w:t>
            </w:r>
          </w:p>
        </w:tc>
        <w:tc>
          <w:tcPr>
            <w:tcW w:w="64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1.54</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固体</w:t>
            </w:r>
          </w:p>
        </w:tc>
        <w:tc>
          <w:tcPr>
            <w:tcW w:w="73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外购</w:t>
            </w:r>
          </w:p>
        </w:tc>
        <w:tc>
          <w:tcPr>
            <w:tcW w:w="61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原料库</w:t>
            </w:r>
          </w:p>
        </w:tc>
        <w:tc>
          <w:tcPr>
            <w:tcW w:w="42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汽运</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93"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p>
        </w:tc>
        <w:tc>
          <w:tcPr>
            <w:tcW w:w="89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反浮选药剂</w:t>
            </w:r>
          </w:p>
        </w:tc>
        <w:tc>
          <w:tcPr>
            <w:tcW w:w="73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200</w:t>
            </w:r>
          </w:p>
        </w:tc>
        <w:tc>
          <w:tcPr>
            <w:tcW w:w="64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0.0015</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固体</w:t>
            </w:r>
          </w:p>
        </w:tc>
        <w:tc>
          <w:tcPr>
            <w:tcW w:w="73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外购</w:t>
            </w:r>
          </w:p>
        </w:tc>
        <w:tc>
          <w:tcPr>
            <w:tcW w:w="61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浮选车间</w:t>
            </w:r>
          </w:p>
        </w:tc>
        <w:tc>
          <w:tcPr>
            <w:tcW w:w="42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汽运</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93"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w:t>
            </w:r>
          </w:p>
        </w:tc>
        <w:tc>
          <w:tcPr>
            <w:tcW w:w="89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球磨机钢球</w:t>
            </w:r>
          </w:p>
        </w:tc>
        <w:tc>
          <w:tcPr>
            <w:tcW w:w="73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80</w:t>
            </w:r>
          </w:p>
        </w:tc>
        <w:tc>
          <w:tcPr>
            <w:tcW w:w="64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0.0006</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固体</w:t>
            </w:r>
          </w:p>
        </w:tc>
        <w:tc>
          <w:tcPr>
            <w:tcW w:w="73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外购</w:t>
            </w:r>
          </w:p>
        </w:tc>
        <w:tc>
          <w:tcPr>
            <w:tcW w:w="61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磨矿车间</w:t>
            </w:r>
          </w:p>
        </w:tc>
        <w:tc>
          <w:tcPr>
            <w:tcW w:w="42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汽运</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93"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w:t>
            </w:r>
          </w:p>
        </w:tc>
        <w:tc>
          <w:tcPr>
            <w:tcW w:w="89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润滑油</w:t>
            </w:r>
          </w:p>
        </w:tc>
        <w:tc>
          <w:tcPr>
            <w:tcW w:w="73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0.6</w:t>
            </w:r>
          </w:p>
        </w:tc>
        <w:tc>
          <w:tcPr>
            <w:tcW w:w="64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4.6</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10</w:t>
            </w:r>
            <w:r>
              <w:rPr>
                <w:rFonts w:hint="default" w:ascii="Times New Roman" w:hAnsi="Times New Roman" w:cs="Times New Roman"/>
                <w:color w:val="000000"/>
                <w:sz w:val="21"/>
                <w:szCs w:val="21"/>
                <w:bdr w:val="none" w:color="auto" w:sz="0" w:space="0"/>
                <w:vertAlign w:val="superscript"/>
                <w:lang w:val="en-US"/>
              </w:rPr>
              <w:t>-6</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液体</w:t>
            </w:r>
          </w:p>
        </w:tc>
        <w:tc>
          <w:tcPr>
            <w:tcW w:w="73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外购</w:t>
            </w:r>
          </w:p>
        </w:tc>
        <w:tc>
          <w:tcPr>
            <w:tcW w:w="61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仓库</w:t>
            </w:r>
          </w:p>
        </w:tc>
        <w:tc>
          <w:tcPr>
            <w:tcW w:w="42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汽运</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93"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w:t>
            </w:r>
          </w:p>
        </w:tc>
        <w:tc>
          <w:tcPr>
            <w:tcW w:w="89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新水</w:t>
            </w:r>
          </w:p>
        </w:tc>
        <w:tc>
          <w:tcPr>
            <w:tcW w:w="73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22500m</w:t>
            </w:r>
            <w:r>
              <w:rPr>
                <w:rFonts w:hint="default" w:ascii="Times New Roman" w:hAnsi="Times New Roman" w:cs="Times New Roman"/>
                <w:color w:val="000000"/>
                <w:sz w:val="21"/>
                <w:szCs w:val="21"/>
                <w:bdr w:val="none" w:color="auto" w:sz="0" w:space="0"/>
                <w:vertAlign w:val="superscript"/>
                <w:lang w:val="en-US"/>
              </w:rPr>
              <w:t>3</w:t>
            </w:r>
            <w:r>
              <w:rPr>
                <w:rFonts w:hint="default" w:ascii="Times New Roman" w:hAnsi="Times New Roman" w:cs="Times New Roman"/>
                <w:color w:val="000000"/>
                <w:sz w:val="21"/>
                <w:szCs w:val="21"/>
                <w:bdr w:val="none" w:color="auto" w:sz="0" w:space="0"/>
                <w:lang w:val="en-US"/>
              </w:rPr>
              <w:t>/a</w:t>
            </w:r>
          </w:p>
        </w:tc>
        <w:tc>
          <w:tcPr>
            <w:tcW w:w="64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0.173</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73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国家电网</w:t>
            </w:r>
          </w:p>
        </w:tc>
        <w:tc>
          <w:tcPr>
            <w:tcW w:w="61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42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93"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w:t>
            </w:r>
          </w:p>
        </w:tc>
        <w:tc>
          <w:tcPr>
            <w:tcW w:w="891"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电</w:t>
            </w:r>
          </w:p>
        </w:tc>
        <w:tc>
          <w:tcPr>
            <w:tcW w:w="731"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360</w:t>
            </w:r>
            <w:r>
              <w:rPr>
                <w:rFonts w:ascii="Times New Roman" w:hAnsi="Times New Roman" w:cs="Times New Roman"/>
                <w:color w:val="000000"/>
                <w:sz w:val="21"/>
                <w:szCs w:val="21"/>
                <w:bdr w:val="none" w:color="auto" w:sz="0" w:space="0"/>
              </w:rPr>
              <w:t>万</w:t>
            </w:r>
            <w:r>
              <w:rPr>
                <w:rFonts w:hint="default" w:ascii="Times New Roman" w:hAnsi="Times New Roman" w:cs="Times New Roman"/>
                <w:color w:val="000000"/>
                <w:sz w:val="21"/>
                <w:szCs w:val="21"/>
                <w:bdr w:val="none" w:color="auto" w:sz="0" w:space="0"/>
                <w:lang w:val="en-US"/>
              </w:rPr>
              <w:t>KWh/a</w:t>
            </w:r>
          </w:p>
        </w:tc>
        <w:tc>
          <w:tcPr>
            <w:tcW w:w="648"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27.6KWh/t</w:t>
            </w:r>
          </w:p>
        </w:tc>
        <w:tc>
          <w:tcPr>
            <w:tcW w:w="568"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730"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厂区水井</w:t>
            </w:r>
          </w:p>
        </w:tc>
        <w:tc>
          <w:tcPr>
            <w:tcW w:w="617"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421"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bl>
    <w:p>
      <w:pPr>
        <w:keepNext w:val="0"/>
        <w:keepLines w:val="0"/>
        <w:widowControl/>
        <w:suppressLineNumbers w:val="0"/>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bCs/>
          <w:color w:val="000000"/>
          <w:lang w:val="en-US"/>
        </w:rPr>
      </w:pPr>
    </w:p>
    <w:bookmarkEnd w:id="115"/>
    <w:p>
      <w:pPr>
        <w:pStyle w:val="8"/>
        <w:widowControl/>
        <w:rPr>
          <w:color w:val="000000"/>
          <w:lang/>
        </w:rPr>
      </w:pPr>
      <w:bookmarkStart w:id="119" w:name="_Toc41656124"/>
      <w:r>
        <w:rPr>
          <w:color w:val="000000"/>
          <w:lang/>
        </w:rPr>
        <w:t xml:space="preserve">2.4 </w:t>
      </w:r>
      <w:r>
        <w:rPr>
          <w:rFonts w:hint="eastAsia" w:ascii="Times New Roman" w:hAnsi="Times New Roman" w:eastAsia="宋体" w:cs="宋体"/>
          <w:color w:val="000000"/>
          <w:lang w:eastAsia="zh-CN"/>
        </w:rPr>
        <w:t>现有工程主要生产设备</w:t>
      </w:r>
      <w:bookmarkEnd w:id="119"/>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现有工程主要设备见表</w:t>
      </w:r>
      <w:r>
        <w:rPr>
          <w:rFonts w:hint="default" w:ascii="Times New Roman" w:hAnsi="Times New Roman" w:eastAsia="宋体" w:cs="Times New Roman"/>
          <w:color w:val="000000"/>
          <w:kern w:val="0"/>
          <w:sz w:val="24"/>
          <w:szCs w:val="24"/>
          <w:lang w:val="en-US" w:eastAsia="zh-CN" w:bidi="ar"/>
        </w:rPr>
        <w:t>2.4-1</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1"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2.4-1  </w:t>
      </w:r>
      <w:r>
        <w:rPr>
          <w:rFonts w:hint="eastAsia" w:ascii="Times New Roman" w:hAnsi="Times New Roman" w:eastAsia="黑体" w:cs="Times New Roman"/>
          <w:color w:val="000000"/>
          <w:kern w:val="0"/>
          <w:sz w:val="24"/>
          <w:szCs w:val="24"/>
          <w:lang w:val="en-US" w:eastAsia="zh-CN" w:bidi="ar"/>
        </w:rPr>
        <w:t>现有工程主要设备一览表</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964"/>
        <w:gridCol w:w="2042"/>
        <w:gridCol w:w="2491"/>
        <w:gridCol w:w="850"/>
        <w:gridCol w:w="2270"/>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18" w:hRule="atLeast"/>
          <w:tblHeader/>
          <w:jc w:val="center"/>
        </w:trPr>
        <w:tc>
          <w:tcPr>
            <w:tcW w:w="964" w:type="dxa"/>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color w:val="000000"/>
                <w:kern w:val="2"/>
                <w:sz w:val="21"/>
                <w:szCs w:val="21"/>
                <w:bdr w:val="none" w:color="auto" w:sz="0" w:space="0"/>
                <w:lang w:val="en-US"/>
              </w:rPr>
            </w:pPr>
            <w:r>
              <w:rPr>
                <w:rFonts w:hint="eastAsia" w:ascii="Times New Roman" w:hAnsi="Times New Roman" w:eastAsia="宋体" w:cs="Times New Roman"/>
                <w:b/>
                <w:bCs w:val="0"/>
                <w:color w:val="000000"/>
                <w:kern w:val="2"/>
                <w:sz w:val="21"/>
                <w:szCs w:val="21"/>
                <w:bdr w:val="none" w:color="auto" w:sz="0" w:space="0"/>
                <w:lang w:eastAsia="zh-CN" w:bidi="ar"/>
              </w:rPr>
              <w:t>序号</w:t>
            </w:r>
          </w:p>
        </w:tc>
        <w:tc>
          <w:tcPr>
            <w:tcW w:w="2042"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color w:val="000000"/>
                <w:kern w:val="2"/>
                <w:sz w:val="21"/>
                <w:szCs w:val="21"/>
                <w:bdr w:val="none" w:color="auto" w:sz="0" w:space="0"/>
                <w:lang w:val="en-US"/>
              </w:rPr>
            </w:pPr>
            <w:r>
              <w:rPr>
                <w:rFonts w:hint="eastAsia" w:ascii="Times New Roman" w:hAnsi="Times New Roman" w:eastAsia="宋体" w:cs="Times New Roman"/>
                <w:b/>
                <w:bCs w:val="0"/>
                <w:color w:val="000000"/>
                <w:kern w:val="2"/>
                <w:sz w:val="21"/>
                <w:szCs w:val="21"/>
                <w:bdr w:val="none" w:color="auto" w:sz="0" w:space="0"/>
                <w:lang w:eastAsia="zh-CN" w:bidi="ar"/>
              </w:rPr>
              <w:t>设备名称</w:t>
            </w:r>
          </w:p>
        </w:tc>
        <w:tc>
          <w:tcPr>
            <w:tcW w:w="2491"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color w:val="000000"/>
                <w:kern w:val="2"/>
                <w:sz w:val="21"/>
                <w:szCs w:val="21"/>
                <w:bdr w:val="none" w:color="auto" w:sz="0" w:space="0"/>
                <w:lang w:val="en-US"/>
              </w:rPr>
            </w:pPr>
            <w:r>
              <w:rPr>
                <w:rFonts w:hint="eastAsia" w:ascii="Times New Roman" w:hAnsi="Times New Roman" w:eastAsia="宋体" w:cs="Times New Roman"/>
                <w:b/>
                <w:bCs w:val="0"/>
                <w:color w:val="000000"/>
                <w:kern w:val="2"/>
                <w:sz w:val="21"/>
                <w:szCs w:val="21"/>
                <w:bdr w:val="none" w:color="auto" w:sz="0" w:space="0"/>
                <w:lang w:eastAsia="zh-CN" w:bidi="ar"/>
              </w:rPr>
              <w:t>规格型号</w:t>
            </w:r>
          </w:p>
        </w:tc>
        <w:tc>
          <w:tcPr>
            <w:tcW w:w="850"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color w:val="000000"/>
                <w:kern w:val="2"/>
                <w:sz w:val="21"/>
                <w:szCs w:val="21"/>
                <w:bdr w:val="none" w:color="auto" w:sz="0" w:space="0"/>
                <w:lang w:val="en-US"/>
              </w:rPr>
            </w:pPr>
            <w:r>
              <w:rPr>
                <w:rFonts w:hint="eastAsia" w:ascii="Times New Roman" w:hAnsi="Times New Roman" w:eastAsia="宋体" w:cs="Times New Roman"/>
                <w:b/>
                <w:bCs w:val="0"/>
                <w:color w:val="000000"/>
                <w:kern w:val="2"/>
                <w:sz w:val="21"/>
                <w:szCs w:val="21"/>
                <w:bdr w:val="none" w:color="auto" w:sz="0" w:space="0"/>
                <w:lang w:eastAsia="zh-CN" w:bidi="ar"/>
              </w:rPr>
              <w:t>数量</w:t>
            </w:r>
          </w:p>
        </w:tc>
        <w:tc>
          <w:tcPr>
            <w:tcW w:w="2270" w:type="dxa"/>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color w:val="000000"/>
                <w:kern w:val="2"/>
                <w:sz w:val="21"/>
                <w:szCs w:val="21"/>
                <w:bdr w:val="none" w:color="auto" w:sz="0" w:space="0"/>
                <w:lang w:val="en-US"/>
              </w:rPr>
            </w:pPr>
            <w:r>
              <w:rPr>
                <w:rFonts w:hint="eastAsia" w:ascii="Times New Roman" w:hAnsi="Times New Roman" w:eastAsia="宋体" w:cs="Times New Roman"/>
                <w:b/>
                <w:bCs w:val="0"/>
                <w:color w:val="000000"/>
                <w:kern w:val="2"/>
                <w:sz w:val="21"/>
                <w:szCs w:val="21"/>
                <w:bdr w:val="none" w:color="auto" w:sz="0" w:space="0"/>
                <w:lang w:val="en-US" w:eastAsia="zh-CN" w:bidi="ar"/>
              </w:rPr>
              <w:t>备注</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料斗</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w:t>
            </w:r>
            <w:r>
              <w:rPr>
                <w:rFonts w:hint="eastAsia" w:ascii="Times New Roman" w:hAnsi="Times New Roman" w:eastAsia="宋体" w:cs="Times New Roman"/>
                <w:color w:val="000000"/>
                <w:kern w:val="2"/>
                <w:sz w:val="21"/>
                <w:szCs w:val="21"/>
                <w:bdr w:val="none" w:color="auto" w:sz="0" w:space="0"/>
                <w:lang w:val="en-US"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湿式球磨机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2200mm×6500mm</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3</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螺旋分级机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Φ200</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4</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浮选机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XJK-2.8</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32</w:t>
            </w:r>
            <w:r>
              <w:rPr>
                <w:rFonts w:hint="eastAsia" w:ascii="Times New Roman" w:hAnsi="Times New Roman" w:eastAsia="宋体" w:cs="Times New Roman"/>
                <w:color w:val="000000"/>
                <w:kern w:val="2"/>
                <w:sz w:val="21"/>
                <w:szCs w:val="21"/>
                <w:bdr w:val="none" w:color="auto" w:sz="0" w:space="0"/>
                <w:lang w:val="en-US"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16</w:t>
            </w:r>
            <w:r>
              <w:rPr>
                <w:rFonts w:hint="eastAsia" w:ascii="Times New Roman" w:hAnsi="Times New Roman" w:eastAsia="宋体" w:cs="Times New Roman"/>
                <w:color w:val="000000"/>
                <w:kern w:val="2"/>
                <w:sz w:val="21"/>
                <w:szCs w:val="21"/>
                <w:bdr w:val="none" w:color="auto" w:sz="0" w:space="0"/>
                <w:lang w:val="en-US" w:eastAsia="zh-CN" w:bidi="ar"/>
              </w:rPr>
              <w:t>台备用</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5</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真空吸滤机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8</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6</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渣浆机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100ZJA-1-A42</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4</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r>
              <w:rPr>
                <w:rFonts w:hint="eastAsia" w:ascii="Times New Roman" w:hAnsi="Times New Roman" w:eastAsia="宋体" w:cs="Times New Roman"/>
                <w:color w:val="000000"/>
                <w:kern w:val="2"/>
                <w:sz w:val="21"/>
                <w:szCs w:val="21"/>
                <w:bdr w:val="none" w:color="auto" w:sz="0" w:space="0"/>
                <w:lang w:val="en-US" w:eastAsia="zh-CN" w:bidi="ar"/>
              </w:rPr>
              <w:t>台备用</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7</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搅拌槽</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2000mm×2500mm</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4</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r>
              <w:rPr>
                <w:rFonts w:hint="eastAsia" w:ascii="Times New Roman" w:hAnsi="Times New Roman" w:eastAsia="宋体" w:cs="Times New Roman"/>
                <w:color w:val="000000"/>
                <w:kern w:val="2"/>
                <w:sz w:val="21"/>
                <w:szCs w:val="21"/>
                <w:bdr w:val="none" w:color="auto" w:sz="0" w:space="0"/>
                <w:lang w:val="en-US" w:eastAsia="zh-CN" w:bidi="ar"/>
              </w:rPr>
              <w:t>台备用</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8</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水泵</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若干</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9</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皮带输送机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若干</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10</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水利旋流器</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Thgzl300×2</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1</w:t>
            </w:r>
            <w:r>
              <w:rPr>
                <w:rFonts w:hint="eastAsia" w:ascii="Times New Roman" w:hAnsi="Times New Roman" w:eastAsia="宋体" w:cs="Times New Roman"/>
                <w:color w:val="000000"/>
                <w:kern w:val="0"/>
                <w:sz w:val="21"/>
                <w:szCs w:val="24"/>
                <w:bdr w:val="none" w:color="auto" w:sz="0" w:space="0"/>
                <w:lang w:val="en-US"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11</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浓缩机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MS Mincho" w:hAnsi="MS Mincho" w:eastAsia="MS Mincho" w:cs="MS Mincho"/>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9000*9000</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1</w:t>
            </w:r>
            <w:r>
              <w:rPr>
                <w:rFonts w:hint="eastAsia" w:ascii="Times New Roman" w:hAnsi="Times New Roman" w:eastAsia="宋体" w:cs="Times New Roman"/>
                <w:color w:val="000000"/>
                <w:kern w:val="0"/>
                <w:sz w:val="21"/>
                <w:szCs w:val="24"/>
                <w:bdr w:val="none" w:color="auto" w:sz="0" w:space="0"/>
                <w:lang w:val="en-US"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12</w:t>
            </w:r>
          </w:p>
        </w:tc>
        <w:tc>
          <w:tcPr>
            <w:tcW w:w="2042" w:type="dxa"/>
            <w:tcBorders>
              <w:top w:val="single" w:color="auto" w:sz="6" w:space="0"/>
              <w:left w:val="single" w:color="auto" w:sz="6" w:space="0"/>
              <w:bottom w:val="thickThinSmallGap" w:color="auto" w:sz="12" w:space="0"/>
              <w:right w:val="single" w:color="auto" w:sz="6" w:space="0"/>
            </w:tcBorders>
            <w:shd w:val="clear"/>
            <w:vAlign w:val="top"/>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铲车</w:t>
            </w:r>
          </w:p>
        </w:tc>
        <w:tc>
          <w:tcPr>
            <w:tcW w:w="2491" w:type="dxa"/>
            <w:tcBorders>
              <w:top w:val="single" w:color="auto" w:sz="6" w:space="0"/>
              <w:left w:val="single" w:color="auto" w:sz="6" w:space="0"/>
              <w:bottom w:val="thickThinSmallGap" w:color="auto" w:sz="12" w:space="0"/>
              <w:right w:val="single" w:color="auto" w:sz="6" w:space="0"/>
            </w:tcBorders>
            <w:shd w:val="clear"/>
            <w:vAlign w:val="top"/>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5t</w:t>
            </w:r>
          </w:p>
        </w:tc>
        <w:tc>
          <w:tcPr>
            <w:tcW w:w="850" w:type="dxa"/>
            <w:tcBorders>
              <w:top w:val="single" w:color="auto" w:sz="6" w:space="0"/>
              <w:left w:val="single" w:color="auto" w:sz="6" w:space="0"/>
              <w:bottom w:val="thickThinSmallGap" w:color="auto" w:sz="12" w:space="0"/>
              <w:right w:val="single" w:color="auto" w:sz="6" w:space="0"/>
            </w:tcBorders>
            <w:shd w:val="clear"/>
            <w:vAlign w:val="top"/>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1</w:t>
            </w:r>
            <w:r>
              <w:rPr>
                <w:rFonts w:hint="eastAsia" w:ascii="Times New Roman" w:hAnsi="Times New Roman" w:eastAsia="宋体" w:cs="Times New Roman"/>
                <w:color w:val="000000"/>
                <w:kern w:val="0"/>
                <w:sz w:val="21"/>
                <w:szCs w:val="24"/>
                <w:bdr w:val="none" w:color="auto" w:sz="0" w:space="0"/>
                <w:lang w:val="en-US" w:eastAsia="zh-CN" w:bidi="ar"/>
              </w:rPr>
              <w:t>台</w:t>
            </w:r>
          </w:p>
        </w:tc>
        <w:tc>
          <w:tcPr>
            <w:tcW w:w="2270" w:type="dxa"/>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r>
    </w:tbl>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color w:val="000000"/>
          <w:lang w:val="en-US"/>
        </w:rPr>
      </w:pPr>
    </w:p>
    <w:p>
      <w:pPr>
        <w:pStyle w:val="8"/>
        <w:widowControl/>
        <w:rPr>
          <w:color w:val="000000"/>
          <w:lang/>
        </w:rPr>
      </w:pPr>
      <w:bookmarkStart w:id="120" w:name="_Toc41656125"/>
      <w:r>
        <w:rPr>
          <w:color w:val="000000"/>
          <w:lang/>
        </w:rPr>
        <w:t xml:space="preserve">2.5 </w:t>
      </w:r>
      <w:r>
        <w:rPr>
          <w:rFonts w:hint="eastAsia" w:ascii="Times New Roman" w:hAnsi="Times New Roman" w:eastAsia="宋体" w:cs="宋体"/>
          <w:color w:val="000000"/>
          <w:lang w:eastAsia="zh-CN"/>
        </w:rPr>
        <w:t>现有工程公辅工程</w:t>
      </w:r>
      <w:bookmarkEnd w:id="120"/>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）给水</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现有工程供水水源来自厂区内自备水井，储存于场内清水池，用水点包括设备和地面冲洗用水、湿式球磨机用水、浮选补充用水及生活用水等，总新水用量</w:t>
      </w:r>
      <w:r>
        <w:rPr>
          <w:rFonts w:hint="default" w:ascii="Times New Roman" w:hAnsi="Times New Roman" w:eastAsia="宋体" w:cs="Times New Roman"/>
          <w:color w:val="000000"/>
          <w:kern w:val="0"/>
          <w:sz w:val="24"/>
          <w:szCs w:val="24"/>
          <w:lang w:val="en-US" w:eastAsia="zh-CN" w:bidi="ar"/>
        </w:rPr>
        <w:t>23756.2 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。其中，生活用水量约</w:t>
      </w:r>
      <w:r>
        <w:rPr>
          <w:rFonts w:hint="default" w:ascii="Times New Roman" w:hAnsi="Times New Roman" w:eastAsia="宋体" w:cs="Times New Roman"/>
          <w:bCs/>
          <w:color w:val="000000"/>
          <w:kern w:val="0"/>
          <w:sz w:val="24"/>
          <w:szCs w:val="24"/>
          <w:lang w:val="en-US" w:eastAsia="zh-CN" w:bidi="ar"/>
        </w:rPr>
        <w:t>262.5m</w:t>
      </w:r>
      <w:r>
        <w:rPr>
          <w:rFonts w:hint="default" w:ascii="Times New Roman" w:hAnsi="Times New Roman" w:eastAsia="宋体" w:cs="Times New Roman"/>
          <w:bCs/>
          <w:color w:val="000000"/>
          <w:kern w:val="0"/>
          <w:sz w:val="24"/>
          <w:szCs w:val="24"/>
          <w:vertAlign w:val="superscript"/>
          <w:lang w:val="en-US" w:eastAsia="zh-CN" w:bidi="ar"/>
        </w:rPr>
        <w:t>3</w:t>
      </w:r>
      <w:r>
        <w:rPr>
          <w:rFonts w:hint="default" w:ascii="Times New Roman" w:hAnsi="Times New Roman" w:eastAsia="宋体" w:cs="Times New Roman"/>
          <w:bCs/>
          <w:color w:val="000000"/>
          <w:kern w:val="0"/>
          <w:sz w:val="24"/>
          <w:szCs w:val="24"/>
          <w:lang w:val="en-US" w:eastAsia="zh-CN" w:bidi="ar"/>
        </w:rPr>
        <w:t>/a</w:t>
      </w:r>
      <w:r>
        <w:rPr>
          <w:rFonts w:hint="eastAsia"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设备和地面冲洗用水</w:t>
      </w:r>
      <w:r>
        <w:rPr>
          <w:rFonts w:hint="default" w:ascii="Times New Roman" w:hAnsi="Times New Roman" w:eastAsia="宋体" w:cs="Times New Roman"/>
          <w:color w:val="000000"/>
          <w:kern w:val="0"/>
          <w:sz w:val="24"/>
          <w:szCs w:val="24"/>
          <w:lang w:val="en-US" w:eastAsia="zh-CN" w:bidi="ar"/>
        </w:rPr>
        <w:t>2500</w:t>
      </w:r>
      <w:r>
        <w:rPr>
          <w:rFonts w:hint="default" w:ascii="Times New Roman" w:hAnsi="Times New Roman" w:eastAsia="宋体" w:cs="Times New Roman"/>
          <w:bCs/>
          <w:color w:val="000000"/>
          <w:kern w:val="0"/>
          <w:sz w:val="24"/>
          <w:szCs w:val="24"/>
          <w:lang w:val="en-US" w:eastAsia="zh-CN" w:bidi="ar"/>
        </w:rPr>
        <w:t xml:space="preserve"> m</w:t>
      </w:r>
      <w:r>
        <w:rPr>
          <w:rFonts w:hint="default" w:ascii="Times New Roman" w:hAnsi="Times New Roman" w:eastAsia="宋体" w:cs="Times New Roman"/>
          <w:bCs/>
          <w:color w:val="000000"/>
          <w:kern w:val="0"/>
          <w:sz w:val="24"/>
          <w:szCs w:val="24"/>
          <w:vertAlign w:val="superscript"/>
          <w:lang w:val="en-US" w:eastAsia="zh-CN" w:bidi="ar"/>
        </w:rPr>
        <w:t>3</w:t>
      </w:r>
      <w:r>
        <w:rPr>
          <w:rFonts w:hint="default" w:ascii="Times New Roman" w:hAnsi="Times New Roman" w:eastAsia="宋体" w:cs="Times New Roman"/>
          <w:bCs/>
          <w:color w:val="000000"/>
          <w:kern w:val="0"/>
          <w:sz w:val="24"/>
          <w:szCs w:val="24"/>
          <w:lang w:val="en-US" w:eastAsia="zh-CN" w:bidi="ar"/>
        </w:rPr>
        <w:t>/a</w:t>
      </w:r>
      <w:r>
        <w:rPr>
          <w:rFonts w:hint="eastAsia"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球磨机、浮选生产用水均来自循环水池，补充新水量</w:t>
      </w:r>
      <w:r>
        <w:rPr>
          <w:rFonts w:hint="default" w:ascii="Times New Roman" w:hAnsi="Times New Roman" w:eastAsia="宋体" w:cs="Times New Roman"/>
          <w:color w:val="000000"/>
          <w:kern w:val="0"/>
          <w:sz w:val="24"/>
          <w:szCs w:val="24"/>
          <w:lang w:val="en-US" w:eastAsia="zh-CN" w:bidi="ar"/>
        </w:rPr>
        <w:t>20993.7</w:t>
      </w:r>
      <w:r>
        <w:rPr>
          <w:rFonts w:hint="default" w:ascii="Times New Roman" w:hAnsi="Times New Roman" w:eastAsia="宋体" w:cs="Times New Roman"/>
          <w:bCs/>
          <w:color w:val="000000"/>
          <w:kern w:val="0"/>
          <w:sz w:val="24"/>
          <w:szCs w:val="24"/>
          <w:lang w:val="en-US" w:eastAsia="zh-CN" w:bidi="ar"/>
        </w:rPr>
        <w:t xml:space="preserve"> m</w:t>
      </w:r>
      <w:r>
        <w:rPr>
          <w:rFonts w:hint="default" w:ascii="Times New Roman" w:hAnsi="Times New Roman" w:eastAsia="宋体" w:cs="Times New Roman"/>
          <w:bCs/>
          <w:color w:val="000000"/>
          <w:kern w:val="0"/>
          <w:sz w:val="24"/>
          <w:szCs w:val="24"/>
          <w:vertAlign w:val="superscript"/>
          <w:lang w:val="en-US" w:eastAsia="zh-CN" w:bidi="ar"/>
        </w:rPr>
        <w:t>3</w:t>
      </w:r>
      <w:r>
        <w:rPr>
          <w:rFonts w:hint="default" w:ascii="Times New Roman" w:hAnsi="Times New Roman" w:eastAsia="宋体" w:cs="Times New Roman"/>
          <w:bCs/>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，现有工程水平衡见图</w:t>
      </w:r>
      <w:r>
        <w:rPr>
          <w:rFonts w:hint="default" w:ascii="Times New Roman" w:hAnsi="Times New Roman" w:eastAsia="宋体" w:cs="Times New Roman"/>
          <w:color w:val="000000"/>
          <w:kern w:val="0"/>
          <w:sz w:val="24"/>
          <w:szCs w:val="24"/>
          <w:lang w:val="en-US" w:eastAsia="zh-CN" w:bidi="ar"/>
        </w:rPr>
        <w:t>2-2</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360" w:lineRule="auto"/>
        <w:ind w:left="0" w:right="6"/>
        <w:jc w:val="center"/>
        <w:rPr>
          <w:color w:val="000000"/>
          <w:lang w:val="en-US"/>
        </w:rPr>
      </w:pPr>
      <w:r>
        <w:rPr>
          <w:rFonts w:hint="eastAsia" w:ascii="宋体" w:hAnsi="宋体" w:eastAsia="宋体" w:cs="宋体"/>
          <w:color w:val="000000"/>
          <w:kern w:val="0"/>
          <w:sz w:val="24"/>
          <w:szCs w:val="24"/>
          <w:lang w:val="en-US" w:eastAsia="zh-CN" w:bidi="ar"/>
        </w:rPr>
        <w:object>
          <v:shape id="_x0000_i1029" o:spt="75" type="#_x0000_t75" style="height:331.5pt;width:361.5pt;" o:ole="t" filled="f" o:preferrelative="t" stroked="f" coordsize="21600,21600">
            <v:path/>
            <v:fill on="f" focussize="0,0"/>
            <v:stroke on="f" joinstyle="miter"/>
            <v:imagedata r:id="rId17" o:title=""/>
            <o:lock v:ext="edit" aspectratio="t"/>
            <w10:wrap type="none"/>
            <w10:anchorlock/>
          </v:shape>
          <o:OLEObject Type="Embed" ProgID="" ShapeID="_x0000_i1029" DrawAspect="Content" ObjectID="_1468075726" r:id="rId16">
            <o:LockedField>false</o:LockedField>
          </o:OLEObject>
        </w:object>
      </w:r>
    </w:p>
    <w:p>
      <w:pPr>
        <w:keepNext w:val="0"/>
        <w:keepLines w:val="0"/>
        <w:widowControl/>
        <w:suppressLineNumbers w:val="0"/>
        <w:spacing w:before="0" w:beforeAutospacing="0" w:after="0" w:afterAutospacing="0"/>
        <w:ind w:left="0" w:right="6"/>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2-2 </w:t>
      </w:r>
      <w:r>
        <w:rPr>
          <w:rFonts w:hint="eastAsia" w:ascii="Times New Roman" w:hAnsi="Times New Roman" w:eastAsia="黑体" w:cs="Times New Roman"/>
          <w:color w:val="000000"/>
          <w:kern w:val="0"/>
          <w:sz w:val="24"/>
          <w:szCs w:val="24"/>
          <w:lang w:val="en-US" w:eastAsia="zh-CN" w:bidi="ar"/>
        </w:rPr>
        <w:t>现有工程水量平衡图</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4"/>
          <w:szCs w:val="24"/>
          <w:lang w:val="en-US" w:eastAsia="zh-CN" w:bidi="ar"/>
        </w:rPr>
        <w:t>（</w:t>
      </w:r>
      <w:r>
        <w:rPr>
          <w:rFonts w:hint="default" w:ascii="Times New Roman" w:hAnsi="Times New Roman" w:eastAsia="黑体" w:cs="Times New Roman"/>
          <w:color w:val="000000"/>
          <w:kern w:val="0"/>
          <w:sz w:val="24"/>
          <w:szCs w:val="24"/>
          <w:lang w:val="en-US" w:eastAsia="zh-CN" w:bidi="ar"/>
        </w:rPr>
        <w:t>m</w:t>
      </w:r>
      <w:r>
        <w:rPr>
          <w:rFonts w:hint="default" w:ascii="Times New Roman" w:hAnsi="Times New Roman" w:eastAsia="黑体" w:cs="Times New Roman"/>
          <w:color w:val="000000"/>
          <w:kern w:val="0"/>
          <w:sz w:val="24"/>
          <w:szCs w:val="24"/>
          <w:vertAlign w:val="superscript"/>
          <w:lang w:val="en-US" w:eastAsia="zh-CN" w:bidi="ar"/>
        </w:rPr>
        <w:t>3</w:t>
      </w:r>
      <w:r>
        <w:rPr>
          <w:rFonts w:hint="default" w:ascii="Times New Roman" w:hAnsi="Times New Roman" w:eastAsia="黑体" w:cs="Times New Roman"/>
          <w:color w:val="000000"/>
          <w:kern w:val="0"/>
          <w:sz w:val="24"/>
          <w:szCs w:val="24"/>
          <w:lang w:val="en-US" w:eastAsia="zh-CN" w:bidi="ar"/>
        </w:rPr>
        <w:t>/a</w:t>
      </w:r>
      <w:r>
        <w:rPr>
          <w:rFonts w:hint="eastAsia" w:ascii="Times New Roman" w:hAnsi="Times New Roman" w:eastAsia="黑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）排水</w:t>
      </w:r>
    </w:p>
    <w:p>
      <w:pPr>
        <w:keepNext w:val="0"/>
        <w:keepLines w:val="0"/>
        <w:widowControl/>
        <w:suppressLineNumbers w:val="0"/>
        <w:spacing w:before="0" w:beforeAutospacing="0" w:after="0" w:afterAutospacing="0"/>
        <w:ind w:left="0" w:right="0" w:firstLine="482"/>
        <w:jc w:val="left"/>
        <w:rPr>
          <w:color w:val="000000"/>
          <w:lang w:val="en-US"/>
        </w:rPr>
      </w:pPr>
      <w:r>
        <w:rPr>
          <w:rFonts w:hint="eastAsia" w:ascii="宋体" w:hAnsi="宋体" w:eastAsia="宋体" w:cs="宋体"/>
          <w:color w:val="000000"/>
          <w:kern w:val="0"/>
          <w:sz w:val="24"/>
          <w:szCs w:val="24"/>
          <w:lang w:val="en-US" w:eastAsia="zh-CN" w:bidi="ar"/>
        </w:rPr>
        <w:t>现有工程产生的废水主要包括生活污水、浮选生产废水和设备、地面冲洗废水。</w:t>
      </w:r>
    </w:p>
    <w:p>
      <w:pPr>
        <w:keepNext w:val="0"/>
        <w:keepLines w:val="0"/>
        <w:widowControl/>
        <w:suppressLineNumbers w:val="0"/>
        <w:spacing w:before="0" w:beforeAutospacing="0" w:after="0" w:afterAutospacing="0"/>
        <w:ind w:left="0" w:right="0" w:firstLine="482"/>
        <w:jc w:val="left"/>
        <w:rPr>
          <w:color w:val="000000"/>
          <w:lang w:val="en-US"/>
        </w:rPr>
      </w:pPr>
      <w:r>
        <w:rPr>
          <w:rFonts w:hint="eastAsia" w:ascii="宋体" w:hAnsi="宋体" w:eastAsia="宋体" w:cs="宋体"/>
          <w:color w:val="000000"/>
          <w:kern w:val="0"/>
          <w:sz w:val="24"/>
          <w:szCs w:val="24"/>
          <w:lang w:val="en-US" w:eastAsia="zh-CN" w:bidi="ar"/>
        </w:rPr>
        <w:t>生活污水排</w:t>
      </w:r>
      <w:r>
        <w:rPr>
          <w:rFonts w:hint="eastAsia" w:ascii="Times New Roman" w:hAnsi="Times New Roman" w:eastAsia="宋体" w:cs="Times New Roman"/>
          <w:color w:val="000000"/>
          <w:kern w:val="0"/>
          <w:sz w:val="24"/>
          <w:szCs w:val="24"/>
          <w:lang w:val="en-US" w:eastAsia="zh-CN" w:bidi="ar"/>
        </w:rPr>
        <w:t>入化粪池（约</w:t>
      </w:r>
      <w:r>
        <w:rPr>
          <w:rFonts w:hint="default" w:ascii="Times New Roman" w:hAnsi="Times New Roman" w:eastAsia="宋体" w:cs="Times New Roman"/>
          <w:color w:val="000000"/>
          <w:kern w:val="0"/>
          <w:sz w:val="24"/>
          <w:szCs w:val="24"/>
          <w:lang w:val="en-US" w:eastAsia="zh-CN" w:bidi="ar"/>
        </w:rPr>
        <w:t>15m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定期清掏，堆沤腐熟、就地就近就农利用，不外排；浮选生产废水抽入循环水池，回用于生产，不外排；设备、地面冲洗废水收集后排入尾矿沉淀池，最后进入循环水池，回用于浮选生产，不外排。</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综上所述，现有工程无废水外排。</w:t>
      </w:r>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）供暖</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现有工程冬季办公室采用电供暖，生产车间不供暖。</w:t>
      </w:r>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）供电工程</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现有工程供电电源来自市政电网，由当地供电所提供的两条</w:t>
      </w:r>
      <w:r>
        <w:rPr>
          <w:rFonts w:hint="default" w:ascii="Times New Roman" w:hAnsi="Times New Roman" w:eastAsia="宋体" w:cs="Times New Roman"/>
          <w:color w:val="000000"/>
          <w:kern w:val="0"/>
          <w:sz w:val="24"/>
          <w:szCs w:val="24"/>
          <w:lang w:val="en-US" w:eastAsia="zh-CN" w:bidi="ar"/>
        </w:rPr>
        <w:t>10KV</w:t>
      </w:r>
      <w:r>
        <w:rPr>
          <w:rFonts w:hint="eastAsia" w:ascii="Times New Roman" w:hAnsi="Times New Roman" w:eastAsia="宋体" w:cs="Times New Roman"/>
          <w:color w:val="000000"/>
          <w:kern w:val="0"/>
          <w:sz w:val="24"/>
          <w:szCs w:val="24"/>
          <w:lang w:val="en-US" w:eastAsia="zh-CN" w:bidi="ar"/>
        </w:rPr>
        <w:t>线络引至厂区变电所，内设</w:t>
      </w:r>
      <w:r>
        <w:rPr>
          <w:rFonts w:hint="default" w:ascii="Times New Roman" w:hAnsi="Times New Roman" w:eastAsia="宋体" w:cs="Times New Roman"/>
          <w:color w:val="000000"/>
          <w:kern w:val="0"/>
          <w:sz w:val="24"/>
          <w:szCs w:val="24"/>
          <w:lang w:val="en-US" w:eastAsia="zh-CN" w:bidi="ar"/>
        </w:rPr>
        <w:t>630kVA</w:t>
      </w:r>
      <w:r>
        <w:rPr>
          <w:rFonts w:hint="eastAsia" w:ascii="Times New Roman" w:hAnsi="Times New Roman" w:eastAsia="宋体" w:cs="Times New Roman"/>
          <w:color w:val="000000"/>
          <w:kern w:val="0"/>
          <w:sz w:val="24"/>
          <w:szCs w:val="24"/>
          <w:lang w:val="en-US" w:eastAsia="zh-CN" w:bidi="ar"/>
        </w:rPr>
        <w:t>变压器一台。现有工程厂区配电线路采用</w:t>
      </w:r>
      <w:r>
        <w:rPr>
          <w:rFonts w:hint="default" w:ascii="Times New Roman" w:hAnsi="Times New Roman" w:eastAsia="宋体" w:cs="Times New Roman"/>
          <w:color w:val="000000"/>
          <w:kern w:val="0"/>
          <w:sz w:val="24"/>
          <w:szCs w:val="24"/>
          <w:lang w:val="en-US" w:eastAsia="zh-CN" w:bidi="ar"/>
        </w:rPr>
        <w:t>1KV</w:t>
      </w:r>
      <w:r>
        <w:rPr>
          <w:rFonts w:hint="eastAsia" w:ascii="Times New Roman" w:hAnsi="Times New Roman" w:eastAsia="宋体" w:cs="Times New Roman"/>
          <w:color w:val="000000"/>
          <w:kern w:val="0"/>
          <w:sz w:val="24"/>
          <w:szCs w:val="24"/>
          <w:lang w:val="en-US" w:eastAsia="zh-CN" w:bidi="ar"/>
        </w:rPr>
        <w:t>电缆，直埋敷设，年用电量约为</w:t>
      </w:r>
      <w:r>
        <w:rPr>
          <w:rFonts w:hint="default" w:ascii="Times New Roman" w:hAnsi="Times New Roman" w:eastAsia="宋体" w:cs="Times New Roman"/>
          <w:color w:val="000000"/>
          <w:kern w:val="0"/>
          <w:sz w:val="24"/>
          <w:szCs w:val="24"/>
          <w:lang w:val="en-US" w:eastAsia="zh-CN" w:bidi="ar"/>
        </w:rPr>
        <w:t>360</w:t>
      </w:r>
      <w:r>
        <w:rPr>
          <w:rFonts w:hint="eastAsia" w:ascii="Times New Roman" w:hAnsi="Times New Roman" w:eastAsia="宋体" w:cs="Times New Roman"/>
          <w:color w:val="000000"/>
          <w:kern w:val="0"/>
          <w:sz w:val="24"/>
          <w:szCs w:val="24"/>
          <w:lang w:val="en-US" w:eastAsia="zh-CN" w:bidi="ar"/>
        </w:rPr>
        <w:t>万</w:t>
      </w:r>
      <w:r>
        <w:rPr>
          <w:rFonts w:hint="default" w:ascii="Times New Roman" w:hAnsi="Times New Roman" w:eastAsia="宋体" w:cs="Times New Roman"/>
          <w:color w:val="000000"/>
          <w:kern w:val="0"/>
          <w:sz w:val="24"/>
          <w:szCs w:val="24"/>
          <w:lang w:val="en-US" w:eastAsia="zh-CN" w:bidi="ar"/>
        </w:rPr>
        <w:t>kW·h</w:t>
      </w:r>
      <w:r>
        <w:rPr>
          <w:rFonts w:hint="eastAsia" w:ascii="Times New Roman" w:hAnsi="Times New Roman" w:eastAsia="宋体" w:cs="Times New Roman"/>
          <w:color w:val="000000"/>
          <w:kern w:val="0"/>
          <w:sz w:val="24"/>
          <w:szCs w:val="24"/>
          <w:lang w:val="en-US" w:eastAsia="zh-CN" w:bidi="ar"/>
        </w:rPr>
        <w:t>。</w:t>
      </w:r>
    </w:p>
    <w:p>
      <w:pPr>
        <w:pStyle w:val="8"/>
        <w:widowControl/>
        <w:rPr>
          <w:color w:val="000000"/>
          <w:lang/>
        </w:rPr>
      </w:pPr>
      <w:bookmarkStart w:id="121" w:name="_Toc41656126"/>
      <w:r>
        <w:rPr>
          <w:color w:val="000000"/>
          <w:lang/>
        </w:rPr>
        <w:t xml:space="preserve">2.6 </w:t>
      </w:r>
      <w:r>
        <w:rPr>
          <w:rFonts w:hint="eastAsia" w:ascii="Times New Roman" w:hAnsi="Times New Roman" w:eastAsia="宋体" w:cs="宋体"/>
          <w:color w:val="000000"/>
          <w:lang w:eastAsia="zh-CN"/>
        </w:rPr>
        <w:t>现有工程生产工艺简述</w:t>
      </w:r>
      <w:bookmarkEnd w:id="121"/>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现有工程浮选生产原料主要来源于华宇集团自有菱镁矿山产生的矿粉和生产中产生的粒度</w:t>
      </w:r>
      <w:r>
        <w:rPr>
          <w:rFonts w:hint="default" w:ascii="Times New Roman" w:hAnsi="Times New Roman" w:eastAsia="宋体" w:cs="Times New Roman"/>
          <w:color w:val="000000"/>
          <w:kern w:val="0"/>
          <w:sz w:val="24"/>
          <w:szCs w:val="24"/>
          <w:lang w:val="en-US" w:eastAsia="zh-CN" w:bidi="ar"/>
        </w:rPr>
        <w:t>&lt;10mm</w:t>
      </w:r>
      <w:r>
        <w:rPr>
          <w:rFonts w:hint="eastAsia" w:ascii="Times New Roman" w:hAnsi="Times New Roman" w:eastAsia="宋体" w:cs="Times New Roman"/>
          <w:color w:val="000000"/>
          <w:kern w:val="0"/>
          <w:sz w:val="24"/>
          <w:szCs w:val="24"/>
          <w:lang w:val="en-US" w:eastAsia="zh-CN" w:bidi="ar"/>
        </w:rPr>
        <w:t>的废料。华宇集团自有菱镁矿山位于现有工程西南侧</w:t>
      </w:r>
      <w:r>
        <w:rPr>
          <w:rFonts w:hint="default" w:ascii="Times New Roman" w:hAnsi="Times New Roman" w:eastAsia="宋体" w:cs="Times New Roman"/>
          <w:color w:val="000000"/>
          <w:kern w:val="0"/>
          <w:sz w:val="24"/>
          <w:szCs w:val="24"/>
          <w:lang w:val="en-US" w:eastAsia="zh-CN" w:bidi="ar"/>
        </w:rPr>
        <w:t>4km</w:t>
      </w:r>
      <w:r>
        <w:rPr>
          <w:rFonts w:hint="eastAsia" w:ascii="Times New Roman" w:hAnsi="Times New Roman" w:eastAsia="宋体" w:cs="Times New Roman"/>
          <w:color w:val="000000"/>
          <w:kern w:val="0"/>
          <w:sz w:val="24"/>
          <w:szCs w:val="24"/>
          <w:lang w:val="en-US" w:eastAsia="zh-CN" w:bidi="ar"/>
        </w:rPr>
        <w:t>处，矿山周围堆积的菱镁矿石废料达</w:t>
      </w:r>
      <w:r>
        <w:rPr>
          <w:rFonts w:hint="default" w:ascii="Times New Roman" w:hAnsi="Times New Roman" w:eastAsia="宋体" w:cs="Times New Roman"/>
          <w:color w:val="000000"/>
          <w:kern w:val="0"/>
          <w:sz w:val="24"/>
          <w:szCs w:val="24"/>
          <w:lang w:val="en-US" w:eastAsia="zh-CN" w:bidi="ar"/>
        </w:rPr>
        <w:t>100</w:t>
      </w:r>
      <w:r>
        <w:rPr>
          <w:rFonts w:hint="eastAsia" w:ascii="Times New Roman" w:hAnsi="Times New Roman" w:eastAsia="宋体" w:cs="Times New Roman"/>
          <w:color w:val="000000"/>
          <w:kern w:val="0"/>
          <w:sz w:val="24"/>
          <w:szCs w:val="24"/>
          <w:lang w:val="en-US" w:eastAsia="zh-CN" w:bidi="ar"/>
        </w:rPr>
        <w:t>万吨以上，并且伴随矿山开采逐年增加。现有工程菱镁矿石废料由华宇集团矿山运输车辆运入原料库。</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）湿式球磨</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菱镁矿石废料湿料（含水率约</w:t>
      </w:r>
      <w:r>
        <w:rPr>
          <w:rFonts w:hint="default" w:ascii="Times New Roman" w:hAnsi="Times New Roman" w:eastAsia="宋体" w:cs="Times New Roman"/>
          <w:color w:val="000000"/>
          <w:kern w:val="0"/>
          <w:sz w:val="24"/>
          <w:szCs w:val="24"/>
          <w:lang w:val="en-US" w:eastAsia="zh-CN" w:bidi="ar"/>
        </w:rPr>
        <w:t>5%</w:t>
      </w:r>
      <w:r>
        <w:rPr>
          <w:rFonts w:hint="eastAsia" w:ascii="Times New Roman" w:hAnsi="Times New Roman" w:eastAsia="宋体" w:cs="Times New Roman"/>
          <w:color w:val="000000"/>
          <w:kern w:val="0"/>
          <w:sz w:val="24"/>
          <w:szCs w:val="24"/>
          <w:lang w:val="en-US" w:eastAsia="zh-CN" w:bidi="ar"/>
        </w:rPr>
        <w:t>）进场，利用原料库房与球磨车间的高度差进入料斗，通过料斗将加湿后的原料装入球磨机内，再通过水泵将循环水池中的水抽入湿式球磨机中，进行湿磨，矿浆</w:t>
      </w:r>
      <w:r>
        <w:rPr>
          <w:rFonts w:hint="eastAsia" w:ascii="Times New Roman" w:hAnsi="Times New Roman" w:eastAsia="宋体" w:cs="Times New Roman"/>
          <w:bCs/>
          <w:color w:val="000000"/>
          <w:kern w:val="0"/>
          <w:sz w:val="24"/>
          <w:szCs w:val="24"/>
          <w:lang w:val="en-US" w:eastAsia="zh-CN" w:bidi="ar"/>
        </w:rPr>
        <w:t>含水率约</w:t>
      </w:r>
      <w:r>
        <w:rPr>
          <w:rFonts w:hint="default" w:ascii="Times New Roman" w:hAnsi="Times New Roman" w:eastAsia="宋体" w:cs="Times New Roman"/>
          <w:bCs/>
          <w:color w:val="000000"/>
          <w:kern w:val="0"/>
          <w:sz w:val="24"/>
          <w:szCs w:val="24"/>
          <w:lang w:val="en-US" w:eastAsia="zh-CN" w:bidi="ar"/>
        </w:rPr>
        <w:t>65%</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）分级</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湿式球磨机产生的泥浆泵入同样位于球磨车间的螺旋分级机中进行分级，泥浆中矿粉含量约</w:t>
      </w:r>
      <w:r>
        <w:rPr>
          <w:rFonts w:hint="default" w:ascii="Times New Roman" w:hAnsi="Times New Roman" w:eastAsia="宋体" w:cs="Times New Roman"/>
          <w:color w:val="000000"/>
          <w:kern w:val="0"/>
          <w:sz w:val="24"/>
          <w:szCs w:val="24"/>
          <w:lang w:val="en-US" w:eastAsia="zh-CN" w:bidi="ar"/>
        </w:rPr>
        <w:t>30%</w:t>
      </w:r>
      <w:r>
        <w:rPr>
          <w:rFonts w:hint="eastAsia" w:ascii="Times New Roman" w:hAnsi="Times New Roman" w:eastAsia="宋体" w:cs="Times New Roman"/>
          <w:color w:val="000000"/>
          <w:kern w:val="0"/>
          <w:sz w:val="24"/>
          <w:szCs w:val="24"/>
          <w:lang w:val="en-US" w:eastAsia="zh-CN" w:bidi="ar"/>
        </w:rPr>
        <w:t>、粒度小于</w:t>
      </w:r>
      <w:r>
        <w:rPr>
          <w:rFonts w:hint="default" w:ascii="Times New Roman" w:hAnsi="Times New Roman" w:eastAsia="宋体" w:cs="Times New Roman"/>
          <w:color w:val="000000"/>
          <w:kern w:val="0"/>
          <w:sz w:val="24"/>
          <w:szCs w:val="24"/>
          <w:lang w:val="en-US" w:eastAsia="zh-CN" w:bidi="ar"/>
        </w:rPr>
        <w:t>150</w:t>
      </w:r>
      <w:r>
        <w:rPr>
          <w:rFonts w:hint="eastAsia" w:ascii="Times New Roman" w:hAnsi="Times New Roman" w:eastAsia="宋体" w:cs="Times New Roman"/>
          <w:color w:val="000000"/>
          <w:kern w:val="0"/>
          <w:sz w:val="24"/>
          <w:szCs w:val="24"/>
          <w:lang w:val="en-US" w:eastAsia="zh-CN" w:bidi="ar"/>
        </w:rPr>
        <w:t>目时，送至矿浆搅拌槽添加浮选药剂，之后经管道送入紧挨的浮选车间进行浮选。矿粉含量和粒度不符合上述要求的泥浆自动返回球磨机，继续加水进行球磨。</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）浮选</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spacing w:val="2"/>
          <w:lang w:val="en-US"/>
        </w:rPr>
      </w:pPr>
      <w:r>
        <w:rPr>
          <w:rFonts w:hint="eastAsia" w:ascii="Times New Roman" w:hAnsi="Times New Roman" w:eastAsia="宋体" w:cs="Times New Roman"/>
          <w:color w:val="000000"/>
          <w:kern w:val="0"/>
          <w:sz w:val="24"/>
          <w:szCs w:val="24"/>
          <w:lang w:val="en-US" w:eastAsia="zh-CN" w:bidi="ar"/>
        </w:rPr>
        <w:t>来自球磨车间分级机的泥浆进入浮选机中进行浮选。现有工程采用反浮选工艺，</w:t>
      </w:r>
      <w:r>
        <w:rPr>
          <w:rFonts w:hint="eastAsia" w:ascii="Times New Roman" w:hAnsi="Times New Roman" w:eastAsia="宋体" w:cs="Times New Roman"/>
          <w:color w:val="000000"/>
          <w:spacing w:val="4"/>
          <w:kern w:val="0"/>
          <w:sz w:val="24"/>
          <w:szCs w:val="24"/>
          <w:lang w:val="en-US" w:eastAsia="zh-CN" w:bidi="ar"/>
        </w:rPr>
        <w:t>去除菱镁矿石里的</w:t>
      </w:r>
      <w:r>
        <w:rPr>
          <w:rFonts w:hint="default" w:ascii="Times New Roman" w:hAnsi="Times New Roman" w:eastAsia="宋体" w:cs="Times New Roman"/>
          <w:color w:val="000000"/>
          <w:spacing w:val="-1"/>
          <w:kern w:val="0"/>
          <w:sz w:val="24"/>
          <w:szCs w:val="24"/>
          <w:lang w:val="en-US" w:eastAsia="zh-CN" w:bidi="ar"/>
        </w:rPr>
        <w:t>SiO</w:t>
      </w:r>
      <w:r>
        <w:rPr>
          <w:rFonts w:hint="default" w:ascii="Times New Roman" w:hAnsi="Times New Roman" w:eastAsia="宋体" w:cs="Times New Roman"/>
          <w:color w:val="000000"/>
          <w:spacing w:val="-1"/>
          <w:kern w:val="0"/>
          <w:sz w:val="24"/>
          <w:szCs w:val="24"/>
          <w:vertAlign w:val="subscript"/>
          <w:lang w:val="en-US" w:eastAsia="zh-CN" w:bidi="ar"/>
        </w:rPr>
        <w:t>2</w:t>
      </w:r>
      <w:r>
        <w:rPr>
          <w:rFonts w:hint="eastAsia" w:ascii="Times New Roman" w:hAnsi="Times New Roman" w:eastAsia="宋体" w:cs="Times New Roman"/>
          <w:color w:val="000000"/>
          <w:spacing w:val="-1"/>
          <w:kern w:val="0"/>
          <w:sz w:val="24"/>
          <w:szCs w:val="24"/>
          <w:lang w:val="en-US" w:eastAsia="zh-CN" w:bidi="ar"/>
        </w:rPr>
        <w:t>和</w:t>
      </w:r>
      <w:r>
        <w:rPr>
          <w:rFonts w:hint="default" w:ascii="Times New Roman" w:hAnsi="Times New Roman" w:eastAsia="宋体" w:cs="Times New Roman"/>
          <w:color w:val="000000"/>
          <w:spacing w:val="-1"/>
          <w:kern w:val="0"/>
          <w:sz w:val="24"/>
          <w:szCs w:val="24"/>
          <w:lang w:val="en-US" w:eastAsia="zh-CN" w:bidi="ar"/>
        </w:rPr>
        <w:t>Al</w:t>
      </w:r>
      <w:r>
        <w:rPr>
          <w:rFonts w:hint="default" w:ascii="Times New Roman" w:hAnsi="Times New Roman" w:eastAsia="宋体" w:cs="Times New Roman"/>
          <w:color w:val="000000"/>
          <w:spacing w:val="-1"/>
          <w:kern w:val="0"/>
          <w:sz w:val="24"/>
          <w:szCs w:val="24"/>
          <w:vertAlign w:val="subscript"/>
          <w:lang w:val="en-US" w:eastAsia="zh-CN" w:bidi="ar"/>
        </w:rPr>
        <w:t>2</w:t>
      </w:r>
      <w:r>
        <w:rPr>
          <w:rFonts w:hint="default" w:ascii="Times New Roman" w:hAnsi="Times New Roman" w:eastAsia="宋体" w:cs="Times New Roman"/>
          <w:color w:val="000000"/>
          <w:spacing w:val="-1"/>
          <w:kern w:val="0"/>
          <w:sz w:val="24"/>
          <w:szCs w:val="24"/>
          <w:lang w:val="en-US" w:eastAsia="zh-CN" w:bidi="ar"/>
        </w:rPr>
        <w:t>O</w:t>
      </w:r>
      <w:r>
        <w:rPr>
          <w:rFonts w:hint="default" w:ascii="Times New Roman" w:hAnsi="Times New Roman" w:eastAsia="宋体" w:cs="Times New Roman"/>
          <w:color w:val="000000"/>
          <w:spacing w:val="-1"/>
          <w:kern w:val="0"/>
          <w:sz w:val="24"/>
          <w:szCs w:val="24"/>
          <w:vertAlign w:val="subscript"/>
          <w:lang w:val="en-US" w:eastAsia="zh-CN" w:bidi="ar"/>
        </w:rPr>
        <w:t>3</w:t>
      </w:r>
      <w:r>
        <w:rPr>
          <w:rFonts w:hint="eastAsia" w:ascii="Times New Roman" w:hAnsi="Times New Roman" w:eastAsia="宋体" w:cs="Times New Roman"/>
          <w:color w:val="000000"/>
          <w:spacing w:val="-1"/>
          <w:kern w:val="0"/>
          <w:sz w:val="24"/>
          <w:szCs w:val="24"/>
          <w:lang w:val="en-US" w:eastAsia="zh-CN" w:bidi="ar"/>
        </w:rPr>
        <w:t>，矿浆上层泡沫</w:t>
      </w:r>
      <w:r>
        <w:rPr>
          <w:rFonts w:hint="eastAsia" w:ascii="Times New Roman" w:hAnsi="Times New Roman" w:eastAsia="宋体" w:cs="Times New Roman"/>
          <w:color w:val="000000"/>
          <w:spacing w:val="-32"/>
          <w:kern w:val="0"/>
          <w:sz w:val="24"/>
          <w:szCs w:val="24"/>
          <w:lang w:val="en-US" w:eastAsia="zh-CN" w:bidi="ar"/>
        </w:rPr>
        <w:t>含</w:t>
      </w:r>
      <w:r>
        <w:rPr>
          <w:rFonts w:hint="default" w:ascii="Times New Roman" w:hAnsi="Times New Roman" w:eastAsia="Times New Roman" w:cs="Times New Roman"/>
          <w:color w:val="000000"/>
          <w:kern w:val="0"/>
          <w:sz w:val="24"/>
          <w:szCs w:val="24"/>
          <w:lang w:val="en-US" w:eastAsia="zh-CN" w:bidi="ar"/>
        </w:rPr>
        <w:t>SiO</w:t>
      </w:r>
      <w:r>
        <w:rPr>
          <w:rFonts w:hint="default" w:ascii="Times New Roman" w:hAnsi="Times New Roman" w:eastAsia="Times New Roman" w:cs="Times New Roman"/>
          <w:color w:val="000000"/>
          <w:kern w:val="0"/>
          <w:position w:val="-2"/>
          <w:sz w:val="16"/>
          <w:szCs w:val="24"/>
          <w:lang w:val="en-US" w:eastAsia="zh-CN" w:bidi="ar"/>
        </w:rPr>
        <w:t>2</w:t>
      </w:r>
      <w:r>
        <w:rPr>
          <w:rFonts w:hint="eastAsia" w:ascii="Times New Roman" w:hAnsi="Times New Roman" w:eastAsia="宋体" w:cs="Times New Roman"/>
          <w:color w:val="000000"/>
          <w:spacing w:val="-3"/>
          <w:kern w:val="0"/>
          <w:sz w:val="24"/>
          <w:szCs w:val="24"/>
          <w:lang w:val="en-US" w:eastAsia="zh-CN" w:bidi="ar"/>
        </w:rPr>
        <w:t>、</w:t>
      </w:r>
      <w:r>
        <w:rPr>
          <w:rFonts w:hint="default" w:ascii="Times New Roman" w:hAnsi="Times New Roman" w:eastAsia="Times New Roman" w:cs="Times New Roman"/>
          <w:color w:val="000000"/>
          <w:kern w:val="0"/>
          <w:sz w:val="24"/>
          <w:szCs w:val="24"/>
          <w:lang w:val="en-US" w:eastAsia="zh-CN" w:bidi="ar"/>
        </w:rPr>
        <w:t>Al</w:t>
      </w:r>
      <w:r>
        <w:rPr>
          <w:rFonts w:hint="default" w:ascii="Times New Roman" w:hAnsi="Times New Roman" w:eastAsia="Times New Roman" w:cs="Times New Roman"/>
          <w:color w:val="000000"/>
          <w:kern w:val="0"/>
          <w:position w:val="-2"/>
          <w:sz w:val="16"/>
          <w:szCs w:val="24"/>
          <w:lang w:val="en-US" w:eastAsia="zh-CN" w:bidi="ar"/>
        </w:rPr>
        <w:t>2</w:t>
      </w:r>
      <w:r>
        <w:rPr>
          <w:rFonts w:hint="default" w:ascii="Times New Roman" w:hAnsi="Times New Roman" w:eastAsia="Times New Roman" w:cs="Times New Roman"/>
          <w:color w:val="000000"/>
          <w:kern w:val="0"/>
          <w:sz w:val="24"/>
          <w:szCs w:val="24"/>
          <w:lang w:val="en-US" w:eastAsia="zh-CN" w:bidi="ar"/>
        </w:rPr>
        <w:t>O</w:t>
      </w:r>
      <w:r>
        <w:rPr>
          <w:rFonts w:hint="default" w:ascii="Times New Roman" w:hAnsi="Times New Roman" w:eastAsia="Times New Roman" w:cs="Times New Roman"/>
          <w:color w:val="000000"/>
          <w:kern w:val="0"/>
          <w:position w:val="-2"/>
          <w:sz w:val="16"/>
          <w:szCs w:val="24"/>
          <w:lang w:val="en-US" w:eastAsia="zh-CN" w:bidi="ar"/>
        </w:rPr>
        <w:t>3</w:t>
      </w:r>
      <w:r>
        <w:rPr>
          <w:rFonts w:hint="eastAsia" w:ascii="Times New Roman" w:hAnsi="Times New Roman" w:eastAsia="宋体" w:cs="Times New Roman"/>
          <w:color w:val="000000"/>
          <w:spacing w:val="-1"/>
          <w:kern w:val="0"/>
          <w:sz w:val="24"/>
          <w:szCs w:val="24"/>
          <w:lang w:val="en-US" w:eastAsia="zh-CN" w:bidi="ar"/>
        </w:rPr>
        <w:t>，下层底流含</w:t>
      </w:r>
      <w:r>
        <w:rPr>
          <w:rFonts w:hint="default" w:ascii="Times New Roman" w:hAnsi="Times New Roman" w:eastAsia="Times New Roman" w:cs="Times New Roman"/>
          <w:color w:val="000000"/>
          <w:kern w:val="0"/>
          <w:sz w:val="24"/>
          <w:szCs w:val="24"/>
          <w:lang w:val="en-US" w:eastAsia="zh-CN" w:bidi="ar"/>
        </w:rPr>
        <w:t>MgO</w:t>
      </w:r>
      <w:r>
        <w:rPr>
          <w:rFonts w:hint="eastAsia" w:ascii="Times New Roman" w:hAnsi="Times New Roman" w:eastAsia="宋体" w:cs="Times New Roman"/>
          <w:color w:val="000000"/>
          <w:spacing w:val="-5"/>
          <w:kern w:val="0"/>
          <w:sz w:val="24"/>
          <w:szCs w:val="24"/>
          <w:lang w:val="en-US" w:eastAsia="zh-CN" w:bidi="ar"/>
        </w:rPr>
        <w:t>，</w:t>
      </w:r>
      <w:r>
        <w:rPr>
          <w:rFonts w:hint="eastAsia" w:ascii="宋体" w:hAnsi="宋体" w:eastAsia="宋体" w:cs="宋体"/>
          <w:color w:val="000000"/>
          <w:kern w:val="0"/>
          <w:sz w:val="24"/>
          <w:szCs w:val="24"/>
          <w:lang w:val="en-US" w:eastAsia="zh-CN" w:bidi="ar"/>
        </w:rPr>
        <w:t>从</w:t>
      </w:r>
      <w:r>
        <w:rPr>
          <w:rFonts w:hint="eastAsia" w:ascii="Times New Roman" w:hAnsi="Times New Roman" w:eastAsia="宋体" w:cs="Times New Roman"/>
          <w:color w:val="000000"/>
          <w:kern w:val="0"/>
          <w:sz w:val="24"/>
          <w:szCs w:val="24"/>
          <w:lang w:val="en-US" w:eastAsia="zh-CN" w:bidi="ar"/>
        </w:rPr>
        <w:t>而使菱镁矿石里的</w:t>
      </w:r>
      <w:r>
        <w:rPr>
          <w:rFonts w:hint="default" w:ascii="Times New Roman" w:hAnsi="Times New Roman" w:eastAsia="宋体" w:cs="Times New Roman"/>
          <w:color w:val="000000"/>
          <w:kern w:val="0"/>
          <w:sz w:val="24"/>
          <w:szCs w:val="24"/>
          <w:lang w:val="en-US" w:eastAsia="zh-CN" w:bidi="ar"/>
        </w:rPr>
        <w:t>MgO</w:t>
      </w:r>
      <w:r>
        <w:rPr>
          <w:rFonts w:hint="eastAsia" w:ascii="Times New Roman" w:hAnsi="Times New Roman" w:eastAsia="宋体" w:cs="Times New Roman"/>
          <w:color w:val="000000"/>
          <w:kern w:val="0"/>
          <w:sz w:val="24"/>
          <w:szCs w:val="24"/>
          <w:lang w:val="en-US" w:eastAsia="zh-CN" w:bidi="ar"/>
        </w:rPr>
        <w:t>和其它杂质分离开来，以达到提高</w:t>
      </w:r>
      <w:r>
        <w:rPr>
          <w:rFonts w:hint="default" w:ascii="Times New Roman" w:hAnsi="Times New Roman" w:eastAsia="宋体" w:cs="Times New Roman"/>
          <w:color w:val="000000"/>
          <w:kern w:val="0"/>
          <w:sz w:val="24"/>
          <w:szCs w:val="24"/>
          <w:lang w:val="en-US" w:eastAsia="zh-CN" w:bidi="ar"/>
        </w:rPr>
        <w:t>MgO</w:t>
      </w:r>
      <w:r>
        <w:rPr>
          <w:rFonts w:hint="eastAsia" w:ascii="Times New Roman" w:hAnsi="Times New Roman" w:eastAsia="宋体" w:cs="Times New Roman"/>
          <w:color w:val="000000"/>
          <w:kern w:val="0"/>
          <w:sz w:val="24"/>
          <w:szCs w:val="24"/>
          <w:lang w:val="en-US" w:eastAsia="zh-CN" w:bidi="ar"/>
        </w:rPr>
        <w:t>含量的目的。</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）沉淀（浓缩）</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浮选后处于浮选机底部的为精矿，含水率</w:t>
      </w:r>
      <w:r>
        <w:rPr>
          <w:rFonts w:hint="default" w:ascii="Times New Roman" w:hAnsi="Times New Roman" w:eastAsia="宋体" w:cs="Times New Roman"/>
          <w:color w:val="000000"/>
          <w:kern w:val="0"/>
          <w:sz w:val="24"/>
          <w:szCs w:val="24"/>
          <w:lang w:val="en-US" w:eastAsia="zh-CN" w:bidi="ar"/>
        </w:rPr>
        <w:t>70%</w:t>
      </w:r>
      <w:r>
        <w:rPr>
          <w:rFonts w:hint="eastAsia" w:ascii="Times New Roman" w:hAnsi="Times New Roman" w:eastAsia="宋体" w:cs="Times New Roman"/>
          <w:color w:val="000000"/>
          <w:kern w:val="0"/>
          <w:sz w:val="24"/>
          <w:szCs w:val="24"/>
          <w:lang w:val="en-US" w:eastAsia="zh-CN" w:bidi="ar"/>
        </w:rPr>
        <w:t>，由泵抽入精矿沉淀池进行沉淀（浓缩），剩余的尾矿由泵抽入尾矿沉淀池进行沉淀（浓缩）。沉淀一段时间后，沉淀池中的上清液泵入循环水池中，沉淀的含水率</w:t>
      </w:r>
      <w:r>
        <w:rPr>
          <w:rFonts w:hint="default" w:ascii="Times New Roman" w:hAnsi="Times New Roman" w:eastAsia="宋体" w:cs="Times New Roman"/>
          <w:color w:val="000000"/>
          <w:kern w:val="0"/>
          <w:sz w:val="24"/>
          <w:szCs w:val="24"/>
          <w:lang w:val="en-US" w:eastAsia="zh-CN" w:bidi="ar"/>
        </w:rPr>
        <w:t>55%</w:t>
      </w:r>
      <w:r>
        <w:rPr>
          <w:rFonts w:hint="eastAsia" w:ascii="Times New Roman" w:hAnsi="Times New Roman" w:eastAsia="宋体" w:cs="Times New Roman"/>
          <w:color w:val="000000"/>
          <w:kern w:val="0"/>
          <w:sz w:val="24"/>
          <w:szCs w:val="24"/>
          <w:lang w:val="en-US" w:eastAsia="zh-CN" w:bidi="ar"/>
        </w:rPr>
        <w:t>的精矿泥浆和含水率</w:t>
      </w:r>
      <w:r>
        <w:rPr>
          <w:rFonts w:hint="default" w:ascii="Times New Roman" w:hAnsi="Times New Roman" w:eastAsia="宋体" w:cs="Times New Roman"/>
          <w:color w:val="000000"/>
          <w:kern w:val="0"/>
          <w:sz w:val="24"/>
          <w:szCs w:val="24"/>
          <w:lang w:val="en-US" w:eastAsia="zh-CN" w:bidi="ar"/>
        </w:rPr>
        <w:t>60%</w:t>
      </w:r>
      <w:r>
        <w:rPr>
          <w:rFonts w:hint="eastAsia" w:ascii="Times New Roman" w:hAnsi="Times New Roman" w:eastAsia="宋体" w:cs="Times New Roman"/>
          <w:color w:val="000000"/>
          <w:kern w:val="0"/>
          <w:sz w:val="24"/>
          <w:szCs w:val="24"/>
          <w:lang w:val="en-US" w:eastAsia="zh-CN" w:bidi="ar"/>
        </w:rPr>
        <w:t>的尾矿泥浆分别泵入过滤车间，分别利用真空吸滤机脱水。</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5</w:t>
      </w:r>
      <w:r>
        <w:rPr>
          <w:rFonts w:hint="eastAsia" w:ascii="Times New Roman" w:hAnsi="Times New Roman" w:eastAsia="宋体" w:cs="Times New Roman"/>
          <w:color w:val="000000"/>
          <w:kern w:val="0"/>
          <w:sz w:val="24"/>
          <w:szCs w:val="24"/>
          <w:lang w:val="en-US" w:eastAsia="zh-CN" w:bidi="ar"/>
        </w:rPr>
        <w:t>）过滤</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采用</w:t>
      </w:r>
      <w:r>
        <w:rPr>
          <w:rFonts w:hint="default" w:ascii="Times New Roman" w:hAnsi="Times New Roman" w:eastAsia="宋体" w:cs="Times New Roman"/>
          <w:color w:val="000000"/>
          <w:kern w:val="0"/>
          <w:sz w:val="24"/>
          <w:szCs w:val="24"/>
          <w:lang w:val="en-US" w:eastAsia="zh-CN" w:bidi="ar"/>
        </w:rPr>
        <w:t>5</w:t>
      </w:r>
      <w:r>
        <w:rPr>
          <w:rFonts w:hint="eastAsia" w:ascii="Times New Roman" w:hAnsi="Times New Roman" w:eastAsia="宋体" w:cs="Times New Roman"/>
          <w:color w:val="000000"/>
          <w:kern w:val="0"/>
          <w:sz w:val="24"/>
          <w:szCs w:val="24"/>
          <w:lang w:val="en-US" w:eastAsia="zh-CN" w:bidi="ar"/>
        </w:rPr>
        <w:t>台真空吸滤机对精矿泥浆进行脱水，得到成品菱镁精矿粉，成品含水率约</w:t>
      </w:r>
      <w:r>
        <w:rPr>
          <w:rFonts w:hint="default" w:ascii="Times New Roman" w:hAnsi="Times New Roman" w:eastAsia="宋体" w:cs="Times New Roman"/>
          <w:color w:val="000000"/>
          <w:kern w:val="0"/>
          <w:sz w:val="24"/>
          <w:szCs w:val="24"/>
          <w:lang w:val="en-US" w:eastAsia="zh-CN" w:bidi="ar"/>
        </w:rPr>
        <w:t>10%</w:t>
      </w:r>
      <w:r>
        <w:rPr>
          <w:rFonts w:hint="eastAsia" w:ascii="Times New Roman" w:hAnsi="Times New Roman" w:eastAsia="宋体" w:cs="Times New Roman"/>
          <w:color w:val="000000"/>
          <w:kern w:val="0"/>
          <w:sz w:val="24"/>
          <w:szCs w:val="24"/>
          <w:lang w:val="en-US" w:eastAsia="zh-CN" w:bidi="ar"/>
        </w:rPr>
        <w:t>。采用</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台真空吸滤机对尾矿泥浆进行脱水，得到成品尾矿粉，含水率约</w:t>
      </w:r>
      <w:r>
        <w:rPr>
          <w:rFonts w:hint="default" w:ascii="Times New Roman" w:hAnsi="Times New Roman" w:eastAsia="宋体" w:cs="Times New Roman"/>
          <w:color w:val="000000"/>
          <w:kern w:val="0"/>
          <w:sz w:val="24"/>
          <w:szCs w:val="24"/>
          <w:lang w:val="en-US" w:eastAsia="zh-CN" w:bidi="ar"/>
        </w:rPr>
        <w:t>12%</w:t>
      </w:r>
      <w:r>
        <w:rPr>
          <w:rFonts w:hint="eastAsia" w:ascii="Times New Roman" w:hAnsi="Times New Roman" w:eastAsia="宋体" w:cs="Times New Roman"/>
          <w:color w:val="000000"/>
          <w:kern w:val="0"/>
          <w:sz w:val="24"/>
          <w:szCs w:val="24"/>
          <w:lang w:val="en-US" w:eastAsia="zh-CN" w:bidi="ar"/>
        </w:rPr>
        <w:t>，利用高差分别送至封闭成品库中的精矿堆场和尾矿堆场，精矿粉外售用于生产耐火材料，尾矿粉外售用于生产造渣球。</w:t>
      </w:r>
    </w:p>
    <w:p>
      <w:pPr>
        <w:pStyle w:val="8"/>
        <w:widowControl/>
        <w:rPr>
          <w:color w:val="000000"/>
          <w:lang/>
        </w:rPr>
      </w:pPr>
      <w:bookmarkStart w:id="122" w:name="_Toc41656127"/>
      <w:r>
        <w:rPr>
          <w:color w:val="000000"/>
          <w:lang/>
        </w:rPr>
        <w:t xml:space="preserve">2.7 </w:t>
      </w:r>
      <w:r>
        <w:rPr>
          <w:rFonts w:hint="eastAsia" w:ascii="Times New Roman" w:hAnsi="Times New Roman" w:eastAsia="宋体" w:cs="宋体"/>
          <w:color w:val="000000"/>
          <w:lang w:eastAsia="zh-CN"/>
        </w:rPr>
        <w:t>现有工程劳动定员与工作制度</w:t>
      </w:r>
      <w:bookmarkEnd w:id="122"/>
    </w:p>
    <w:p>
      <w:pPr>
        <w:keepNext w:val="0"/>
        <w:keepLines w:val="0"/>
        <w:widowControl/>
        <w:suppressLineNumbers w:val="0"/>
        <w:autoSpaceDE w:val="0"/>
        <w:autoSpaceDN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现有工程劳动定员</w:t>
      </w:r>
      <w:r>
        <w:rPr>
          <w:rFonts w:hint="default" w:ascii="Times New Roman" w:hAnsi="Times New Roman" w:eastAsia="宋体" w:cs="Times New Roman"/>
          <w:color w:val="000000"/>
          <w:kern w:val="0"/>
          <w:sz w:val="24"/>
          <w:szCs w:val="24"/>
          <w:lang w:val="en-US" w:eastAsia="zh-CN" w:bidi="ar"/>
        </w:rPr>
        <w:t>30</w:t>
      </w:r>
      <w:r>
        <w:rPr>
          <w:rFonts w:hint="eastAsia" w:ascii="Times New Roman" w:hAnsi="Times New Roman" w:eastAsia="宋体" w:cs="Times New Roman"/>
          <w:color w:val="000000"/>
          <w:kern w:val="0"/>
          <w:sz w:val="24"/>
          <w:szCs w:val="24"/>
          <w:lang w:val="en-US" w:eastAsia="zh-CN" w:bidi="ar"/>
        </w:rPr>
        <w:t>人，年生产</w:t>
      </w:r>
      <w:r>
        <w:rPr>
          <w:rFonts w:hint="default" w:ascii="Times New Roman" w:hAnsi="Times New Roman" w:eastAsia="宋体" w:cs="Times New Roman"/>
          <w:color w:val="000000"/>
          <w:kern w:val="0"/>
          <w:sz w:val="24"/>
          <w:szCs w:val="24"/>
          <w:lang w:val="en-US" w:eastAsia="zh-CN" w:bidi="ar"/>
        </w:rPr>
        <w:t>250</w:t>
      </w:r>
      <w:r>
        <w:rPr>
          <w:rFonts w:hint="eastAsia" w:ascii="Times New Roman" w:hAnsi="Times New Roman" w:eastAsia="宋体" w:cs="Times New Roman"/>
          <w:color w:val="000000"/>
          <w:kern w:val="0"/>
          <w:sz w:val="24"/>
          <w:szCs w:val="24"/>
          <w:lang w:val="en-US" w:eastAsia="zh-CN" w:bidi="ar"/>
        </w:rPr>
        <w:t>天，生产期间生产设备运转为连续工作制，生产班制采用四班三运转，每班</w:t>
      </w:r>
      <w:r>
        <w:rPr>
          <w:rFonts w:hint="default" w:ascii="Times New Roman" w:hAnsi="Times New Roman" w:eastAsia="宋体" w:cs="Times New Roman"/>
          <w:color w:val="000000"/>
          <w:kern w:val="0"/>
          <w:sz w:val="24"/>
          <w:szCs w:val="24"/>
          <w:lang w:val="en-US" w:eastAsia="zh-CN" w:bidi="ar"/>
        </w:rPr>
        <w:t>8</w:t>
      </w:r>
      <w:r>
        <w:rPr>
          <w:rFonts w:hint="eastAsia" w:ascii="Times New Roman" w:hAnsi="Times New Roman" w:eastAsia="宋体" w:cs="Times New Roman"/>
          <w:color w:val="000000"/>
          <w:kern w:val="0"/>
          <w:sz w:val="24"/>
          <w:szCs w:val="24"/>
          <w:lang w:val="en-US" w:eastAsia="zh-CN" w:bidi="ar"/>
        </w:rPr>
        <w:t>小时。</w:t>
      </w:r>
    </w:p>
    <w:p>
      <w:pPr>
        <w:pStyle w:val="8"/>
        <w:widowControl/>
        <w:rPr>
          <w:color w:val="000000"/>
          <w:lang/>
        </w:rPr>
      </w:pPr>
      <w:bookmarkStart w:id="123" w:name="_Toc41656128"/>
      <w:r>
        <w:rPr>
          <w:color w:val="000000"/>
          <w:lang/>
        </w:rPr>
        <w:t xml:space="preserve">2.8 </w:t>
      </w:r>
      <w:r>
        <w:rPr>
          <w:rFonts w:hint="eastAsia" w:ascii="Times New Roman" w:hAnsi="Times New Roman" w:eastAsia="宋体" w:cs="宋体"/>
          <w:color w:val="000000"/>
          <w:lang w:eastAsia="zh-CN"/>
        </w:rPr>
        <w:t>现有工程污染源及环保治理措施</w:t>
      </w:r>
      <w:bookmarkEnd w:id="123"/>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现有工程已于</w:t>
      </w:r>
      <w:r>
        <w:rPr>
          <w:rFonts w:hint="default" w:ascii="Times New Roman" w:hAnsi="Times New Roman" w:eastAsia="宋体" w:cs="Times New Roman"/>
          <w:color w:val="000000"/>
          <w:kern w:val="0"/>
          <w:sz w:val="24"/>
          <w:szCs w:val="24"/>
          <w:lang w:val="en-US" w:eastAsia="zh-CN" w:bidi="ar"/>
        </w:rPr>
        <w:t>2014</w:t>
      </w:r>
      <w:r>
        <w:rPr>
          <w:rFonts w:hint="eastAsia" w:ascii="Times New Roman" w:hAnsi="Times New Roman" w:eastAsia="宋体" w:cs="Times New Roman"/>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8</w:t>
      </w:r>
      <w:r>
        <w:rPr>
          <w:rFonts w:hint="eastAsia" w:ascii="Times New Roman" w:hAnsi="Times New Roman" w:eastAsia="宋体" w:cs="Times New Roman"/>
          <w:color w:val="000000"/>
          <w:kern w:val="0"/>
          <w:sz w:val="24"/>
          <w:szCs w:val="24"/>
          <w:lang w:val="en-US" w:eastAsia="zh-CN" w:bidi="ar"/>
        </w:rPr>
        <w:t>月通过通过海城市环境保护监测站环保验收，根据环保验收报告，结合现有工程工艺流程特点及实际排污状况，对现有工程废气、废水、噪声、固体废弃物的达标排放情况分析如下。</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）废气</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现有工程为湿料进场，原料转卸点不设集气罩及除尘设施，根据环保验收报告，已通过了专家论证，故现有工程无有组织排放源。</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现有工程原料矿存于原料库房，定期洒水抑尘，粉尘经厂房遮挡和沉降后削减</w:t>
      </w:r>
      <w:r>
        <w:rPr>
          <w:rFonts w:hint="default" w:ascii="Times New Roman" w:hAnsi="Times New Roman" w:eastAsia="宋体" w:cs="Times New Roman"/>
          <w:color w:val="000000"/>
          <w:kern w:val="0"/>
          <w:sz w:val="24"/>
          <w:szCs w:val="24"/>
          <w:lang w:val="en-US" w:eastAsia="zh-CN" w:bidi="ar"/>
        </w:rPr>
        <w:t>80%</w:t>
      </w:r>
      <w:r>
        <w:rPr>
          <w:rFonts w:hint="eastAsia" w:ascii="Times New Roman" w:hAnsi="Times New Roman" w:eastAsia="宋体" w:cs="Times New Roman"/>
          <w:color w:val="000000"/>
          <w:kern w:val="0"/>
          <w:sz w:val="24"/>
          <w:szCs w:val="24"/>
          <w:lang w:val="en-US" w:eastAsia="zh-CN" w:bidi="ar"/>
        </w:rPr>
        <w:t>，其余约</w:t>
      </w:r>
      <w:r>
        <w:rPr>
          <w:rFonts w:hint="default" w:ascii="Times New Roman" w:hAnsi="Times New Roman" w:eastAsia="宋体" w:cs="Times New Roman"/>
          <w:color w:val="000000"/>
          <w:kern w:val="0"/>
          <w:sz w:val="24"/>
          <w:szCs w:val="24"/>
          <w:lang w:val="en-US" w:eastAsia="zh-CN" w:bidi="ar"/>
        </w:rPr>
        <w:t>20%</w:t>
      </w:r>
      <w:r>
        <w:rPr>
          <w:rFonts w:hint="eastAsia" w:ascii="Times New Roman" w:hAnsi="Times New Roman" w:eastAsia="宋体" w:cs="Times New Roman"/>
          <w:color w:val="000000"/>
          <w:kern w:val="0"/>
          <w:sz w:val="24"/>
          <w:szCs w:val="24"/>
          <w:lang w:val="en-US" w:eastAsia="zh-CN" w:bidi="ar"/>
        </w:rPr>
        <w:t>经门、窗以无组织形式逸出厂房，外排粉尘量为</w:t>
      </w:r>
      <w:r>
        <w:rPr>
          <w:rFonts w:hint="default" w:ascii="Times New Roman" w:hAnsi="Times New Roman" w:eastAsia="宋体" w:cs="Times New Roman"/>
          <w:color w:val="000000"/>
          <w:kern w:val="0"/>
          <w:sz w:val="24"/>
          <w:szCs w:val="24"/>
          <w:lang w:val="en-US" w:eastAsia="zh-CN" w:bidi="ar"/>
        </w:rPr>
        <w:t>0.78t/a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现有工程精矿、尾矿存于成品库房，定期洒水抑尘，粉尘经厂房遮挡和沉降后削减</w:t>
      </w:r>
      <w:r>
        <w:rPr>
          <w:rFonts w:hint="default" w:ascii="Times New Roman" w:hAnsi="Times New Roman" w:eastAsia="宋体" w:cs="Times New Roman"/>
          <w:color w:val="000000"/>
          <w:kern w:val="0"/>
          <w:sz w:val="24"/>
          <w:szCs w:val="24"/>
          <w:lang w:val="en-US" w:eastAsia="zh-CN" w:bidi="ar"/>
        </w:rPr>
        <w:t>80%</w:t>
      </w:r>
      <w:r>
        <w:rPr>
          <w:rFonts w:hint="eastAsia" w:ascii="Times New Roman" w:hAnsi="Times New Roman" w:eastAsia="宋体" w:cs="Times New Roman"/>
          <w:color w:val="000000"/>
          <w:kern w:val="0"/>
          <w:sz w:val="24"/>
          <w:szCs w:val="24"/>
          <w:lang w:val="en-US" w:eastAsia="zh-CN" w:bidi="ar"/>
        </w:rPr>
        <w:t>，其余约</w:t>
      </w:r>
      <w:r>
        <w:rPr>
          <w:rFonts w:hint="default" w:ascii="Times New Roman" w:hAnsi="Times New Roman" w:eastAsia="宋体" w:cs="Times New Roman"/>
          <w:color w:val="000000"/>
          <w:kern w:val="0"/>
          <w:sz w:val="24"/>
          <w:szCs w:val="24"/>
          <w:lang w:val="en-US" w:eastAsia="zh-CN" w:bidi="ar"/>
        </w:rPr>
        <w:t>20%</w:t>
      </w:r>
      <w:r>
        <w:rPr>
          <w:rFonts w:hint="eastAsia" w:ascii="Times New Roman" w:hAnsi="Times New Roman" w:eastAsia="宋体" w:cs="Times New Roman"/>
          <w:color w:val="000000"/>
          <w:kern w:val="0"/>
          <w:sz w:val="24"/>
          <w:szCs w:val="24"/>
          <w:lang w:val="en-US" w:eastAsia="zh-CN" w:bidi="ar"/>
        </w:rPr>
        <w:t>经门、窗以无组织形式逸出厂房，外排粉尘量为</w:t>
      </w:r>
      <w:r>
        <w:rPr>
          <w:rFonts w:hint="default" w:ascii="Times New Roman" w:hAnsi="Times New Roman" w:eastAsia="宋体" w:cs="Times New Roman"/>
          <w:color w:val="000000"/>
          <w:kern w:val="0"/>
          <w:sz w:val="24"/>
          <w:szCs w:val="24"/>
          <w:lang w:val="en-US" w:eastAsia="zh-CN" w:bidi="ar"/>
        </w:rPr>
        <w:t>0.48t/a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现有工程场区地面均硬化处理，定期洒水抑尘及清扫，运输粉尘量约为</w:t>
      </w:r>
      <w:r>
        <w:rPr>
          <w:rFonts w:hint="default" w:ascii="Times New Roman" w:hAnsi="Times New Roman" w:eastAsia="宋体" w:cs="Times New Roman"/>
          <w:color w:val="000000"/>
          <w:kern w:val="0"/>
          <w:sz w:val="24"/>
          <w:szCs w:val="24"/>
          <w:lang w:val="en-US" w:eastAsia="zh-CN" w:bidi="ar"/>
        </w:rPr>
        <w:t>1.08t/a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采取以上措施后，本项目无组织颗粒物排放量合计</w:t>
      </w:r>
      <w:r>
        <w:rPr>
          <w:rFonts w:hint="default" w:ascii="Times New Roman" w:hAnsi="Times New Roman" w:eastAsia="宋体" w:cs="Times New Roman"/>
          <w:color w:val="000000"/>
          <w:kern w:val="0"/>
          <w:sz w:val="24"/>
          <w:szCs w:val="24"/>
          <w:lang w:val="en-US" w:eastAsia="zh-CN" w:bidi="ar"/>
        </w:rPr>
        <w:t>2.34t/a</w:t>
      </w:r>
      <w:r>
        <w:rPr>
          <w:rFonts w:hint="eastAsia" w:ascii="Times New Roman" w:hAnsi="Times New Roman" w:eastAsia="宋体" w:cs="Times New Roman"/>
          <w:color w:val="000000"/>
          <w:kern w:val="0"/>
          <w:sz w:val="24"/>
          <w:szCs w:val="24"/>
          <w:lang w:val="en-US" w:eastAsia="zh-CN" w:bidi="ar"/>
        </w:rPr>
        <w:t>。现有工程已通过环保验收，满足</w:t>
      </w:r>
      <w:r>
        <w:rPr>
          <w:rFonts w:hint="eastAsia" w:ascii="宋体" w:hAnsi="宋体" w:eastAsia="宋体" w:cs="宋体"/>
          <w:color w:val="000000"/>
          <w:kern w:val="0"/>
          <w:sz w:val="24"/>
          <w:szCs w:val="24"/>
          <w:lang w:val="en-US" w:eastAsia="zh-CN" w:bidi="ar"/>
        </w:rPr>
        <w:t>《镁质耐火材料工业大气污染物排放标准》</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DB21/3011-2018</w:t>
      </w:r>
      <w:r>
        <w:rPr>
          <w:rFonts w:hint="eastAsia" w:ascii="Times New Roman" w:hAnsi="Times New Roman" w:eastAsia="宋体" w:cs="Times New Roman"/>
          <w:color w:val="000000"/>
          <w:kern w:val="0"/>
          <w:sz w:val="24"/>
          <w:szCs w:val="24"/>
          <w:lang w:val="en-US" w:eastAsia="zh-CN" w:bidi="ar"/>
        </w:rPr>
        <w:t>）中无组织排放监控浓度限值要求。</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）废水</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现有工程生产废水全部</w:t>
      </w:r>
      <w:r>
        <w:rPr>
          <w:rFonts w:hint="eastAsia" w:ascii="宋体" w:hAnsi="宋体" w:eastAsia="宋体" w:cs="宋体"/>
          <w:color w:val="000000"/>
          <w:kern w:val="0"/>
          <w:sz w:val="24"/>
          <w:szCs w:val="24"/>
          <w:lang w:val="en-US" w:eastAsia="zh-CN" w:bidi="ar"/>
        </w:rPr>
        <w:t>进入循环水池，回用于浮选生产，</w:t>
      </w:r>
      <w:r>
        <w:rPr>
          <w:rFonts w:hint="eastAsia" w:ascii="Times New Roman" w:hAnsi="Times New Roman" w:eastAsia="宋体" w:cs="Times New Roman"/>
          <w:color w:val="000000"/>
          <w:kern w:val="0"/>
          <w:sz w:val="24"/>
          <w:szCs w:val="24"/>
          <w:lang w:val="en-US" w:eastAsia="zh-CN" w:bidi="ar"/>
        </w:rPr>
        <w:t>因此生产过程中无工业废水排放。</w:t>
      </w:r>
    </w:p>
    <w:p>
      <w:pPr>
        <w:keepNext w:val="0"/>
        <w:keepLines w:val="0"/>
        <w:widowControl/>
        <w:suppressLineNumbers w:val="0"/>
        <w:spacing w:before="0" w:beforeAutospacing="0" w:after="0" w:afterAutospacing="0"/>
        <w:ind w:left="0" w:right="0" w:firstLine="480" w:firstLineChars="200"/>
        <w:jc w:val="left"/>
        <w:rPr>
          <w:rFonts w:cs="Times New Roman"/>
          <w:color w:val="000000"/>
          <w:lang/>
        </w:rPr>
      </w:pPr>
      <w:r>
        <w:rPr>
          <w:rFonts w:hint="eastAsia" w:ascii="Times New Roman" w:hAnsi="Times New Roman" w:eastAsia="宋体" w:cs="Times New Roman"/>
          <w:color w:val="000000"/>
          <w:kern w:val="0"/>
          <w:sz w:val="24"/>
          <w:szCs w:val="24"/>
          <w:lang w:val="en-US" w:eastAsia="zh-CN" w:bidi="ar"/>
        </w:rPr>
        <w:t>生活污水产生量约</w:t>
      </w:r>
      <w:r>
        <w:rPr>
          <w:rFonts w:hint="default" w:ascii="Times New Roman" w:hAnsi="Times New Roman" w:eastAsia="宋体" w:cs="Times New Roman"/>
          <w:color w:val="000000"/>
          <w:kern w:val="0"/>
          <w:sz w:val="24"/>
          <w:szCs w:val="24"/>
          <w:lang w:val="en-US" w:eastAsia="zh-CN" w:bidi="ar"/>
        </w:rPr>
        <w:t>210m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，排入化粪池，</w:t>
      </w:r>
      <w:r>
        <w:rPr>
          <w:rFonts w:hint="eastAsia" w:ascii="宋体" w:hAnsi="宋体" w:eastAsia="宋体" w:cs="宋体"/>
          <w:color w:val="000000"/>
          <w:kern w:val="0"/>
          <w:sz w:val="24"/>
          <w:szCs w:val="24"/>
          <w:lang w:val="en-US" w:eastAsia="zh-CN" w:bidi="ar"/>
        </w:rPr>
        <w:t>定期清掏，堆沤腐熟、就地就近就农利用。</w:t>
      </w:r>
    </w:p>
    <w:p>
      <w:pPr>
        <w:keepNext w:val="0"/>
        <w:keepLines w:val="0"/>
        <w:widowControl/>
        <w:suppressLineNumbers w:val="0"/>
        <w:spacing w:before="0" w:beforeAutospacing="0" w:after="0" w:afterAutospacing="0"/>
        <w:ind w:left="0" w:right="0" w:firstLine="480" w:firstLineChars="200"/>
        <w:jc w:val="left"/>
        <w:rPr>
          <w:rFonts w:cs="Times New Roman"/>
          <w:color w:val="000000"/>
          <w:lang w:val="en-US"/>
        </w:rPr>
      </w:pPr>
      <w:r>
        <w:rPr>
          <w:rFonts w:hint="eastAsia" w:ascii="宋体" w:hAnsi="宋体" w:eastAsia="宋体" w:cs="Times New Roman"/>
          <w:color w:val="000000"/>
          <w:kern w:val="0"/>
          <w:sz w:val="24"/>
          <w:szCs w:val="24"/>
          <w:lang w:val="en-US" w:eastAsia="zh-CN" w:bidi="ar"/>
        </w:rPr>
        <w:t>现有工程事故矿浆排入循环水池，可保证事故矿浆不外排。</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）噪声</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现有工程产生噪声的装置主要包括螺旋分级机、球磨机、浮选机、真空吸滤机以及各种泵类等，</w:t>
      </w:r>
      <w:r>
        <w:rPr>
          <w:rFonts w:hint="eastAsia" w:ascii="Times New Roman" w:hAnsi="Times New Roman" w:eastAsia="宋体" w:cs="Times New Roman"/>
          <w:snapToGrid w:val="0"/>
          <w:color w:val="000000"/>
          <w:kern w:val="0"/>
          <w:sz w:val="24"/>
          <w:szCs w:val="24"/>
          <w:lang w:val="en-US" w:eastAsia="zh-CN" w:bidi="ar"/>
        </w:rPr>
        <w:t>各主要噪声源在</w:t>
      </w:r>
      <w:r>
        <w:rPr>
          <w:rFonts w:hint="default" w:ascii="Times New Roman" w:hAnsi="Times New Roman" w:eastAsia="宋体" w:cs="Times New Roman"/>
          <w:snapToGrid w:val="0"/>
          <w:color w:val="000000"/>
          <w:kern w:val="0"/>
          <w:sz w:val="24"/>
          <w:szCs w:val="24"/>
          <w:lang w:val="en-US" w:eastAsia="zh-CN" w:bidi="ar"/>
        </w:rPr>
        <w:t>75~105dB</w:t>
      </w:r>
      <w:r>
        <w:rPr>
          <w:rFonts w:hint="eastAsia" w:ascii="Times New Roman" w:hAnsi="Times New Roman" w:eastAsia="宋体" w:cs="Times New Roman"/>
          <w:snapToGrid w:val="0"/>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建设单位选用低噪声设备，采用隔振减振、隔音降噪等治理措施，根据环保验收监测报告海环监验字（</w:t>
      </w:r>
      <w:r>
        <w:rPr>
          <w:rFonts w:hint="default" w:ascii="Times New Roman" w:hAnsi="Times New Roman" w:eastAsia="宋体" w:cs="Times New Roman"/>
          <w:color w:val="000000"/>
          <w:kern w:val="0"/>
          <w:sz w:val="24"/>
          <w:szCs w:val="24"/>
          <w:lang w:val="en-US" w:eastAsia="zh-CN" w:bidi="ar"/>
        </w:rPr>
        <w:t>2014</w:t>
      </w:r>
      <w:r>
        <w:rPr>
          <w:rFonts w:hint="eastAsia" w:ascii="Times New Roman" w:hAnsi="Times New Roman" w:eastAsia="宋体" w:cs="Times New Roman"/>
          <w:color w:val="000000"/>
          <w:kern w:val="0"/>
          <w:sz w:val="24"/>
          <w:szCs w:val="24"/>
          <w:lang w:val="en-US" w:eastAsia="zh-CN" w:bidi="ar"/>
        </w:rPr>
        <w:t>）第</w:t>
      </w:r>
      <w:r>
        <w:rPr>
          <w:rFonts w:hint="default" w:ascii="Times New Roman" w:hAnsi="Times New Roman" w:eastAsia="宋体" w:cs="Times New Roman"/>
          <w:color w:val="000000"/>
          <w:kern w:val="0"/>
          <w:sz w:val="24"/>
          <w:szCs w:val="24"/>
          <w:lang w:val="en-US" w:eastAsia="zh-CN" w:bidi="ar"/>
        </w:rPr>
        <w:t>019</w:t>
      </w:r>
      <w:r>
        <w:rPr>
          <w:rFonts w:hint="eastAsia" w:ascii="Times New Roman" w:hAnsi="Times New Roman" w:eastAsia="宋体" w:cs="Times New Roman"/>
          <w:color w:val="000000"/>
          <w:kern w:val="0"/>
          <w:sz w:val="24"/>
          <w:szCs w:val="24"/>
          <w:lang w:val="en-US" w:eastAsia="zh-CN" w:bidi="ar"/>
        </w:rPr>
        <w:t>号，厂界噪声可满足《工业企业厂界环境噪声排放标准》（</w:t>
      </w:r>
      <w:r>
        <w:rPr>
          <w:rFonts w:hint="default" w:ascii="Times New Roman" w:hAnsi="Times New Roman" w:eastAsia="宋体" w:cs="Times New Roman"/>
          <w:color w:val="000000"/>
          <w:kern w:val="0"/>
          <w:sz w:val="24"/>
          <w:szCs w:val="24"/>
          <w:lang w:val="en-US" w:eastAsia="zh-CN" w:bidi="ar"/>
        </w:rPr>
        <w:t>GB12348-2008</w:t>
      </w:r>
      <w:r>
        <w:rPr>
          <w:rFonts w:hint="eastAsia" w:ascii="Times New Roman" w:hAnsi="Times New Roman" w:eastAsia="宋体" w:cs="Times New Roman"/>
          <w:color w:val="000000"/>
          <w:kern w:val="0"/>
          <w:sz w:val="24"/>
          <w:szCs w:val="24"/>
          <w:lang w:val="en-US" w:eastAsia="zh-CN" w:bidi="ar"/>
        </w:rPr>
        <w:t>）中</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类标准，即昼间</w:t>
      </w:r>
      <w:r>
        <w:rPr>
          <w:rFonts w:hint="default" w:ascii="Times New Roman" w:hAnsi="Times New Roman" w:eastAsia="宋体" w:cs="Times New Roman"/>
          <w:color w:val="000000"/>
          <w:kern w:val="0"/>
          <w:sz w:val="24"/>
          <w:szCs w:val="24"/>
          <w:lang w:val="en-US" w:eastAsia="zh-CN" w:bidi="ar"/>
        </w:rPr>
        <w:t>60dB(A)</w:t>
      </w:r>
      <w:r>
        <w:rPr>
          <w:rFonts w:hint="eastAsia" w:ascii="Times New Roman" w:hAnsi="Times New Roman" w:eastAsia="宋体" w:cs="Times New Roman"/>
          <w:color w:val="000000"/>
          <w:kern w:val="0"/>
          <w:sz w:val="24"/>
          <w:szCs w:val="24"/>
          <w:lang w:val="en-US" w:eastAsia="zh-CN" w:bidi="ar"/>
        </w:rPr>
        <w:t>、夜间</w:t>
      </w:r>
      <w:r>
        <w:rPr>
          <w:rFonts w:hint="default" w:ascii="Times New Roman" w:hAnsi="Times New Roman" w:eastAsia="宋体" w:cs="Times New Roman"/>
          <w:color w:val="000000"/>
          <w:kern w:val="0"/>
          <w:sz w:val="24"/>
          <w:szCs w:val="24"/>
          <w:lang w:val="en-US" w:eastAsia="zh-CN" w:bidi="ar"/>
        </w:rPr>
        <w:t>50dB(A)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）固体废物</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现有工程循环水池沉渣</w:t>
      </w:r>
      <w:r>
        <w:rPr>
          <w:rFonts w:hint="default" w:ascii="Times New Roman" w:hAnsi="Times New Roman" w:eastAsia="宋体" w:cs="Times New Roman"/>
          <w:color w:val="000000"/>
          <w:kern w:val="0"/>
          <w:sz w:val="24"/>
          <w:szCs w:val="24"/>
          <w:lang w:val="en-US" w:eastAsia="zh-CN" w:bidi="ar"/>
        </w:rPr>
        <w:t>4000</w:t>
      </w:r>
      <w:r>
        <w:rPr>
          <w:rFonts w:hint="eastAsia" w:ascii="Times New Roman" w:hAnsi="Times New Roman" w:eastAsia="宋体" w:cs="Times New Roman"/>
          <w:color w:val="000000"/>
          <w:kern w:val="0"/>
          <w:sz w:val="24"/>
          <w:szCs w:val="24"/>
          <w:lang w:val="en-US" w:eastAsia="zh-CN" w:bidi="ar"/>
        </w:rPr>
        <w:t>吨</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年，收集后暂存于尾矿库，定期外售；球磨机废钢球</w:t>
      </w:r>
      <w:r>
        <w:rPr>
          <w:rFonts w:hint="default" w:ascii="Times New Roman" w:hAnsi="Times New Roman" w:eastAsia="宋体" w:cs="Times New Roman"/>
          <w:color w:val="000000"/>
          <w:kern w:val="0"/>
          <w:sz w:val="24"/>
          <w:szCs w:val="24"/>
          <w:lang w:val="en-US" w:eastAsia="zh-CN" w:bidi="ar"/>
        </w:rPr>
        <w:t>80</w:t>
      </w:r>
      <w:r>
        <w:rPr>
          <w:rFonts w:hint="eastAsia" w:ascii="Times New Roman" w:hAnsi="Times New Roman" w:eastAsia="宋体" w:cs="Times New Roman"/>
          <w:color w:val="000000"/>
          <w:kern w:val="0"/>
          <w:sz w:val="24"/>
          <w:szCs w:val="24"/>
          <w:lang w:val="en-US" w:eastAsia="zh-CN" w:bidi="ar"/>
        </w:rPr>
        <w:t>吨</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年，由厂家定期回收利用；厂房遮挡粉尘</w:t>
      </w:r>
      <w:r>
        <w:rPr>
          <w:rFonts w:hint="default" w:ascii="Times New Roman" w:hAnsi="Times New Roman" w:eastAsia="宋体" w:cs="Times New Roman"/>
          <w:color w:val="000000"/>
          <w:kern w:val="0"/>
          <w:sz w:val="24"/>
          <w:szCs w:val="24"/>
          <w:lang w:val="en-US" w:eastAsia="zh-CN" w:bidi="ar"/>
        </w:rPr>
        <w:t>7.02</w:t>
      </w:r>
      <w:r>
        <w:rPr>
          <w:rFonts w:hint="eastAsia" w:ascii="Times New Roman" w:hAnsi="Times New Roman" w:eastAsia="宋体" w:cs="Times New Roman"/>
          <w:color w:val="000000"/>
          <w:kern w:val="0"/>
          <w:sz w:val="24"/>
          <w:szCs w:val="24"/>
          <w:lang w:val="en-US" w:eastAsia="zh-CN" w:bidi="ar"/>
        </w:rPr>
        <w:t>吨</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年，返回球磨工序回用于生产；浮选药剂包装桶</w:t>
      </w:r>
      <w:r>
        <w:rPr>
          <w:rFonts w:hint="default" w:ascii="Times New Roman" w:hAnsi="Times New Roman" w:eastAsia="宋体" w:cs="Times New Roman"/>
          <w:color w:val="000000"/>
          <w:kern w:val="0"/>
          <w:sz w:val="24"/>
          <w:szCs w:val="24"/>
          <w:lang w:val="en-US" w:eastAsia="zh-CN" w:bidi="ar"/>
        </w:rPr>
        <w:t>0.1</w:t>
      </w:r>
      <w:r>
        <w:rPr>
          <w:rFonts w:hint="eastAsia" w:ascii="Times New Roman" w:hAnsi="Times New Roman" w:eastAsia="宋体" w:cs="Times New Roman"/>
          <w:color w:val="000000"/>
          <w:kern w:val="0"/>
          <w:sz w:val="24"/>
          <w:szCs w:val="24"/>
          <w:lang w:val="en-US" w:eastAsia="zh-CN" w:bidi="ar"/>
        </w:rPr>
        <w:t>吨</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年、废润滑油桶</w:t>
      </w:r>
      <w:r>
        <w:rPr>
          <w:rFonts w:hint="default" w:ascii="Times New Roman" w:hAnsi="Times New Roman" w:eastAsia="宋体" w:cs="Times New Roman"/>
          <w:color w:val="000000"/>
          <w:kern w:val="0"/>
          <w:sz w:val="24"/>
          <w:szCs w:val="24"/>
          <w:lang w:val="en-US" w:eastAsia="zh-CN" w:bidi="ar"/>
        </w:rPr>
        <w:t>0.05</w:t>
      </w:r>
      <w:r>
        <w:rPr>
          <w:rFonts w:hint="eastAsia" w:ascii="Times New Roman" w:hAnsi="Times New Roman" w:eastAsia="宋体" w:cs="Times New Roman"/>
          <w:color w:val="000000"/>
          <w:kern w:val="0"/>
          <w:sz w:val="24"/>
          <w:szCs w:val="24"/>
          <w:lang w:val="en-US" w:eastAsia="zh-CN" w:bidi="ar"/>
        </w:rPr>
        <w:t>吨</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年，存于厂内危废暂存间；废含油抹布</w:t>
      </w:r>
      <w:r>
        <w:rPr>
          <w:rFonts w:hint="default" w:ascii="Times New Roman" w:hAnsi="Times New Roman" w:eastAsia="宋体" w:cs="Times New Roman"/>
          <w:color w:val="000000"/>
          <w:kern w:val="0"/>
          <w:sz w:val="24"/>
          <w:szCs w:val="24"/>
          <w:lang w:val="en-US" w:eastAsia="zh-CN" w:bidi="ar"/>
        </w:rPr>
        <w:t>0.001</w:t>
      </w:r>
      <w:r>
        <w:rPr>
          <w:rFonts w:hint="eastAsia" w:ascii="Times New Roman" w:hAnsi="Times New Roman" w:eastAsia="宋体" w:cs="Times New Roman"/>
          <w:color w:val="000000"/>
          <w:kern w:val="0"/>
          <w:sz w:val="24"/>
          <w:szCs w:val="24"/>
          <w:lang w:val="en-US" w:eastAsia="zh-CN" w:bidi="ar"/>
        </w:rPr>
        <w:t>吨</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年，职工生活垃圾</w:t>
      </w:r>
      <w:r>
        <w:rPr>
          <w:rFonts w:hint="default" w:ascii="Times New Roman" w:hAnsi="Times New Roman" w:eastAsia="宋体" w:cs="Times New Roman"/>
          <w:color w:val="000000"/>
          <w:kern w:val="0"/>
          <w:sz w:val="24"/>
          <w:szCs w:val="24"/>
          <w:lang w:val="en-US" w:eastAsia="zh-CN" w:bidi="ar"/>
        </w:rPr>
        <w:t>4.5</w:t>
      </w:r>
      <w:r>
        <w:rPr>
          <w:rFonts w:hint="eastAsia" w:ascii="Times New Roman" w:hAnsi="Times New Roman" w:eastAsia="宋体" w:cs="Times New Roman"/>
          <w:color w:val="000000"/>
          <w:kern w:val="0"/>
          <w:sz w:val="24"/>
          <w:szCs w:val="24"/>
          <w:lang w:val="en-US" w:eastAsia="zh-CN" w:bidi="ar"/>
        </w:rPr>
        <w:t>吨</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年，送至海城市垃圾填埋厂处置。</w:t>
      </w:r>
    </w:p>
    <w:p>
      <w:pPr>
        <w:pStyle w:val="8"/>
        <w:widowControl/>
        <w:rPr>
          <w:color w:val="000000"/>
          <w:lang/>
        </w:rPr>
      </w:pPr>
      <w:bookmarkStart w:id="124" w:name="_Toc41656129"/>
      <w:r>
        <w:rPr>
          <w:color w:val="000000"/>
          <w:lang/>
        </w:rPr>
        <w:t xml:space="preserve">2.9 </w:t>
      </w:r>
      <w:r>
        <w:rPr>
          <w:rFonts w:hint="eastAsia" w:ascii="Times New Roman" w:hAnsi="Times New Roman" w:eastAsia="宋体" w:cs="宋体"/>
          <w:color w:val="000000"/>
          <w:lang w:eastAsia="zh-CN"/>
        </w:rPr>
        <w:t>现有工程污染物排放量汇总</w:t>
      </w:r>
      <w:bookmarkEnd w:id="124"/>
    </w:p>
    <w:p>
      <w:pPr>
        <w:keepNext w:val="0"/>
        <w:keepLines w:val="0"/>
        <w:widowControl/>
        <w:suppressLineNumbers w:val="0"/>
        <w:spacing w:before="0" w:beforeAutospacing="0" w:after="0" w:afterAutospacing="0" w:line="500" w:lineRule="exact"/>
        <w:ind w:left="0" w:right="0" w:firstLine="480" w:firstLineChars="200"/>
        <w:jc w:val="left"/>
        <w:rPr>
          <w:color w:val="000000"/>
          <w:lang w:val="en-US"/>
        </w:rPr>
      </w:pPr>
      <w:r>
        <w:rPr>
          <w:rFonts w:hint="eastAsia" w:ascii="宋体" w:hAnsi="宋体" w:eastAsia="宋体" w:cs="宋体"/>
          <w:color w:val="000000"/>
          <w:kern w:val="0"/>
          <w:sz w:val="24"/>
          <w:szCs w:val="24"/>
          <w:lang w:val="en-US" w:eastAsia="zh-CN" w:bidi="ar"/>
        </w:rPr>
        <w:t>根据现有工程环保设施的实际配置情况、现有工程实际运行情况，结合现有工程环评报告，核算现有工程的污染物排放情况，详见下表。</w:t>
      </w:r>
    </w:p>
    <w:p>
      <w:pPr>
        <w:keepNext w:val="0"/>
        <w:keepLines w:val="0"/>
        <w:widowControl/>
        <w:suppressLineNumbers w:val="0"/>
        <w:adjustRightInd w:val="0"/>
        <w:spacing w:before="0" w:beforeAutospacing="1"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2.9-1  </w:t>
      </w:r>
      <w:r>
        <w:rPr>
          <w:rFonts w:hint="eastAsia" w:ascii="Times New Roman" w:hAnsi="Times New Roman" w:eastAsia="黑体" w:cs="Times New Roman"/>
          <w:color w:val="000000"/>
          <w:kern w:val="0"/>
          <w:sz w:val="24"/>
          <w:szCs w:val="24"/>
          <w:lang w:val="en-US" w:eastAsia="zh-CN" w:bidi="ar"/>
        </w:rPr>
        <w:t>现有工程污染物排放量一览表</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685"/>
        <w:gridCol w:w="1552"/>
        <w:gridCol w:w="2128"/>
        <w:gridCol w:w="4362"/>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89" w:hRule="atLeast"/>
          <w:tblHeader/>
          <w:jc w:val="center"/>
        </w:trPr>
        <w:tc>
          <w:tcPr>
            <w:tcW w:w="2501" w:type="pct"/>
            <w:gridSpan w:val="3"/>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污染物名称</w:t>
            </w:r>
          </w:p>
        </w:tc>
        <w:tc>
          <w:tcPr>
            <w:tcW w:w="2499"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排放量</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3"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废气</w:t>
            </w:r>
          </w:p>
        </w:tc>
        <w:tc>
          <w:tcPr>
            <w:tcW w:w="2108" w:type="pct"/>
            <w:gridSpan w:val="2"/>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无组织颗粒物（</w:t>
            </w:r>
            <w:r>
              <w:rPr>
                <w:rFonts w:hint="default" w:ascii="Times New Roman" w:hAnsi="Times New Roman" w:eastAsia="宋体" w:cs="Times New Roman"/>
                <w:color w:val="000000"/>
                <w:kern w:val="0"/>
                <w:sz w:val="21"/>
                <w:szCs w:val="21"/>
                <w:bdr w:val="none" w:color="auto" w:sz="0" w:space="0"/>
                <w:lang w:val="en-US" w:eastAsia="zh-CN" w:bidi="ar"/>
              </w:rPr>
              <w:t>t/a</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2499"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2.34</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3" w:type="pct"/>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废水</w:t>
            </w:r>
          </w:p>
        </w:tc>
        <w:tc>
          <w:tcPr>
            <w:tcW w:w="2108" w:type="pct"/>
            <w:gridSpan w:val="2"/>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生活污水（</w:t>
            </w:r>
            <w:r>
              <w:rPr>
                <w:rFonts w:hint="default" w:ascii="Times New Roman" w:hAnsi="Times New Roman" w:eastAsia="宋体" w:cs="Times New Roman"/>
                <w:color w:val="000000"/>
                <w:kern w:val="0"/>
                <w:sz w:val="21"/>
                <w:szCs w:val="21"/>
                <w:bdr w:val="none" w:color="auto" w:sz="0" w:space="0"/>
                <w:lang w:val="en-US" w:eastAsia="zh-CN" w:bidi="ar"/>
              </w:rPr>
              <w:t>m</w:t>
            </w:r>
            <w:r>
              <w:rPr>
                <w:rFonts w:hint="default" w:ascii="Times New Roman" w:hAnsi="Times New Roman" w:eastAsia="宋体" w:cs="Times New Roman"/>
                <w:color w:val="000000"/>
                <w:kern w:val="0"/>
                <w:sz w:val="21"/>
                <w:szCs w:val="21"/>
                <w:bdr w:val="none" w:color="auto" w:sz="0" w:space="0"/>
                <w:vertAlign w:val="superscript"/>
                <w:lang w:val="en-US" w:eastAsia="zh-CN" w:bidi="ar"/>
              </w:rPr>
              <w:t>3</w:t>
            </w:r>
            <w:r>
              <w:rPr>
                <w:rFonts w:hint="default" w:ascii="Times New Roman" w:hAnsi="Times New Roman" w:eastAsia="宋体" w:cs="Times New Roman"/>
                <w:color w:val="000000"/>
                <w:kern w:val="0"/>
                <w:sz w:val="21"/>
                <w:szCs w:val="21"/>
                <w:bdr w:val="none" w:color="auto" w:sz="0" w:space="0"/>
                <w:lang w:val="en-US" w:eastAsia="zh-CN" w:bidi="ar"/>
              </w:rPr>
              <w:t>/a</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2499"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210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3"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2108" w:type="pct"/>
            <w:gridSpan w:val="2"/>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COD</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t/a</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2499"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0.063</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3"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2108" w:type="pct"/>
            <w:gridSpan w:val="2"/>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SS</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t/a</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2499"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0.063</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3"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2108" w:type="pct"/>
            <w:gridSpan w:val="2"/>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NH</w:t>
            </w:r>
            <w:r>
              <w:rPr>
                <w:rFonts w:hint="default" w:ascii="Times New Roman" w:hAnsi="Times New Roman" w:eastAsia="宋体" w:cs="Times New Roman"/>
                <w:color w:val="000000"/>
                <w:kern w:val="0"/>
                <w:sz w:val="21"/>
                <w:szCs w:val="21"/>
                <w:bdr w:val="none" w:color="auto" w:sz="0" w:space="0"/>
                <w:vertAlign w:val="subscript"/>
                <w:lang w:val="en-US" w:eastAsia="zh-CN" w:bidi="ar"/>
              </w:rPr>
              <w:t>3</w:t>
            </w:r>
            <w:r>
              <w:rPr>
                <w:rFonts w:hint="default" w:ascii="Times New Roman" w:hAnsi="Times New Roman" w:eastAsia="宋体" w:cs="Times New Roman"/>
                <w:color w:val="000000"/>
                <w:kern w:val="0"/>
                <w:sz w:val="21"/>
                <w:szCs w:val="21"/>
                <w:bdr w:val="none" w:color="auto" w:sz="0" w:space="0"/>
                <w:lang w:val="en-US" w:eastAsia="zh-CN" w:bidi="ar"/>
              </w:rPr>
              <w:t>-N</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t/a</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2499"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0.005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3" w:type="pct"/>
            <w:vMerge w:val="restar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bookmarkStart w:id="125" w:name="_Hlk356309851"/>
            <w:r>
              <w:rPr>
                <w:rFonts w:ascii="Times New Roman" w:hAnsi="Times New Roman" w:cs="Times New Roman"/>
                <w:color w:val="000000"/>
                <w:sz w:val="21"/>
                <w:szCs w:val="21"/>
                <w:bdr w:val="none" w:color="auto" w:sz="0" w:space="0"/>
              </w:rPr>
              <w:t>固废</w:t>
            </w:r>
          </w:p>
        </w:tc>
        <w:tc>
          <w:tcPr>
            <w:tcW w:w="889" w:type="pct"/>
            <w:vMerge w:val="restar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一般固废（</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121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球磨机废钢球</w:t>
            </w:r>
          </w:p>
        </w:tc>
        <w:tc>
          <w:tcPr>
            <w:tcW w:w="2499"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80</w:t>
            </w:r>
            <w:r>
              <w:rPr>
                <w:rFonts w:ascii="Times New Roman" w:hAnsi="Times New Roman" w:cs="Times New Roman"/>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3" w:type="pct"/>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889" w:type="pct"/>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21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循环水池矿泥</w:t>
            </w:r>
          </w:p>
        </w:tc>
        <w:tc>
          <w:tcPr>
            <w:tcW w:w="2499"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4000</w:t>
            </w:r>
            <w:r>
              <w:rPr>
                <w:rFonts w:ascii="Times New Roman" w:hAnsi="Times New Roman" w:cs="Times New Roman"/>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3" w:type="pct"/>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889" w:type="pct"/>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21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厂房遮挡粉尘</w:t>
            </w:r>
          </w:p>
        </w:tc>
        <w:tc>
          <w:tcPr>
            <w:tcW w:w="2499"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7.02</w:t>
            </w:r>
            <w:r>
              <w:rPr>
                <w:rFonts w:ascii="Times New Roman" w:hAnsi="Times New Roman" w:cs="Times New Roman"/>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3" w:type="pct"/>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889" w:type="pct"/>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21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废含油抹布</w:t>
            </w:r>
          </w:p>
        </w:tc>
        <w:tc>
          <w:tcPr>
            <w:tcW w:w="2499"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0.001</w:t>
            </w:r>
            <w:r>
              <w:rPr>
                <w:rFonts w:ascii="Times New Roman" w:hAnsi="Times New Roman" w:cs="Times New Roman"/>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3" w:type="pct"/>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889" w:type="pct"/>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21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生活垃圾</w:t>
            </w:r>
          </w:p>
        </w:tc>
        <w:tc>
          <w:tcPr>
            <w:tcW w:w="2499"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3" w:type="pct"/>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889" w:type="pct"/>
            <w:vMerge w:val="restar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危险废物（</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121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废润滑油桶</w:t>
            </w:r>
          </w:p>
        </w:tc>
        <w:tc>
          <w:tcPr>
            <w:tcW w:w="2499"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0.05</w:t>
            </w:r>
            <w:r>
              <w:rPr>
                <w:rFonts w:ascii="Times New Roman" w:hAnsi="Times New Roman" w:cs="Times New Roman"/>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3" w:type="pct"/>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889" w:type="pct"/>
            <w:vMerge w:val="continue"/>
            <w:tcBorders>
              <w:top w:val="single" w:color="auto" w:sz="6" w:space="0"/>
              <w:left w:val="single" w:color="auto" w:sz="6" w:space="0"/>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219"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浮选药剂包装桶</w:t>
            </w:r>
          </w:p>
        </w:tc>
        <w:tc>
          <w:tcPr>
            <w:tcW w:w="2499"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0.1</w:t>
            </w:r>
            <w:r>
              <w:rPr>
                <w:rFonts w:ascii="Times New Roman" w:hAnsi="Times New Roman" w:cs="Times New Roman"/>
                <w:color w:val="000000"/>
                <w:sz w:val="21"/>
                <w:szCs w:val="21"/>
                <w:bdr w:val="none" w:color="auto" w:sz="0" w:space="0"/>
              </w:rPr>
              <w:t>）</w:t>
            </w:r>
          </w:p>
        </w:tc>
      </w:tr>
      <w:bookmarkEnd w:id="125"/>
    </w:tbl>
    <w:p>
      <w:pPr>
        <w:keepNext w:val="0"/>
        <w:keepLines w:val="0"/>
        <w:widowControl/>
        <w:suppressLineNumbers w:val="0"/>
        <w:spacing w:before="0" w:beforeAutospacing="0" w:after="0" w:afterAutospacing="0"/>
        <w:ind w:left="0" w:right="0" w:firstLine="420" w:firstLineChars="200"/>
        <w:jc w:val="left"/>
        <w:rPr>
          <w:rFonts w:hint="default" w:ascii="Times New Roman" w:hAnsi="Times New Roman" w:cs="Times New Roman"/>
          <w:color w:val="000000"/>
          <w:sz w:val="21"/>
          <w:szCs w:val="21"/>
          <w:lang/>
        </w:rPr>
      </w:pPr>
      <w:r>
        <w:rPr>
          <w:rFonts w:hint="eastAsia" w:ascii="Times New Roman" w:hAnsi="Times New Roman" w:eastAsia="宋体" w:cs="Times New Roman"/>
          <w:color w:val="000000"/>
          <w:kern w:val="0"/>
          <w:sz w:val="21"/>
          <w:szCs w:val="21"/>
          <w:lang w:val="en-US" w:eastAsia="zh-CN" w:bidi="ar"/>
        </w:rPr>
        <w:t>注：（</w:t>
      </w:r>
      <w:r>
        <w:rPr>
          <w:rFonts w:hint="default" w:ascii="Times New Roman" w:hAnsi="Times New Roman" w:eastAsia="宋体" w:cs="Times New Roman"/>
          <w:color w:val="000000"/>
          <w:kern w:val="0"/>
          <w:sz w:val="21"/>
          <w:szCs w:val="21"/>
          <w:lang w:val="en-US" w:eastAsia="zh-CN" w:bidi="ar"/>
        </w:rPr>
        <w:t xml:space="preserve"> </w:t>
      </w:r>
      <w:r>
        <w:rPr>
          <w:rFonts w:hint="eastAsia" w:ascii="Times New Roman" w:hAnsi="Times New Roman" w:eastAsia="宋体" w:cs="Times New Roman"/>
          <w:color w:val="000000"/>
          <w:kern w:val="0"/>
          <w:sz w:val="21"/>
          <w:szCs w:val="21"/>
          <w:lang w:val="en-US" w:eastAsia="zh-CN" w:bidi="ar"/>
        </w:rPr>
        <w:t>）外为排放量，（</w:t>
      </w:r>
      <w:r>
        <w:rPr>
          <w:rFonts w:hint="default" w:ascii="Times New Roman" w:hAnsi="Times New Roman" w:eastAsia="宋体" w:cs="Times New Roman"/>
          <w:color w:val="000000"/>
          <w:kern w:val="0"/>
          <w:sz w:val="21"/>
          <w:szCs w:val="21"/>
          <w:lang w:val="en-US" w:eastAsia="zh-CN" w:bidi="ar"/>
        </w:rPr>
        <w:t xml:space="preserve"> </w:t>
      </w:r>
      <w:r>
        <w:rPr>
          <w:rFonts w:hint="eastAsia" w:ascii="Times New Roman" w:hAnsi="Times New Roman" w:eastAsia="宋体" w:cs="Times New Roman"/>
          <w:color w:val="000000"/>
          <w:kern w:val="0"/>
          <w:sz w:val="21"/>
          <w:szCs w:val="21"/>
          <w:lang w:val="en-US" w:eastAsia="zh-CN" w:bidi="ar"/>
        </w:rPr>
        <w:t>）内为产生量。</w:t>
      </w:r>
    </w:p>
    <w:p>
      <w:pPr>
        <w:pStyle w:val="8"/>
        <w:widowControl/>
        <w:rPr>
          <w:color w:val="000000"/>
          <w:lang/>
        </w:rPr>
      </w:pPr>
      <w:bookmarkStart w:id="126" w:name="_Toc41656130"/>
      <w:r>
        <w:rPr>
          <w:color w:val="000000"/>
          <w:lang/>
        </w:rPr>
        <w:t xml:space="preserve">2.10 </w:t>
      </w:r>
      <w:r>
        <w:rPr>
          <w:rFonts w:hint="eastAsia" w:ascii="Times New Roman" w:hAnsi="Times New Roman" w:eastAsia="宋体" w:cs="宋体"/>
          <w:color w:val="000000"/>
          <w:lang w:eastAsia="zh-CN"/>
        </w:rPr>
        <w:t>现有环保问题及“以新带老”整改措施</w:t>
      </w:r>
      <w:bookmarkEnd w:id="126"/>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color w:val="000000"/>
          <w:lang/>
        </w:rPr>
      </w:pPr>
      <w:r>
        <w:rPr>
          <w:rFonts w:hint="eastAsia" w:ascii="Times New Roman" w:hAnsi="Times New Roman" w:eastAsia="宋体" w:cs="Times New Roman"/>
          <w:b/>
          <w:color w:val="000000"/>
          <w:kern w:val="0"/>
          <w:sz w:val="24"/>
          <w:szCs w:val="24"/>
          <w:lang w:val="en-US" w:eastAsia="zh-CN" w:bidi="ar"/>
        </w:rPr>
        <w:t>（</w:t>
      </w:r>
      <w:r>
        <w:rPr>
          <w:rFonts w:hint="default" w:ascii="Times New Roman" w:hAnsi="Times New Roman" w:eastAsia="宋体" w:cs="Times New Roman"/>
          <w:b/>
          <w:color w:val="000000"/>
          <w:kern w:val="0"/>
          <w:sz w:val="24"/>
          <w:szCs w:val="24"/>
          <w:lang w:eastAsia="zh-CN" w:bidi="ar"/>
        </w:rPr>
        <w:t>1</w:t>
      </w:r>
      <w:r>
        <w:rPr>
          <w:rFonts w:hint="eastAsia" w:ascii="Times New Roman" w:hAnsi="Times New Roman" w:eastAsia="宋体" w:cs="Times New Roman"/>
          <w:b/>
          <w:color w:val="000000"/>
          <w:kern w:val="0"/>
          <w:sz w:val="24"/>
          <w:szCs w:val="24"/>
          <w:lang w:val="en-US" w:eastAsia="zh-CN" w:bidi="ar"/>
        </w:rPr>
        <w:t>）现有工程环保问题</w:t>
      </w:r>
    </w:p>
    <w:p>
      <w:pPr>
        <w:keepNext w:val="0"/>
        <w:keepLines w:val="0"/>
        <w:widowControl/>
        <w:suppressLineNumbers w:val="0"/>
        <w:spacing w:before="0" w:beforeAutospacing="0" w:after="0" w:afterAutospacing="0" w:line="500" w:lineRule="exact"/>
        <w:ind w:left="0" w:right="0" w:firstLine="480" w:firstLineChars="200"/>
        <w:jc w:val="both"/>
        <w:rPr>
          <w:rFonts w:cs="Times New Roman"/>
          <w:color w:val="000000"/>
          <w:lang/>
        </w:rPr>
      </w:pPr>
      <w:r>
        <w:rPr>
          <w:rFonts w:hint="eastAsia" w:ascii="宋体" w:hAnsi="宋体" w:eastAsia="宋体" w:cs="宋体"/>
          <w:color w:val="000000"/>
          <w:kern w:val="0"/>
          <w:sz w:val="24"/>
          <w:szCs w:val="24"/>
          <w:lang w:val="en-US" w:eastAsia="zh-CN" w:bidi="ar"/>
        </w:rPr>
        <w:t>①</w:t>
      </w:r>
      <w:r>
        <w:rPr>
          <w:rFonts w:hint="eastAsia" w:ascii="Times New Roman" w:hAnsi="Times New Roman" w:eastAsia="宋体" w:cs="Times New Roman"/>
          <w:color w:val="000000"/>
          <w:kern w:val="0"/>
          <w:sz w:val="24"/>
          <w:szCs w:val="24"/>
          <w:lang w:val="en-US" w:eastAsia="zh-CN" w:bidi="ar"/>
        </w:rPr>
        <w:t>现有工程危险废物处理不规范，且危废暂存间的建设不满足《危险废物贮存污染控制标准》（</w:t>
      </w:r>
      <w:r>
        <w:rPr>
          <w:rFonts w:hint="default" w:ascii="Times New Roman" w:hAnsi="Times New Roman" w:eastAsia="宋体" w:cs="Times New Roman"/>
          <w:color w:val="000000"/>
          <w:kern w:val="0"/>
          <w:sz w:val="24"/>
          <w:szCs w:val="24"/>
          <w:lang w:eastAsia="zh-CN" w:bidi="ar"/>
        </w:rPr>
        <w:t>GB18597-2001</w:t>
      </w:r>
      <w:r>
        <w:rPr>
          <w:rFonts w:hint="eastAsia" w:ascii="Times New Roman" w:hAnsi="Times New Roman" w:eastAsia="宋体" w:cs="Times New Roman"/>
          <w:color w:val="000000"/>
          <w:kern w:val="0"/>
          <w:sz w:val="24"/>
          <w:szCs w:val="24"/>
          <w:lang w:val="en-US" w:eastAsia="zh-CN" w:bidi="ar"/>
        </w:rPr>
        <w:t>）及其</w:t>
      </w:r>
      <w:r>
        <w:rPr>
          <w:rFonts w:hint="default" w:ascii="Times New Roman" w:hAnsi="Times New Roman" w:eastAsia="宋体" w:cs="Times New Roman"/>
          <w:color w:val="000000"/>
          <w:kern w:val="0"/>
          <w:sz w:val="24"/>
          <w:szCs w:val="24"/>
          <w:lang w:eastAsia="zh-CN" w:bidi="ar"/>
        </w:rPr>
        <w:t>2013</w:t>
      </w:r>
      <w:r>
        <w:rPr>
          <w:rFonts w:hint="eastAsia" w:ascii="Times New Roman" w:hAnsi="Times New Roman" w:eastAsia="宋体" w:cs="Times New Roman"/>
          <w:color w:val="000000"/>
          <w:kern w:val="0"/>
          <w:sz w:val="24"/>
          <w:szCs w:val="24"/>
          <w:lang w:val="en-US" w:eastAsia="zh-CN" w:bidi="ar"/>
        </w:rPr>
        <w:t>年修改单中的相</w:t>
      </w:r>
      <w:r>
        <w:rPr>
          <w:rFonts w:hint="eastAsia" w:ascii="宋体" w:hAnsi="宋体" w:eastAsia="宋体" w:cs="Times New Roman"/>
          <w:color w:val="000000"/>
          <w:kern w:val="0"/>
          <w:sz w:val="24"/>
          <w:szCs w:val="24"/>
          <w:lang w:val="en-US" w:eastAsia="zh-CN" w:bidi="ar"/>
        </w:rPr>
        <w:t>关要求；</w:t>
      </w:r>
    </w:p>
    <w:p>
      <w:pPr>
        <w:keepNext w:val="0"/>
        <w:keepLines w:val="0"/>
        <w:widowControl/>
        <w:suppressLineNumbers w:val="0"/>
        <w:spacing w:before="0" w:beforeAutospacing="0" w:after="0" w:afterAutospacing="0" w:line="500" w:lineRule="exact"/>
        <w:ind w:left="0" w:right="0" w:firstLine="480" w:firstLineChars="200"/>
        <w:jc w:val="left"/>
        <w:rPr>
          <w:rFonts w:cs="Times New Roman"/>
          <w:color w:val="000000"/>
          <w:lang/>
        </w:rPr>
      </w:pPr>
      <w:r>
        <w:rPr>
          <w:rFonts w:hint="eastAsia" w:ascii="宋体" w:hAnsi="宋体" w:eastAsia="宋体" w:cs="Times New Roman"/>
          <w:color w:val="000000"/>
          <w:kern w:val="0"/>
          <w:sz w:val="24"/>
          <w:szCs w:val="24"/>
          <w:lang w:val="en-US" w:eastAsia="zh-CN" w:bidi="ar"/>
        </w:rPr>
        <w:t>②现有工程未配套事故水池；</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宋体" w:hAnsi="宋体" w:eastAsia="宋体" w:cs="Times New Roman"/>
          <w:color w:val="000000"/>
          <w:kern w:val="0"/>
          <w:sz w:val="24"/>
          <w:szCs w:val="24"/>
          <w:lang w:val="en-US" w:eastAsia="zh-CN" w:bidi="ar"/>
        </w:rPr>
        <w:t>③</w:t>
      </w:r>
      <w:r>
        <w:rPr>
          <w:rFonts w:hint="eastAsia" w:ascii="Times New Roman" w:hAnsi="Times New Roman" w:eastAsia="宋体" w:cs="Times New Roman"/>
          <w:color w:val="000000"/>
          <w:kern w:val="0"/>
          <w:sz w:val="24"/>
          <w:szCs w:val="24"/>
          <w:lang w:val="en-US" w:eastAsia="zh-CN" w:bidi="ar"/>
        </w:rPr>
        <w:t>现场踏勘期间发现现有工程有露天破碎机存在；</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宋体" w:hAnsi="宋体" w:eastAsia="宋体" w:cs="Times New Roman"/>
          <w:color w:val="000000"/>
          <w:kern w:val="0"/>
          <w:sz w:val="24"/>
          <w:szCs w:val="24"/>
          <w:lang w:val="en-US" w:eastAsia="zh-CN" w:bidi="ar"/>
        </w:rPr>
        <w:t>④成品矿在</w:t>
      </w:r>
      <w:r>
        <w:rPr>
          <w:rFonts w:hint="eastAsia" w:ascii="Times New Roman" w:hAnsi="Times New Roman" w:eastAsia="宋体" w:cs="Times New Roman"/>
          <w:color w:val="000000"/>
          <w:kern w:val="0"/>
          <w:sz w:val="24"/>
          <w:szCs w:val="24"/>
          <w:lang w:val="en-US" w:eastAsia="zh-CN" w:bidi="ar"/>
        </w:rPr>
        <w:t>过滤车间和成品库之间采用铲车倒运；</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宋体" w:hAnsi="宋体" w:eastAsia="宋体" w:cs="Times New Roman"/>
          <w:color w:val="000000"/>
          <w:kern w:val="0"/>
          <w:sz w:val="24"/>
          <w:szCs w:val="24"/>
          <w:lang w:val="en-US" w:eastAsia="zh-CN" w:bidi="ar"/>
        </w:rPr>
        <w:t>⑤</w:t>
      </w:r>
      <w:r>
        <w:rPr>
          <w:rFonts w:hint="eastAsia" w:ascii="Times New Roman" w:hAnsi="Times New Roman" w:eastAsia="宋体" w:cs="Times New Roman"/>
          <w:color w:val="000000"/>
          <w:kern w:val="0"/>
          <w:sz w:val="24"/>
          <w:szCs w:val="24"/>
          <w:lang w:val="en-US" w:eastAsia="zh-CN" w:bidi="ar"/>
        </w:rPr>
        <w:t>现有工程已运行多年，场区部分硬化地面破损。</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color w:val="000000"/>
          <w:lang/>
        </w:rPr>
      </w:pPr>
      <w:r>
        <w:rPr>
          <w:rFonts w:hint="eastAsia" w:ascii="Times New Roman" w:hAnsi="Times New Roman" w:eastAsia="宋体" w:cs="Times New Roman"/>
          <w:b/>
          <w:color w:val="000000"/>
          <w:kern w:val="0"/>
          <w:sz w:val="24"/>
          <w:szCs w:val="24"/>
          <w:lang w:val="en-US" w:eastAsia="zh-CN" w:bidi="ar"/>
        </w:rPr>
        <w:t>（</w:t>
      </w:r>
      <w:r>
        <w:rPr>
          <w:rFonts w:hint="default" w:ascii="Times New Roman" w:hAnsi="Times New Roman" w:eastAsia="宋体" w:cs="Times New Roman"/>
          <w:b/>
          <w:color w:val="000000"/>
          <w:kern w:val="0"/>
          <w:sz w:val="24"/>
          <w:szCs w:val="24"/>
          <w:lang w:eastAsia="zh-CN" w:bidi="ar"/>
        </w:rPr>
        <w:t>2</w:t>
      </w:r>
      <w:r>
        <w:rPr>
          <w:rFonts w:hint="eastAsia" w:ascii="Times New Roman" w:hAnsi="Times New Roman" w:eastAsia="宋体" w:cs="Times New Roman"/>
          <w:b/>
          <w:color w:val="000000"/>
          <w:kern w:val="0"/>
          <w:sz w:val="24"/>
          <w:szCs w:val="24"/>
          <w:lang w:val="en-US" w:eastAsia="zh-CN" w:bidi="ar"/>
        </w:rPr>
        <w:t>）整改措施</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宋体" w:hAnsi="宋体" w:eastAsia="宋体" w:cs="Times New Roman"/>
          <w:color w:val="000000"/>
          <w:kern w:val="0"/>
          <w:sz w:val="24"/>
          <w:szCs w:val="24"/>
          <w:lang w:val="en-US" w:eastAsia="zh-CN" w:bidi="ar"/>
        </w:rPr>
        <w:t>①应按</w:t>
      </w:r>
      <w:r>
        <w:rPr>
          <w:rFonts w:hint="eastAsia" w:ascii="Times New Roman" w:hAnsi="Times New Roman" w:eastAsia="宋体" w:cs="Times New Roman"/>
          <w:color w:val="000000"/>
          <w:kern w:val="0"/>
          <w:sz w:val="24"/>
          <w:szCs w:val="24"/>
          <w:lang w:val="en-US" w:eastAsia="zh-CN" w:bidi="ar"/>
        </w:rPr>
        <w:t>《危险废物贮存污染控制标准》（</w:t>
      </w:r>
      <w:r>
        <w:rPr>
          <w:rFonts w:hint="default" w:ascii="Times New Roman" w:hAnsi="Times New Roman" w:eastAsia="宋体" w:cs="Times New Roman"/>
          <w:color w:val="000000"/>
          <w:kern w:val="0"/>
          <w:sz w:val="24"/>
          <w:szCs w:val="24"/>
          <w:lang w:val="en-US" w:eastAsia="zh-CN" w:bidi="ar"/>
        </w:rPr>
        <w:t>GB18597-2001</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2013</w:t>
      </w:r>
      <w:r>
        <w:rPr>
          <w:rFonts w:hint="eastAsia" w:ascii="Times New Roman" w:hAnsi="Times New Roman" w:eastAsia="宋体" w:cs="Times New Roman"/>
          <w:color w:val="000000"/>
          <w:kern w:val="0"/>
          <w:sz w:val="24"/>
          <w:szCs w:val="24"/>
          <w:lang w:val="en-US" w:eastAsia="zh-CN" w:bidi="ar"/>
        </w:rPr>
        <w:t>年修改）建设规范的危废暂存间，面积不小于</w:t>
      </w:r>
      <w:r>
        <w:rPr>
          <w:rFonts w:hint="default" w:ascii="Times New Roman" w:hAnsi="Times New Roman" w:eastAsia="宋体" w:cs="Times New Roman"/>
          <w:color w:val="000000"/>
          <w:kern w:val="0"/>
          <w:sz w:val="24"/>
          <w:szCs w:val="24"/>
          <w:lang w:val="en-US" w:eastAsia="zh-CN" w:bidi="ar"/>
        </w:rPr>
        <w:t>30m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，做好防雨、放风，基础要做防渗处理，并设环保标志牌。设置堵截泄漏的裙脚，地面进行防渗处理，防渗层渗透系数小于</w:t>
      </w:r>
      <w:r>
        <w:rPr>
          <w:rFonts w:hint="default" w:ascii="Times New Roman" w:hAnsi="Times New Roman" w:eastAsia="宋体" w:cs="Times New Roman"/>
          <w:color w:val="000000"/>
          <w:kern w:val="0"/>
          <w:sz w:val="24"/>
          <w:szCs w:val="24"/>
          <w:lang w:val="en-US" w:eastAsia="zh-CN" w:bidi="ar"/>
        </w:rPr>
        <w:t>1×10</w:t>
      </w:r>
      <w:r>
        <w:rPr>
          <w:rFonts w:hint="default" w:ascii="Times New Roman" w:hAnsi="Times New Roman" w:eastAsia="宋体" w:cs="Times New Roman"/>
          <w:color w:val="000000"/>
          <w:kern w:val="0"/>
          <w:sz w:val="24"/>
          <w:szCs w:val="24"/>
          <w:vertAlign w:val="superscript"/>
          <w:lang w:val="en-US" w:eastAsia="zh-CN" w:bidi="ar"/>
        </w:rPr>
        <w:t>-10</w:t>
      </w:r>
      <w:r>
        <w:rPr>
          <w:rFonts w:hint="default" w:ascii="Times New Roman" w:hAnsi="Times New Roman" w:eastAsia="宋体" w:cs="Times New Roman"/>
          <w:color w:val="000000"/>
          <w:kern w:val="0"/>
          <w:sz w:val="24"/>
          <w:szCs w:val="24"/>
          <w:lang w:val="en-US" w:eastAsia="zh-CN" w:bidi="ar"/>
        </w:rPr>
        <w:t>cm/s</w:t>
      </w:r>
      <w:r>
        <w:rPr>
          <w:rFonts w:hint="eastAsia" w:ascii="Times New Roman" w:hAnsi="Times New Roman" w:eastAsia="宋体" w:cs="Times New Roman"/>
          <w:color w:val="000000"/>
          <w:kern w:val="0"/>
          <w:sz w:val="24"/>
          <w:szCs w:val="24"/>
          <w:lang w:val="en-US" w:eastAsia="zh-CN" w:bidi="ar"/>
        </w:rPr>
        <w:t>，且做到表面无裂隙，避免泄漏对地下水产生污染影响。并设置泄漏液体的收集装置。在危险废物转移过程中要严格执行危险废物转移联单制度，按规定申领填写联单、按规定运行联单、在规定存档期限内妥善保管联单并定期限向环保部门报送联单。废润滑油桶、废浮选药剂包装桶等危险废物暂存于危废暂存间，贮存周期不得超过一年，定期委托有资质单位进行处置；</w:t>
      </w:r>
    </w:p>
    <w:p>
      <w:pPr>
        <w:keepNext w:val="0"/>
        <w:keepLines w:val="0"/>
        <w:widowControl/>
        <w:suppressLineNumbers w:val="0"/>
        <w:spacing w:before="0" w:beforeAutospacing="0" w:after="0" w:afterAutospacing="0" w:line="500" w:lineRule="exact"/>
        <w:ind w:left="0" w:right="0" w:firstLine="480" w:firstLineChars="200"/>
        <w:jc w:val="left"/>
        <w:rPr>
          <w:rFonts w:cs="Times New Roman"/>
          <w:color w:val="000000"/>
          <w:lang/>
        </w:rPr>
      </w:pPr>
      <w:r>
        <w:rPr>
          <w:rFonts w:hint="eastAsia" w:ascii="宋体" w:hAnsi="宋体" w:eastAsia="宋体" w:cs="Times New Roman"/>
          <w:color w:val="000000"/>
          <w:kern w:val="0"/>
          <w:sz w:val="24"/>
          <w:szCs w:val="24"/>
          <w:lang w:val="en-US" w:eastAsia="zh-CN" w:bidi="ar"/>
        </w:rPr>
        <w:t>②建设配套的事故水池，</w:t>
      </w:r>
      <w:r>
        <w:rPr>
          <w:rFonts w:hint="eastAsia" w:ascii="Times New Roman" w:hAnsi="Times New Roman" w:eastAsia="宋体" w:cs="Times New Roman"/>
          <w:color w:val="000000"/>
          <w:kern w:val="0"/>
          <w:sz w:val="24"/>
          <w:szCs w:val="24"/>
          <w:lang w:val="en-US" w:eastAsia="zh-CN" w:bidi="ar"/>
        </w:rPr>
        <w:t>不小于</w:t>
      </w:r>
      <w:r>
        <w:rPr>
          <w:rFonts w:hint="default" w:ascii="Times New Roman" w:hAnsi="Times New Roman" w:eastAsia="宋体" w:cs="Times New Roman"/>
          <w:color w:val="000000"/>
          <w:kern w:val="0"/>
          <w:sz w:val="24"/>
          <w:szCs w:val="24"/>
          <w:lang w:eastAsia="zh-CN" w:bidi="ar"/>
        </w:rPr>
        <w:t>200m</w:t>
      </w:r>
      <w:r>
        <w:rPr>
          <w:rFonts w:hint="default" w:ascii="Times New Roman" w:hAnsi="Times New Roman" w:eastAsia="宋体" w:cs="Times New Roman"/>
          <w:color w:val="000000"/>
          <w:kern w:val="0"/>
          <w:sz w:val="24"/>
          <w:szCs w:val="24"/>
          <w:vertAlign w:val="superscript"/>
          <w:lang w:eastAsia="zh-CN" w:bidi="ar"/>
        </w:rPr>
        <w:t>3</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cs="Times New Roman"/>
          <w:color w:val="000000"/>
          <w:lang/>
        </w:rPr>
      </w:pPr>
      <w:r>
        <w:rPr>
          <w:rFonts w:hint="eastAsia" w:ascii="宋体" w:hAnsi="宋体" w:eastAsia="宋体" w:cs="Times New Roman"/>
          <w:color w:val="000000"/>
          <w:kern w:val="0"/>
          <w:sz w:val="24"/>
          <w:szCs w:val="24"/>
          <w:lang w:val="en-US" w:eastAsia="zh-CN" w:bidi="ar"/>
        </w:rPr>
        <w:t>③根据现有工程环评报告，现有工程使用粒度≤</w:t>
      </w:r>
      <w:r>
        <w:rPr>
          <w:rFonts w:hint="eastAsia" w:ascii="宋体" w:hAnsi="宋体" w:eastAsia="宋体" w:cs="Times New Roman"/>
          <w:color w:val="000000"/>
          <w:kern w:val="0"/>
          <w:sz w:val="24"/>
          <w:szCs w:val="24"/>
          <w:lang w:eastAsia="zh-CN" w:bidi="ar"/>
        </w:rPr>
        <w:t>10mm</w:t>
      </w:r>
      <w:r>
        <w:rPr>
          <w:rFonts w:hint="eastAsia" w:ascii="宋体" w:hAnsi="宋体" w:eastAsia="宋体" w:cs="Times New Roman"/>
          <w:color w:val="000000"/>
          <w:kern w:val="0"/>
          <w:sz w:val="24"/>
          <w:szCs w:val="24"/>
          <w:lang w:val="en-US" w:eastAsia="zh-CN" w:bidi="ar"/>
        </w:rPr>
        <w:t>的原料矿，不设破碎工序。若企业实际生产中涉及破碎工序，应采取有效环保治理措施并立即补办环评手续；</w:t>
      </w:r>
    </w:p>
    <w:p>
      <w:pPr>
        <w:keepNext w:val="0"/>
        <w:keepLines w:val="0"/>
        <w:widowControl/>
        <w:suppressLineNumbers w:val="0"/>
        <w:spacing w:before="0" w:beforeAutospacing="0" w:after="0" w:afterAutospacing="0" w:line="500" w:lineRule="exact"/>
        <w:ind w:left="0" w:right="0" w:firstLine="480" w:firstLineChars="200"/>
        <w:jc w:val="left"/>
        <w:rPr>
          <w:rFonts w:cs="Times New Roman"/>
          <w:color w:val="000000"/>
          <w:lang/>
        </w:rPr>
      </w:pPr>
      <w:r>
        <w:rPr>
          <w:rFonts w:hint="eastAsia" w:ascii="宋体" w:hAnsi="宋体" w:eastAsia="宋体" w:cs="Times New Roman"/>
          <w:color w:val="000000"/>
          <w:kern w:val="0"/>
          <w:sz w:val="24"/>
          <w:szCs w:val="24"/>
          <w:lang w:val="en-US" w:eastAsia="zh-CN" w:bidi="ar"/>
        </w:rPr>
        <w:t>④现有工程厂区应定期利用清扫车清扫，严格控制物料转运过程无组织扬尘；</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宋体" w:hAnsi="宋体" w:eastAsia="宋体" w:cs="Times New Roman"/>
          <w:color w:val="000000"/>
          <w:kern w:val="0"/>
          <w:sz w:val="24"/>
          <w:szCs w:val="24"/>
          <w:lang w:val="en-US" w:eastAsia="zh-CN" w:bidi="ar"/>
        </w:rPr>
        <w:t>⑤</w:t>
      </w:r>
      <w:r>
        <w:rPr>
          <w:rFonts w:hint="eastAsia" w:ascii="Times New Roman" w:hAnsi="Times New Roman" w:eastAsia="宋体" w:cs="Times New Roman"/>
          <w:color w:val="000000"/>
          <w:kern w:val="0"/>
          <w:sz w:val="24"/>
          <w:szCs w:val="24"/>
          <w:lang w:val="en-US" w:eastAsia="zh-CN" w:bidi="ar"/>
        </w:rPr>
        <w:t>参照《石油化工工程防渗技术规范（</w:t>
      </w:r>
      <w:r>
        <w:rPr>
          <w:rFonts w:hint="default" w:ascii="Times New Roman" w:hAnsi="Times New Roman" w:eastAsia="宋体" w:cs="Times New Roman"/>
          <w:color w:val="000000"/>
          <w:kern w:val="0"/>
          <w:sz w:val="24"/>
          <w:szCs w:val="24"/>
          <w:lang w:val="en-US" w:eastAsia="zh-CN" w:bidi="ar"/>
        </w:rPr>
        <w:t>GB/T50934-2013</w:t>
      </w:r>
      <w:r>
        <w:rPr>
          <w:rFonts w:hint="eastAsia" w:ascii="Times New Roman" w:hAnsi="Times New Roman" w:eastAsia="宋体" w:cs="Times New Roman"/>
          <w:color w:val="000000"/>
          <w:kern w:val="0"/>
          <w:sz w:val="24"/>
          <w:szCs w:val="24"/>
          <w:lang w:val="en-US" w:eastAsia="zh-CN" w:bidi="ar"/>
        </w:rPr>
        <w:t>）》，将现有工程全厂分为一般污染防治区、简单防渗区和重点防渗区，对防渗层可能破损的地面进行修复：重点污染防治区防渗层的防渗功能应不低于</w:t>
      </w:r>
      <w:r>
        <w:rPr>
          <w:rFonts w:hint="default" w:ascii="Times New Roman" w:hAnsi="Times New Roman" w:eastAsia="宋体" w:cs="Times New Roman"/>
          <w:color w:val="000000"/>
          <w:kern w:val="0"/>
          <w:sz w:val="24"/>
          <w:szCs w:val="24"/>
          <w:lang w:val="en-US" w:eastAsia="zh-CN" w:bidi="ar"/>
        </w:rPr>
        <w:t>6.0m</w:t>
      </w:r>
      <w:r>
        <w:rPr>
          <w:rFonts w:hint="eastAsia" w:ascii="Times New Roman" w:hAnsi="Times New Roman" w:eastAsia="宋体" w:cs="Times New Roman"/>
          <w:color w:val="000000"/>
          <w:kern w:val="0"/>
          <w:sz w:val="24"/>
          <w:szCs w:val="24"/>
          <w:lang w:val="en-US" w:eastAsia="zh-CN" w:bidi="ar"/>
        </w:rPr>
        <w:t>厚渗透系数为</w:t>
      </w:r>
      <w:r>
        <w:rPr>
          <w:rFonts w:hint="default" w:ascii="Times New Roman" w:hAnsi="Times New Roman" w:eastAsia="宋体" w:cs="Times New Roman"/>
          <w:color w:val="000000"/>
          <w:kern w:val="0"/>
          <w:sz w:val="24"/>
          <w:szCs w:val="24"/>
          <w:lang w:val="en-US" w:eastAsia="zh-CN" w:bidi="ar"/>
        </w:rPr>
        <w:t>1.0×10</w:t>
      </w:r>
      <w:r>
        <w:rPr>
          <w:rFonts w:hint="default" w:ascii="Times New Roman" w:hAnsi="Times New Roman" w:eastAsia="宋体" w:cs="Times New Roman"/>
          <w:color w:val="000000"/>
          <w:kern w:val="0"/>
          <w:sz w:val="24"/>
          <w:szCs w:val="24"/>
          <w:vertAlign w:val="superscript"/>
          <w:lang w:val="en-US" w:eastAsia="zh-CN" w:bidi="ar"/>
        </w:rPr>
        <w:t>-7</w:t>
      </w:r>
      <w:r>
        <w:rPr>
          <w:rFonts w:hint="default" w:ascii="Times New Roman" w:hAnsi="Times New Roman" w:eastAsia="宋体" w:cs="Times New Roman"/>
          <w:color w:val="000000"/>
          <w:kern w:val="0"/>
          <w:sz w:val="24"/>
          <w:szCs w:val="24"/>
          <w:lang w:val="en-US" w:eastAsia="zh-CN" w:bidi="ar"/>
        </w:rPr>
        <w:t>cm/s</w:t>
      </w:r>
      <w:r>
        <w:rPr>
          <w:rFonts w:hint="eastAsia" w:ascii="Times New Roman" w:hAnsi="Times New Roman" w:eastAsia="宋体" w:cs="Times New Roman"/>
          <w:color w:val="000000"/>
          <w:kern w:val="0"/>
          <w:sz w:val="24"/>
          <w:szCs w:val="24"/>
          <w:lang w:val="en-US" w:eastAsia="zh-CN" w:bidi="ar"/>
        </w:rPr>
        <w:t>的粘土层或不低于</w:t>
      </w:r>
      <w:r>
        <w:rPr>
          <w:rFonts w:hint="default" w:ascii="Times New Roman" w:hAnsi="Times New Roman" w:eastAsia="宋体" w:cs="Times New Roman"/>
          <w:color w:val="000000"/>
          <w:kern w:val="0"/>
          <w:sz w:val="24"/>
          <w:szCs w:val="24"/>
          <w:lang w:val="en-US" w:eastAsia="zh-CN" w:bidi="ar"/>
        </w:rPr>
        <w:t>250mm</w:t>
      </w:r>
      <w:r>
        <w:rPr>
          <w:rFonts w:hint="eastAsia" w:ascii="Times New Roman" w:hAnsi="Times New Roman" w:eastAsia="宋体" w:cs="Times New Roman"/>
          <w:color w:val="000000"/>
          <w:kern w:val="0"/>
          <w:sz w:val="24"/>
          <w:szCs w:val="24"/>
          <w:lang w:val="en-US" w:eastAsia="zh-CN" w:bidi="ar"/>
        </w:rPr>
        <w:t>渗透系数为</w:t>
      </w:r>
      <w:r>
        <w:rPr>
          <w:rFonts w:hint="default" w:ascii="Times New Roman" w:hAnsi="Times New Roman" w:eastAsia="宋体" w:cs="Times New Roman"/>
          <w:color w:val="000000"/>
          <w:kern w:val="0"/>
          <w:sz w:val="24"/>
          <w:szCs w:val="24"/>
          <w:lang w:val="en-US" w:eastAsia="zh-CN" w:bidi="ar"/>
        </w:rPr>
        <w:t>1.0×10</w:t>
      </w:r>
      <w:r>
        <w:rPr>
          <w:rFonts w:hint="default" w:ascii="Times New Roman" w:hAnsi="Times New Roman" w:eastAsia="宋体" w:cs="Times New Roman"/>
          <w:color w:val="000000"/>
          <w:kern w:val="0"/>
          <w:sz w:val="24"/>
          <w:szCs w:val="24"/>
          <w:vertAlign w:val="superscript"/>
          <w:lang w:val="en-US" w:eastAsia="zh-CN" w:bidi="ar"/>
        </w:rPr>
        <w:t>-10</w:t>
      </w:r>
      <w:r>
        <w:rPr>
          <w:rFonts w:hint="default" w:ascii="Times New Roman" w:hAnsi="Times New Roman" w:eastAsia="宋体" w:cs="Times New Roman"/>
          <w:color w:val="000000"/>
          <w:kern w:val="0"/>
          <w:sz w:val="24"/>
          <w:szCs w:val="24"/>
          <w:lang w:val="en-US" w:eastAsia="zh-CN" w:bidi="ar"/>
        </w:rPr>
        <w:t>cm/s</w:t>
      </w:r>
      <w:r>
        <w:rPr>
          <w:rFonts w:hint="eastAsia" w:ascii="Times New Roman" w:hAnsi="Times New Roman" w:eastAsia="宋体" w:cs="Times New Roman"/>
          <w:color w:val="000000"/>
          <w:kern w:val="0"/>
          <w:sz w:val="24"/>
          <w:szCs w:val="24"/>
          <w:lang w:val="en-US" w:eastAsia="zh-CN" w:bidi="ar"/>
        </w:rPr>
        <w:t>防渗材料的防渗功能；一般污染防治区防渗层不应低于</w:t>
      </w:r>
      <w:r>
        <w:rPr>
          <w:rFonts w:hint="default" w:ascii="Times New Roman" w:hAnsi="Times New Roman" w:eastAsia="宋体" w:cs="Times New Roman"/>
          <w:color w:val="000000"/>
          <w:kern w:val="0"/>
          <w:sz w:val="24"/>
          <w:szCs w:val="24"/>
          <w:lang w:val="en-US" w:eastAsia="zh-CN" w:bidi="ar"/>
        </w:rPr>
        <w:t>1.5m</w:t>
      </w:r>
      <w:r>
        <w:rPr>
          <w:rFonts w:hint="eastAsia" w:ascii="Times New Roman" w:hAnsi="Times New Roman" w:eastAsia="宋体" w:cs="Times New Roman"/>
          <w:color w:val="000000"/>
          <w:kern w:val="0"/>
          <w:sz w:val="24"/>
          <w:szCs w:val="24"/>
          <w:lang w:val="en-US" w:eastAsia="zh-CN" w:bidi="ar"/>
        </w:rPr>
        <w:t>厚渗透系数为</w:t>
      </w:r>
      <w:r>
        <w:rPr>
          <w:rFonts w:hint="default" w:ascii="Times New Roman" w:hAnsi="Times New Roman" w:eastAsia="宋体" w:cs="Times New Roman"/>
          <w:color w:val="000000"/>
          <w:kern w:val="0"/>
          <w:sz w:val="24"/>
          <w:szCs w:val="24"/>
          <w:lang w:val="en-US" w:eastAsia="zh-CN" w:bidi="ar"/>
        </w:rPr>
        <w:t>1.0×10</w:t>
      </w:r>
      <w:r>
        <w:rPr>
          <w:rFonts w:hint="default" w:ascii="Times New Roman" w:hAnsi="Times New Roman" w:eastAsia="宋体" w:cs="Times New Roman"/>
          <w:color w:val="000000"/>
          <w:kern w:val="0"/>
          <w:sz w:val="24"/>
          <w:szCs w:val="24"/>
          <w:vertAlign w:val="superscript"/>
          <w:lang w:val="en-US" w:eastAsia="zh-CN" w:bidi="ar"/>
        </w:rPr>
        <w:t>-7</w:t>
      </w:r>
      <w:r>
        <w:rPr>
          <w:rFonts w:hint="default" w:ascii="Times New Roman" w:hAnsi="Times New Roman" w:eastAsia="宋体" w:cs="Times New Roman"/>
          <w:color w:val="000000"/>
          <w:kern w:val="0"/>
          <w:sz w:val="24"/>
          <w:szCs w:val="24"/>
          <w:lang w:val="en-US" w:eastAsia="zh-CN" w:bidi="ar"/>
        </w:rPr>
        <w:t>cm/s</w:t>
      </w:r>
      <w:r>
        <w:rPr>
          <w:rFonts w:hint="eastAsia" w:ascii="Times New Roman" w:hAnsi="Times New Roman" w:eastAsia="宋体" w:cs="Times New Roman"/>
          <w:color w:val="000000"/>
          <w:kern w:val="0"/>
          <w:sz w:val="24"/>
          <w:szCs w:val="24"/>
          <w:lang w:val="en-US" w:eastAsia="zh-CN" w:bidi="ar"/>
        </w:rPr>
        <w:t>的粘土层的防渗性能。以确保现有工程场区内地面达到相应的防渗要求。进行地面硬化。</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现有工程的环保问题应在本次扩建项目建成前完成整改，“以新带老”整改措施投资额约</w:t>
      </w:r>
      <w:r>
        <w:rPr>
          <w:rFonts w:hint="default" w:ascii="Times New Roman" w:hAnsi="Times New Roman" w:eastAsia="宋体" w:cs="Times New Roman"/>
          <w:color w:val="000000"/>
          <w:kern w:val="0"/>
          <w:sz w:val="24"/>
          <w:szCs w:val="24"/>
          <w:lang w:val="en-US" w:eastAsia="zh-CN" w:bidi="ar"/>
        </w:rPr>
        <w:t>24</w:t>
      </w:r>
      <w:r>
        <w:rPr>
          <w:rFonts w:hint="eastAsia" w:ascii="Times New Roman" w:hAnsi="Times New Roman" w:eastAsia="宋体" w:cs="Times New Roman"/>
          <w:color w:val="000000"/>
          <w:kern w:val="0"/>
          <w:sz w:val="24"/>
          <w:szCs w:val="24"/>
          <w:lang w:val="en-US" w:eastAsia="zh-CN" w:bidi="ar"/>
        </w:rPr>
        <w:t>万元，应与本项目环保措施一同进行环保验收。</w:t>
      </w: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color w:val="000000"/>
          <w:lang/>
        </w:rPr>
      </w:pPr>
    </w:p>
    <w:p>
      <w:pPr>
        <w:pStyle w:val="7"/>
        <w:widowControl/>
        <w:rPr>
          <w:rFonts w:hint="default" w:ascii="Times New Roman" w:hAnsi="Times New Roman" w:cs="Times New Roman"/>
          <w:color w:val="000000"/>
          <w:lang/>
        </w:rPr>
      </w:pPr>
      <w:r>
        <w:rPr>
          <w:rFonts w:hint="eastAsia" w:ascii="宋体" w:hAnsi="宋体" w:eastAsia="宋体" w:cs="宋体"/>
          <w:b/>
          <w:color w:val="000000"/>
          <w:kern w:val="44"/>
          <w:sz w:val="44"/>
          <w:szCs w:val="44"/>
          <w:lang w:bidi="ar"/>
        </w:rPr>
        <w:br w:type="page"/>
      </w:r>
      <w:bookmarkStart w:id="127" w:name="_Toc41656131"/>
      <w:r>
        <w:rPr>
          <w:rFonts w:hint="default" w:ascii="Times New Roman" w:hAnsi="Times New Roman" w:cs="Times New Roman"/>
          <w:color w:val="000000"/>
          <w:lang w:eastAsia="zh-CN"/>
        </w:rPr>
        <w:t>3</w:t>
      </w:r>
      <w:r>
        <w:rPr>
          <w:rFonts w:hint="default" w:ascii="Times New Roman" w:hAnsi="Times New Roman" w:cs="Times New Roman"/>
          <w:color w:val="000000"/>
          <w:lang/>
        </w:rPr>
        <w:t xml:space="preserve">. </w:t>
      </w:r>
      <w:r>
        <w:rPr>
          <w:rFonts w:ascii="Times New Roman" w:hAnsi="Times New Roman" w:cs="Times New Roman"/>
          <w:color w:val="000000"/>
          <w:lang/>
        </w:rPr>
        <w:t>工程分析</w:t>
      </w:r>
      <w:bookmarkEnd w:id="127"/>
    </w:p>
    <w:p>
      <w:pPr>
        <w:pStyle w:val="8"/>
        <w:widowControl/>
        <w:rPr>
          <w:color w:val="000000"/>
          <w:lang/>
        </w:rPr>
      </w:pPr>
      <w:bookmarkStart w:id="128" w:name="_Toc41656132"/>
      <w:r>
        <w:rPr>
          <w:color w:val="000000"/>
          <w:lang/>
        </w:rPr>
        <w:t xml:space="preserve">3.1 </w:t>
      </w:r>
      <w:r>
        <w:rPr>
          <w:rFonts w:hint="eastAsia" w:ascii="Times New Roman" w:hAnsi="Times New Roman" w:eastAsia="宋体" w:cs="宋体"/>
          <w:color w:val="000000"/>
          <w:lang w:eastAsia="zh-CN"/>
        </w:rPr>
        <w:t>建设项目概况</w:t>
      </w:r>
      <w:bookmarkEnd w:id="128"/>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 xml:space="preserve">.1 </w:t>
      </w:r>
      <w:r>
        <w:rPr>
          <w:rFonts w:ascii="Times New Roman" w:hAnsi="Times New Roman" w:cs="Times New Roman"/>
          <w:color w:val="000000"/>
          <w:lang/>
        </w:rPr>
        <w:t>工程概况</w:t>
      </w:r>
    </w:p>
    <w:p>
      <w:pPr>
        <w:keepNext w:val="0"/>
        <w:keepLines w:val="0"/>
        <w:widowControl/>
        <w:suppressLineNumbers w:val="0"/>
        <w:spacing w:before="0" w:beforeAutospacing="0" w:after="0" w:afterAutospacing="0" w:line="500" w:lineRule="exact"/>
        <w:ind w:left="0" w:right="6" w:firstLine="482" w:firstLineChars="200"/>
        <w:jc w:val="both"/>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）项目名称</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bookmarkStart w:id="129" w:name="_Hlk40690163"/>
      <w:r>
        <w:rPr>
          <w:rFonts w:hint="eastAsia" w:ascii="Times New Roman" w:hAnsi="Times New Roman" w:eastAsia="宋体" w:cs="Times New Roman"/>
          <w:color w:val="000000"/>
          <w:kern w:val="0"/>
          <w:sz w:val="24"/>
          <w:szCs w:val="24"/>
          <w:lang w:val="en-US" w:eastAsia="zh-CN" w:bidi="ar"/>
        </w:rPr>
        <w:t>辽宁铧宇废旧金属再生利用有限公司年处理</w:t>
      </w:r>
      <w:r>
        <w:rPr>
          <w:rFonts w:hint="default" w:ascii="Times New Roman" w:hAnsi="Times New Roman" w:eastAsia="宋体" w:cs="Times New Roman"/>
          <w:color w:val="000000"/>
          <w:kern w:val="0"/>
          <w:sz w:val="24"/>
          <w:szCs w:val="24"/>
          <w:lang w:val="en-US" w:eastAsia="zh-CN" w:bidi="ar"/>
        </w:rPr>
        <w:t>125</w:t>
      </w:r>
      <w:r>
        <w:rPr>
          <w:rFonts w:hint="eastAsia" w:ascii="Times New Roman" w:hAnsi="Times New Roman" w:eastAsia="宋体" w:cs="Times New Roman"/>
          <w:color w:val="000000"/>
          <w:kern w:val="0"/>
          <w:sz w:val="24"/>
          <w:szCs w:val="24"/>
          <w:lang w:val="en-US" w:eastAsia="zh-CN" w:bidi="ar"/>
        </w:rPr>
        <w:t>万吨菱镁矿石浮选建设项目</w:t>
      </w:r>
      <w:bookmarkEnd w:id="129"/>
    </w:p>
    <w:p>
      <w:pPr>
        <w:keepNext w:val="0"/>
        <w:keepLines w:val="0"/>
        <w:widowControl/>
        <w:suppressLineNumbers w:val="0"/>
        <w:spacing w:before="0" w:beforeAutospacing="0" w:after="0" w:afterAutospacing="0" w:line="500" w:lineRule="exact"/>
        <w:ind w:left="0" w:right="6" w:firstLine="482" w:firstLineChars="200"/>
        <w:jc w:val="both"/>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）建设单位</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bookmarkStart w:id="130" w:name="_Hlk40690256"/>
      <w:r>
        <w:rPr>
          <w:rFonts w:hint="eastAsia" w:ascii="Times New Roman" w:hAnsi="Times New Roman" w:eastAsia="宋体" w:cs="Times New Roman"/>
          <w:color w:val="000000"/>
          <w:kern w:val="0"/>
          <w:sz w:val="24"/>
          <w:szCs w:val="24"/>
          <w:lang w:val="en-US" w:eastAsia="zh-CN" w:bidi="ar"/>
        </w:rPr>
        <w:t>辽宁铧宇废旧金属再生利用有限公司</w:t>
      </w:r>
      <w:bookmarkEnd w:id="130"/>
    </w:p>
    <w:p>
      <w:pPr>
        <w:keepNext w:val="0"/>
        <w:keepLines w:val="0"/>
        <w:widowControl/>
        <w:suppressLineNumbers w:val="0"/>
        <w:spacing w:before="0" w:beforeAutospacing="0" w:after="0" w:afterAutospacing="0" w:line="500" w:lineRule="exact"/>
        <w:ind w:left="0" w:right="6" w:firstLine="482" w:firstLineChars="200"/>
        <w:jc w:val="both"/>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）项目性质</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扩建</w:t>
      </w:r>
    </w:p>
    <w:p>
      <w:pPr>
        <w:keepNext w:val="0"/>
        <w:keepLines w:val="0"/>
        <w:widowControl/>
        <w:suppressLineNumbers w:val="0"/>
        <w:spacing w:before="0" w:beforeAutospacing="0" w:after="0" w:afterAutospacing="0" w:line="500" w:lineRule="exact"/>
        <w:ind w:left="0" w:right="6" w:firstLine="482" w:firstLineChars="200"/>
        <w:jc w:val="both"/>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4</w:t>
      </w:r>
      <w:r>
        <w:rPr>
          <w:rFonts w:hint="eastAsia" w:ascii="Times New Roman" w:hAnsi="Times New Roman" w:eastAsia="宋体" w:cs="Times New Roman"/>
          <w:b/>
          <w:bCs w:val="0"/>
          <w:color w:val="000000"/>
          <w:kern w:val="0"/>
          <w:sz w:val="24"/>
          <w:szCs w:val="24"/>
          <w:lang w:val="en-US" w:eastAsia="zh-CN" w:bidi="ar"/>
        </w:rPr>
        <w:t>）建设位置</w:t>
      </w:r>
    </w:p>
    <w:p>
      <w:pPr>
        <w:pStyle w:val="27"/>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bookmarkStart w:id="131" w:name="_Hlk32822585"/>
      <w:bookmarkStart w:id="132" w:name="_Hlk40690183"/>
      <w:r>
        <w:rPr>
          <w:rFonts w:hint="eastAsia" w:ascii="Times New Roman" w:hAnsi="Times New Roman" w:eastAsia="宋体" w:cs="Times New Roman"/>
          <w:color w:val="000000"/>
          <w:kern w:val="0"/>
          <w:sz w:val="24"/>
          <w:szCs w:val="24"/>
          <w:lang w:val="en-US" w:eastAsia="zh-CN" w:bidi="ar"/>
        </w:rPr>
        <w:t>辽宁省</w:t>
      </w:r>
      <w:bookmarkEnd w:id="131"/>
      <w:r>
        <w:rPr>
          <w:rFonts w:hint="eastAsia" w:ascii="Times New Roman" w:hAnsi="Times New Roman" w:eastAsia="宋体" w:cs="Times New Roman"/>
          <w:color w:val="000000"/>
          <w:kern w:val="0"/>
          <w:sz w:val="24"/>
          <w:szCs w:val="24"/>
          <w:lang w:val="en-US" w:eastAsia="zh-CN" w:bidi="ar"/>
        </w:rPr>
        <w:t>海城市八里镇铧子峪村</w:t>
      </w:r>
      <w:bookmarkEnd w:id="132"/>
    </w:p>
    <w:p>
      <w:pPr>
        <w:keepNext w:val="0"/>
        <w:keepLines w:val="0"/>
        <w:widowControl/>
        <w:suppressLineNumbers w:val="0"/>
        <w:spacing w:before="0" w:beforeAutospacing="0" w:after="0" w:afterAutospacing="0" w:line="500" w:lineRule="exact"/>
        <w:ind w:left="0" w:right="6" w:firstLine="482" w:firstLineChars="200"/>
        <w:jc w:val="both"/>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5</w:t>
      </w:r>
      <w:r>
        <w:rPr>
          <w:rFonts w:hint="eastAsia" w:ascii="Times New Roman" w:hAnsi="Times New Roman" w:eastAsia="宋体" w:cs="Times New Roman"/>
          <w:b/>
          <w:bCs w:val="0"/>
          <w:color w:val="000000"/>
          <w:kern w:val="0"/>
          <w:sz w:val="24"/>
          <w:szCs w:val="24"/>
          <w:lang w:val="en-US" w:eastAsia="zh-CN" w:bidi="ar"/>
        </w:rPr>
        <w:t>）投资总额及环保投资</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本项目投资总额为</w:t>
      </w:r>
      <w:r>
        <w:rPr>
          <w:rFonts w:hint="default" w:ascii="Times New Roman" w:hAnsi="Times New Roman" w:eastAsia="宋体" w:cs="Times New Roman"/>
          <w:color w:val="000000"/>
          <w:kern w:val="0"/>
          <w:sz w:val="24"/>
          <w:szCs w:val="24"/>
          <w:lang w:val="en-US" w:eastAsia="zh-CN" w:bidi="ar"/>
        </w:rPr>
        <w:t>6000</w:t>
      </w:r>
      <w:r>
        <w:rPr>
          <w:rFonts w:hint="eastAsia" w:ascii="Times New Roman" w:hAnsi="Times New Roman" w:eastAsia="宋体" w:cs="Times New Roman"/>
          <w:color w:val="000000"/>
          <w:kern w:val="0"/>
          <w:sz w:val="24"/>
          <w:szCs w:val="24"/>
          <w:lang w:val="en-US" w:eastAsia="zh-CN" w:bidi="ar"/>
        </w:rPr>
        <w:t>万元人民币，其中环保投资</w:t>
      </w:r>
      <w:r>
        <w:rPr>
          <w:rFonts w:hint="default" w:ascii="Times New Roman" w:hAnsi="Times New Roman" w:eastAsia="宋体" w:cs="Times New Roman"/>
          <w:color w:val="000000"/>
          <w:kern w:val="0"/>
          <w:sz w:val="24"/>
          <w:szCs w:val="24"/>
          <w:lang w:val="en-US" w:eastAsia="zh-CN" w:bidi="ar"/>
        </w:rPr>
        <w:t>626</w:t>
      </w:r>
      <w:r>
        <w:rPr>
          <w:rFonts w:hint="eastAsia" w:ascii="Times New Roman" w:hAnsi="Times New Roman" w:eastAsia="宋体" w:cs="Times New Roman"/>
          <w:color w:val="000000"/>
          <w:kern w:val="0"/>
          <w:sz w:val="24"/>
          <w:szCs w:val="24"/>
          <w:lang w:val="en-US" w:eastAsia="zh-CN" w:bidi="ar"/>
        </w:rPr>
        <w:t>万元，约占投资总额的</w:t>
      </w:r>
      <w:r>
        <w:rPr>
          <w:rFonts w:hint="default" w:ascii="Times New Roman" w:hAnsi="Times New Roman" w:eastAsia="宋体" w:cs="Times New Roman"/>
          <w:color w:val="000000"/>
          <w:kern w:val="0"/>
          <w:sz w:val="24"/>
          <w:szCs w:val="24"/>
          <w:lang w:val="en-US" w:eastAsia="zh-CN" w:bidi="ar"/>
        </w:rPr>
        <w:t>10.4%</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6" w:firstLine="482" w:firstLineChars="200"/>
        <w:jc w:val="both"/>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6</w:t>
      </w:r>
      <w:r>
        <w:rPr>
          <w:rFonts w:hint="eastAsia" w:ascii="Times New Roman" w:hAnsi="Times New Roman" w:eastAsia="宋体" w:cs="Times New Roman"/>
          <w:b/>
          <w:bCs w:val="0"/>
          <w:color w:val="000000"/>
          <w:kern w:val="0"/>
          <w:sz w:val="24"/>
          <w:szCs w:val="24"/>
          <w:lang w:val="en-US" w:eastAsia="zh-CN" w:bidi="ar"/>
        </w:rPr>
        <w:t>）劳动定员及班制</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本项目生产、管理人员均为新增，与现有工程无交叉，新增劳动定员</w:t>
      </w:r>
      <w:r>
        <w:rPr>
          <w:rFonts w:hint="default" w:ascii="Times New Roman" w:hAnsi="Times New Roman" w:eastAsia="宋体" w:cs="Times New Roman"/>
          <w:color w:val="000000"/>
          <w:kern w:val="0"/>
          <w:sz w:val="24"/>
          <w:szCs w:val="24"/>
          <w:lang w:val="en-US" w:eastAsia="zh-CN" w:bidi="ar"/>
        </w:rPr>
        <w:t>80</w:t>
      </w:r>
      <w:r>
        <w:rPr>
          <w:rFonts w:hint="eastAsia" w:ascii="Times New Roman" w:hAnsi="Times New Roman" w:eastAsia="宋体" w:cs="Times New Roman"/>
          <w:color w:val="000000"/>
          <w:kern w:val="0"/>
          <w:sz w:val="24"/>
          <w:szCs w:val="24"/>
          <w:lang w:val="en-US" w:eastAsia="zh-CN" w:bidi="ar"/>
        </w:rPr>
        <w:t>人，年工作</w:t>
      </w:r>
      <w:r>
        <w:rPr>
          <w:rFonts w:hint="default" w:ascii="Times New Roman" w:hAnsi="Times New Roman" w:eastAsia="宋体" w:cs="Times New Roman"/>
          <w:color w:val="000000"/>
          <w:kern w:val="0"/>
          <w:sz w:val="24"/>
          <w:szCs w:val="24"/>
          <w:lang w:val="en-US" w:eastAsia="zh-CN" w:bidi="ar"/>
        </w:rPr>
        <w:t>300</w:t>
      </w:r>
      <w:r>
        <w:rPr>
          <w:rFonts w:hint="eastAsia" w:ascii="Times New Roman" w:hAnsi="Times New Roman" w:eastAsia="宋体" w:cs="Times New Roman"/>
          <w:color w:val="000000"/>
          <w:kern w:val="0"/>
          <w:sz w:val="24"/>
          <w:szCs w:val="24"/>
          <w:lang w:val="en-US" w:eastAsia="zh-CN" w:bidi="ar"/>
        </w:rPr>
        <w:t>天，四班三运转，每班工作</w:t>
      </w:r>
      <w:r>
        <w:rPr>
          <w:rFonts w:hint="default" w:ascii="Times New Roman" w:hAnsi="Times New Roman" w:eastAsia="宋体" w:cs="Times New Roman"/>
          <w:color w:val="000000"/>
          <w:kern w:val="0"/>
          <w:sz w:val="24"/>
          <w:szCs w:val="24"/>
          <w:lang w:val="en-US" w:eastAsia="zh-CN" w:bidi="ar"/>
        </w:rPr>
        <w:t>8</w:t>
      </w:r>
      <w:r>
        <w:rPr>
          <w:rFonts w:hint="eastAsia" w:ascii="Times New Roman" w:hAnsi="Times New Roman" w:eastAsia="宋体" w:cs="Times New Roman"/>
          <w:color w:val="000000"/>
          <w:kern w:val="0"/>
          <w:sz w:val="24"/>
          <w:szCs w:val="24"/>
          <w:lang w:val="en-US" w:eastAsia="zh-CN" w:bidi="ar"/>
        </w:rPr>
        <w:t>小时。</w:t>
      </w:r>
    </w:p>
    <w:p>
      <w:pPr>
        <w:keepNext w:val="0"/>
        <w:keepLines w:val="0"/>
        <w:widowControl/>
        <w:suppressLineNumbers w:val="0"/>
        <w:spacing w:before="0" w:beforeAutospacing="0" w:after="0" w:afterAutospacing="0" w:line="500" w:lineRule="exact"/>
        <w:ind w:left="0" w:right="6" w:firstLine="482" w:firstLineChars="200"/>
        <w:jc w:val="both"/>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7</w:t>
      </w:r>
      <w:r>
        <w:rPr>
          <w:rFonts w:hint="eastAsia" w:ascii="Times New Roman" w:hAnsi="Times New Roman" w:eastAsia="宋体" w:cs="Times New Roman"/>
          <w:b/>
          <w:bCs w:val="0"/>
          <w:color w:val="000000"/>
          <w:kern w:val="0"/>
          <w:sz w:val="24"/>
          <w:szCs w:val="24"/>
          <w:lang w:val="en-US" w:eastAsia="zh-CN" w:bidi="ar"/>
        </w:rPr>
        <w:t>）建设周期</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本项目建设周期为</w:t>
      </w:r>
      <w:r>
        <w:rPr>
          <w:rFonts w:hint="default" w:ascii="Times New Roman" w:hAnsi="Times New Roman" w:eastAsia="宋体" w:cs="Times New Roman"/>
          <w:color w:val="000000"/>
          <w:kern w:val="0"/>
          <w:sz w:val="24"/>
          <w:szCs w:val="24"/>
          <w:lang w:val="en-US" w:eastAsia="zh-CN" w:bidi="ar"/>
        </w:rPr>
        <w:t>0.5</w:t>
      </w:r>
      <w:r>
        <w:rPr>
          <w:rFonts w:hint="eastAsia" w:ascii="Times New Roman" w:hAnsi="Times New Roman" w:eastAsia="宋体" w:cs="Times New Roman"/>
          <w:color w:val="000000"/>
          <w:kern w:val="0"/>
          <w:sz w:val="24"/>
          <w:szCs w:val="24"/>
          <w:lang w:val="en-US" w:eastAsia="zh-CN" w:bidi="ar"/>
        </w:rPr>
        <w:t>年，土建施工</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个月。</w:t>
      </w:r>
    </w:p>
    <w:p>
      <w:pPr>
        <w:pStyle w:val="9"/>
        <w:widowControl/>
        <w:rPr>
          <w:rFonts w:hint="default" w:ascii="Times New Roman" w:hAnsi="Times New Roman" w:cs="Times New Roman"/>
          <w:color w:val="000000"/>
          <w:lang w:eastAsia="zh-CN"/>
        </w:rPr>
      </w:pPr>
      <w:r>
        <w:rPr>
          <w:rFonts w:hint="default" w:ascii="Times New Roman" w:hAnsi="Times New Roman" w:cs="Times New Roman"/>
          <w:color w:val="000000"/>
          <w:lang w:eastAsia="zh-CN"/>
        </w:rPr>
        <w:t xml:space="preserve">3.1.2 </w:t>
      </w:r>
      <w:r>
        <w:rPr>
          <w:rFonts w:ascii="Times New Roman" w:hAnsi="Times New Roman" w:cs="Times New Roman"/>
          <w:color w:val="000000"/>
          <w:lang w:eastAsia="zh-CN"/>
        </w:rPr>
        <w:t>建设内容</w:t>
      </w:r>
    </w:p>
    <w:p>
      <w:pPr>
        <w:pStyle w:val="233"/>
        <w:widowControl/>
        <w:ind w:left="0" w:firstLine="480"/>
        <w:rPr>
          <w:rFonts w:hint="default" w:ascii="Times New Roman" w:hAnsi="Times New Roman" w:cs="Times New Roman"/>
          <w:color w:val="000000"/>
          <w:lang w:val="en-US"/>
        </w:rPr>
      </w:pPr>
      <w:r>
        <w:rPr>
          <w:rFonts w:ascii="Times New Roman" w:hAnsi="Times New Roman" w:cs="Times New Roman"/>
          <w:color w:val="000000"/>
          <w:lang w:eastAsia="zh-CN"/>
        </w:rPr>
        <w:t>本项目新增年处理能力</w:t>
      </w:r>
      <w:r>
        <w:rPr>
          <w:rFonts w:hint="default" w:ascii="Times New Roman" w:hAnsi="Times New Roman" w:cs="Times New Roman"/>
          <w:color w:val="000000"/>
          <w:lang w:val="en-US"/>
        </w:rPr>
        <w:t>125</w:t>
      </w:r>
      <w:r>
        <w:rPr>
          <w:rFonts w:ascii="Times New Roman" w:hAnsi="Times New Roman" w:cs="Times New Roman"/>
          <w:color w:val="000000"/>
          <w:lang w:eastAsia="zh-CN"/>
        </w:rPr>
        <w:t>万吨</w:t>
      </w:r>
      <w:r>
        <w:rPr>
          <w:rFonts w:hint="default" w:ascii="Times New Roman" w:hAnsi="Times New Roman" w:cs="Times New Roman"/>
          <w:color w:val="000000"/>
          <w:lang w:val="en-US"/>
        </w:rPr>
        <w:t>/</w:t>
      </w:r>
      <w:r>
        <w:rPr>
          <w:rFonts w:ascii="Times New Roman" w:hAnsi="Times New Roman" w:cs="Times New Roman"/>
          <w:color w:val="000000"/>
          <w:lang w:eastAsia="zh-CN"/>
        </w:rPr>
        <w:t>年的菱镁矿浮选生产线，用地</w:t>
      </w:r>
      <w:r>
        <w:rPr>
          <w:rFonts w:hint="default" w:ascii="Times New Roman" w:hAnsi="Times New Roman" w:cs="Times New Roman"/>
          <w:color w:val="000000"/>
          <w:lang w:val="en-US"/>
        </w:rPr>
        <w:t>30000m</w:t>
      </w:r>
      <w:r>
        <w:rPr>
          <w:rFonts w:hint="default" w:ascii="Times New Roman" w:hAnsi="Times New Roman" w:cs="Times New Roman"/>
          <w:color w:val="000000"/>
          <w:vertAlign w:val="superscript"/>
          <w:lang w:val="en-US"/>
        </w:rPr>
        <w:t>2</w:t>
      </w:r>
      <w:r>
        <w:rPr>
          <w:rFonts w:ascii="Times New Roman" w:hAnsi="Times New Roman" w:cs="Times New Roman"/>
          <w:color w:val="000000"/>
          <w:lang w:eastAsia="zh-CN"/>
        </w:rPr>
        <w:t>，建筑物占地面积约</w:t>
      </w:r>
      <w:r>
        <w:rPr>
          <w:rFonts w:hint="default" w:ascii="Times New Roman" w:hAnsi="Times New Roman" w:cs="Times New Roman"/>
          <w:color w:val="000000"/>
          <w:lang w:val="en-US"/>
        </w:rPr>
        <w:t>11334m</w:t>
      </w:r>
      <w:r>
        <w:rPr>
          <w:rFonts w:hint="default" w:ascii="Times New Roman" w:hAnsi="Times New Roman" w:cs="Times New Roman"/>
          <w:color w:val="000000"/>
          <w:vertAlign w:val="superscript"/>
          <w:lang w:val="en-US"/>
        </w:rPr>
        <w:t>2</w:t>
      </w:r>
      <w:r>
        <w:rPr>
          <w:rFonts w:ascii="Times New Roman" w:hAnsi="Times New Roman" w:cs="Times New Roman"/>
          <w:color w:val="000000"/>
          <w:lang w:eastAsia="zh-CN"/>
        </w:rPr>
        <w:t>，较现有工程建筑面积新增</w:t>
      </w:r>
      <w:r>
        <w:rPr>
          <w:rFonts w:hint="default" w:ascii="Times New Roman" w:hAnsi="Times New Roman" w:cs="Times New Roman"/>
          <w:color w:val="000000"/>
          <w:lang w:val="en-US"/>
        </w:rPr>
        <w:t>11334m</w:t>
      </w:r>
      <w:r>
        <w:rPr>
          <w:rFonts w:hint="default" w:ascii="Times New Roman" w:hAnsi="Times New Roman" w:cs="Times New Roman"/>
          <w:color w:val="000000"/>
          <w:vertAlign w:val="superscript"/>
          <w:lang w:val="en-US"/>
        </w:rPr>
        <w:t>2</w:t>
      </w:r>
      <w:r>
        <w:rPr>
          <w:rFonts w:ascii="Times New Roman" w:hAnsi="Times New Roman" w:cs="Times New Roman"/>
          <w:color w:val="000000"/>
          <w:lang w:eastAsia="zh-CN"/>
        </w:rPr>
        <w:t>，与现有浮选工程分为两个区域独立建设，无依托现有建构筑物，无依托现有工程建设内容。本项目新增建构筑物明细见表</w:t>
      </w:r>
      <w:r>
        <w:rPr>
          <w:rFonts w:hint="default" w:ascii="Times New Roman" w:hAnsi="Times New Roman" w:cs="Times New Roman"/>
          <w:color w:val="000000"/>
          <w:lang w:val="en-US"/>
        </w:rPr>
        <w:t>3.1-1</w:t>
      </w:r>
      <w:r>
        <w:rPr>
          <w:rFonts w:ascii="Times New Roman" w:hAnsi="Times New Roman" w:cs="Times New Roman"/>
          <w:color w:val="000000"/>
          <w:lang w:eastAsia="zh-CN"/>
        </w:rPr>
        <w:t>，工程组成见表</w:t>
      </w:r>
      <w:r>
        <w:rPr>
          <w:rFonts w:hint="default" w:ascii="Times New Roman" w:hAnsi="Times New Roman" w:cs="Times New Roman"/>
          <w:color w:val="000000"/>
          <w:lang w:val="en-US"/>
        </w:rPr>
        <w:t>3.1-2</w:t>
      </w:r>
      <w:r>
        <w:rPr>
          <w:rFonts w:ascii="Times New Roman" w:hAnsi="Times New Roman" w:cs="Times New Roman"/>
          <w:color w:val="000000"/>
          <w:lang w:eastAsia="zh-CN"/>
        </w:rPr>
        <w:t>。</w:t>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3.1-1  </w:t>
      </w:r>
      <w:r>
        <w:rPr>
          <w:rFonts w:hint="eastAsia" w:ascii="Times New Roman" w:hAnsi="Times New Roman" w:eastAsia="黑体" w:cs="Times New Roman"/>
          <w:color w:val="000000"/>
          <w:kern w:val="0"/>
          <w:sz w:val="24"/>
          <w:szCs w:val="24"/>
          <w:lang w:val="en-US" w:eastAsia="zh-CN" w:bidi="ar"/>
        </w:rPr>
        <w:t>本项目建构筑物明细一览表</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shd w:val="clear"/>
        <w:tblLayout w:type="autofit"/>
        <w:tblCellMar>
          <w:top w:w="0" w:type="dxa"/>
          <w:left w:w="108" w:type="dxa"/>
          <w:bottom w:w="0" w:type="dxa"/>
          <w:right w:w="108" w:type="dxa"/>
        </w:tblCellMar>
      </w:tblPr>
      <w:tblGrid>
        <w:gridCol w:w="803"/>
        <w:gridCol w:w="1379"/>
        <w:gridCol w:w="1758"/>
        <w:gridCol w:w="1278"/>
        <w:gridCol w:w="1559"/>
        <w:gridCol w:w="993"/>
        <w:gridCol w:w="957"/>
      </w:tblGrid>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shd w:val="clear"/>
          <w:tblCellMar>
            <w:top w:w="0" w:type="dxa"/>
            <w:left w:w="108" w:type="dxa"/>
            <w:bottom w:w="0" w:type="dxa"/>
            <w:right w:w="108" w:type="dxa"/>
          </w:tblCellMar>
        </w:tblPrEx>
        <w:trPr>
          <w:trHeight w:val="340" w:hRule="atLeast"/>
          <w:tblHeader/>
          <w:jc w:val="center"/>
        </w:trPr>
        <w:tc>
          <w:tcPr>
            <w:tcW w:w="460" w:type="pct"/>
            <w:tcBorders>
              <w:top w:val="thinThickSmallGap" w:color="auto" w:sz="12" w:space="0"/>
              <w:left w:val="nil"/>
              <w:bottom w:val="single" w:color="auto" w:sz="2" w:space="0"/>
              <w:right w:val="single" w:color="auto" w:sz="2" w:space="0"/>
            </w:tcBorders>
            <w:shd w:val="clear" w:color="auto" w:fill="E0E0E0"/>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序号</w:t>
            </w:r>
          </w:p>
        </w:tc>
        <w:tc>
          <w:tcPr>
            <w:tcW w:w="790" w:type="pct"/>
            <w:tcBorders>
              <w:top w:val="thinThickSmallGap" w:color="auto" w:sz="12" w:space="0"/>
              <w:left w:val="single" w:color="auto" w:sz="2" w:space="0"/>
              <w:bottom w:val="single" w:color="auto" w:sz="2" w:space="0"/>
              <w:right w:val="single" w:color="auto" w:sz="2" w:space="0"/>
            </w:tcBorders>
            <w:shd w:val="clear" w:color="auto" w:fill="E0E0E0"/>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建构筑物名称</w:t>
            </w:r>
          </w:p>
        </w:tc>
        <w:tc>
          <w:tcPr>
            <w:tcW w:w="1007" w:type="pct"/>
            <w:tcBorders>
              <w:top w:val="thinThickSmallGap" w:color="auto" w:sz="12" w:space="0"/>
              <w:left w:val="single" w:color="auto" w:sz="2" w:space="0"/>
              <w:bottom w:val="single" w:color="auto" w:sz="2" w:space="0"/>
              <w:right w:val="single" w:color="auto" w:sz="2" w:space="0"/>
            </w:tcBorders>
            <w:shd w:val="clear" w:color="auto" w:fill="E0E0E0"/>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建筑物占地面积</w:t>
            </w:r>
          </w:p>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m</w:t>
            </w:r>
            <w:r>
              <w:rPr>
                <w:rFonts w:hint="default" w:ascii="Times New Roman" w:hAnsi="Times New Roman" w:eastAsia="宋体" w:cs="Times New Roman"/>
                <w:color w:val="000000"/>
                <w:kern w:val="0"/>
                <w:sz w:val="21"/>
                <w:szCs w:val="21"/>
                <w:bdr w:val="none" w:color="auto" w:sz="0" w:space="0"/>
                <w:vertAlign w:val="superscript"/>
                <w:lang w:val="en-US" w:eastAsia="zh-CN" w:bidi="ar"/>
              </w:rPr>
              <w:t>2</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732" w:type="pct"/>
            <w:tcBorders>
              <w:top w:val="thinThickSmallGap" w:color="auto" w:sz="12" w:space="0"/>
              <w:left w:val="single" w:color="auto" w:sz="2" w:space="0"/>
              <w:bottom w:val="single" w:color="auto" w:sz="2" w:space="0"/>
              <w:right w:val="single" w:color="auto" w:sz="2" w:space="0"/>
            </w:tcBorders>
            <w:shd w:val="clear" w:color="auto" w:fill="E0E0E0"/>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层数（层）</w:t>
            </w:r>
          </w:p>
        </w:tc>
        <w:tc>
          <w:tcPr>
            <w:tcW w:w="893" w:type="pct"/>
            <w:tcBorders>
              <w:top w:val="thinThickSmallGap" w:color="auto" w:sz="12" w:space="0"/>
              <w:left w:val="single" w:color="auto" w:sz="2" w:space="0"/>
              <w:bottom w:val="single" w:color="auto" w:sz="2" w:space="0"/>
              <w:right w:val="single" w:color="auto" w:sz="2" w:space="0"/>
            </w:tcBorders>
            <w:shd w:val="clear" w:color="auto" w:fill="E0E0E0"/>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长×宽×高（</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569" w:type="pct"/>
            <w:tcBorders>
              <w:top w:val="thinThickSmallGap" w:color="auto" w:sz="12" w:space="0"/>
              <w:left w:val="single" w:color="auto" w:sz="2" w:space="0"/>
              <w:bottom w:val="single" w:color="auto" w:sz="2" w:space="0"/>
              <w:right w:val="single" w:color="auto" w:sz="2" w:space="0"/>
            </w:tcBorders>
            <w:shd w:val="clear" w:color="auto" w:fill="E0E0E0"/>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结构</w:t>
            </w:r>
          </w:p>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形式</w:t>
            </w:r>
          </w:p>
        </w:tc>
        <w:tc>
          <w:tcPr>
            <w:tcW w:w="548" w:type="pct"/>
            <w:tcBorders>
              <w:top w:val="thinThickSmallGap" w:color="auto" w:sz="12" w:space="0"/>
              <w:left w:val="single" w:color="auto" w:sz="2" w:space="0"/>
              <w:bottom w:val="single" w:color="auto" w:sz="2" w:space="0"/>
              <w:right w:val="nil"/>
            </w:tcBorders>
            <w:shd w:val="clear" w:color="auto" w:fill="E0E0E0"/>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备注</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60"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790"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破碎车间</w:t>
            </w:r>
          </w:p>
        </w:tc>
        <w:tc>
          <w:tcPr>
            <w:tcW w:w="1007"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1400</w:t>
            </w:r>
          </w:p>
        </w:tc>
        <w:tc>
          <w:tcPr>
            <w:tcW w:w="73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893"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70</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20</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14</w:t>
            </w:r>
          </w:p>
        </w:tc>
        <w:tc>
          <w:tcPr>
            <w:tcW w:w="56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框架</w:t>
            </w:r>
          </w:p>
        </w:tc>
        <w:tc>
          <w:tcPr>
            <w:tcW w:w="548"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新建</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60"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w:t>
            </w:r>
          </w:p>
        </w:tc>
        <w:tc>
          <w:tcPr>
            <w:tcW w:w="790"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药剂车间</w:t>
            </w:r>
          </w:p>
        </w:tc>
        <w:tc>
          <w:tcPr>
            <w:tcW w:w="1007"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208</w:t>
            </w:r>
          </w:p>
        </w:tc>
        <w:tc>
          <w:tcPr>
            <w:tcW w:w="73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893"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26</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9</w:t>
            </w:r>
          </w:p>
        </w:tc>
        <w:tc>
          <w:tcPr>
            <w:tcW w:w="56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框架</w:t>
            </w:r>
          </w:p>
        </w:tc>
        <w:tc>
          <w:tcPr>
            <w:tcW w:w="548"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新建</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60"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w:t>
            </w:r>
          </w:p>
        </w:tc>
        <w:tc>
          <w:tcPr>
            <w:tcW w:w="790"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磨矿车间</w:t>
            </w:r>
          </w:p>
        </w:tc>
        <w:tc>
          <w:tcPr>
            <w:tcW w:w="1007"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832</w:t>
            </w:r>
          </w:p>
        </w:tc>
        <w:tc>
          <w:tcPr>
            <w:tcW w:w="73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893"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32</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26</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9</w:t>
            </w:r>
          </w:p>
        </w:tc>
        <w:tc>
          <w:tcPr>
            <w:tcW w:w="56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框架</w:t>
            </w:r>
          </w:p>
        </w:tc>
        <w:tc>
          <w:tcPr>
            <w:tcW w:w="548"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新建</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60"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w:t>
            </w:r>
          </w:p>
        </w:tc>
        <w:tc>
          <w:tcPr>
            <w:tcW w:w="790"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浮选车间</w:t>
            </w:r>
          </w:p>
        </w:tc>
        <w:tc>
          <w:tcPr>
            <w:tcW w:w="1007"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800</w:t>
            </w:r>
          </w:p>
        </w:tc>
        <w:tc>
          <w:tcPr>
            <w:tcW w:w="73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893"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40</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20</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9</w:t>
            </w:r>
          </w:p>
        </w:tc>
        <w:tc>
          <w:tcPr>
            <w:tcW w:w="56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框架</w:t>
            </w:r>
          </w:p>
        </w:tc>
        <w:tc>
          <w:tcPr>
            <w:tcW w:w="548"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新建</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60"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w:t>
            </w:r>
          </w:p>
        </w:tc>
        <w:tc>
          <w:tcPr>
            <w:tcW w:w="790"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过滤车间</w:t>
            </w:r>
          </w:p>
        </w:tc>
        <w:tc>
          <w:tcPr>
            <w:tcW w:w="1007"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1575</w:t>
            </w:r>
          </w:p>
        </w:tc>
        <w:tc>
          <w:tcPr>
            <w:tcW w:w="73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893"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63</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25</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9</w:t>
            </w:r>
          </w:p>
        </w:tc>
        <w:tc>
          <w:tcPr>
            <w:tcW w:w="56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框架</w:t>
            </w:r>
          </w:p>
        </w:tc>
        <w:tc>
          <w:tcPr>
            <w:tcW w:w="548"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新建</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60"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w:t>
            </w:r>
          </w:p>
        </w:tc>
        <w:tc>
          <w:tcPr>
            <w:tcW w:w="790"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原料库</w:t>
            </w:r>
          </w:p>
        </w:tc>
        <w:tc>
          <w:tcPr>
            <w:tcW w:w="1007"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900</w:t>
            </w:r>
          </w:p>
        </w:tc>
        <w:tc>
          <w:tcPr>
            <w:tcW w:w="73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893"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30</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10</w:t>
            </w:r>
          </w:p>
        </w:tc>
        <w:tc>
          <w:tcPr>
            <w:tcW w:w="56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框架</w:t>
            </w:r>
          </w:p>
        </w:tc>
        <w:tc>
          <w:tcPr>
            <w:tcW w:w="548"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新建</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60"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w:t>
            </w:r>
          </w:p>
        </w:tc>
        <w:tc>
          <w:tcPr>
            <w:tcW w:w="790"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精矿库</w:t>
            </w:r>
          </w:p>
        </w:tc>
        <w:tc>
          <w:tcPr>
            <w:tcW w:w="1007"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1260</w:t>
            </w:r>
          </w:p>
        </w:tc>
        <w:tc>
          <w:tcPr>
            <w:tcW w:w="73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893"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42</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30</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10</w:t>
            </w:r>
          </w:p>
        </w:tc>
        <w:tc>
          <w:tcPr>
            <w:tcW w:w="56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框架</w:t>
            </w:r>
          </w:p>
        </w:tc>
        <w:tc>
          <w:tcPr>
            <w:tcW w:w="548"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新建</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60"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w:t>
            </w:r>
          </w:p>
        </w:tc>
        <w:tc>
          <w:tcPr>
            <w:tcW w:w="790"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尾矿库</w:t>
            </w:r>
          </w:p>
        </w:tc>
        <w:tc>
          <w:tcPr>
            <w:tcW w:w="1007"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630</w:t>
            </w:r>
          </w:p>
        </w:tc>
        <w:tc>
          <w:tcPr>
            <w:tcW w:w="73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893"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21</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30</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10</w:t>
            </w:r>
          </w:p>
        </w:tc>
        <w:tc>
          <w:tcPr>
            <w:tcW w:w="56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框架</w:t>
            </w:r>
          </w:p>
        </w:tc>
        <w:tc>
          <w:tcPr>
            <w:tcW w:w="548"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新建</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60"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w:t>
            </w:r>
          </w:p>
        </w:tc>
        <w:tc>
          <w:tcPr>
            <w:tcW w:w="790"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尾矿浓缩池</w:t>
            </w:r>
          </w:p>
        </w:tc>
        <w:tc>
          <w:tcPr>
            <w:tcW w:w="1007"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2124</w:t>
            </w:r>
          </w:p>
        </w:tc>
        <w:tc>
          <w:tcPr>
            <w:tcW w:w="73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893"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宋体" w:hAnsi="宋体" w:eastAsia="宋体" w:cs="Times New Roman"/>
                <w:color w:val="000000"/>
                <w:kern w:val="0"/>
                <w:sz w:val="21"/>
                <w:szCs w:val="21"/>
                <w:bdr w:val="none" w:color="auto" w:sz="0" w:space="0"/>
                <w:lang w:val="en-US" w:eastAsia="zh-CN" w:bidi="ar"/>
              </w:rPr>
              <w:t>Φ</w:t>
            </w:r>
            <w:r>
              <w:rPr>
                <w:rFonts w:hint="default" w:ascii="Times New Roman" w:hAnsi="Times New Roman" w:eastAsia="宋体" w:cs="Times New Roman"/>
                <w:color w:val="000000"/>
                <w:kern w:val="0"/>
                <w:sz w:val="21"/>
                <w:szCs w:val="21"/>
                <w:bdr w:val="none" w:color="auto" w:sz="0" w:space="0"/>
                <w:lang w:val="en-US" w:eastAsia="zh-CN" w:bidi="ar"/>
              </w:rPr>
              <w:t>52</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2.8</w:t>
            </w:r>
          </w:p>
        </w:tc>
        <w:tc>
          <w:tcPr>
            <w:tcW w:w="56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548"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新建</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60"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w:t>
            </w:r>
          </w:p>
        </w:tc>
        <w:tc>
          <w:tcPr>
            <w:tcW w:w="790"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循环水池</w:t>
            </w:r>
          </w:p>
        </w:tc>
        <w:tc>
          <w:tcPr>
            <w:tcW w:w="1007"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1200</w:t>
            </w:r>
          </w:p>
        </w:tc>
        <w:tc>
          <w:tcPr>
            <w:tcW w:w="73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893"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40</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30</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5</w:t>
            </w:r>
          </w:p>
        </w:tc>
        <w:tc>
          <w:tcPr>
            <w:tcW w:w="56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548"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新建</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60"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w:t>
            </w:r>
          </w:p>
        </w:tc>
        <w:tc>
          <w:tcPr>
            <w:tcW w:w="790"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新水池</w:t>
            </w:r>
          </w:p>
        </w:tc>
        <w:tc>
          <w:tcPr>
            <w:tcW w:w="1007"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160</w:t>
            </w:r>
          </w:p>
        </w:tc>
        <w:tc>
          <w:tcPr>
            <w:tcW w:w="73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893"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16</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10</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5</w:t>
            </w:r>
          </w:p>
        </w:tc>
        <w:tc>
          <w:tcPr>
            <w:tcW w:w="56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548"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新建</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60"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w:t>
            </w:r>
          </w:p>
        </w:tc>
        <w:tc>
          <w:tcPr>
            <w:tcW w:w="790"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事故水池</w:t>
            </w:r>
          </w:p>
        </w:tc>
        <w:tc>
          <w:tcPr>
            <w:tcW w:w="1007"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200</w:t>
            </w:r>
          </w:p>
        </w:tc>
        <w:tc>
          <w:tcPr>
            <w:tcW w:w="73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893"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16</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12.5</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5</w:t>
            </w:r>
          </w:p>
        </w:tc>
        <w:tc>
          <w:tcPr>
            <w:tcW w:w="56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548"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新建</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60"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w:t>
            </w:r>
          </w:p>
        </w:tc>
        <w:tc>
          <w:tcPr>
            <w:tcW w:w="790"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泵房</w:t>
            </w:r>
          </w:p>
        </w:tc>
        <w:tc>
          <w:tcPr>
            <w:tcW w:w="1007"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p>
        </w:tc>
        <w:tc>
          <w:tcPr>
            <w:tcW w:w="73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893"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8</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4</w:t>
            </w:r>
          </w:p>
        </w:tc>
        <w:tc>
          <w:tcPr>
            <w:tcW w:w="56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框架</w:t>
            </w:r>
          </w:p>
        </w:tc>
        <w:tc>
          <w:tcPr>
            <w:tcW w:w="548"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新建</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60"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14</w:t>
            </w:r>
          </w:p>
        </w:tc>
        <w:tc>
          <w:tcPr>
            <w:tcW w:w="790"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材料库</w:t>
            </w:r>
          </w:p>
        </w:tc>
        <w:tc>
          <w:tcPr>
            <w:tcW w:w="1007"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135</w:t>
            </w:r>
          </w:p>
        </w:tc>
        <w:tc>
          <w:tcPr>
            <w:tcW w:w="73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893"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9</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4</w:t>
            </w:r>
          </w:p>
        </w:tc>
        <w:tc>
          <w:tcPr>
            <w:tcW w:w="56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框架</w:t>
            </w:r>
          </w:p>
        </w:tc>
        <w:tc>
          <w:tcPr>
            <w:tcW w:w="548"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新建</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60" w:type="pct"/>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w:t>
            </w:r>
          </w:p>
        </w:tc>
        <w:tc>
          <w:tcPr>
            <w:tcW w:w="790"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办公室</w:t>
            </w:r>
          </w:p>
        </w:tc>
        <w:tc>
          <w:tcPr>
            <w:tcW w:w="1007"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80</w:t>
            </w:r>
          </w:p>
        </w:tc>
        <w:tc>
          <w:tcPr>
            <w:tcW w:w="732"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893"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10</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4</w:t>
            </w:r>
          </w:p>
        </w:tc>
        <w:tc>
          <w:tcPr>
            <w:tcW w:w="569" w:type="pct"/>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框架</w:t>
            </w:r>
          </w:p>
        </w:tc>
        <w:tc>
          <w:tcPr>
            <w:tcW w:w="548" w:type="pct"/>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spacing w:before="0" w:beforeAutospacing="0" w:after="0" w:afterAutospacing="0"/>
              <w:ind w:left="0" w:right="22"/>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新建</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50" w:type="pct"/>
            <w:gridSpan w:val="2"/>
            <w:tcBorders>
              <w:top w:val="single" w:color="auto" w:sz="2" w:space="0"/>
              <w:left w:val="nil"/>
              <w:bottom w:val="thickThinSmallGap" w:color="auto" w:sz="12" w:space="0"/>
              <w:right w:val="single" w:color="auto" w:sz="2" w:space="0"/>
            </w:tcBorders>
            <w:shd w:val="clear"/>
            <w:vAlign w:val="center"/>
          </w:tcPr>
          <w:p>
            <w:pPr>
              <w:keepNext w:val="0"/>
              <w:keepLines w:val="0"/>
              <w:widowControl/>
              <w:suppressLineNumbers w:val="0"/>
              <w:spacing w:before="0" w:beforeAutospacing="0" w:after="0" w:afterAutospacing="0"/>
              <w:ind w:left="0" w:right="23"/>
              <w:jc w:val="center"/>
              <w:rPr>
                <w:rFonts w:hint="default" w:ascii="Times New Roman" w:hAnsi="Times New Roman" w:cs="Times New Roman"/>
                <w:b/>
                <w:bCs w:val="0"/>
                <w:color w:val="000000"/>
                <w:sz w:val="21"/>
                <w:szCs w:val="21"/>
                <w:bdr w:val="none" w:color="auto" w:sz="0" w:space="0"/>
                <w:lang w:val="en-US"/>
              </w:rPr>
            </w:pPr>
            <w:r>
              <w:rPr>
                <w:rFonts w:hint="eastAsia" w:ascii="Times New Roman" w:hAnsi="Times New Roman" w:eastAsia="宋体" w:cs="Times New Roman"/>
                <w:b/>
                <w:bCs w:val="0"/>
                <w:color w:val="000000"/>
                <w:kern w:val="0"/>
                <w:sz w:val="21"/>
                <w:szCs w:val="21"/>
                <w:bdr w:val="none" w:color="auto" w:sz="0" w:space="0"/>
                <w:lang w:val="en-US" w:eastAsia="zh-CN" w:bidi="ar"/>
              </w:rPr>
              <w:t>合计</w:t>
            </w:r>
          </w:p>
        </w:tc>
        <w:tc>
          <w:tcPr>
            <w:tcW w:w="1007" w:type="pct"/>
            <w:tcBorders>
              <w:top w:val="single" w:color="auto" w:sz="2" w:space="0"/>
              <w:left w:val="single" w:color="auto" w:sz="2" w:space="0"/>
              <w:bottom w:val="thickThinSmallGap" w:color="auto" w:sz="12" w:space="0"/>
              <w:right w:val="single" w:color="auto" w:sz="2" w:space="0"/>
            </w:tcBorders>
            <w:shd w:val="clear"/>
            <w:vAlign w:val="center"/>
          </w:tcPr>
          <w:p>
            <w:pPr>
              <w:keepNext w:val="0"/>
              <w:keepLines w:val="0"/>
              <w:widowControl/>
              <w:suppressLineNumbers w:val="0"/>
              <w:spacing w:before="0" w:beforeAutospacing="0" w:after="0" w:afterAutospacing="0"/>
              <w:ind w:left="0" w:right="23"/>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eastAsia="宋体" w:cs="Times New Roman"/>
                <w:b/>
                <w:bCs w:val="0"/>
                <w:color w:val="000000"/>
                <w:kern w:val="0"/>
                <w:sz w:val="21"/>
                <w:szCs w:val="21"/>
                <w:bdr w:val="none" w:color="auto" w:sz="0" w:space="0"/>
                <w:lang w:val="en-US" w:eastAsia="zh-CN" w:bidi="ar"/>
              </w:rPr>
              <w:t>11334</w:t>
            </w:r>
          </w:p>
        </w:tc>
        <w:tc>
          <w:tcPr>
            <w:tcW w:w="732" w:type="pct"/>
            <w:tcBorders>
              <w:top w:val="single" w:color="auto" w:sz="2" w:space="0"/>
              <w:left w:val="single" w:color="auto" w:sz="2" w:space="0"/>
              <w:bottom w:val="thickThinSmallGap" w:color="auto" w:sz="12" w:space="0"/>
              <w:right w:val="single" w:color="auto" w:sz="2" w:space="0"/>
            </w:tcBorders>
            <w:shd w:val="clear"/>
            <w:vAlign w:val="center"/>
          </w:tcPr>
          <w:p>
            <w:pPr>
              <w:keepNext w:val="0"/>
              <w:keepLines w:val="0"/>
              <w:widowControl/>
              <w:suppressLineNumbers w:val="0"/>
              <w:spacing w:before="0" w:beforeAutospacing="0" w:after="0" w:afterAutospacing="0"/>
              <w:ind w:left="0" w:right="23"/>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eastAsia="宋体" w:cs="Times New Roman"/>
                <w:b/>
                <w:bCs w:val="0"/>
                <w:color w:val="000000"/>
                <w:kern w:val="0"/>
                <w:sz w:val="21"/>
                <w:szCs w:val="21"/>
                <w:bdr w:val="none" w:color="auto" w:sz="0" w:space="0"/>
                <w:lang w:val="en-US" w:eastAsia="zh-CN" w:bidi="ar"/>
              </w:rPr>
              <w:t>--</w:t>
            </w:r>
          </w:p>
        </w:tc>
        <w:tc>
          <w:tcPr>
            <w:tcW w:w="893" w:type="pct"/>
            <w:tcBorders>
              <w:top w:val="single" w:color="auto" w:sz="2" w:space="0"/>
              <w:left w:val="single" w:color="auto" w:sz="2" w:space="0"/>
              <w:bottom w:val="thickThinSmallGap" w:color="auto" w:sz="12" w:space="0"/>
              <w:right w:val="single" w:color="auto" w:sz="2" w:space="0"/>
            </w:tcBorders>
            <w:shd w:val="clear"/>
            <w:vAlign w:val="center"/>
          </w:tcPr>
          <w:p>
            <w:pPr>
              <w:keepNext w:val="0"/>
              <w:keepLines w:val="0"/>
              <w:widowControl/>
              <w:suppressLineNumbers w:val="0"/>
              <w:spacing w:before="0" w:beforeAutospacing="0" w:after="0" w:afterAutospacing="0"/>
              <w:ind w:left="0" w:right="23"/>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eastAsia="宋体" w:cs="Times New Roman"/>
                <w:b/>
                <w:bCs w:val="0"/>
                <w:color w:val="000000"/>
                <w:kern w:val="0"/>
                <w:sz w:val="21"/>
                <w:szCs w:val="21"/>
                <w:bdr w:val="none" w:color="auto" w:sz="0" w:space="0"/>
                <w:lang w:val="en-US" w:eastAsia="zh-CN" w:bidi="ar"/>
              </w:rPr>
              <w:t>--</w:t>
            </w:r>
          </w:p>
        </w:tc>
        <w:tc>
          <w:tcPr>
            <w:tcW w:w="569" w:type="pct"/>
            <w:tcBorders>
              <w:top w:val="single" w:color="auto" w:sz="2" w:space="0"/>
              <w:left w:val="single" w:color="auto" w:sz="2" w:space="0"/>
              <w:bottom w:val="thickThinSmallGap" w:color="auto" w:sz="12" w:space="0"/>
              <w:right w:val="single" w:color="auto" w:sz="2" w:space="0"/>
            </w:tcBorders>
            <w:shd w:val="clear"/>
            <w:vAlign w:val="center"/>
          </w:tcPr>
          <w:p>
            <w:pPr>
              <w:keepNext w:val="0"/>
              <w:keepLines w:val="0"/>
              <w:widowControl/>
              <w:suppressLineNumbers w:val="0"/>
              <w:spacing w:before="0" w:beforeAutospacing="0" w:after="0" w:afterAutospacing="0"/>
              <w:ind w:left="0" w:right="23"/>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eastAsia="宋体" w:cs="Times New Roman"/>
                <w:b/>
                <w:bCs w:val="0"/>
                <w:color w:val="000000"/>
                <w:kern w:val="0"/>
                <w:sz w:val="21"/>
                <w:szCs w:val="21"/>
                <w:bdr w:val="none" w:color="auto" w:sz="0" w:space="0"/>
                <w:lang w:val="en-US" w:eastAsia="zh-CN" w:bidi="ar"/>
              </w:rPr>
              <w:t>--</w:t>
            </w:r>
          </w:p>
        </w:tc>
        <w:tc>
          <w:tcPr>
            <w:tcW w:w="548" w:type="pct"/>
            <w:tcBorders>
              <w:top w:val="single" w:color="auto" w:sz="2" w:space="0"/>
              <w:left w:val="single" w:color="auto" w:sz="2"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23"/>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eastAsia="宋体" w:cs="Times New Roman"/>
                <w:b/>
                <w:bCs w:val="0"/>
                <w:color w:val="000000"/>
                <w:kern w:val="0"/>
                <w:sz w:val="21"/>
                <w:szCs w:val="21"/>
                <w:bdr w:val="none" w:color="auto" w:sz="0" w:space="0"/>
                <w:lang w:val="en-US" w:eastAsia="zh-CN" w:bidi="ar"/>
              </w:rPr>
              <w:t>--</w:t>
            </w:r>
          </w:p>
        </w:tc>
      </w:tr>
    </w:tbl>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3.1-2  </w:t>
      </w:r>
      <w:r>
        <w:rPr>
          <w:rFonts w:hint="eastAsia" w:ascii="Times New Roman" w:hAnsi="Times New Roman" w:eastAsia="黑体" w:cs="Times New Roman"/>
          <w:color w:val="000000"/>
          <w:kern w:val="0"/>
          <w:sz w:val="24"/>
          <w:szCs w:val="24"/>
          <w:lang w:val="en-US" w:eastAsia="zh-CN" w:bidi="ar"/>
        </w:rPr>
        <w:t>本项目工程组成一览表</w:t>
      </w:r>
    </w:p>
    <w:tbl>
      <w:tblPr>
        <w:tblStyle w:val="32"/>
        <w:tblW w:w="5000" w:type="pct"/>
        <w:tblInd w:w="0" w:type="dxa"/>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740"/>
        <w:gridCol w:w="1032"/>
        <w:gridCol w:w="1033"/>
        <w:gridCol w:w="5107"/>
        <w:gridCol w:w="815"/>
      </w:tblGrid>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shd w:val="clear"/>
          <w:tblCellMar>
            <w:top w:w="0" w:type="dxa"/>
            <w:left w:w="108" w:type="dxa"/>
            <w:bottom w:w="0" w:type="dxa"/>
            <w:right w:w="108" w:type="dxa"/>
          </w:tblCellMar>
        </w:tblPrEx>
        <w:trPr>
          <w:trHeight w:val="340" w:hRule="atLeast"/>
          <w:tblHeader/>
        </w:trPr>
        <w:tc>
          <w:tcPr>
            <w:tcW w:w="424" w:type="pct"/>
            <w:tcBorders>
              <w:top w:val="thinThickSmallGap" w:color="auto" w:sz="12" w:space="0"/>
              <w:left w:val="nil"/>
              <w:bottom w:val="single" w:color="auto" w:sz="6" w:space="0"/>
              <w:right w:val="single" w:color="auto" w:sz="4" w:space="0"/>
            </w:tcBorders>
            <w:shd w:val="clear" w:color="auto" w:fill="D9D9D9"/>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分类</w:t>
            </w:r>
          </w:p>
        </w:tc>
        <w:tc>
          <w:tcPr>
            <w:tcW w:w="1183" w:type="pct"/>
            <w:gridSpan w:val="2"/>
            <w:tcBorders>
              <w:top w:val="thinThickSmallGap" w:color="auto" w:sz="12" w:space="0"/>
              <w:left w:val="single" w:color="auto" w:sz="4" w:space="0"/>
              <w:bottom w:val="single" w:color="auto" w:sz="6" w:space="0"/>
              <w:right w:val="single" w:color="auto" w:sz="4" w:space="0"/>
            </w:tcBorders>
            <w:shd w:val="clear" w:color="auto" w:fill="D9D9D9"/>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项目组成</w:t>
            </w:r>
          </w:p>
        </w:tc>
        <w:tc>
          <w:tcPr>
            <w:tcW w:w="2926" w:type="pct"/>
            <w:tcBorders>
              <w:top w:val="thinThickSmallGap" w:color="auto" w:sz="12" w:space="0"/>
              <w:left w:val="single" w:color="auto" w:sz="4" w:space="0"/>
              <w:bottom w:val="single" w:color="auto" w:sz="6" w:space="0"/>
              <w:right w:val="single" w:color="auto" w:sz="4" w:space="0"/>
            </w:tcBorders>
            <w:shd w:val="clear" w:color="auto" w:fill="D9D9D9"/>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主要建设内容</w:t>
            </w:r>
          </w:p>
        </w:tc>
        <w:tc>
          <w:tcPr>
            <w:tcW w:w="467" w:type="pct"/>
            <w:tcBorders>
              <w:top w:val="thinThickSmallGap" w:color="auto" w:sz="12" w:space="0"/>
              <w:left w:val="single" w:color="auto" w:sz="4" w:space="0"/>
              <w:bottom w:val="single" w:color="auto" w:sz="6" w:space="0"/>
              <w:right w:val="nil"/>
            </w:tcBorders>
            <w:shd w:val="clear" w:color="auto" w:fill="D9D9D9"/>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备注</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restar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主体工程</w:t>
            </w: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破碎车间</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内设粗破、中破、细破等工序，包括颚式破碎机、圆锥破碎机、筛分机、输送皮带等设备</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磨矿车间</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内设球磨工序，包括湿式格子球磨机</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浮选车间</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内设反浮选机、矿浆搅拌槽等设备</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过滤车间</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内设带式过滤机、板框压滤机等设备</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尾矿浓缩池</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设一座尾矿浓缩池，容积</w:t>
            </w:r>
            <w:r>
              <w:rPr>
                <w:color w:val="000000"/>
                <w:bdr w:val="none" w:color="auto" w:sz="0" w:space="0"/>
                <w:lang w:eastAsia="zh-CN"/>
              </w:rPr>
              <w:t>5947</w:t>
            </w:r>
            <w:r>
              <w:rPr>
                <w:color w:val="000000"/>
                <w:bdr w:val="none" w:color="auto" w:sz="0" w:space="0"/>
                <w:lang/>
              </w:rPr>
              <w:t>m</w:t>
            </w:r>
            <w:r>
              <w:rPr>
                <w:color w:val="000000"/>
                <w:bdr w:val="none" w:color="auto" w:sz="0" w:space="0"/>
                <w:vertAlign w:val="superscript"/>
                <w:lang/>
              </w:rPr>
              <w:t>3</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PrEx>
        <w:trPr>
          <w:trHeight w:val="340" w:hRule="atLeast"/>
        </w:trPr>
        <w:tc>
          <w:tcPr>
            <w:tcW w:w="424" w:type="pct"/>
            <w:vMerge w:val="restar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辅助工程</w:t>
            </w: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新水池</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设一座新水池，容积</w:t>
            </w:r>
            <w:r>
              <w:rPr>
                <w:color w:val="000000"/>
                <w:bdr w:val="none" w:color="auto" w:sz="0" w:space="0"/>
                <w:lang w:eastAsia="zh-CN"/>
              </w:rPr>
              <w:t>800</w:t>
            </w:r>
            <w:r>
              <w:rPr>
                <w:color w:val="000000"/>
                <w:bdr w:val="none" w:color="auto" w:sz="0" w:space="0"/>
                <w:lang/>
              </w:rPr>
              <w:t>m</w:t>
            </w:r>
            <w:r>
              <w:rPr>
                <w:color w:val="000000"/>
                <w:bdr w:val="none" w:color="auto" w:sz="0" w:space="0"/>
                <w:vertAlign w:val="superscript"/>
                <w:lang/>
              </w:rPr>
              <w:t>3</w:t>
            </w:r>
            <w:r>
              <w:rPr>
                <w:rFonts w:hint="eastAsia" w:ascii="Times New Roman" w:hAnsi="Times New Roman" w:eastAsia="宋体" w:cs="宋体"/>
                <w:color w:val="000000"/>
                <w:bdr w:val="none" w:color="auto" w:sz="0" w:space="0"/>
                <w:lang/>
              </w:rPr>
              <w:t>，配套水泵房</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PrEx>
        <w:trPr>
          <w:trHeight w:val="340" w:hRule="atLeast"/>
        </w:trPr>
        <w:tc>
          <w:tcPr>
            <w:tcW w:w="424"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循环水池</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设一座循环水池，容积</w:t>
            </w:r>
            <w:r>
              <w:rPr>
                <w:color w:val="000000"/>
                <w:bdr w:val="none" w:color="auto" w:sz="0" w:space="0"/>
                <w:lang w:eastAsia="zh-CN"/>
              </w:rPr>
              <w:t>6000</w:t>
            </w:r>
            <w:r>
              <w:rPr>
                <w:color w:val="000000"/>
                <w:bdr w:val="none" w:color="auto" w:sz="0" w:space="0"/>
                <w:lang/>
              </w:rPr>
              <w:t>m</w:t>
            </w:r>
            <w:r>
              <w:rPr>
                <w:color w:val="000000"/>
                <w:bdr w:val="none" w:color="auto" w:sz="0" w:space="0"/>
                <w:vertAlign w:val="superscript"/>
                <w:lang/>
              </w:rPr>
              <w:t>3</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药剂车间</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内设药剂搅拌槽等设备</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办公室</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用于办公、休息</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PrEx>
        <w:trPr>
          <w:trHeight w:val="577" w:hRule="atLeast"/>
        </w:trPr>
        <w:tc>
          <w:tcPr>
            <w:tcW w:w="424" w:type="pct"/>
            <w:vMerge w:val="restar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储运工程</w:t>
            </w: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原料</w:t>
            </w:r>
            <w:r>
              <w:rPr>
                <w:rFonts w:hint="eastAsia" w:ascii="Times New Roman" w:hAnsi="Times New Roman" w:eastAsia="宋体" w:cs="宋体"/>
                <w:color w:val="000000"/>
                <w:bdr w:val="none" w:color="auto" w:sz="0" w:space="0"/>
                <w:lang w:eastAsia="zh-CN"/>
              </w:rPr>
              <w:t>库</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eastAsia="zh-CN"/>
              </w:rPr>
              <w:t>封闭原料库</w:t>
            </w:r>
            <w:r>
              <w:rPr>
                <w:rFonts w:hint="eastAsia" w:ascii="Times New Roman" w:hAnsi="Times New Roman" w:eastAsia="宋体" w:cs="宋体"/>
                <w:color w:val="000000"/>
                <w:bdr w:val="none" w:color="auto" w:sz="0" w:space="0"/>
                <w:lang/>
              </w:rPr>
              <w:t>，面积约</w:t>
            </w:r>
            <w:r>
              <w:rPr>
                <w:color w:val="000000"/>
                <w:bdr w:val="none" w:color="auto" w:sz="0" w:space="0"/>
                <w:lang w:eastAsia="zh-CN"/>
              </w:rPr>
              <w:t>9</w:t>
            </w:r>
            <w:r>
              <w:rPr>
                <w:color w:val="000000"/>
                <w:bdr w:val="none" w:color="auto" w:sz="0" w:space="0"/>
                <w:lang/>
              </w:rPr>
              <w:t>00m</w:t>
            </w:r>
            <w:r>
              <w:rPr>
                <w:color w:val="000000"/>
                <w:bdr w:val="none" w:color="auto" w:sz="0" w:space="0"/>
                <w:vertAlign w:val="superscript"/>
                <w:lang/>
              </w:rPr>
              <w:t>2</w:t>
            </w:r>
            <w:r>
              <w:rPr>
                <w:rFonts w:hint="eastAsia" w:ascii="Times New Roman" w:hAnsi="Times New Roman" w:eastAsia="宋体" w:cs="宋体"/>
                <w:color w:val="000000"/>
                <w:bdr w:val="none" w:color="auto" w:sz="0" w:space="0"/>
                <w:lang/>
              </w:rPr>
              <w:t>，用于存放原矿，最大储量</w:t>
            </w:r>
            <w:r>
              <w:rPr>
                <w:color w:val="000000"/>
                <w:bdr w:val="none" w:color="auto" w:sz="0" w:space="0"/>
                <w:lang w:eastAsia="zh-CN"/>
              </w:rPr>
              <w:t>0.75</w:t>
            </w:r>
            <w:r>
              <w:rPr>
                <w:rFonts w:hint="eastAsia" w:ascii="Times New Roman" w:hAnsi="Times New Roman" w:eastAsia="宋体" w:cs="宋体"/>
                <w:color w:val="000000"/>
                <w:bdr w:val="none" w:color="auto" w:sz="0" w:space="0"/>
                <w:lang w:eastAsia="zh-CN"/>
              </w:rPr>
              <w:t>万</w:t>
            </w:r>
            <w:r>
              <w:rPr>
                <w:rFonts w:hint="eastAsia" w:ascii="Times New Roman" w:hAnsi="Times New Roman" w:eastAsia="宋体" w:cs="宋体"/>
                <w:color w:val="000000"/>
                <w:bdr w:val="none" w:color="auto" w:sz="0" w:space="0"/>
                <w:lang/>
              </w:rPr>
              <w:t>吨</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PrEx>
        <w:trPr>
          <w:trHeight w:val="340" w:hRule="atLeast"/>
        </w:trPr>
        <w:tc>
          <w:tcPr>
            <w:tcW w:w="424"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精矿库</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封闭厂房，用于存放菱镁精矿粉，最大储量</w:t>
            </w:r>
            <w:r>
              <w:rPr>
                <w:color w:val="000000"/>
                <w:bdr w:val="none" w:color="auto" w:sz="0" w:space="0"/>
                <w:lang/>
              </w:rPr>
              <w:t>1</w:t>
            </w:r>
            <w:r>
              <w:rPr>
                <w:rFonts w:hint="eastAsia" w:ascii="Times New Roman" w:hAnsi="Times New Roman" w:eastAsia="宋体" w:cs="宋体"/>
                <w:color w:val="000000"/>
                <w:bdr w:val="none" w:color="auto" w:sz="0" w:space="0"/>
                <w:lang/>
              </w:rPr>
              <w:t>万吨</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尾矿库</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封闭厂房，用于存放菱镁尾矿粉，最大储量</w:t>
            </w:r>
            <w:r>
              <w:rPr>
                <w:color w:val="000000"/>
                <w:bdr w:val="none" w:color="auto" w:sz="0" w:space="0"/>
                <w:lang/>
              </w:rPr>
              <w:t>0.5</w:t>
            </w:r>
            <w:r>
              <w:rPr>
                <w:rFonts w:hint="eastAsia" w:ascii="Times New Roman" w:hAnsi="Times New Roman" w:eastAsia="宋体" w:cs="宋体"/>
                <w:color w:val="000000"/>
                <w:bdr w:val="none" w:color="auto" w:sz="0" w:space="0"/>
                <w:lang/>
              </w:rPr>
              <w:t>万吨</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材料库</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eastAsia="zh-CN"/>
              </w:rPr>
            </w:pPr>
            <w:r>
              <w:rPr>
                <w:rFonts w:hint="eastAsia" w:ascii="Times New Roman" w:hAnsi="Times New Roman" w:eastAsia="宋体" w:cs="宋体"/>
                <w:color w:val="000000"/>
                <w:bdr w:val="none" w:color="auto" w:sz="0" w:space="0"/>
                <w:lang/>
              </w:rPr>
              <w:t>封闭仓库，用于存放各种生产备件</w:t>
            </w:r>
            <w:r>
              <w:rPr>
                <w:rFonts w:hint="eastAsia" w:ascii="Times New Roman" w:hAnsi="Times New Roman" w:eastAsia="宋体" w:cs="宋体"/>
                <w:color w:val="000000"/>
                <w:bdr w:val="none" w:color="auto" w:sz="0" w:space="0"/>
                <w:lang w:eastAsia="zh-CN"/>
              </w:rPr>
              <w:t>，并作维修间</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厂区道路</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eastAsia="zh-CN"/>
              </w:rPr>
              <w:t>长约</w:t>
            </w:r>
            <w:r>
              <w:rPr>
                <w:color w:val="000000"/>
                <w:bdr w:val="none" w:color="auto" w:sz="0" w:space="0"/>
                <w:lang w:eastAsia="zh-CN"/>
              </w:rPr>
              <w:t>1000m</w:t>
            </w:r>
            <w:r>
              <w:rPr>
                <w:rFonts w:hint="eastAsia" w:ascii="Times New Roman" w:hAnsi="Times New Roman" w:eastAsia="宋体" w:cs="宋体"/>
                <w:color w:val="000000"/>
                <w:bdr w:val="none" w:color="auto" w:sz="0" w:space="0"/>
                <w:lang w:eastAsia="zh-CN"/>
              </w:rPr>
              <w:t>，宽约</w:t>
            </w:r>
            <w:r>
              <w:rPr>
                <w:color w:val="000000"/>
                <w:bdr w:val="none" w:color="auto" w:sz="0" w:space="0"/>
                <w:lang w:eastAsia="zh-CN"/>
              </w:rPr>
              <w:t>10m</w:t>
            </w:r>
            <w:r>
              <w:rPr>
                <w:rFonts w:hint="eastAsia" w:ascii="Times New Roman" w:hAnsi="Times New Roman" w:eastAsia="宋体" w:cs="宋体"/>
                <w:color w:val="000000"/>
                <w:bdr w:val="none" w:color="auto" w:sz="0" w:space="0"/>
                <w:lang w:eastAsia="zh-CN"/>
              </w:rPr>
              <w:t>，路面地面均</w:t>
            </w:r>
            <w:r>
              <w:rPr>
                <w:rFonts w:hint="eastAsia" w:ascii="Times New Roman" w:hAnsi="Times New Roman" w:eastAsia="宋体" w:cs="宋体"/>
                <w:color w:val="000000"/>
                <w:bdr w:val="none" w:color="auto" w:sz="0" w:space="0"/>
                <w:lang/>
              </w:rPr>
              <w:t>硬化</w:t>
            </w:r>
            <w:r>
              <w:rPr>
                <w:rFonts w:hint="eastAsia" w:ascii="Times New Roman" w:hAnsi="Times New Roman" w:eastAsia="宋体" w:cs="宋体"/>
                <w:color w:val="000000"/>
                <w:bdr w:val="none" w:color="auto" w:sz="0" w:space="0"/>
                <w:lang w:eastAsia="zh-CN"/>
              </w:rPr>
              <w:t>处理</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物料皮带输送</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各</w:t>
            </w:r>
            <w:r>
              <w:rPr>
                <w:rFonts w:hint="eastAsia" w:ascii="Times New Roman" w:hAnsi="Times New Roman" w:eastAsia="宋体" w:cs="宋体"/>
                <w:color w:val="000000"/>
                <w:bdr w:val="none" w:color="auto" w:sz="0" w:space="0"/>
                <w:lang w:eastAsia="zh-CN"/>
              </w:rPr>
              <w:t>破碎设备</w:t>
            </w:r>
            <w:r>
              <w:rPr>
                <w:rFonts w:hint="eastAsia" w:ascii="Times New Roman" w:hAnsi="Times New Roman" w:eastAsia="宋体" w:cs="宋体"/>
                <w:color w:val="000000"/>
                <w:bdr w:val="none" w:color="auto" w:sz="0" w:space="0"/>
                <w:lang/>
              </w:rPr>
              <w:t>之间均通过皮带输送系统进行物料转移</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PrEx>
        <w:trPr>
          <w:trHeight w:val="340" w:hRule="atLeast"/>
        </w:trPr>
        <w:tc>
          <w:tcPr>
            <w:tcW w:w="424" w:type="pct"/>
            <w:vMerge w:val="restar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公用工程</w:t>
            </w: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给水</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厂区内自备水井，取水证见附件，新水用量为</w:t>
            </w:r>
            <w:r>
              <w:rPr>
                <w:color w:val="000000"/>
                <w:bdr w:val="none" w:color="auto" w:sz="0" w:space="0"/>
                <w:lang/>
              </w:rPr>
              <w:t>111090m</w:t>
            </w:r>
            <w:r>
              <w:rPr>
                <w:color w:val="000000"/>
                <w:bdr w:val="none" w:color="auto" w:sz="0" w:space="0"/>
                <w:vertAlign w:val="superscript"/>
                <w:lang/>
              </w:rPr>
              <w:t>3</w:t>
            </w:r>
            <w:r>
              <w:rPr>
                <w:color w:val="000000"/>
                <w:bdr w:val="none" w:color="auto" w:sz="0" w:space="0"/>
                <w:lang/>
              </w:rPr>
              <w:t>/a</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排水</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本项目无生产废水外排；生活污水排入化粪池</w:t>
            </w:r>
            <w:r>
              <w:rPr>
                <w:rFonts w:hint="eastAsia" w:ascii="Times New Roman" w:hAnsi="Times New Roman" w:eastAsia="宋体" w:cs="宋体"/>
                <w:color w:val="000000"/>
                <w:bdr w:val="none" w:color="auto" w:sz="0" w:space="0"/>
                <w:lang w:eastAsia="zh-CN"/>
              </w:rPr>
              <w:t>（</w:t>
            </w:r>
            <w:r>
              <w:rPr>
                <w:color w:val="000000"/>
                <w:bdr w:val="none" w:color="auto" w:sz="0" w:space="0"/>
                <w:lang w:eastAsia="zh-CN"/>
              </w:rPr>
              <w:t>40m</w:t>
            </w:r>
            <w:r>
              <w:rPr>
                <w:color w:val="000000"/>
                <w:bdr w:val="none" w:color="auto" w:sz="0" w:space="0"/>
                <w:vertAlign w:val="superscript"/>
                <w:lang w:eastAsia="zh-CN"/>
              </w:rPr>
              <w:t>3</w:t>
            </w:r>
            <w:r>
              <w:rPr>
                <w:rFonts w:hint="eastAsia" w:ascii="Times New Roman" w:hAnsi="Times New Roman" w:eastAsia="宋体" w:cs="宋体"/>
                <w:color w:val="000000"/>
                <w:bdr w:val="none" w:color="auto" w:sz="0" w:space="0"/>
                <w:lang w:eastAsia="zh-CN"/>
              </w:rPr>
              <w:t>）</w:t>
            </w:r>
            <w:r>
              <w:rPr>
                <w:rFonts w:hint="eastAsia" w:ascii="Times New Roman" w:hAnsi="Times New Roman" w:eastAsia="宋体" w:cs="宋体"/>
                <w:color w:val="000000"/>
                <w:bdr w:val="none" w:color="auto" w:sz="0" w:space="0"/>
                <w:lang/>
              </w:rPr>
              <w:t>，</w:t>
            </w:r>
            <w:r>
              <w:rPr>
                <w:rFonts w:hint="eastAsia" w:ascii="宋体" w:hAnsi="宋体" w:eastAsia="宋体" w:cs="宋体"/>
                <w:color w:val="000000"/>
                <w:szCs w:val="24"/>
                <w:bdr w:val="none" w:color="auto" w:sz="0" w:space="0"/>
                <w:lang/>
              </w:rPr>
              <w:t>定期清掏，堆沤腐熟、就地就近就农利用</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供电</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本工程供电电源来自</w:t>
            </w:r>
            <w:r>
              <w:rPr>
                <w:rFonts w:hint="eastAsia" w:ascii="Times New Roman" w:hAnsi="Times New Roman" w:eastAsia="宋体" w:cs="宋体"/>
                <w:color w:val="000000"/>
                <w:bdr w:val="none" w:color="auto" w:sz="0" w:space="0"/>
                <w:lang w:eastAsia="zh-CN"/>
              </w:rPr>
              <w:t>国家电网范峪</w:t>
            </w:r>
            <w:r>
              <w:rPr>
                <w:color w:val="000000"/>
                <w:bdr w:val="none" w:color="auto" w:sz="0" w:space="0"/>
                <w:lang w:eastAsia="zh-CN"/>
              </w:rPr>
              <w:t>66</w:t>
            </w:r>
            <w:r>
              <w:rPr>
                <w:rFonts w:hint="eastAsia" w:ascii="Times New Roman" w:hAnsi="Times New Roman" w:eastAsia="宋体" w:cs="宋体"/>
                <w:color w:val="000000"/>
                <w:bdr w:val="none" w:color="auto" w:sz="0" w:space="0"/>
                <w:lang w:eastAsia="zh-CN"/>
              </w:rPr>
              <w:t>变电所，</w:t>
            </w:r>
            <w:r>
              <w:rPr>
                <w:rFonts w:hint="eastAsia" w:ascii="Times New Roman" w:hAnsi="Times New Roman" w:eastAsia="宋体" w:cs="宋体"/>
                <w:color w:val="000000"/>
                <w:bdr w:val="none" w:color="auto" w:sz="0" w:space="0"/>
                <w:lang/>
              </w:rPr>
              <w:t>年用电量约</w:t>
            </w:r>
            <w:r>
              <w:rPr>
                <w:color w:val="000000"/>
                <w:bdr w:val="none" w:color="auto" w:sz="0" w:space="0"/>
                <w:lang w:eastAsia="zh-CN"/>
              </w:rPr>
              <w:t>216</w:t>
            </w:r>
            <w:r>
              <w:rPr>
                <w:color w:val="000000"/>
                <w:bdr w:val="none" w:color="auto" w:sz="0" w:space="0"/>
                <w:lang/>
              </w:rPr>
              <w:t>0</w:t>
            </w:r>
            <w:r>
              <w:rPr>
                <w:rFonts w:hint="eastAsia" w:ascii="Times New Roman" w:hAnsi="Times New Roman" w:eastAsia="宋体" w:cs="宋体"/>
                <w:color w:val="000000"/>
                <w:bdr w:val="none" w:color="auto" w:sz="0" w:space="0"/>
                <w:lang/>
              </w:rPr>
              <w:t>万</w:t>
            </w:r>
            <w:r>
              <w:rPr>
                <w:color w:val="000000"/>
                <w:bdr w:val="none" w:color="auto" w:sz="0" w:space="0"/>
                <w:lang/>
              </w:rPr>
              <w:t>kW</w:t>
            </w:r>
            <w:r>
              <w:rPr>
                <w:rFonts w:hint="eastAsia" w:ascii="Times New Roman" w:hAnsi="Times New Roman" w:eastAsia="宋体" w:cs="宋体"/>
                <w:color w:val="000000"/>
                <w:bdr w:val="none" w:color="auto" w:sz="0" w:space="0"/>
                <w:lang/>
              </w:rPr>
              <w:t>·</w:t>
            </w:r>
            <w:r>
              <w:rPr>
                <w:color w:val="000000"/>
                <w:bdr w:val="none" w:color="auto" w:sz="0" w:space="0"/>
                <w:lang/>
              </w:rPr>
              <w:t>h</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采暖</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办公室冬季采用电供暖，生产厂房无供暖设施</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restart"/>
            <w:tcBorders>
              <w:top w:val="single" w:color="auto" w:sz="6" w:space="0"/>
              <w:left w:val="nil"/>
              <w:bottom w:val="thickThinSmallGap" w:color="auto" w:sz="12"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环保工程</w:t>
            </w:r>
          </w:p>
        </w:tc>
        <w:tc>
          <w:tcPr>
            <w:tcW w:w="591" w:type="pct"/>
            <w:vMerge w:val="restar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废气</w:t>
            </w:r>
          </w:p>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治理</w:t>
            </w:r>
          </w:p>
        </w:tc>
        <w:tc>
          <w:tcPr>
            <w:tcW w:w="592"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破碎</w:t>
            </w:r>
          </w:p>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筛分</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鄂式破碎机、圆锥破碎机及振动筛分机设置在</w:t>
            </w:r>
            <w:r>
              <w:rPr>
                <w:rFonts w:hint="eastAsia" w:ascii="Times New Roman" w:hAnsi="Times New Roman" w:eastAsia="宋体" w:cs="宋体"/>
                <w:color w:val="000000"/>
                <w:bdr w:val="none" w:color="auto" w:sz="0" w:space="0"/>
                <w:lang w:eastAsia="zh-CN"/>
              </w:rPr>
              <w:t>封</w:t>
            </w:r>
            <w:r>
              <w:rPr>
                <w:rFonts w:hint="eastAsia" w:ascii="Times New Roman" w:hAnsi="Times New Roman" w:eastAsia="宋体" w:cs="宋体"/>
                <w:color w:val="000000"/>
                <w:bdr w:val="none" w:color="auto" w:sz="0" w:space="0"/>
                <w:lang/>
              </w:rPr>
              <w:t>闭车间，设备进出料口设捕集罩，废气经收集后引入</w:t>
            </w:r>
            <w:r>
              <w:rPr>
                <w:color w:val="000000"/>
                <w:bdr w:val="none" w:color="auto" w:sz="0" w:space="0"/>
                <w:lang/>
              </w:rPr>
              <w:t>1</w:t>
            </w:r>
            <w:r>
              <w:rPr>
                <w:rFonts w:hint="eastAsia" w:ascii="Times New Roman" w:hAnsi="Times New Roman" w:eastAsia="宋体" w:cs="宋体"/>
                <w:color w:val="000000"/>
                <w:bdr w:val="none" w:color="auto" w:sz="0" w:space="0"/>
                <w:lang/>
              </w:rPr>
              <w:t>套布袋除尘器净化后，通过</w:t>
            </w:r>
            <w:r>
              <w:rPr>
                <w:color w:val="000000"/>
                <w:bdr w:val="none" w:color="auto" w:sz="0" w:space="0"/>
                <w:lang/>
              </w:rPr>
              <w:t>1</w:t>
            </w:r>
            <w:r>
              <w:rPr>
                <w:rFonts w:hint="eastAsia" w:ascii="Times New Roman" w:hAnsi="Times New Roman" w:eastAsia="宋体" w:cs="宋体"/>
                <w:color w:val="000000"/>
                <w:bdr w:val="none" w:color="auto" w:sz="0" w:space="0"/>
                <w:lang/>
              </w:rPr>
              <w:t>根</w:t>
            </w:r>
            <w:r>
              <w:rPr>
                <w:color w:val="000000"/>
                <w:bdr w:val="none" w:color="auto" w:sz="0" w:space="0"/>
                <w:lang/>
              </w:rPr>
              <w:t>15</w:t>
            </w:r>
            <w:r>
              <w:rPr>
                <w:rFonts w:hint="eastAsia" w:ascii="Times New Roman" w:hAnsi="Times New Roman" w:eastAsia="宋体" w:cs="宋体"/>
                <w:color w:val="000000"/>
                <w:bdr w:val="none" w:color="auto" w:sz="0" w:space="0"/>
                <w:lang/>
              </w:rPr>
              <w:t>米排气筒有组织排放，</w:t>
            </w:r>
            <w:r>
              <w:rPr>
                <w:rFonts w:hint="eastAsia" w:ascii="Times New Roman" w:hAnsi="Times New Roman" w:eastAsia="宋体" w:cs="宋体"/>
                <w:color w:val="000000"/>
                <w:bdr w:val="none" w:color="auto" w:sz="0" w:space="0"/>
                <w:lang w:val="en-US"/>
              </w:rPr>
              <w:t>风机风量</w:t>
            </w:r>
            <w:r>
              <w:rPr>
                <w:color w:val="000000"/>
                <w:bdr w:val="none" w:color="auto" w:sz="0" w:space="0"/>
                <w:lang/>
              </w:rPr>
              <w:t>40000m</w:t>
            </w:r>
            <w:r>
              <w:rPr>
                <w:color w:val="000000"/>
                <w:bdr w:val="none" w:color="auto" w:sz="0" w:space="0"/>
                <w:vertAlign w:val="superscript"/>
                <w:lang/>
              </w:rPr>
              <w:t>3</w:t>
            </w:r>
            <w:r>
              <w:rPr>
                <w:color w:val="000000"/>
                <w:bdr w:val="none" w:color="auto" w:sz="0" w:space="0"/>
                <w:lang/>
              </w:rPr>
              <w:t>/h</w:t>
            </w:r>
            <w:r>
              <w:rPr>
                <w:rFonts w:hint="eastAsia" w:ascii="Times New Roman" w:hAnsi="Times New Roman" w:eastAsia="宋体" w:cs="宋体"/>
                <w:color w:val="000000"/>
                <w:bdr w:val="none" w:color="auto" w:sz="0" w:space="0"/>
                <w:lang/>
              </w:rPr>
              <w:t>，除尘效率</w:t>
            </w:r>
            <w:r>
              <w:rPr>
                <w:color w:val="000000"/>
                <w:bdr w:val="none" w:color="auto" w:sz="0" w:space="0"/>
                <w:lang/>
              </w:rPr>
              <w:t>99.5%</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PrEx>
        <w:trPr>
          <w:trHeight w:val="340" w:hRule="atLeast"/>
        </w:trPr>
        <w:tc>
          <w:tcPr>
            <w:tcW w:w="424" w:type="pct"/>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591" w:type="pct"/>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592"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其他</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eastAsia="zh-CN"/>
              </w:rPr>
            </w:pPr>
            <w:r>
              <w:rPr>
                <w:rFonts w:hint="eastAsia" w:ascii="Times New Roman" w:hAnsi="Times New Roman" w:eastAsia="宋体" w:cs="宋体"/>
                <w:color w:val="000000"/>
                <w:bdr w:val="none" w:color="auto" w:sz="0" w:space="0"/>
                <w:lang w:eastAsia="zh-CN"/>
              </w:rPr>
              <w:t>原料、产品存放于封闭库房内，</w:t>
            </w:r>
            <w:r>
              <w:rPr>
                <w:rFonts w:hint="eastAsia" w:ascii="Times New Roman" w:hAnsi="Times New Roman" w:eastAsia="宋体" w:cs="宋体"/>
                <w:color w:val="000000"/>
                <w:bdr w:val="none" w:color="auto" w:sz="0" w:space="0"/>
                <w:lang/>
              </w:rPr>
              <w:t>厂区地面硬化，厂房地面及厂区道路采用洒水车抑尘、吸尘车吸尘措施</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废水治理</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eastAsia="zh-CN"/>
              </w:rPr>
            </w:pPr>
            <w:r>
              <w:rPr>
                <w:rFonts w:hint="eastAsia" w:ascii="Times New Roman" w:hAnsi="Times New Roman" w:eastAsia="宋体" w:cs="宋体"/>
                <w:color w:val="000000"/>
                <w:bdr w:val="none" w:color="auto" w:sz="0" w:space="0"/>
                <w:lang/>
              </w:rPr>
              <w:t>浮选生产废水经循环水池</w:t>
            </w:r>
            <w:r>
              <w:rPr>
                <w:rFonts w:hint="eastAsia" w:ascii="Times New Roman" w:hAnsi="Times New Roman" w:eastAsia="宋体" w:cs="宋体"/>
                <w:color w:val="000000"/>
                <w:bdr w:val="none" w:color="auto" w:sz="0" w:space="0"/>
                <w:lang w:eastAsia="zh-CN"/>
              </w:rPr>
              <w:t>沉淀后</w:t>
            </w:r>
            <w:r>
              <w:rPr>
                <w:rFonts w:hint="eastAsia" w:ascii="Times New Roman" w:hAnsi="Times New Roman" w:eastAsia="宋体" w:cs="宋体"/>
                <w:color w:val="000000"/>
                <w:bdr w:val="none" w:color="auto" w:sz="0" w:space="0"/>
                <w:lang/>
              </w:rPr>
              <w:t>全部回用于生产不外排，生活污水排入化粪池处理后，</w:t>
            </w:r>
            <w:r>
              <w:rPr>
                <w:rFonts w:hint="eastAsia" w:ascii="宋体" w:hAnsi="宋体" w:eastAsia="宋体" w:cs="宋体"/>
                <w:color w:val="000000"/>
                <w:szCs w:val="24"/>
                <w:bdr w:val="none" w:color="auto" w:sz="0" w:space="0"/>
                <w:lang/>
              </w:rPr>
              <w:t>定期清掏，堆沤腐熟、就地就近就农利用</w:t>
            </w:r>
            <w:r>
              <w:rPr>
                <w:rFonts w:hint="eastAsia" w:ascii="Times New Roman" w:hAnsi="Times New Roman" w:eastAsia="宋体" w:cs="宋体"/>
                <w:color w:val="000000"/>
                <w:bdr w:val="none" w:color="auto" w:sz="0" w:space="0"/>
                <w:lang/>
              </w:rPr>
              <w:t>。</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地下水防治措施</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eastAsia="zh-CN"/>
              </w:rPr>
              <w:t>分区防渗</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PrEx>
        <w:trPr>
          <w:trHeight w:val="340" w:hRule="atLeast"/>
        </w:trPr>
        <w:tc>
          <w:tcPr>
            <w:tcW w:w="424" w:type="pct"/>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事故</w:t>
            </w:r>
            <w:r>
              <w:rPr>
                <w:rFonts w:hint="eastAsia" w:ascii="Times New Roman" w:hAnsi="Times New Roman" w:eastAsia="宋体" w:cs="宋体"/>
                <w:color w:val="000000"/>
                <w:bdr w:val="none" w:color="auto" w:sz="0" w:space="0"/>
                <w:lang w:eastAsia="zh-CN"/>
              </w:rPr>
              <w:t>防范措施</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设一座</w:t>
            </w:r>
            <w:r>
              <w:rPr>
                <w:rFonts w:hint="eastAsia" w:ascii="Times New Roman" w:hAnsi="Times New Roman" w:eastAsia="宋体" w:cs="宋体"/>
                <w:color w:val="000000"/>
                <w:bdr w:val="none" w:color="auto" w:sz="0" w:space="0"/>
                <w:lang w:eastAsia="zh-CN"/>
              </w:rPr>
              <w:t>事故</w:t>
            </w:r>
            <w:r>
              <w:rPr>
                <w:rFonts w:hint="eastAsia" w:ascii="Times New Roman" w:hAnsi="Times New Roman" w:eastAsia="宋体" w:cs="宋体"/>
                <w:color w:val="000000"/>
                <w:bdr w:val="none" w:color="auto" w:sz="0" w:space="0"/>
                <w:lang/>
              </w:rPr>
              <w:t>水池，容积</w:t>
            </w:r>
            <w:r>
              <w:rPr>
                <w:color w:val="000000"/>
                <w:bdr w:val="none" w:color="auto" w:sz="0" w:space="0"/>
                <w:lang w:eastAsia="zh-CN"/>
              </w:rPr>
              <w:t>1000</w:t>
            </w:r>
            <w:r>
              <w:rPr>
                <w:color w:val="000000"/>
                <w:bdr w:val="none" w:color="auto" w:sz="0" w:space="0"/>
                <w:lang/>
              </w:rPr>
              <w:t>m</w:t>
            </w:r>
            <w:r>
              <w:rPr>
                <w:color w:val="000000"/>
                <w:bdr w:val="none" w:color="auto" w:sz="0" w:space="0"/>
                <w:vertAlign w:val="superscript"/>
                <w:lang/>
              </w:rPr>
              <w:t>3</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PrEx>
        <w:trPr>
          <w:trHeight w:val="340" w:hRule="atLeast"/>
        </w:trPr>
        <w:tc>
          <w:tcPr>
            <w:tcW w:w="424" w:type="pct"/>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噪声控制</w:t>
            </w:r>
          </w:p>
        </w:tc>
        <w:tc>
          <w:tcPr>
            <w:tcW w:w="292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采取隔声、消声、减振等措施</w:t>
            </w:r>
          </w:p>
        </w:tc>
        <w:tc>
          <w:tcPr>
            <w:tcW w:w="467"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新建</w:t>
            </w:r>
          </w:p>
        </w:tc>
      </w:tr>
      <w:tr>
        <w:tblPrEx>
          <w:tblBorders>
            <w:top w:val="thinThickSmallGap" w:color="auto" w:sz="12" w:space="0"/>
            <w:left w:val="single" w:color="auto" w:sz="12" w:space="0"/>
            <w:bottom w:val="thickThinSmallGap"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4" w:type="pct"/>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183" w:type="pct"/>
            <w:gridSpan w:val="2"/>
            <w:tcBorders>
              <w:top w:val="single" w:color="auto" w:sz="6" w:space="0"/>
              <w:left w:val="single" w:color="auto" w:sz="6" w:space="0"/>
              <w:bottom w:val="thickThinSmallGap" w:color="auto" w:sz="12"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固废控制</w:t>
            </w:r>
          </w:p>
        </w:tc>
        <w:tc>
          <w:tcPr>
            <w:tcW w:w="2926" w:type="pct"/>
            <w:tcBorders>
              <w:top w:val="single" w:color="auto" w:sz="6" w:space="0"/>
              <w:left w:val="single" w:color="auto" w:sz="6" w:space="0"/>
              <w:bottom w:val="thickThinSmallGap" w:color="auto" w:sz="12"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设置危废暂存间</w:t>
            </w:r>
            <w:r>
              <w:rPr>
                <w:color w:val="000000"/>
                <w:bdr w:val="none" w:color="auto" w:sz="0" w:space="0"/>
                <w:lang/>
              </w:rPr>
              <w:t>1</w:t>
            </w:r>
            <w:r>
              <w:rPr>
                <w:rFonts w:hint="eastAsia" w:ascii="Times New Roman" w:hAnsi="Times New Roman" w:eastAsia="宋体" w:cs="宋体"/>
                <w:color w:val="000000"/>
                <w:bdr w:val="none" w:color="auto" w:sz="0" w:space="0"/>
                <w:lang w:eastAsia="zh-CN"/>
              </w:rPr>
              <w:t>间</w:t>
            </w:r>
            <w:r>
              <w:rPr>
                <w:rFonts w:hint="eastAsia" w:ascii="Times New Roman" w:hAnsi="Times New Roman" w:eastAsia="宋体" w:cs="宋体"/>
                <w:color w:val="000000"/>
                <w:bdr w:val="none" w:color="auto" w:sz="0" w:space="0"/>
                <w:lang/>
              </w:rPr>
              <w:t>，面积</w:t>
            </w:r>
            <w:r>
              <w:rPr>
                <w:color w:val="000000"/>
                <w:bdr w:val="none" w:color="auto" w:sz="0" w:space="0"/>
                <w:lang/>
              </w:rPr>
              <w:t>30m</w:t>
            </w:r>
            <w:r>
              <w:rPr>
                <w:color w:val="000000"/>
                <w:bdr w:val="none" w:color="auto" w:sz="0" w:space="0"/>
                <w:vertAlign w:val="superscript"/>
                <w:lang/>
              </w:rPr>
              <w:t>2</w:t>
            </w:r>
          </w:p>
        </w:tc>
        <w:tc>
          <w:tcPr>
            <w:tcW w:w="467" w:type="pct"/>
            <w:tcBorders>
              <w:top w:val="single" w:color="auto" w:sz="6" w:space="0"/>
              <w:left w:val="single" w:color="auto" w:sz="6" w:space="0"/>
              <w:bottom w:val="thickThinSmallGap" w:color="auto" w:sz="12" w:space="0"/>
              <w:right w:val="nil"/>
            </w:tcBorders>
            <w:shd w:val="clear"/>
            <w:vAlign w:val="center"/>
          </w:tcPr>
          <w:p>
            <w:pPr>
              <w:pStyle w:val="91"/>
              <w:widowControl/>
              <w:rPr>
                <w:bCs/>
                <w:color w:val="000000"/>
                <w:bdr w:val="none" w:color="auto" w:sz="0" w:space="0"/>
                <w:lang/>
              </w:rPr>
            </w:pPr>
            <w:r>
              <w:rPr>
                <w:rFonts w:hint="eastAsia" w:ascii="Times New Roman" w:hAnsi="Times New Roman" w:eastAsia="宋体" w:cs="宋体"/>
                <w:color w:val="000000"/>
                <w:bdr w:val="none" w:color="auto" w:sz="0" w:space="0"/>
                <w:lang/>
              </w:rPr>
              <w:t>新建</w:t>
            </w:r>
          </w:p>
        </w:tc>
      </w:tr>
    </w:tbl>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p>
    <w:p>
      <w:pPr>
        <w:pStyle w:val="9"/>
        <w:widowControl/>
        <w:rPr>
          <w:rFonts w:hint="default" w:ascii="Times New Roman" w:hAnsi="Times New Roman" w:cs="Times New Roman"/>
          <w:color w:val="000000"/>
          <w:lang w:eastAsia="zh-CN"/>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 xml:space="preserve">.3 </w:t>
      </w:r>
      <w:r>
        <w:rPr>
          <w:rFonts w:ascii="Times New Roman" w:hAnsi="Times New Roman" w:cs="Times New Roman"/>
          <w:color w:val="000000"/>
          <w:lang/>
        </w:rPr>
        <w:t>产品</w:t>
      </w:r>
      <w:r>
        <w:rPr>
          <w:rFonts w:ascii="Times New Roman" w:hAnsi="Times New Roman" w:cs="Times New Roman"/>
          <w:color w:val="000000"/>
          <w:lang w:eastAsia="zh-CN"/>
        </w:rPr>
        <w:t>方案</w:t>
      </w:r>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）产品方案</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本项目产品方案见表</w:t>
      </w:r>
      <w:r>
        <w:rPr>
          <w:rFonts w:hint="default" w:ascii="Times New Roman" w:hAnsi="Times New Roman" w:eastAsia="宋体" w:cs="Times New Roman"/>
          <w:color w:val="000000"/>
          <w:kern w:val="0"/>
          <w:sz w:val="24"/>
          <w:szCs w:val="24"/>
          <w:lang w:val="en-US" w:eastAsia="zh-CN" w:bidi="ar"/>
        </w:rPr>
        <w:t>3.1-3</w:t>
      </w:r>
      <w:r>
        <w:rPr>
          <w:rFonts w:hint="eastAsia"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本项目运输路线图详</w:t>
      </w:r>
      <w:r>
        <w:rPr>
          <w:rFonts w:hint="eastAsia" w:ascii="Times New Roman" w:hAnsi="Times New Roman" w:eastAsia="宋体" w:cs="Times New Roman"/>
          <w:color w:val="000000"/>
          <w:kern w:val="0"/>
          <w:sz w:val="24"/>
          <w:szCs w:val="24"/>
          <w:lang w:val="en-US" w:eastAsia="zh-CN" w:bidi="ar"/>
        </w:rPr>
        <w:t>见图</w:t>
      </w:r>
      <w:r>
        <w:rPr>
          <w:rFonts w:hint="default" w:ascii="Times New Roman" w:hAnsi="Times New Roman" w:eastAsia="宋体" w:cs="Times New Roman"/>
          <w:color w:val="000000"/>
          <w:kern w:val="0"/>
          <w:sz w:val="24"/>
          <w:szCs w:val="24"/>
          <w:lang w:val="en-US" w:eastAsia="zh-CN" w:bidi="ar"/>
        </w:rPr>
        <w:t>3-1</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bookmarkStart w:id="133" w:name="_Hlk30517174"/>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3.1-3  </w:t>
      </w:r>
      <w:r>
        <w:rPr>
          <w:rFonts w:hint="eastAsia" w:ascii="Times New Roman" w:hAnsi="Times New Roman" w:eastAsia="黑体" w:cs="Times New Roman"/>
          <w:color w:val="000000"/>
          <w:kern w:val="0"/>
          <w:sz w:val="24"/>
          <w:szCs w:val="24"/>
          <w:lang w:val="en-US" w:eastAsia="zh-CN" w:bidi="ar"/>
        </w:rPr>
        <w:t>产品方案一览表（单位：万</w:t>
      </w:r>
      <w:r>
        <w:rPr>
          <w:rFonts w:hint="default" w:ascii="Times New Roman" w:hAnsi="Times New Roman" w:eastAsia="黑体" w:cs="Times New Roman"/>
          <w:color w:val="000000"/>
          <w:kern w:val="0"/>
          <w:sz w:val="24"/>
          <w:szCs w:val="24"/>
          <w:lang w:val="en-US" w:eastAsia="zh-CN" w:bidi="ar"/>
        </w:rPr>
        <w:t>t/a</w:t>
      </w:r>
      <w:r>
        <w:rPr>
          <w:rFonts w:hint="eastAsia" w:ascii="Times New Roman" w:hAnsi="Times New Roman" w:eastAsia="黑体" w:cs="Times New Roman"/>
          <w:color w:val="000000"/>
          <w:kern w:val="0"/>
          <w:sz w:val="24"/>
          <w:szCs w:val="24"/>
          <w:lang w:val="en-US" w:eastAsia="zh-CN" w:bidi="ar"/>
        </w:rPr>
        <w:t>）</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595"/>
        <w:gridCol w:w="1031"/>
        <w:gridCol w:w="968"/>
        <w:gridCol w:w="968"/>
        <w:gridCol w:w="1106"/>
        <w:gridCol w:w="830"/>
        <w:gridCol w:w="1106"/>
        <w:gridCol w:w="968"/>
        <w:gridCol w:w="934"/>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72" w:hRule="atLeast"/>
          <w:tblHeader/>
          <w:jc w:val="center"/>
        </w:trPr>
        <w:tc>
          <w:tcPr>
            <w:tcW w:w="350" w:type="pct"/>
            <w:tcBorders>
              <w:top w:val="thinThickSmallGap" w:color="auto" w:sz="12" w:space="0"/>
              <w:left w:val="nil"/>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序号</w:t>
            </w:r>
          </w:p>
        </w:tc>
        <w:tc>
          <w:tcPr>
            <w:tcW w:w="605"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名称</w:t>
            </w:r>
          </w:p>
        </w:tc>
        <w:tc>
          <w:tcPr>
            <w:tcW w:w="569"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本项目产能</w:t>
            </w:r>
          </w:p>
        </w:tc>
        <w:tc>
          <w:tcPr>
            <w:tcW w:w="569"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现有工程产能</w:t>
            </w:r>
          </w:p>
        </w:tc>
        <w:tc>
          <w:tcPr>
            <w:tcW w:w="650"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扩建后全厂产能</w:t>
            </w:r>
          </w:p>
        </w:tc>
        <w:tc>
          <w:tcPr>
            <w:tcW w:w="487"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粒度</w:t>
            </w:r>
          </w:p>
        </w:tc>
        <w:tc>
          <w:tcPr>
            <w:tcW w:w="650"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包装</w:t>
            </w:r>
          </w:p>
        </w:tc>
        <w:tc>
          <w:tcPr>
            <w:tcW w:w="569"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主要</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成分</w:t>
            </w:r>
          </w:p>
        </w:tc>
        <w:tc>
          <w:tcPr>
            <w:tcW w:w="549" w:type="pct"/>
            <w:tcBorders>
              <w:top w:val="thinThickSmallGap" w:color="auto" w:sz="12" w:space="0"/>
              <w:left w:val="single" w:color="auto" w:sz="4" w:space="0"/>
              <w:bottom w:val="single" w:color="auto" w:sz="4" w:space="0"/>
              <w:right w:val="nil"/>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贮存</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位置</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350"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60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精矿粉</w:t>
            </w:r>
          </w:p>
        </w:tc>
        <w:tc>
          <w:tcPr>
            <w:tcW w:w="56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100</w:t>
            </w:r>
          </w:p>
        </w:tc>
        <w:tc>
          <w:tcPr>
            <w:tcW w:w="56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15.5</w:t>
            </w:r>
          </w:p>
        </w:tc>
        <w:tc>
          <w:tcPr>
            <w:tcW w:w="6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115.5</w:t>
            </w:r>
          </w:p>
        </w:tc>
        <w:tc>
          <w:tcPr>
            <w:tcW w:w="48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200</w:t>
            </w:r>
            <w:r>
              <w:rPr>
                <w:rFonts w:ascii="Times New Roman" w:hAnsi="Times New Roman" w:cs="Times New Roman"/>
                <w:color w:val="000000"/>
                <w:sz w:val="21"/>
                <w:szCs w:val="21"/>
                <w:bdr w:val="none" w:color="auto" w:sz="0" w:space="0"/>
              </w:rPr>
              <w:t>目</w:t>
            </w:r>
          </w:p>
        </w:tc>
        <w:tc>
          <w:tcPr>
            <w:tcW w:w="6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铲车散装</w:t>
            </w:r>
          </w:p>
        </w:tc>
        <w:tc>
          <w:tcPr>
            <w:tcW w:w="56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MgCO</w:t>
            </w:r>
            <w:r>
              <w:rPr>
                <w:rFonts w:hint="default" w:ascii="Times New Roman" w:hAnsi="Times New Roman" w:cs="Times New Roman"/>
                <w:color w:val="000000"/>
                <w:sz w:val="21"/>
                <w:szCs w:val="21"/>
                <w:bdr w:val="none" w:color="auto" w:sz="0" w:space="0"/>
                <w:vertAlign w:val="subscript"/>
                <w:lang w:val="en-US"/>
              </w:rPr>
              <w:t>3</w:t>
            </w:r>
          </w:p>
        </w:tc>
        <w:tc>
          <w:tcPr>
            <w:tcW w:w="549"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精矿库</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350" w:type="pc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p>
        </w:tc>
        <w:tc>
          <w:tcPr>
            <w:tcW w:w="605"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尾矿粉</w:t>
            </w:r>
          </w:p>
        </w:tc>
        <w:tc>
          <w:tcPr>
            <w:tcW w:w="569"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25</w:t>
            </w:r>
          </w:p>
        </w:tc>
        <w:tc>
          <w:tcPr>
            <w:tcW w:w="569"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4.5</w:t>
            </w:r>
          </w:p>
        </w:tc>
        <w:tc>
          <w:tcPr>
            <w:tcW w:w="650"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29.5</w:t>
            </w:r>
          </w:p>
        </w:tc>
        <w:tc>
          <w:tcPr>
            <w:tcW w:w="487"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200</w:t>
            </w:r>
            <w:r>
              <w:rPr>
                <w:rFonts w:ascii="Times New Roman" w:hAnsi="Times New Roman" w:cs="Times New Roman"/>
                <w:color w:val="000000"/>
                <w:sz w:val="21"/>
                <w:szCs w:val="21"/>
                <w:bdr w:val="none" w:color="auto" w:sz="0" w:space="0"/>
              </w:rPr>
              <w:t>目</w:t>
            </w:r>
          </w:p>
        </w:tc>
        <w:tc>
          <w:tcPr>
            <w:tcW w:w="650"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铲车散装</w:t>
            </w:r>
          </w:p>
        </w:tc>
        <w:tc>
          <w:tcPr>
            <w:tcW w:w="569"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MgCO</w:t>
            </w:r>
            <w:r>
              <w:rPr>
                <w:rFonts w:hint="default" w:ascii="Times New Roman" w:hAnsi="Times New Roman" w:cs="Times New Roman"/>
                <w:color w:val="000000"/>
                <w:sz w:val="21"/>
                <w:szCs w:val="21"/>
                <w:bdr w:val="none" w:color="auto" w:sz="0" w:space="0"/>
                <w:vertAlign w:val="subscript"/>
                <w:lang w:val="en-US"/>
              </w:rPr>
              <w:t>3</w:t>
            </w:r>
          </w:p>
        </w:tc>
        <w:tc>
          <w:tcPr>
            <w:tcW w:w="549"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尾矿库</w:t>
            </w:r>
          </w:p>
        </w:tc>
      </w:tr>
      <w:bookmarkEnd w:id="133"/>
    </w:tbl>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）产品规格</w:t>
      </w:r>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宋体" w:hAnsi="宋体" w:eastAsia="宋体" w:cs="宋体"/>
          <w:b/>
          <w:bCs w:val="0"/>
          <w:color w:val="000000"/>
          <w:kern w:val="0"/>
          <w:sz w:val="24"/>
          <w:szCs w:val="24"/>
          <w:lang w:val="en-US" w:eastAsia="zh-CN" w:bidi="ar"/>
        </w:rPr>
        <w:t>①</w:t>
      </w:r>
      <w:r>
        <w:rPr>
          <w:rFonts w:hint="eastAsia" w:ascii="Times New Roman" w:hAnsi="Times New Roman" w:eastAsia="宋体" w:cs="Times New Roman"/>
          <w:b/>
          <w:bCs w:val="0"/>
          <w:color w:val="000000"/>
          <w:kern w:val="0"/>
          <w:sz w:val="24"/>
          <w:szCs w:val="24"/>
          <w:lang w:val="en-US" w:eastAsia="zh-CN" w:bidi="ar"/>
        </w:rPr>
        <w:t>精矿粉</w:t>
      </w:r>
    </w:p>
    <w:p>
      <w:pPr>
        <w:rPr>
          <w:rFonts w:hint="default" w:ascii="Times New Roman" w:hAnsi="Times New Roman" w:eastAsia="宋体" w:cs="Times New Roman"/>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p>
      <w:pPr>
        <w:keepNext w:val="0"/>
        <w:keepLines w:val="0"/>
        <w:widowControl/>
        <w:suppressLineNumbers w:val="0"/>
        <w:spacing w:before="0" w:beforeAutospacing="0" w:after="0" w:afterAutospacing="0"/>
        <w:ind w:left="0" w:right="6"/>
        <w:jc w:val="center"/>
        <w:rPr>
          <w:rFonts w:hint="default" w:ascii="Times New Roman" w:hAnsi="Times New Roman" w:eastAsia="黑体" w:cs="Times New Roman"/>
          <w:color w:val="000000"/>
          <w:lang w:val="en-US"/>
        </w:rPr>
      </w:pPr>
      <w:r>
        <w:rPr>
          <w:rFonts w:hint="eastAsia" w:ascii="宋体" w:hAnsi="宋体" w:eastAsia="宋体" w:cs="宋体"/>
          <w:kern w:val="0"/>
          <w:sz w:val="24"/>
          <w:szCs w:val="24"/>
          <w:lang w:val="en-US" w:eastAsia="zh-CN" w:bidi="ar"/>
        </w:rPr>
        <w:drawing>
          <wp:anchor distT="0" distB="0" distL="114300" distR="114300" simplePos="0" relativeHeight="251726848" behindDoc="0" locked="0" layoutInCell="1" allowOverlap="1">
            <wp:simplePos x="0" y="0"/>
            <wp:positionH relativeFrom="margin">
              <wp:posOffset>340995</wp:posOffset>
            </wp:positionH>
            <wp:positionV relativeFrom="paragraph">
              <wp:posOffset>-337185</wp:posOffset>
            </wp:positionV>
            <wp:extent cx="7866380" cy="5752465"/>
            <wp:effectExtent l="0" t="0" r="1270" b="635"/>
            <wp:wrapTopAndBottom/>
            <wp:docPr id="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4"/>
                    <pic:cNvPicPr>
                      <a:picLocks noChangeAspect="1"/>
                    </pic:cNvPicPr>
                  </pic:nvPicPr>
                  <pic:blipFill>
                    <a:blip r:embed="rId18"/>
                    <a:stretch>
                      <a:fillRect/>
                    </a:stretch>
                  </pic:blipFill>
                  <pic:spPr>
                    <a:xfrm>
                      <a:off x="0" y="0"/>
                      <a:ext cx="7866380" cy="5752465"/>
                    </a:xfrm>
                    <a:prstGeom prst="rect">
                      <a:avLst/>
                    </a:prstGeom>
                    <a:noFill/>
                    <a:ln>
                      <a:noFill/>
                    </a:ln>
                  </pic:spPr>
                </pic:pic>
              </a:graphicData>
            </a:graphic>
          </wp:anchor>
        </w:drawing>
      </w: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3-1  </w:t>
      </w:r>
      <w:r>
        <w:rPr>
          <w:rFonts w:hint="eastAsia" w:ascii="Times New Roman" w:hAnsi="Times New Roman" w:eastAsia="黑体" w:cs="Times New Roman"/>
          <w:color w:val="000000"/>
          <w:kern w:val="0"/>
          <w:sz w:val="24"/>
          <w:szCs w:val="24"/>
          <w:lang w:val="en-US" w:eastAsia="zh-CN" w:bidi="ar"/>
        </w:rPr>
        <w:t>本项目运输路线示意图</w:t>
      </w:r>
    </w:p>
    <w:p>
      <w:pPr>
        <w:rPr>
          <w:rFonts w:hint="default" w:ascii="Times New Roman" w:hAnsi="Times New Roman" w:eastAsia="宋体" w:cs="Times New Roman"/>
          <w:color w:val="000000"/>
          <w:sz w:val="24"/>
          <w:szCs w:val="24"/>
          <w:lang w:val="en-US" w:eastAsia="zh-CN" w:bidi="ar"/>
        </w:rPr>
        <w:sectPr>
          <w:pgSz w:w="16840" w:h="11915" w:orient="landscape"/>
          <w:pgMar w:top="1702" w:right="1702" w:bottom="1702" w:left="1702" w:header="851" w:footer="1077" w:gutter="0"/>
          <w:paperSrc/>
          <w:cols w:space="425" w:num="1"/>
          <w:docGrid w:type="lines" w:linePitch="479" w:charSpace="0"/>
        </w:sectPr>
      </w:pP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eastAsia="黑体" w:cs="Times New Roman"/>
          <w:color w:val="000000"/>
          <w:lang w:val="en-US"/>
        </w:rPr>
      </w:pPr>
      <w:r>
        <w:rPr>
          <w:rFonts w:hint="eastAsia" w:ascii="Times New Roman" w:hAnsi="Times New Roman" w:eastAsia="宋体" w:cs="Times New Roman"/>
          <w:bCs/>
          <w:color w:val="000000"/>
          <w:kern w:val="0"/>
          <w:sz w:val="24"/>
          <w:szCs w:val="24"/>
          <w:lang w:val="en-US" w:eastAsia="zh-CN" w:bidi="ar"/>
        </w:rPr>
        <w:t>本项目年产菱镁精矿粉</w:t>
      </w:r>
      <w:r>
        <w:rPr>
          <w:rFonts w:hint="default" w:ascii="Times New Roman" w:hAnsi="Times New Roman" w:eastAsia="宋体" w:cs="Times New Roman"/>
          <w:bCs/>
          <w:color w:val="000000"/>
          <w:kern w:val="0"/>
          <w:sz w:val="24"/>
          <w:szCs w:val="24"/>
          <w:lang w:val="en-US" w:eastAsia="zh-CN" w:bidi="ar"/>
        </w:rPr>
        <w:t>100</w:t>
      </w:r>
      <w:r>
        <w:rPr>
          <w:rFonts w:hint="eastAsia" w:ascii="Times New Roman" w:hAnsi="Times New Roman" w:eastAsia="宋体" w:cs="Times New Roman"/>
          <w:bCs/>
          <w:color w:val="000000"/>
          <w:kern w:val="0"/>
          <w:sz w:val="24"/>
          <w:szCs w:val="24"/>
          <w:lang w:val="en-US" w:eastAsia="zh-CN" w:bidi="ar"/>
        </w:rPr>
        <w:t>万吨，存于精矿库后，外售至海城华宇镁砂有限公司，精矿粉</w:t>
      </w:r>
      <w:r>
        <w:rPr>
          <w:rFonts w:hint="eastAsia" w:ascii="Times New Roman" w:hAnsi="Times New Roman" w:eastAsia="宋体" w:cs="Times New Roman"/>
          <w:color w:val="000000"/>
          <w:kern w:val="0"/>
          <w:sz w:val="24"/>
          <w:szCs w:val="24"/>
          <w:lang w:val="en-US" w:eastAsia="zh-CN" w:bidi="ar"/>
        </w:rPr>
        <w:t>质量指标见下表。</w:t>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3.1-4  </w:t>
      </w:r>
      <w:r>
        <w:rPr>
          <w:rFonts w:hint="eastAsia" w:ascii="Times New Roman" w:hAnsi="Times New Roman" w:eastAsia="黑体" w:cs="Times New Roman"/>
          <w:color w:val="000000"/>
          <w:kern w:val="0"/>
          <w:sz w:val="24"/>
          <w:szCs w:val="24"/>
          <w:lang w:val="en-US" w:eastAsia="zh-CN" w:bidi="ar"/>
        </w:rPr>
        <w:t>精矿粉产品质量指标表</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096"/>
        <w:gridCol w:w="1091"/>
        <w:gridCol w:w="1091"/>
        <w:gridCol w:w="1091"/>
        <w:gridCol w:w="1091"/>
        <w:gridCol w:w="1091"/>
        <w:gridCol w:w="1089"/>
        <w:gridCol w:w="1087"/>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jc w:val="center"/>
        </w:trPr>
        <w:tc>
          <w:tcPr>
            <w:tcW w:w="628" w:type="pc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指标</w:t>
            </w:r>
          </w:p>
        </w:tc>
        <w:tc>
          <w:tcPr>
            <w:tcW w:w="625"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单位</w:t>
            </w:r>
          </w:p>
        </w:tc>
        <w:tc>
          <w:tcPr>
            <w:tcW w:w="625"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MgO</w:t>
            </w:r>
          </w:p>
        </w:tc>
        <w:tc>
          <w:tcPr>
            <w:tcW w:w="625"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SiO</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p>
        </w:tc>
        <w:tc>
          <w:tcPr>
            <w:tcW w:w="625"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Fe</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r>
              <w:rPr>
                <w:rFonts w:hint="default" w:ascii="Times New Roman" w:hAnsi="Times New Roman" w:eastAsia="宋体" w:cs="Times New Roman"/>
                <w:color w:val="000000"/>
                <w:kern w:val="0"/>
                <w:sz w:val="21"/>
                <w:szCs w:val="21"/>
                <w:bdr w:val="none" w:color="auto" w:sz="0" w:space="0"/>
                <w:lang w:val="en-US" w:eastAsia="zh-CN" w:bidi="ar"/>
              </w:rPr>
              <w:t>O</w:t>
            </w:r>
            <w:r>
              <w:rPr>
                <w:rFonts w:hint="default" w:ascii="Times New Roman" w:hAnsi="Times New Roman" w:eastAsia="宋体" w:cs="Times New Roman"/>
                <w:color w:val="000000"/>
                <w:kern w:val="0"/>
                <w:sz w:val="21"/>
                <w:szCs w:val="21"/>
                <w:bdr w:val="none" w:color="auto" w:sz="0" w:space="0"/>
                <w:vertAlign w:val="subscript"/>
                <w:lang w:val="en-US" w:eastAsia="zh-CN" w:bidi="ar"/>
              </w:rPr>
              <w:t>3</w:t>
            </w:r>
          </w:p>
        </w:tc>
        <w:tc>
          <w:tcPr>
            <w:tcW w:w="625"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CaO</w:t>
            </w:r>
          </w:p>
        </w:tc>
        <w:tc>
          <w:tcPr>
            <w:tcW w:w="624"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Al</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r>
              <w:rPr>
                <w:rFonts w:hint="default" w:ascii="Times New Roman" w:hAnsi="Times New Roman" w:eastAsia="宋体" w:cs="Times New Roman"/>
                <w:color w:val="000000"/>
                <w:kern w:val="0"/>
                <w:sz w:val="21"/>
                <w:szCs w:val="21"/>
                <w:bdr w:val="none" w:color="auto" w:sz="0" w:space="0"/>
                <w:lang w:val="en-US" w:eastAsia="zh-CN" w:bidi="ar"/>
              </w:rPr>
              <w:t>O</w:t>
            </w:r>
            <w:r>
              <w:rPr>
                <w:rFonts w:hint="default" w:ascii="Times New Roman" w:hAnsi="Times New Roman" w:eastAsia="宋体" w:cs="Times New Roman"/>
                <w:color w:val="000000"/>
                <w:kern w:val="0"/>
                <w:sz w:val="21"/>
                <w:szCs w:val="21"/>
                <w:bdr w:val="none" w:color="auto" w:sz="0" w:space="0"/>
                <w:vertAlign w:val="subscript"/>
                <w:lang w:val="en-US" w:eastAsia="zh-CN" w:bidi="ar"/>
              </w:rPr>
              <w:t>3</w:t>
            </w:r>
          </w:p>
        </w:tc>
        <w:tc>
          <w:tcPr>
            <w:tcW w:w="623"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灼减</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28"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含量</w:t>
            </w:r>
          </w:p>
        </w:tc>
        <w:tc>
          <w:tcPr>
            <w:tcW w:w="625"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625"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47</w:t>
            </w:r>
          </w:p>
        </w:tc>
        <w:tc>
          <w:tcPr>
            <w:tcW w:w="625"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0.16</w:t>
            </w:r>
          </w:p>
        </w:tc>
        <w:tc>
          <w:tcPr>
            <w:tcW w:w="625"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0.42</w:t>
            </w:r>
          </w:p>
        </w:tc>
        <w:tc>
          <w:tcPr>
            <w:tcW w:w="625"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0.7</w:t>
            </w:r>
          </w:p>
        </w:tc>
        <w:tc>
          <w:tcPr>
            <w:tcW w:w="624"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0.13</w:t>
            </w:r>
          </w:p>
        </w:tc>
        <w:tc>
          <w:tcPr>
            <w:tcW w:w="623"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46.49</w:t>
            </w:r>
          </w:p>
        </w:tc>
      </w:tr>
    </w:tbl>
    <w:p>
      <w:pPr>
        <w:keepNext w:val="0"/>
        <w:keepLines w:val="0"/>
        <w:widowControl/>
        <w:suppressLineNumbers w:val="0"/>
        <w:spacing w:before="0" w:beforeAutospacing="0" w:after="0" w:afterAutospacing="0" w:line="500" w:lineRule="exact"/>
        <w:ind w:left="0" w:right="6" w:firstLine="422" w:firstLineChars="200"/>
        <w:jc w:val="left"/>
        <w:rPr>
          <w:b/>
          <w:bCs w:val="0"/>
          <w:color w:val="000000"/>
          <w:lang w:val="en-US"/>
        </w:rPr>
      </w:pPr>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宋体" w:hAnsi="宋体" w:eastAsia="宋体" w:cs="宋体"/>
          <w:b/>
          <w:bCs w:val="0"/>
          <w:color w:val="000000"/>
          <w:kern w:val="0"/>
          <w:sz w:val="24"/>
          <w:szCs w:val="24"/>
          <w:lang w:val="en-US" w:eastAsia="zh-CN" w:bidi="ar"/>
        </w:rPr>
        <w:t>②</w:t>
      </w:r>
      <w:r>
        <w:rPr>
          <w:rFonts w:hint="eastAsia" w:ascii="Times New Roman" w:hAnsi="Times New Roman" w:eastAsia="宋体" w:cs="Times New Roman"/>
          <w:b/>
          <w:bCs w:val="0"/>
          <w:color w:val="000000"/>
          <w:kern w:val="0"/>
          <w:sz w:val="24"/>
          <w:szCs w:val="24"/>
          <w:lang w:val="en-US" w:eastAsia="zh-CN" w:bidi="ar"/>
        </w:rPr>
        <w:t>尾矿粉</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color w:val="000000"/>
          <w:kern w:val="0"/>
          <w:sz w:val="24"/>
          <w:szCs w:val="24"/>
          <w:lang w:val="en-US" w:eastAsia="zh-CN" w:bidi="ar"/>
        </w:rPr>
        <w:t>本项目年产</w:t>
      </w:r>
      <w:r>
        <w:rPr>
          <w:rFonts w:hint="eastAsia" w:ascii="Times New Roman" w:hAnsi="Times New Roman" w:eastAsia="宋体" w:cs="Times New Roman"/>
          <w:bCs/>
          <w:color w:val="000000"/>
          <w:kern w:val="0"/>
          <w:sz w:val="24"/>
          <w:szCs w:val="24"/>
          <w:lang w:val="en-US" w:eastAsia="zh-CN" w:bidi="ar"/>
        </w:rPr>
        <w:t>尾矿粉</w:t>
      </w:r>
      <w:r>
        <w:rPr>
          <w:rFonts w:hint="default" w:ascii="Times New Roman" w:hAnsi="Times New Roman" w:eastAsia="宋体" w:cs="Times New Roman"/>
          <w:bCs/>
          <w:color w:val="000000"/>
          <w:kern w:val="0"/>
          <w:sz w:val="24"/>
          <w:szCs w:val="24"/>
          <w:lang w:val="en-US" w:eastAsia="zh-CN" w:bidi="ar"/>
        </w:rPr>
        <w:t>25</w:t>
      </w:r>
      <w:r>
        <w:rPr>
          <w:rFonts w:hint="eastAsia" w:ascii="Times New Roman" w:hAnsi="Times New Roman" w:eastAsia="宋体" w:cs="Times New Roman"/>
          <w:bCs/>
          <w:color w:val="000000"/>
          <w:kern w:val="0"/>
          <w:sz w:val="24"/>
          <w:szCs w:val="24"/>
          <w:lang w:val="en-US" w:eastAsia="zh-CN" w:bidi="ar"/>
        </w:rPr>
        <w:t>吨，</w:t>
      </w:r>
      <w:r>
        <w:rPr>
          <w:rFonts w:hint="eastAsia" w:ascii="Times New Roman" w:hAnsi="Times New Roman" w:eastAsia="宋体" w:cs="Times New Roman"/>
          <w:color w:val="000000"/>
          <w:kern w:val="0"/>
          <w:sz w:val="24"/>
          <w:szCs w:val="24"/>
          <w:lang w:val="en-US" w:eastAsia="zh-CN" w:bidi="ar"/>
        </w:rPr>
        <w:t>主要含</w:t>
      </w:r>
      <w:r>
        <w:rPr>
          <w:rFonts w:hint="default" w:ascii="Times New Roman" w:hAnsi="Times New Roman" w:eastAsia="宋体" w:cs="Times New Roman"/>
          <w:color w:val="000000"/>
          <w:kern w:val="0"/>
          <w:sz w:val="24"/>
          <w:szCs w:val="24"/>
          <w:lang w:val="en-US" w:eastAsia="zh-CN" w:bidi="ar"/>
        </w:rPr>
        <w:t>MgO</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SiO</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Al</w:t>
      </w:r>
      <w:r>
        <w:rPr>
          <w:rFonts w:hint="default" w:ascii="Times New Roman" w:hAnsi="Times New Roman" w:eastAsia="宋体" w:cs="Times New Roman"/>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O</w:t>
      </w:r>
      <w:r>
        <w:rPr>
          <w:rFonts w:hint="default" w:ascii="Times New Roman" w:hAnsi="Times New Roman" w:eastAsia="宋体" w:cs="Times New Roman"/>
          <w:color w:val="000000"/>
          <w:kern w:val="0"/>
          <w:sz w:val="24"/>
          <w:szCs w:val="24"/>
          <w:vertAlign w:val="subscript"/>
          <w:lang w:val="en-US" w:eastAsia="zh-CN" w:bidi="ar"/>
        </w:rPr>
        <w:t>3</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Fe</w:t>
      </w:r>
      <w:r>
        <w:rPr>
          <w:rFonts w:hint="default" w:ascii="Times New Roman" w:hAnsi="Times New Roman" w:eastAsia="宋体" w:cs="Times New Roman"/>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O</w:t>
      </w:r>
      <w:r>
        <w:rPr>
          <w:rFonts w:hint="default" w:ascii="Times New Roman" w:hAnsi="Times New Roman" w:eastAsia="宋体" w:cs="Times New Roman"/>
          <w:color w:val="000000"/>
          <w:kern w:val="0"/>
          <w:sz w:val="24"/>
          <w:szCs w:val="24"/>
          <w:vertAlign w:val="subscript"/>
          <w:lang w:val="en-US" w:eastAsia="zh-CN" w:bidi="ar"/>
        </w:rPr>
        <w:t>3</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CaO</w:t>
      </w:r>
      <w:r>
        <w:rPr>
          <w:rFonts w:hint="eastAsia" w:ascii="Times New Roman" w:hAnsi="Times New Roman" w:eastAsia="宋体" w:cs="Times New Roman"/>
          <w:color w:val="000000"/>
          <w:kern w:val="0"/>
          <w:sz w:val="24"/>
          <w:szCs w:val="24"/>
          <w:lang w:val="en-US" w:eastAsia="zh-CN" w:bidi="ar"/>
        </w:rPr>
        <w:t>等物质，有害元素</w:t>
      </w:r>
      <w:r>
        <w:rPr>
          <w:rFonts w:hint="default" w:ascii="Times New Roman" w:hAnsi="Times New Roman" w:eastAsia="宋体" w:cs="Times New Roman"/>
          <w:color w:val="000000"/>
          <w:kern w:val="0"/>
          <w:sz w:val="24"/>
          <w:szCs w:val="24"/>
          <w:lang w:val="en-US" w:eastAsia="zh-CN" w:bidi="ar"/>
        </w:rPr>
        <w:t>S</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P</w:t>
      </w:r>
      <w:r>
        <w:rPr>
          <w:rFonts w:hint="eastAsia" w:ascii="Times New Roman" w:hAnsi="Times New Roman" w:eastAsia="宋体" w:cs="Times New Roman"/>
          <w:color w:val="000000"/>
          <w:kern w:val="0"/>
          <w:sz w:val="24"/>
          <w:szCs w:val="24"/>
          <w:lang w:val="en-US" w:eastAsia="zh-CN" w:bidi="ar"/>
        </w:rPr>
        <w:t>等含量甚微，不含其它重金属元素；无放射性，不燃。</w:t>
      </w:r>
      <w:r>
        <w:rPr>
          <w:rFonts w:hint="eastAsia" w:ascii="Times New Roman" w:hAnsi="Times New Roman" w:eastAsia="宋体" w:cs="Times New Roman"/>
          <w:bCs/>
          <w:color w:val="000000"/>
          <w:kern w:val="0"/>
          <w:sz w:val="24"/>
          <w:szCs w:val="24"/>
          <w:lang w:val="en-US" w:eastAsia="zh-CN" w:bidi="ar"/>
        </w:rPr>
        <w:t>存于尾矿库后，外售至海城市万泰矿业有限公司等厂家用于造渣球生产，尾矿化学组分见下表。</w:t>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3.1-5  </w:t>
      </w:r>
      <w:r>
        <w:rPr>
          <w:rFonts w:hint="eastAsia" w:ascii="Times New Roman" w:hAnsi="Times New Roman" w:eastAsia="黑体" w:cs="Times New Roman"/>
          <w:color w:val="000000"/>
          <w:kern w:val="0"/>
          <w:sz w:val="24"/>
          <w:szCs w:val="24"/>
          <w:lang w:val="en-US" w:eastAsia="zh-CN" w:bidi="ar"/>
        </w:rPr>
        <w:t>尾矿粉化学组分平均含量</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252"/>
        <w:gridCol w:w="1245"/>
        <w:gridCol w:w="1246"/>
        <w:gridCol w:w="1246"/>
        <w:gridCol w:w="1246"/>
        <w:gridCol w:w="1246"/>
        <w:gridCol w:w="1246"/>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jc w:val="center"/>
        </w:trPr>
        <w:tc>
          <w:tcPr>
            <w:tcW w:w="717" w:type="pc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指标</w:t>
            </w:r>
          </w:p>
        </w:tc>
        <w:tc>
          <w:tcPr>
            <w:tcW w:w="713"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单位</w:t>
            </w:r>
          </w:p>
        </w:tc>
        <w:tc>
          <w:tcPr>
            <w:tcW w:w="713"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MgO</w:t>
            </w:r>
          </w:p>
        </w:tc>
        <w:tc>
          <w:tcPr>
            <w:tcW w:w="713"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SiO</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p>
        </w:tc>
        <w:tc>
          <w:tcPr>
            <w:tcW w:w="713"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Fe</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r>
              <w:rPr>
                <w:rFonts w:hint="default" w:ascii="Times New Roman" w:hAnsi="Times New Roman" w:eastAsia="宋体" w:cs="Times New Roman"/>
                <w:color w:val="000000"/>
                <w:kern w:val="0"/>
                <w:sz w:val="21"/>
                <w:szCs w:val="21"/>
                <w:bdr w:val="none" w:color="auto" w:sz="0" w:space="0"/>
                <w:lang w:val="en-US" w:eastAsia="zh-CN" w:bidi="ar"/>
              </w:rPr>
              <w:t>O</w:t>
            </w:r>
            <w:r>
              <w:rPr>
                <w:rFonts w:hint="default" w:ascii="Times New Roman" w:hAnsi="Times New Roman" w:eastAsia="宋体" w:cs="Times New Roman"/>
                <w:color w:val="000000"/>
                <w:kern w:val="0"/>
                <w:sz w:val="21"/>
                <w:szCs w:val="21"/>
                <w:bdr w:val="none" w:color="auto" w:sz="0" w:space="0"/>
                <w:vertAlign w:val="subscript"/>
                <w:lang w:val="en-US" w:eastAsia="zh-CN" w:bidi="ar"/>
              </w:rPr>
              <w:t>3</w:t>
            </w:r>
          </w:p>
        </w:tc>
        <w:tc>
          <w:tcPr>
            <w:tcW w:w="713"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CaO</w:t>
            </w:r>
          </w:p>
        </w:tc>
        <w:tc>
          <w:tcPr>
            <w:tcW w:w="713"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Al</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r>
              <w:rPr>
                <w:rFonts w:hint="default" w:ascii="Times New Roman" w:hAnsi="Times New Roman" w:eastAsia="宋体" w:cs="Times New Roman"/>
                <w:color w:val="000000"/>
                <w:kern w:val="0"/>
                <w:sz w:val="21"/>
                <w:szCs w:val="21"/>
                <w:bdr w:val="none" w:color="auto" w:sz="0" w:space="0"/>
                <w:lang w:val="en-US" w:eastAsia="zh-CN" w:bidi="ar"/>
              </w:rPr>
              <w:t>O</w:t>
            </w:r>
            <w:r>
              <w:rPr>
                <w:rFonts w:hint="default" w:ascii="Times New Roman" w:hAnsi="Times New Roman" w:eastAsia="宋体" w:cs="Times New Roman"/>
                <w:color w:val="000000"/>
                <w:kern w:val="0"/>
                <w:sz w:val="21"/>
                <w:szCs w:val="21"/>
                <w:bdr w:val="none" w:color="auto" w:sz="0" w:space="0"/>
                <w:vertAlign w:val="subscript"/>
                <w:lang w:val="en-US" w:eastAsia="zh-CN" w:bidi="ar"/>
              </w:rPr>
              <w:t>3</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7"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含量</w:t>
            </w:r>
          </w:p>
        </w:tc>
        <w:tc>
          <w:tcPr>
            <w:tcW w:w="713"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713"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36.8</w:t>
            </w:r>
          </w:p>
        </w:tc>
        <w:tc>
          <w:tcPr>
            <w:tcW w:w="713"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18.75</w:t>
            </w:r>
          </w:p>
        </w:tc>
        <w:tc>
          <w:tcPr>
            <w:tcW w:w="713"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0.45</w:t>
            </w:r>
          </w:p>
        </w:tc>
        <w:tc>
          <w:tcPr>
            <w:tcW w:w="713"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1.12</w:t>
            </w:r>
          </w:p>
        </w:tc>
        <w:tc>
          <w:tcPr>
            <w:tcW w:w="713"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0.97</w:t>
            </w:r>
          </w:p>
        </w:tc>
      </w:tr>
    </w:tbl>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 xml:space="preserve">.4 </w:t>
      </w:r>
      <w:r>
        <w:rPr>
          <w:rFonts w:ascii="Times New Roman" w:hAnsi="Times New Roman" w:cs="Times New Roman"/>
          <w:color w:val="000000"/>
          <w:lang/>
        </w:rPr>
        <w:t>主要原辅材料</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本项目主要原辅材料用量统计于表</w:t>
      </w:r>
      <w:r>
        <w:rPr>
          <w:rFonts w:hint="default" w:ascii="Times New Roman" w:hAnsi="Times New Roman" w:eastAsia="宋体" w:cs="Times New Roman"/>
          <w:color w:val="000000"/>
          <w:kern w:val="0"/>
          <w:sz w:val="24"/>
          <w:szCs w:val="24"/>
          <w:lang w:val="en-US" w:eastAsia="zh-CN" w:bidi="ar"/>
        </w:rPr>
        <w:t>3.1-6</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3.1-6  </w:t>
      </w:r>
      <w:r>
        <w:rPr>
          <w:rFonts w:hint="eastAsia" w:ascii="Times New Roman" w:hAnsi="Times New Roman" w:eastAsia="黑体" w:cs="Times New Roman"/>
          <w:color w:val="000000"/>
          <w:kern w:val="0"/>
          <w:sz w:val="24"/>
          <w:szCs w:val="24"/>
          <w:lang w:val="en-US" w:eastAsia="zh-CN" w:bidi="ar"/>
        </w:rPr>
        <w:t>本项目主要原辅材料用量统计表</w:t>
      </w:r>
    </w:p>
    <w:tbl>
      <w:tblPr>
        <w:tblStyle w:val="32"/>
        <w:tblW w:w="5103"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28" w:type="dxa"/>
          <w:bottom w:w="0" w:type="dxa"/>
          <w:right w:w="28" w:type="dxa"/>
        </w:tblCellMar>
      </w:tblPr>
      <w:tblGrid>
        <w:gridCol w:w="687"/>
        <w:gridCol w:w="1702"/>
        <w:gridCol w:w="1135"/>
        <w:gridCol w:w="1133"/>
        <w:gridCol w:w="993"/>
        <w:gridCol w:w="1277"/>
        <w:gridCol w:w="1079"/>
        <w:gridCol w:w="737"/>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28" w:type="dxa"/>
            <w:bottom w:w="0" w:type="dxa"/>
            <w:right w:w="28" w:type="dxa"/>
          </w:tblCellMar>
        </w:tblPrEx>
        <w:trPr>
          <w:trHeight w:val="340" w:hRule="atLeast"/>
          <w:tblHeader/>
          <w:jc w:val="center"/>
        </w:trPr>
        <w:tc>
          <w:tcPr>
            <w:tcW w:w="393" w:type="pc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序号</w:t>
            </w:r>
          </w:p>
        </w:tc>
        <w:tc>
          <w:tcPr>
            <w:tcW w:w="973"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名称</w:t>
            </w:r>
          </w:p>
        </w:tc>
        <w:tc>
          <w:tcPr>
            <w:tcW w:w="649"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消耗量</w:t>
            </w:r>
          </w:p>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t/a</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648"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单耗</w:t>
            </w:r>
          </w:p>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t/t</w:t>
            </w:r>
            <w:r>
              <w:rPr>
                <w:rFonts w:hint="eastAsia" w:ascii="Times New Roman" w:hAnsi="Times New Roman" w:eastAsia="宋体" w:cs="Times New Roman"/>
                <w:color w:val="000000"/>
                <w:kern w:val="0"/>
                <w:sz w:val="21"/>
                <w:szCs w:val="21"/>
                <w:bdr w:val="none" w:color="auto" w:sz="0" w:space="0"/>
                <w:lang w:val="en-US" w:eastAsia="zh-CN" w:bidi="ar"/>
              </w:rPr>
              <w:t>产品）</w:t>
            </w:r>
          </w:p>
        </w:tc>
        <w:tc>
          <w:tcPr>
            <w:tcW w:w="568"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物质形态</w:t>
            </w:r>
          </w:p>
        </w:tc>
        <w:tc>
          <w:tcPr>
            <w:tcW w:w="730"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来源</w:t>
            </w:r>
          </w:p>
        </w:tc>
        <w:tc>
          <w:tcPr>
            <w:tcW w:w="617"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贮存位置</w:t>
            </w:r>
          </w:p>
        </w:tc>
        <w:tc>
          <w:tcPr>
            <w:tcW w:w="421"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运输</w:t>
            </w:r>
          </w:p>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方式</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93"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bookmarkStart w:id="134" w:name="_Hlk278279705"/>
            <w:r>
              <w:rPr>
                <w:rFonts w:hint="default" w:ascii="Times New Roman" w:hAnsi="Times New Roman" w:cs="Times New Roman"/>
                <w:color w:val="000000"/>
                <w:sz w:val="21"/>
                <w:szCs w:val="21"/>
                <w:bdr w:val="none" w:color="auto" w:sz="0" w:space="0"/>
                <w:lang w:val="en-US"/>
              </w:rPr>
              <w:t>1</w:t>
            </w:r>
          </w:p>
        </w:tc>
        <w:tc>
          <w:tcPr>
            <w:tcW w:w="9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菱镁矿石（</w:t>
            </w:r>
            <w:r>
              <w:rPr>
                <w:rFonts w:hint="default" w:ascii="Times New Roman" w:hAnsi="Times New Roman" w:cs="Times New Roman"/>
                <w:color w:val="000000"/>
                <w:sz w:val="21"/>
                <w:szCs w:val="21"/>
                <w:bdr w:val="none" w:color="auto" w:sz="0" w:space="0"/>
                <w:lang w:val="en-US"/>
              </w:rPr>
              <w:t>&lt;500mm</w:t>
            </w:r>
            <w:r>
              <w:rPr>
                <w:rFonts w:ascii="Times New Roman" w:hAnsi="Times New Roman" w:cs="Times New Roman"/>
                <w:color w:val="000000"/>
                <w:sz w:val="21"/>
                <w:szCs w:val="21"/>
                <w:bdr w:val="none" w:color="auto" w:sz="0" w:space="0"/>
              </w:rPr>
              <w:t>）</w:t>
            </w:r>
          </w:p>
        </w:tc>
        <w:tc>
          <w:tcPr>
            <w:tcW w:w="64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1250000</w:t>
            </w:r>
          </w:p>
        </w:tc>
        <w:tc>
          <w:tcPr>
            <w:tcW w:w="64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1.25</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固体</w:t>
            </w:r>
          </w:p>
        </w:tc>
        <w:tc>
          <w:tcPr>
            <w:tcW w:w="73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外购</w:t>
            </w:r>
          </w:p>
        </w:tc>
        <w:tc>
          <w:tcPr>
            <w:tcW w:w="61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原料库</w:t>
            </w:r>
          </w:p>
        </w:tc>
        <w:tc>
          <w:tcPr>
            <w:tcW w:w="42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汽运</w:t>
            </w:r>
          </w:p>
        </w:tc>
      </w:tr>
      <w:bookmarkEnd w:id="134"/>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93"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w:t>
            </w:r>
          </w:p>
        </w:tc>
        <w:tc>
          <w:tcPr>
            <w:tcW w:w="9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反浮选药剂</w:t>
            </w:r>
          </w:p>
        </w:tc>
        <w:tc>
          <w:tcPr>
            <w:tcW w:w="64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1500</w:t>
            </w:r>
          </w:p>
        </w:tc>
        <w:tc>
          <w:tcPr>
            <w:tcW w:w="64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0.0015</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固体</w:t>
            </w:r>
          </w:p>
        </w:tc>
        <w:tc>
          <w:tcPr>
            <w:tcW w:w="73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外购</w:t>
            </w:r>
          </w:p>
        </w:tc>
        <w:tc>
          <w:tcPr>
            <w:tcW w:w="61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药剂车间</w:t>
            </w:r>
          </w:p>
        </w:tc>
        <w:tc>
          <w:tcPr>
            <w:tcW w:w="42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汽运</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93"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w:t>
            </w:r>
          </w:p>
        </w:tc>
        <w:tc>
          <w:tcPr>
            <w:tcW w:w="9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球磨机钢球</w:t>
            </w:r>
          </w:p>
        </w:tc>
        <w:tc>
          <w:tcPr>
            <w:tcW w:w="64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600</w:t>
            </w:r>
          </w:p>
        </w:tc>
        <w:tc>
          <w:tcPr>
            <w:tcW w:w="64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0.0006</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固体</w:t>
            </w:r>
          </w:p>
        </w:tc>
        <w:tc>
          <w:tcPr>
            <w:tcW w:w="73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外购</w:t>
            </w:r>
          </w:p>
        </w:tc>
        <w:tc>
          <w:tcPr>
            <w:tcW w:w="61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磨矿车间</w:t>
            </w:r>
          </w:p>
        </w:tc>
        <w:tc>
          <w:tcPr>
            <w:tcW w:w="42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汽运</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93"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w:t>
            </w:r>
          </w:p>
        </w:tc>
        <w:tc>
          <w:tcPr>
            <w:tcW w:w="9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振动筛筛网</w:t>
            </w:r>
          </w:p>
        </w:tc>
        <w:tc>
          <w:tcPr>
            <w:tcW w:w="64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60</w:t>
            </w:r>
          </w:p>
        </w:tc>
        <w:tc>
          <w:tcPr>
            <w:tcW w:w="64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0.00006</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固体</w:t>
            </w:r>
          </w:p>
        </w:tc>
        <w:tc>
          <w:tcPr>
            <w:tcW w:w="73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外购</w:t>
            </w:r>
          </w:p>
        </w:tc>
        <w:tc>
          <w:tcPr>
            <w:tcW w:w="61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破碎车间</w:t>
            </w:r>
          </w:p>
        </w:tc>
        <w:tc>
          <w:tcPr>
            <w:tcW w:w="42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汽运</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93"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w:t>
            </w:r>
          </w:p>
        </w:tc>
        <w:tc>
          <w:tcPr>
            <w:tcW w:w="9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润滑油</w:t>
            </w:r>
          </w:p>
        </w:tc>
        <w:tc>
          <w:tcPr>
            <w:tcW w:w="64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64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10</w:t>
            </w:r>
            <w:r>
              <w:rPr>
                <w:rFonts w:hint="default" w:ascii="Times New Roman" w:hAnsi="Times New Roman" w:eastAsia="宋体" w:cs="Times New Roman"/>
                <w:color w:val="000000"/>
                <w:kern w:val="0"/>
                <w:sz w:val="21"/>
                <w:szCs w:val="21"/>
                <w:bdr w:val="none" w:color="auto" w:sz="0" w:space="0"/>
                <w:vertAlign w:val="superscript"/>
                <w:lang w:val="en-US" w:eastAsia="zh-CN" w:bidi="ar"/>
              </w:rPr>
              <w:t>-6</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液体</w:t>
            </w:r>
          </w:p>
        </w:tc>
        <w:tc>
          <w:tcPr>
            <w:tcW w:w="73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外购</w:t>
            </w:r>
          </w:p>
        </w:tc>
        <w:tc>
          <w:tcPr>
            <w:tcW w:w="61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材料库</w:t>
            </w:r>
          </w:p>
        </w:tc>
        <w:tc>
          <w:tcPr>
            <w:tcW w:w="42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汽运</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93"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w:t>
            </w:r>
          </w:p>
        </w:tc>
        <w:tc>
          <w:tcPr>
            <w:tcW w:w="9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新水</w:t>
            </w:r>
          </w:p>
        </w:tc>
        <w:tc>
          <w:tcPr>
            <w:tcW w:w="64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111090</w:t>
            </w:r>
          </w:p>
        </w:tc>
        <w:tc>
          <w:tcPr>
            <w:tcW w:w="64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0.09</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73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国家电网</w:t>
            </w:r>
          </w:p>
        </w:tc>
        <w:tc>
          <w:tcPr>
            <w:tcW w:w="61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42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93"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w:t>
            </w:r>
          </w:p>
        </w:tc>
        <w:tc>
          <w:tcPr>
            <w:tcW w:w="973"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电</w:t>
            </w:r>
          </w:p>
        </w:tc>
        <w:tc>
          <w:tcPr>
            <w:tcW w:w="649"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2160</w:t>
            </w:r>
            <w:r>
              <w:rPr>
                <w:rFonts w:hint="eastAsia" w:ascii="Times New Roman" w:hAnsi="Times New Roman" w:eastAsia="宋体" w:cs="Times New Roman"/>
                <w:color w:val="000000"/>
                <w:kern w:val="0"/>
                <w:sz w:val="21"/>
                <w:szCs w:val="21"/>
                <w:bdr w:val="none" w:color="auto" w:sz="0" w:space="0"/>
                <w:lang w:val="en-US" w:eastAsia="zh-CN" w:bidi="ar"/>
              </w:rPr>
              <w:t>万</w:t>
            </w:r>
            <w:r>
              <w:rPr>
                <w:rFonts w:hint="default" w:ascii="Times New Roman" w:hAnsi="Times New Roman" w:eastAsia="宋体" w:cs="Times New Roman"/>
                <w:color w:val="000000"/>
                <w:kern w:val="0"/>
                <w:sz w:val="21"/>
                <w:szCs w:val="21"/>
                <w:bdr w:val="none" w:color="auto" w:sz="0" w:space="0"/>
                <w:lang w:val="en-US" w:eastAsia="zh-CN" w:bidi="ar"/>
              </w:rPr>
              <w:t>KWh/a</w:t>
            </w:r>
          </w:p>
        </w:tc>
        <w:tc>
          <w:tcPr>
            <w:tcW w:w="648"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21.6KWh/t</w:t>
            </w:r>
          </w:p>
        </w:tc>
        <w:tc>
          <w:tcPr>
            <w:tcW w:w="568"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730"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厂区水井</w:t>
            </w:r>
          </w:p>
        </w:tc>
        <w:tc>
          <w:tcPr>
            <w:tcW w:w="617"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421"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r>
    </w:tbl>
    <w:p>
      <w:pPr>
        <w:keepNext w:val="0"/>
        <w:keepLines w:val="0"/>
        <w:widowControl/>
        <w:suppressLineNumbers w:val="0"/>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bCs/>
          <w:color w:val="000000"/>
          <w:lang w:val="en-US"/>
        </w:rPr>
      </w:pP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本项目原辅材料规格及理化性质如下：</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b/>
          <w:color w:val="000000"/>
          <w:lang w:val="en-US"/>
        </w:rPr>
      </w:pPr>
      <w:r>
        <w:rPr>
          <w:rFonts w:hint="eastAsia" w:ascii="宋体" w:hAnsi="宋体" w:eastAsia="宋体" w:cs="宋体"/>
          <w:b/>
          <w:color w:val="000000"/>
          <w:kern w:val="0"/>
          <w:sz w:val="24"/>
          <w:szCs w:val="24"/>
          <w:lang w:val="en-US" w:eastAsia="zh-CN" w:bidi="ar"/>
        </w:rPr>
        <w:t>①菱镁矿石</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浮选原矿外购自海城华宇矿产品有限公司，为华宇集团自有矿山采出的四级低品位菱镁矿石，来料粒度小于</w:t>
      </w:r>
      <w:r>
        <w:rPr>
          <w:rFonts w:hint="default" w:ascii="Times New Roman" w:hAnsi="Times New Roman" w:eastAsia="宋体" w:cs="Times New Roman"/>
          <w:bCs/>
          <w:color w:val="000000"/>
          <w:kern w:val="0"/>
          <w:sz w:val="24"/>
          <w:szCs w:val="24"/>
          <w:lang w:val="en-US" w:eastAsia="zh-CN" w:bidi="ar"/>
        </w:rPr>
        <w:t>500mm</w:t>
      </w:r>
      <w:r>
        <w:rPr>
          <w:rFonts w:hint="eastAsia" w:ascii="Times New Roman" w:hAnsi="Times New Roman" w:eastAsia="宋体" w:cs="Times New Roman"/>
          <w:bCs/>
          <w:color w:val="000000"/>
          <w:kern w:val="0"/>
          <w:sz w:val="24"/>
          <w:szCs w:val="24"/>
          <w:lang w:val="en-US" w:eastAsia="zh-CN" w:bidi="ar"/>
        </w:rPr>
        <w:t>。原料库菱镁矿石的最大贮存量为</w:t>
      </w:r>
      <w:r>
        <w:rPr>
          <w:rFonts w:hint="default" w:ascii="Times New Roman" w:hAnsi="Times New Roman" w:eastAsia="宋体" w:cs="Times New Roman"/>
          <w:bCs/>
          <w:color w:val="000000"/>
          <w:kern w:val="0"/>
          <w:sz w:val="24"/>
          <w:szCs w:val="24"/>
          <w:lang w:val="en-US" w:eastAsia="zh-CN" w:bidi="ar"/>
        </w:rPr>
        <w:t>7500</w:t>
      </w:r>
      <w:r>
        <w:rPr>
          <w:rFonts w:hint="eastAsia" w:ascii="Times New Roman" w:hAnsi="Times New Roman" w:eastAsia="宋体" w:cs="Times New Roman"/>
          <w:bCs/>
          <w:color w:val="000000"/>
          <w:kern w:val="0"/>
          <w:sz w:val="24"/>
          <w:szCs w:val="24"/>
          <w:lang w:val="en-US" w:eastAsia="zh-CN" w:bidi="ar"/>
        </w:rPr>
        <w:t>吨。菱镁矿属碳酸盐类，方解石族，菱镁矿种。菱镁矿石的纹理粗糙，成大块晶体状。杂质主要是氧化钙和二氧化硅，以不规则的点状形式分布，菱镁矿石里也含少量铁。菱镁矿化学组分见下表。</w:t>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3.1-7 </w:t>
      </w:r>
      <w:r>
        <w:rPr>
          <w:rFonts w:hint="eastAsia" w:ascii="Times New Roman" w:hAnsi="Times New Roman" w:eastAsia="黑体" w:cs="Times New Roman"/>
          <w:color w:val="000000"/>
          <w:kern w:val="0"/>
          <w:sz w:val="24"/>
          <w:szCs w:val="24"/>
          <w:lang w:val="en-US" w:eastAsia="zh-CN" w:bidi="ar"/>
        </w:rPr>
        <w:t>菱镁矿化学组分平均含量</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506"/>
        <w:gridCol w:w="1546"/>
        <w:gridCol w:w="1376"/>
        <w:gridCol w:w="1547"/>
        <w:gridCol w:w="1376"/>
        <w:gridCol w:w="1376"/>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jc w:val="center"/>
        </w:trPr>
        <w:tc>
          <w:tcPr>
            <w:tcW w:w="863" w:type="pc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指标</w:t>
            </w:r>
          </w:p>
        </w:tc>
        <w:tc>
          <w:tcPr>
            <w:tcW w:w="886"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MgO</w:t>
            </w:r>
          </w:p>
        </w:tc>
        <w:tc>
          <w:tcPr>
            <w:tcW w:w="788"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SiO</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p>
        </w:tc>
        <w:tc>
          <w:tcPr>
            <w:tcW w:w="886"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Fe</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r>
              <w:rPr>
                <w:rFonts w:hint="default" w:ascii="Times New Roman" w:hAnsi="Times New Roman" w:eastAsia="宋体" w:cs="Times New Roman"/>
                <w:color w:val="000000"/>
                <w:kern w:val="0"/>
                <w:sz w:val="21"/>
                <w:szCs w:val="21"/>
                <w:bdr w:val="none" w:color="auto" w:sz="0" w:space="0"/>
                <w:lang w:val="en-US" w:eastAsia="zh-CN" w:bidi="ar"/>
              </w:rPr>
              <w:t>O</w:t>
            </w:r>
            <w:r>
              <w:rPr>
                <w:rFonts w:hint="default" w:ascii="Times New Roman" w:hAnsi="Times New Roman" w:eastAsia="宋体" w:cs="Times New Roman"/>
                <w:color w:val="000000"/>
                <w:kern w:val="0"/>
                <w:sz w:val="21"/>
                <w:szCs w:val="21"/>
                <w:bdr w:val="none" w:color="auto" w:sz="0" w:space="0"/>
                <w:vertAlign w:val="subscript"/>
                <w:lang w:val="en-US" w:eastAsia="zh-CN" w:bidi="ar"/>
              </w:rPr>
              <w:t>3</w:t>
            </w:r>
          </w:p>
        </w:tc>
        <w:tc>
          <w:tcPr>
            <w:tcW w:w="788"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CaO</w:t>
            </w:r>
          </w:p>
        </w:tc>
        <w:tc>
          <w:tcPr>
            <w:tcW w:w="788"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Al</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r>
              <w:rPr>
                <w:rFonts w:hint="default" w:ascii="Times New Roman" w:hAnsi="Times New Roman" w:eastAsia="宋体" w:cs="Times New Roman"/>
                <w:color w:val="000000"/>
                <w:kern w:val="0"/>
                <w:sz w:val="21"/>
                <w:szCs w:val="21"/>
                <w:bdr w:val="none" w:color="auto" w:sz="0" w:space="0"/>
                <w:lang w:val="en-US" w:eastAsia="zh-CN" w:bidi="ar"/>
              </w:rPr>
              <w:t>O</w:t>
            </w:r>
            <w:r>
              <w:rPr>
                <w:rFonts w:hint="default" w:ascii="Times New Roman" w:hAnsi="Times New Roman" w:eastAsia="宋体" w:cs="Times New Roman"/>
                <w:color w:val="000000"/>
                <w:kern w:val="0"/>
                <w:sz w:val="21"/>
                <w:szCs w:val="21"/>
                <w:bdr w:val="none" w:color="auto" w:sz="0" w:space="0"/>
                <w:vertAlign w:val="subscript"/>
                <w:lang w:val="en-US" w:eastAsia="zh-CN" w:bidi="ar"/>
              </w:rPr>
              <w:t>3</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3"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含量（</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886"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45</w:t>
            </w:r>
          </w:p>
        </w:tc>
        <w:tc>
          <w:tcPr>
            <w:tcW w:w="788"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3.9</w:t>
            </w:r>
          </w:p>
        </w:tc>
        <w:tc>
          <w:tcPr>
            <w:tcW w:w="886"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0.426</w:t>
            </w:r>
          </w:p>
        </w:tc>
        <w:tc>
          <w:tcPr>
            <w:tcW w:w="788"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0.784</w:t>
            </w:r>
          </w:p>
        </w:tc>
        <w:tc>
          <w:tcPr>
            <w:tcW w:w="788"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0.298</w:t>
            </w:r>
          </w:p>
        </w:tc>
      </w:tr>
    </w:tbl>
    <w:p>
      <w:pPr>
        <w:keepNext w:val="0"/>
        <w:keepLines w:val="0"/>
        <w:widowControl/>
        <w:suppressLineNumbers w:val="0"/>
        <w:spacing w:before="239" w:beforeLines="50" w:beforeAutospacing="0" w:after="0" w:afterAutospacing="0"/>
        <w:ind w:left="0" w:right="-62" w:firstLine="482" w:firstLineChars="200"/>
        <w:jc w:val="left"/>
        <w:rPr>
          <w:b/>
          <w:color w:val="000000"/>
          <w:lang w:val="en-US"/>
        </w:rPr>
      </w:pPr>
      <w:r>
        <w:rPr>
          <w:rFonts w:hint="eastAsia" w:ascii="宋体" w:hAnsi="宋体" w:eastAsia="宋体" w:cs="宋体"/>
          <w:b/>
          <w:color w:val="000000"/>
          <w:kern w:val="0"/>
          <w:sz w:val="24"/>
          <w:szCs w:val="24"/>
          <w:lang w:val="en-US" w:eastAsia="zh-CN" w:bidi="ar"/>
        </w:rPr>
        <w:t>②反浮选添加剂</w:t>
      </w:r>
    </w:p>
    <w:p>
      <w:pPr>
        <w:keepNext w:val="0"/>
        <w:keepLines w:val="0"/>
        <w:widowControl/>
        <w:suppressLineNumbers w:val="0"/>
        <w:spacing w:before="0" w:beforeAutospacing="0" w:after="0" w:afterAutospacing="0"/>
        <w:ind w:left="0" w:right="-62"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反浮选添加剂为有机化学品，采用汽车运至药剂车间暂存，最大贮量</w:t>
      </w:r>
      <w:r>
        <w:rPr>
          <w:rFonts w:hint="default" w:ascii="Times New Roman" w:hAnsi="Times New Roman" w:eastAsia="宋体" w:cs="Times New Roman"/>
          <w:bCs/>
          <w:color w:val="000000"/>
          <w:kern w:val="0"/>
          <w:sz w:val="24"/>
          <w:szCs w:val="24"/>
          <w:lang w:val="en-US" w:eastAsia="zh-CN" w:bidi="ar"/>
        </w:rPr>
        <w:t>100t</w:t>
      </w:r>
      <w:r>
        <w:rPr>
          <w:rFonts w:hint="eastAsia" w:ascii="Times New Roman" w:hAnsi="Times New Roman" w:eastAsia="宋体" w:cs="Times New Roman"/>
          <w:bCs/>
          <w:color w:val="000000"/>
          <w:kern w:val="0"/>
          <w:sz w:val="24"/>
          <w:szCs w:val="24"/>
          <w:lang w:val="en-US" w:eastAsia="zh-CN" w:bidi="ar"/>
        </w:rPr>
        <w:t>。</w:t>
      </w:r>
    </w:p>
    <w:p>
      <w:pPr>
        <w:keepNext w:val="0"/>
        <w:keepLines w:val="0"/>
        <w:widowControl/>
        <w:suppressLineNumbers w:val="0"/>
        <w:spacing w:before="0" w:beforeAutospacing="0" w:after="0" w:afterAutospacing="0"/>
        <w:ind w:left="0" w:right="-62"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反浮选添加剂中含有捕收剂，主要成分月桂胺，占</w:t>
      </w:r>
      <w:r>
        <w:rPr>
          <w:rFonts w:hint="default" w:ascii="Times New Roman" w:hAnsi="Times New Roman" w:eastAsia="宋体" w:cs="Times New Roman"/>
          <w:bCs/>
          <w:color w:val="000000"/>
          <w:kern w:val="0"/>
          <w:sz w:val="24"/>
          <w:szCs w:val="24"/>
          <w:lang w:val="en-US" w:eastAsia="zh-CN" w:bidi="ar"/>
        </w:rPr>
        <w:t>70%</w:t>
      </w:r>
      <w:r>
        <w:rPr>
          <w:rFonts w:hint="eastAsia" w:ascii="Times New Roman" w:hAnsi="Times New Roman" w:eastAsia="宋体" w:cs="Times New Roman"/>
          <w:bCs/>
          <w:color w:val="000000"/>
          <w:kern w:val="0"/>
          <w:sz w:val="24"/>
          <w:szCs w:val="24"/>
          <w:lang w:val="en-US" w:eastAsia="zh-CN" w:bidi="ar"/>
        </w:rPr>
        <w:t>；起泡剂，主要成分二号油，占</w:t>
      </w:r>
      <w:r>
        <w:rPr>
          <w:rFonts w:hint="default" w:ascii="Times New Roman" w:hAnsi="Times New Roman" w:eastAsia="宋体" w:cs="Times New Roman"/>
          <w:bCs/>
          <w:color w:val="000000"/>
          <w:kern w:val="0"/>
          <w:sz w:val="24"/>
          <w:szCs w:val="24"/>
          <w:lang w:val="en-US" w:eastAsia="zh-CN" w:bidi="ar"/>
        </w:rPr>
        <w:t>10%</w:t>
      </w:r>
      <w:r>
        <w:rPr>
          <w:rFonts w:hint="eastAsia" w:ascii="Times New Roman" w:hAnsi="Times New Roman" w:eastAsia="宋体" w:cs="Times New Roman"/>
          <w:bCs/>
          <w:color w:val="000000"/>
          <w:kern w:val="0"/>
          <w:sz w:val="24"/>
          <w:szCs w:val="24"/>
          <w:lang w:val="en-US" w:eastAsia="zh-CN" w:bidi="ar"/>
        </w:rPr>
        <w:t>；抑制剂，主要成分六偏磷酸钠等，占</w:t>
      </w:r>
      <w:r>
        <w:rPr>
          <w:rFonts w:hint="default" w:ascii="Times New Roman" w:hAnsi="Times New Roman" w:eastAsia="宋体" w:cs="Times New Roman"/>
          <w:bCs/>
          <w:color w:val="000000"/>
          <w:kern w:val="0"/>
          <w:sz w:val="24"/>
          <w:szCs w:val="24"/>
          <w:lang w:val="en-US" w:eastAsia="zh-CN" w:bidi="ar"/>
        </w:rPr>
        <w:t>20%</w:t>
      </w:r>
      <w:r>
        <w:rPr>
          <w:rFonts w:hint="eastAsia" w:ascii="Times New Roman" w:hAnsi="Times New Roman" w:eastAsia="宋体" w:cs="Times New Roman"/>
          <w:bCs/>
          <w:color w:val="000000"/>
          <w:kern w:val="0"/>
          <w:sz w:val="24"/>
          <w:szCs w:val="24"/>
          <w:lang w:val="en-US" w:eastAsia="zh-CN" w:bidi="ar"/>
        </w:rPr>
        <w:t>。</w:t>
      </w:r>
    </w:p>
    <w:p>
      <w:pPr>
        <w:keepNext w:val="0"/>
        <w:keepLines w:val="0"/>
        <w:widowControl/>
        <w:suppressLineNumbers w:val="0"/>
        <w:spacing w:before="0" w:beforeAutospacing="0" w:after="0" w:afterAutospacing="0"/>
        <w:ind w:left="0" w:right="-62"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各主要组分理化性质如下：</w:t>
      </w:r>
    </w:p>
    <w:p>
      <w:pPr>
        <w:keepNext w:val="0"/>
        <w:keepLines w:val="0"/>
        <w:widowControl/>
        <w:suppressLineNumbers w:val="0"/>
        <w:spacing w:before="0" w:beforeAutospacing="0" w:after="0" w:afterAutospacing="0"/>
        <w:ind w:left="0" w:right="-62"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月桂胺，白色蜡状固体。用于制取表面活性剂、矿物浮选剂、十二烷基季铵盐、杀菌剂、农药、乳化剂、洗涤剂等。</w:t>
      </w:r>
    </w:p>
    <w:p>
      <w:pPr>
        <w:keepNext w:val="0"/>
        <w:keepLines w:val="0"/>
        <w:widowControl/>
        <w:suppressLineNumbers w:val="0"/>
        <w:spacing w:before="0" w:beforeAutospacing="0" w:after="0" w:afterAutospacing="0"/>
        <w:ind w:left="0" w:right="-62"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油，又称松醇油，无色液体或低熔点透明结晶体，为黄色至棕色油状液体，微溶于水，无毒，具有丁香味。一般工业上出售的是三种异构体的混合物，相对密度</w:t>
      </w:r>
      <w:r>
        <w:rPr>
          <w:rFonts w:hint="default" w:ascii="Times New Roman" w:hAnsi="Times New Roman" w:eastAsia="宋体" w:cs="Times New Roman"/>
          <w:color w:val="000000"/>
          <w:kern w:val="0"/>
          <w:sz w:val="24"/>
          <w:szCs w:val="24"/>
          <w:lang w:val="en-US" w:eastAsia="zh-CN" w:bidi="ar"/>
        </w:rPr>
        <w:t>0.9337(20/4℃)</w:t>
      </w:r>
      <w:r>
        <w:rPr>
          <w:rFonts w:hint="eastAsia" w:ascii="Times New Roman" w:hAnsi="Times New Roman" w:eastAsia="宋体" w:cs="Times New Roman"/>
          <w:color w:val="000000"/>
          <w:kern w:val="0"/>
          <w:sz w:val="24"/>
          <w:szCs w:val="24"/>
          <w:lang w:val="en-US" w:eastAsia="zh-CN" w:bidi="ar"/>
        </w:rPr>
        <w:t>。固化点</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。旋光度</w:t>
      </w:r>
      <w:r>
        <w:rPr>
          <w:rFonts w:hint="default" w:ascii="Times New Roman" w:hAnsi="Times New Roman" w:eastAsia="宋体" w:cs="Times New Roman"/>
          <w:color w:val="000000"/>
          <w:kern w:val="0"/>
          <w:sz w:val="24"/>
          <w:szCs w:val="24"/>
          <w:lang w:val="en-US" w:eastAsia="zh-CN" w:bidi="ar"/>
        </w:rPr>
        <w:t>[α]-0°10'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+0°10’</w:t>
      </w:r>
      <w:r>
        <w:rPr>
          <w:rFonts w:hint="eastAsia" w:ascii="Times New Roman" w:hAnsi="Times New Roman" w:eastAsia="宋体" w:cs="Times New Roman"/>
          <w:color w:val="000000"/>
          <w:kern w:val="0"/>
          <w:sz w:val="24"/>
          <w:szCs w:val="24"/>
          <w:lang w:val="en-US" w:eastAsia="zh-CN" w:bidi="ar"/>
        </w:rPr>
        <w:t>。沸程</w:t>
      </w:r>
      <w:r>
        <w:rPr>
          <w:rFonts w:hint="default" w:ascii="Times New Roman" w:hAnsi="Times New Roman" w:eastAsia="宋体" w:cs="Times New Roman"/>
          <w:color w:val="000000"/>
          <w:kern w:val="0"/>
          <w:sz w:val="24"/>
          <w:szCs w:val="24"/>
          <w:lang w:val="en-US" w:eastAsia="zh-CN" w:bidi="ar"/>
        </w:rPr>
        <w:t>214</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224℃</w:t>
      </w:r>
      <w:r>
        <w:rPr>
          <w:rFonts w:hint="eastAsia" w:ascii="Times New Roman" w:hAnsi="Times New Roman" w:eastAsia="宋体" w:cs="Times New Roman"/>
          <w:color w:val="000000"/>
          <w:kern w:val="0"/>
          <w:sz w:val="24"/>
          <w:szCs w:val="24"/>
          <w:lang w:val="en-US" w:eastAsia="zh-CN" w:bidi="ar"/>
        </w:rPr>
        <w:t>。折射率</w:t>
      </w:r>
      <w:r>
        <w:rPr>
          <w:rFonts w:hint="default" w:ascii="Times New Roman" w:hAnsi="Times New Roman" w:eastAsia="宋体" w:cs="Times New Roman"/>
          <w:color w:val="000000"/>
          <w:kern w:val="0"/>
          <w:sz w:val="24"/>
          <w:szCs w:val="24"/>
          <w:lang w:val="en-US" w:eastAsia="zh-CN" w:bidi="ar"/>
        </w:rPr>
        <w:t>nD(20℃)1.4825</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1.4850</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62"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六偏磷酸钠为白色无嗅结晶粉末，熔点为</w:t>
      </w:r>
      <w:r>
        <w:rPr>
          <w:rFonts w:hint="default" w:ascii="Times New Roman" w:hAnsi="Times New Roman" w:eastAsia="宋体" w:cs="Times New Roman"/>
          <w:color w:val="000000"/>
          <w:kern w:val="0"/>
          <w:sz w:val="24"/>
          <w:szCs w:val="24"/>
          <w:lang w:val="en-US" w:eastAsia="zh-CN" w:bidi="ar"/>
        </w:rPr>
        <w:t>616℃(</w:t>
      </w:r>
      <w:r>
        <w:rPr>
          <w:rFonts w:hint="eastAsia" w:ascii="Times New Roman" w:hAnsi="Times New Roman" w:eastAsia="宋体" w:cs="Times New Roman"/>
          <w:color w:val="000000"/>
          <w:kern w:val="0"/>
          <w:sz w:val="24"/>
          <w:szCs w:val="24"/>
          <w:lang w:val="en-US" w:eastAsia="zh-CN" w:bidi="ar"/>
        </w:rPr>
        <w:t>分解</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，相对密度</w:t>
      </w:r>
      <w:r>
        <w:rPr>
          <w:rFonts w:hint="default" w:ascii="Times New Roman" w:hAnsi="Times New Roman" w:eastAsia="宋体" w:cs="Times New Roman"/>
          <w:color w:val="000000"/>
          <w:kern w:val="0"/>
          <w:sz w:val="24"/>
          <w:szCs w:val="24"/>
          <w:lang w:val="en-US" w:eastAsia="zh-CN" w:bidi="ar"/>
        </w:rPr>
        <w:t>2.484g/cm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(20℃)</w:t>
      </w:r>
      <w:r>
        <w:rPr>
          <w:rFonts w:hint="eastAsia" w:ascii="Times New Roman" w:hAnsi="Times New Roman" w:eastAsia="宋体" w:cs="Times New Roman"/>
          <w:color w:val="000000"/>
          <w:kern w:val="0"/>
          <w:sz w:val="24"/>
          <w:szCs w:val="24"/>
          <w:lang w:val="en-US" w:eastAsia="zh-CN" w:bidi="ar"/>
        </w:rPr>
        <w:t>，易溶于水，不溶于有机溶剂，吸湿性很强，露置于空气中能逐渐吸收水分而呈粘胶状物。无毒，主要用于食品及工业行业。</w:t>
      </w:r>
    </w:p>
    <w:p>
      <w:pPr>
        <w:keepNext w:val="0"/>
        <w:keepLines w:val="0"/>
        <w:widowControl/>
        <w:suppressLineNumbers w:val="0"/>
        <w:spacing w:before="0" w:beforeAutospacing="0" w:after="0" w:afterAutospacing="0"/>
        <w:ind w:left="0" w:right="-62" w:firstLine="482" w:firstLineChars="200"/>
        <w:jc w:val="left"/>
        <w:rPr>
          <w:b/>
          <w:color w:val="000000"/>
          <w:lang w:val="en-US"/>
        </w:rPr>
      </w:pPr>
      <w:r>
        <w:rPr>
          <w:rFonts w:hint="eastAsia" w:ascii="宋体" w:hAnsi="宋体" w:eastAsia="宋体" w:cs="宋体"/>
          <w:b/>
          <w:color w:val="000000"/>
          <w:kern w:val="0"/>
          <w:sz w:val="24"/>
          <w:szCs w:val="24"/>
          <w:lang w:val="en-US" w:eastAsia="zh-CN" w:bidi="ar"/>
        </w:rPr>
        <w:t>③润滑油</w:t>
      </w:r>
    </w:p>
    <w:p>
      <w:pPr>
        <w:keepNext w:val="0"/>
        <w:keepLines w:val="0"/>
        <w:widowControl/>
        <w:suppressLineNumbers w:val="0"/>
        <w:spacing w:before="0" w:beforeAutospacing="0" w:after="0" w:afterAutospacing="0"/>
        <w:ind w:left="0" w:right="-62"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本项目每年使用润滑油约</w:t>
      </w:r>
      <w:r>
        <w:rPr>
          <w:rFonts w:hint="default" w:ascii="Times New Roman" w:hAnsi="Times New Roman" w:eastAsia="宋体" w:cs="Times New Roman"/>
          <w:color w:val="000000"/>
          <w:kern w:val="0"/>
          <w:sz w:val="24"/>
          <w:szCs w:val="24"/>
          <w:lang w:val="en-US" w:eastAsia="zh-CN" w:bidi="ar"/>
        </w:rPr>
        <w:t>1t</w:t>
      </w:r>
      <w:r>
        <w:rPr>
          <w:rFonts w:hint="eastAsia" w:ascii="Times New Roman" w:hAnsi="Times New Roman" w:eastAsia="宋体" w:cs="Times New Roman"/>
          <w:color w:val="000000"/>
          <w:kern w:val="0"/>
          <w:sz w:val="24"/>
          <w:szCs w:val="24"/>
          <w:lang w:val="en-US" w:eastAsia="zh-CN" w:bidi="ar"/>
        </w:rPr>
        <w:t>，使用润滑油桶装，每桶容量</w:t>
      </w:r>
      <w:r>
        <w:rPr>
          <w:rFonts w:hint="default" w:ascii="Times New Roman" w:hAnsi="Times New Roman" w:eastAsia="宋体" w:cs="Times New Roman"/>
          <w:color w:val="000000"/>
          <w:kern w:val="0"/>
          <w:sz w:val="24"/>
          <w:szCs w:val="24"/>
          <w:lang w:val="en-US" w:eastAsia="zh-CN" w:bidi="ar"/>
        </w:rPr>
        <w:t>200L</w:t>
      </w:r>
      <w:r>
        <w:rPr>
          <w:rFonts w:hint="eastAsia" w:ascii="Times New Roman" w:hAnsi="Times New Roman" w:eastAsia="宋体" w:cs="Times New Roman"/>
          <w:color w:val="000000"/>
          <w:kern w:val="0"/>
          <w:sz w:val="24"/>
          <w:szCs w:val="24"/>
          <w:lang w:val="en-US" w:eastAsia="zh-CN" w:bidi="ar"/>
        </w:rPr>
        <w:t>，润滑油的理化性质见下表。</w:t>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3.1-8  </w:t>
      </w:r>
      <w:r>
        <w:rPr>
          <w:rFonts w:hint="eastAsia" w:ascii="Times New Roman" w:hAnsi="Times New Roman" w:eastAsia="黑体" w:cs="Times New Roman"/>
          <w:color w:val="000000"/>
          <w:kern w:val="0"/>
          <w:sz w:val="24"/>
          <w:szCs w:val="24"/>
          <w:lang w:val="en-US" w:eastAsia="zh-CN" w:bidi="ar"/>
        </w:rPr>
        <w:t>润滑油理化性质表</w:t>
      </w:r>
    </w:p>
    <w:tbl>
      <w:tblPr>
        <w:tblStyle w:val="32"/>
        <w:tblW w:w="4858"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2174"/>
        <w:gridCol w:w="2172"/>
        <w:gridCol w:w="2174"/>
        <w:gridCol w:w="1959"/>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jc w:val="center"/>
        </w:trPr>
        <w:tc>
          <w:tcPr>
            <w:tcW w:w="1282" w:type="pct"/>
            <w:tcBorders>
              <w:top w:val="thinThickSmallGap" w:color="auto" w:sz="12" w:space="0"/>
              <w:left w:val="nil"/>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中文名</w:t>
            </w:r>
          </w:p>
        </w:tc>
        <w:tc>
          <w:tcPr>
            <w:tcW w:w="1281" w:type="pct"/>
            <w:tcBorders>
              <w:top w:val="thinThickSmallGap" w:color="auto" w:sz="12"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润滑油</w:t>
            </w:r>
          </w:p>
        </w:tc>
        <w:tc>
          <w:tcPr>
            <w:tcW w:w="1282" w:type="pct"/>
            <w:tcBorders>
              <w:top w:val="thinThickSmallGap" w:color="auto" w:sz="12"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英文名</w:t>
            </w:r>
          </w:p>
        </w:tc>
        <w:tc>
          <w:tcPr>
            <w:tcW w:w="1154" w:type="pct"/>
            <w:tcBorders>
              <w:top w:val="thinThickSmallGap" w:color="auto" w:sz="12" w:space="0"/>
              <w:left w:val="single" w:color="auto" w:sz="6" w:space="0"/>
              <w:bottom w:val="single" w:color="auto" w:sz="6"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Lubricating</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82"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外观</w:t>
            </w:r>
          </w:p>
        </w:tc>
        <w:tc>
          <w:tcPr>
            <w:tcW w:w="128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淡黄色粘稠液体</w:t>
            </w:r>
          </w:p>
        </w:tc>
        <w:tc>
          <w:tcPr>
            <w:tcW w:w="1282"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闪点（</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1154"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120~340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82"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自燃点（</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128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300~350</w:t>
            </w:r>
          </w:p>
        </w:tc>
        <w:tc>
          <w:tcPr>
            <w:tcW w:w="1282"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沸点（</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1154"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-252.8</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82"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溶解性</w:t>
            </w:r>
          </w:p>
        </w:tc>
        <w:tc>
          <w:tcPr>
            <w:tcW w:w="3718" w:type="pct"/>
            <w:gridSpan w:val="3"/>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溶于苯、乙醇、乙醚等多数有机溶剂。</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82"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危险性</w:t>
            </w:r>
          </w:p>
        </w:tc>
        <w:tc>
          <w:tcPr>
            <w:tcW w:w="3718" w:type="pct"/>
            <w:gridSpan w:val="3"/>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可燃液体，火灾危险性为丙</w:t>
            </w:r>
            <w:r>
              <w:rPr>
                <w:rFonts w:hint="default" w:ascii="Times New Roman" w:hAnsi="Times New Roman" w:eastAsia="宋体" w:cs="Times New Roman"/>
                <w:color w:val="000000"/>
                <w:kern w:val="0"/>
                <w:sz w:val="21"/>
                <w:szCs w:val="21"/>
                <w:bdr w:val="none" w:color="auto" w:sz="0" w:space="0"/>
                <w:lang w:val="en-US" w:eastAsia="zh-CN" w:bidi="ar"/>
              </w:rPr>
              <w:t>B</w:t>
            </w:r>
            <w:r>
              <w:rPr>
                <w:rFonts w:hint="eastAsia" w:ascii="Times New Roman" w:hAnsi="Times New Roman" w:eastAsia="宋体" w:cs="Times New Roman"/>
                <w:color w:val="000000"/>
                <w:kern w:val="0"/>
                <w:sz w:val="21"/>
                <w:szCs w:val="21"/>
                <w:bdr w:val="none" w:color="auto" w:sz="0" w:space="0"/>
                <w:lang w:val="en-US" w:eastAsia="zh-CN" w:bidi="ar"/>
              </w:rPr>
              <w:t>类，遇明火可燃</w:t>
            </w:r>
          </w:p>
        </w:tc>
      </w:tr>
    </w:tbl>
    <w:p>
      <w:pPr>
        <w:keepNext w:val="0"/>
        <w:keepLines w:val="0"/>
        <w:widowControl/>
        <w:suppressLineNumbers w:val="0"/>
        <w:spacing w:before="0" w:beforeAutospacing="0" w:after="0" w:afterAutospacing="0" w:line="500" w:lineRule="exact"/>
        <w:ind w:left="0" w:right="6" w:firstLine="422" w:firstLineChars="200"/>
        <w:jc w:val="left"/>
        <w:rPr>
          <w:rFonts w:hint="default" w:ascii="Times New Roman" w:hAnsi="Times New Roman" w:cs="Times New Roman"/>
          <w:b/>
          <w:color w:val="000000"/>
          <w:lang w:val="en-US"/>
        </w:rPr>
      </w:pP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 xml:space="preserve">.5 </w:t>
      </w:r>
      <w:r>
        <w:rPr>
          <w:rFonts w:ascii="Times New Roman" w:hAnsi="Times New Roman" w:cs="Times New Roman"/>
          <w:color w:val="000000"/>
          <w:lang/>
        </w:rPr>
        <w:t>主要设备</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本项目主要设备（设施）明细见表</w:t>
      </w:r>
      <w:r>
        <w:rPr>
          <w:rFonts w:hint="default" w:ascii="Times New Roman" w:hAnsi="Times New Roman" w:eastAsia="宋体" w:cs="Times New Roman"/>
          <w:color w:val="000000"/>
          <w:kern w:val="0"/>
          <w:sz w:val="24"/>
          <w:szCs w:val="24"/>
          <w:lang w:val="en-US" w:eastAsia="zh-CN" w:bidi="ar"/>
        </w:rPr>
        <w:t>3.1-9</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1"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3.1-9  </w:t>
      </w:r>
      <w:r>
        <w:rPr>
          <w:rFonts w:hint="eastAsia" w:ascii="Times New Roman" w:hAnsi="Times New Roman" w:eastAsia="黑体" w:cs="Times New Roman"/>
          <w:color w:val="000000"/>
          <w:kern w:val="0"/>
          <w:sz w:val="24"/>
          <w:szCs w:val="24"/>
          <w:lang w:val="en-US" w:eastAsia="zh-CN" w:bidi="ar"/>
        </w:rPr>
        <w:t>本项目主要设备一览表</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964"/>
        <w:gridCol w:w="2042"/>
        <w:gridCol w:w="2491"/>
        <w:gridCol w:w="850"/>
        <w:gridCol w:w="2270"/>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18" w:hRule="atLeast"/>
          <w:tblHeader/>
          <w:jc w:val="center"/>
        </w:trPr>
        <w:tc>
          <w:tcPr>
            <w:tcW w:w="964" w:type="dxa"/>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color w:val="000000"/>
                <w:kern w:val="2"/>
                <w:sz w:val="21"/>
                <w:szCs w:val="21"/>
                <w:bdr w:val="none" w:color="auto" w:sz="0" w:space="0"/>
                <w:lang w:val="en-US"/>
              </w:rPr>
            </w:pPr>
            <w:r>
              <w:rPr>
                <w:rFonts w:hint="eastAsia" w:ascii="Times New Roman" w:hAnsi="Times New Roman" w:eastAsia="宋体" w:cs="Times New Roman"/>
                <w:b/>
                <w:bCs w:val="0"/>
                <w:color w:val="000000"/>
                <w:kern w:val="2"/>
                <w:sz w:val="21"/>
                <w:szCs w:val="21"/>
                <w:bdr w:val="none" w:color="auto" w:sz="0" w:space="0"/>
                <w:lang w:eastAsia="zh-CN" w:bidi="ar"/>
              </w:rPr>
              <w:t>序号</w:t>
            </w:r>
          </w:p>
        </w:tc>
        <w:tc>
          <w:tcPr>
            <w:tcW w:w="2042"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color w:val="000000"/>
                <w:kern w:val="2"/>
                <w:sz w:val="21"/>
                <w:szCs w:val="21"/>
                <w:bdr w:val="none" w:color="auto" w:sz="0" w:space="0"/>
                <w:lang w:val="en-US"/>
              </w:rPr>
            </w:pPr>
            <w:r>
              <w:rPr>
                <w:rFonts w:hint="eastAsia" w:ascii="Times New Roman" w:hAnsi="Times New Roman" w:eastAsia="宋体" w:cs="Times New Roman"/>
                <w:b/>
                <w:bCs w:val="0"/>
                <w:color w:val="000000"/>
                <w:kern w:val="2"/>
                <w:sz w:val="21"/>
                <w:szCs w:val="21"/>
                <w:bdr w:val="none" w:color="auto" w:sz="0" w:space="0"/>
                <w:lang w:eastAsia="zh-CN" w:bidi="ar"/>
              </w:rPr>
              <w:t>设备名称</w:t>
            </w:r>
          </w:p>
        </w:tc>
        <w:tc>
          <w:tcPr>
            <w:tcW w:w="2491"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color w:val="000000"/>
                <w:kern w:val="2"/>
                <w:sz w:val="21"/>
                <w:szCs w:val="21"/>
                <w:bdr w:val="none" w:color="auto" w:sz="0" w:space="0"/>
                <w:lang w:val="en-US"/>
              </w:rPr>
            </w:pPr>
            <w:r>
              <w:rPr>
                <w:rFonts w:hint="eastAsia" w:ascii="Times New Roman" w:hAnsi="Times New Roman" w:eastAsia="宋体" w:cs="Times New Roman"/>
                <w:b/>
                <w:bCs w:val="0"/>
                <w:color w:val="000000"/>
                <w:kern w:val="2"/>
                <w:sz w:val="21"/>
                <w:szCs w:val="21"/>
                <w:bdr w:val="none" w:color="auto" w:sz="0" w:space="0"/>
                <w:lang w:eastAsia="zh-CN" w:bidi="ar"/>
              </w:rPr>
              <w:t>规格型号</w:t>
            </w:r>
          </w:p>
        </w:tc>
        <w:tc>
          <w:tcPr>
            <w:tcW w:w="850"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color w:val="000000"/>
                <w:kern w:val="2"/>
                <w:sz w:val="21"/>
                <w:szCs w:val="21"/>
                <w:bdr w:val="none" w:color="auto" w:sz="0" w:space="0"/>
                <w:lang w:val="en-US"/>
              </w:rPr>
            </w:pPr>
            <w:r>
              <w:rPr>
                <w:rFonts w:hint="eastAsia" w:ascii="Times New Roman" w:hAnsi="Times New Roman" w:eastAsia="宋体" w:cs="Times New Roman"/>
                <w:b/>
                <w:bCs w:val="0"/>
                <w:color w:val="000000"/>
                <w:kern w:val="2"/>
                <w:sz w:val="21"/>
                <w:szCs w:val="21"/>
                <w:bdr w:val="none" w:color="auto" w:sz="0" w:space="0"/>
                <w:lang w:eastAsia="zh-CN" w:bidi="ar"/>
              </w:rPr>
              <w:t>数量</w:t>
            </w:r>
          </w:p>
        </w:tc>
        <w:tc>
          <w:tcPr>
            <w:tcW w:w="2270" w:type="dxa"/>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color w:val="000000"/>
                <w:kern w:val="2"/>
                <w:sz w:val="21"/>
                <w:szCs w:val="21"/>
                <w:bdr w:val="none" w:color="auto" w:sz="0" w:space="0"/>
                <w:lang w:val="en-US"/>
              </w:rPr>
            </w:pPr>
            <w:r>
              <w:rPr>
                <w:rFonts w:hint="eastAsia" w:ascii="Times New Roman" w:hAnsi="Times New Roman" w:eastAsia="宋体" w:cs="Times New Roman"/>
                <w:b/>
                <w:bCs w:val="0"/>
                <w:color w:val="000000"/>
                <w:kern w:val="2"/>
                <w:sz w:val="21"/>
                <w:szCs w:val="21"/>
                <w:bdr w:val="none" w:color="auto" w:sz="0" w:space="0"/>
                <w:lang w:val="en-US" w:eastAsia="zh-CN" w:bidi="ar"/>
              </w:rPr>
              <w:t>备注</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eastAsia="zh-CN" w:bidi="ar"/>
              </w:rPr>
              <w:t>颚式破碎机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900mm×1200mm</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r>
              <w:rPr>
                <w:rFonts w:hint="eastAsia" w:ascii="Times New Roman" w:hAnsi="Times New Roman" w:eastAsia="宋体" w:cs="Times New Roman"/>
                <w:color w:val="000000"/>
                <w:kern w:val="2"/>
                <w:sz w:val="21"/>
                <w:szCs w:val="21"/>
                <w:bdr w:val="none" w:color="auto" w:sz="0" w:space="0"/>
                <w:lang w:val="en-US"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eastAsia="zh-CN" w:bidi="ar"/>
              </w:rPr>
              <w:t>颚式</w:t>
            </w:r>
            <w:r>
              <w:rPr>
                <w:rFonts w:hint="eastAsia" w:ascii="Times New Roman" w:hAnsi="Times New Roman" w:eastAsia="宋体" w:cs="Times New Roman"/>
                <w:color w:val="000000"/>
                <w:kern w:val="2"/>
                <w:sz w:val="21"/>
                <w:szCs w:val="21"/>
                <w:bdr w:val="none" w:color="auto" w:sz="0" w:space="0"/>
                <w:lang w:val="en-US" w:eastAsia="zh-CN" w:bidi="ar"/>
              </w:rPr>
              <w:t>破碎机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250mm×1300mm</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3</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bookmarkStart w:id="135" w:name="_Hlk38459346"/>
            <w:r>
              <w:rPr>
                <w:rFonts w:hint="eastAsia" w:ascii="Times New Roman" w:hAnsi="Times New Roman" w:eastAsia="宋体" w:cs="Times New Roman"/>
                <w:color w:val="000000"/>
                <w:kern w:val="2"/>
                <w:sz w:val="21"/>
                <w:szCs w:val="21"/>
                <w:bdr w:val="none" w:color="auto" w:sz="0" w:space="0"/>
                <w:lang w:val="en-US" w:eastAsia="zh-CN" w:bidi="ar"/>
              </w:rPr>
              <w:t>圆锥</w:t>
            </w:r>
            <w:r>
              <w:rPr>
                <w:rFonts w:hint="eastAsia" w:ascii="Times New Roman" w:hAnsi="Times New Roman" w:eastAsia="宋体" w:cs="Times New Roman"/>
                <w:color w:val="000000"/>
                <w:kern w:val="2"/>
                <w:sz w:val="21"/>
                <w:szCs w:val="21"/>
                <w:bdr w:val="none" w:color="auto" w:sz="0" w:space="0"/>
                <w:lang w:eastAsia="zh-CN" w:bidi="ar"/>
              </w:rPr>
              <w:t>破碎机</w:t>
            </w:r>
            <w:bookmarkEnd w:id="135"/>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PYS-D2113</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4</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封闭式振动筛</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1800mm×500mm</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r>
              <w:rPr>
                <w:rFonts w:hint="eastAsia" w:ascii="Times New Roman" w:hAnsi="Times New Roman" w:eastAsia="宋体" w:cs="Times New Roman"/>
                <w:color w:val="000000"/>
                <w:kern w:val="2"/>
                <w:sz w:val="21"/>
                <w:szCs w:val="21"/>
                <w:bdr w:val="none" w:color="auto" w:sz="0" w:space="0"/>
                <w:lang w:val="en-US"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5</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格子型球磨机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MQG4060</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6</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浮选机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XCF/KYF-20</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16</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7</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带式过滤机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80m</w:t>
            </w:r>
            <w:r>
              <w:rPr>
                <w:rFonts w:hint="default" w:ascii="Times New Roman" w:hAnsi="Times New Roman" w:eastAsia="宋体" w:cs="Times New Roman"/>
                <w:color w:val="000000"/>
                <w:kern w:val="2"/>
                <w:sz w:val="21"/>
                <w:szCs w:val="21"/>
                <w:bdr w:val="none" w:color="auto" w:sz="0" w:space="0"/>
                <w:vertAlign w:val="superscript"/>
                <w:lang w:val="en-US" w:eastAsia="zh-CN" w:bidi="ar"/>
              </w:rPr>
              <w:t>2</w:t>
            </w:r>
            <w:r>
              <w:rPr>
                <w:rFonts w:hint="default" w:ascii="Times New Roman" w:hAnsi="Times New Roman" w:eastAsia="宋体" w:cs="Times New Roman"/>
                <w:color w:val="000000"/>
                <w:kern w:val="2"/>
                <w:sz w:val="21"/>
                <w:szCs w:val="21"/>
                <w:bdr w:val="none" w:color="auto" w:sz="0" w:space="0"/>
                <w:lang w:val="en-US" w:eastAsia="zh-CN" w:bidi="ar"/>
              </w:rPr>
              <w:t>/3200</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8</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药剂搅拌槽</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XB2000×2000</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9</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浓缩机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NT-45</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10</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矿浆搅拌槽</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XB4500×4500</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11</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板框压滤机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650m</w:t>
            </w:r>
            <w:r>
              <w:rPr>
                <w:rFonts w:hint="default" w:ascii="Times New Roman" w:hAnsi="Times New Roman" w:eastAsia="宋体" w:cs="Times New Roman"/>
                <w:color w:val="000000"/>
                <w:kern w:val="2"/>
                <w:sz w:val="21"/>
                <w:szCs w:val="21"/>
                <w:bdr w:val="none" w:color="auto" w:sz="0" w:space="0"/>
                <w:vertAlign w:val="superscript"/>
                <w:lang w:val="en-US" w:eastAsia="zh-CN" w:bidi="ar"/>
              </w:rPr>
              <w:t>2</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12</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离心鼓风机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CF150-1.36</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13</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旋流器组</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φ350×8</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r>
              <w:rPr>
                <w:rFonts w:hint="eastAsia" w:ascii="Times New Roman" w:hAnsi="Times New Roman" w:eastAsia="宋体" w:cs="Times New Roman"/>
                <w:color w:val="000000"/>
                <w:kern w:val="2"/>
                <w:sz w:val="21"/>
                <w:szCs w:val="21"/>
                <w:bdr w:val="none" w:color="auto" w:sz="0" w:space="0"/>
                <w:lang w:val="en-US" w:eastAsia="zh-CN" w:bidi="ar"/>
              </w:rPr>
              <w:t>组</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14</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振动给料机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XZG5(700×1200×250)</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6</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15</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电子皮带秤</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B=800mm</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16</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渣浆泵</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Q=557m</w:t>
            </w:r>
            <w:r>
              <w:rPr>
                <w:rFonts w:hint="default" w:ascii="Times New Roman" w:hAnsi="Times New Roman" w:eastAsia="宋体" w:cs="Times New Roman"/>
                <w:color w:val="000000"/>
                <w:kern w:val="2"/>
                <w:sz w:val="21"/>
                <w:szCs w:val="21"/>
                <w:bdr w:val="none" w:color="auto" w:sz="0" w:space="0"/>
                <w:vertAlign w:val="superscript"/>
                <w:lang w:val="en-US" w:eastAsia="zh-CN" w:bidi="ar"/>
              </w:rPr>
              <w:t>3</w:t>
            </w:r>
            <w:r>
              <w:rPr>
                <w:rFonts w:hint="default" w:ascii="Times New Roman" w:hAnsi="Times New Roman" w:eastAsia="宋体" w:cs="Times New Roman"/>
                <w:color w:val="000000"/>
                <w:kern w:val="2"/>
                <w:sz w:val="21"/>
                <w:szCs w:val="21"/>
                <w:bdr w:val="none" w:color="auto" w:sz="0" w:space="0"/>
                <w:lang w:val="en-US" w:eastAsia="zh-CN" w:bidi="ar"/>
              </w:rPr>
              <w:t>/h</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17</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渣浆泵</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Q=41m</w:t>
            </w:r>
            <w:r>
              <w:rPr>
                <w:rFonts w:hint="default" w:ascii="Times New Roman" w:hAnsi="Times New Roman" w:eastAsia="宋体" w:cs="Times New Roman"/>
                <w:color w:val="000000"/>
                <w:kern w:val="2"/>
                <w:sz w:val="21"/>
                <w:szCs w:val="21"/>
                <w:bdr w:val="none" w:color="auto" w:sz="0" w:space="0"/>
                <w:vertAlign w:val="superscript"/>
                <w:lang w:val="en-US" w:eastAsia="zh-CN" w:bidi="ar"/>
              </w:rPr>
              <w:t>3</w:t>
            </w:r>
            <w:r>
              <w:rPr>
                <w:rFonts w:hint="default" w:ascii="Times New Roman" w:hAnsi="Times New Roman" w:eastAsia="宋体" w:cs="Times New Roman"/>
                <w:color w:val="000000"/>
                <w:kern w:val="2"/>
                <w:sz w:val="21"/>
                <w:szCs w:val="21"/>
                <w:bdr w:val="none" w:color="auto" w:sz="0" w:space="0"/>
                <w:lang w:val="en-US" w:eastAsia="zh-CN" w:bidi="ar"/>
              </w:rPr>
              <w:t>/h</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18</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渣浆泵</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Q=260m</w:t>
            </w:r>
            <w:r>
              <w:rPr>
                <w:rFonts w:hint="default" w:ascii="Times New Roman" w:hAnsi="Times New Roman" w:eastAsia="宋体" w:cs="Times New Roman"/>
                <w:color w:val="000000"/>
                <w:kern w:val="2"/>
                <w:sz w:val="21"/>
                <w:szCs w:val="21"/>
                <w:bdr w:val="none" w:color="auto" w:sz="0" w:space="0"/>
                <w:vertAlign w:val="superscript"/>
                <w:lang w:val="en-US" w:eastAsia="zh-CN" w:bidi="ar"/>
              </w:rPr>
              <w:t>3</w:t>
            </w:r>
            <w:r>
              <w:rPr>
                <w:rFonts w:hint="default" w:ascii="Times New Roman" w:hAnsi="Times New Roman" w:eastAsia="宋体" w:cs="Times New Roman"/>
                <w:color w:val="000000"/>
                <w:kern w:val="2"/>
                <w:sz w:val="21"/>
                <w:szCs w:val="21"/>
                <w:bdr w:val="none" w:color="auto" w:sz="0" w:space="0"/>
                <w:lang w:val="en-US" w:eastAsia="zh-CN" w:bidi="ar"/>
              </w:rPr>
              <w:t>/h</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4</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19</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数控加药机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12D</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20</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电动单梁起重机</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4</w:t>
            </w:r>
            <w:r>
              <w:rPr>
                <w:rFonts w:hint="eastAsia" w:ascii="Times New Roman" w:hAnsi="Times New Roman" w:eastAsia="宋体" w:cs="Times New Roman"/>
                <w:color w:val="000000"/>
                <w:kern w:val="2"/>
                <w:sz w:val="21"/>
                <w:szCs w:val="21"/>
                <w:bdr w:val="none" w:color="auto" w:sz="0" w:space="0"/>
                <w:lang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21</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布袋除尘系统</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除尘风量</w:t>
            </w:r>
            <w:r>
              <w:rPr>
                <w:rFonts w:hint="default" w:ascii="Times New Roman" w:hAnsi="Times New Roman" w:eastAsia="宋体" w:cs="Times New Roman"/>
                <w:color w:val="000000"/>
                <w:kern w:val="2"/>
                <w:sz w:val="21"/>
                <w:szCs w:val="21"/>
                <w:bdr w:val="none" w:color="auto" w:sz="0" w:space="0"/>
                <w:lang w:val="en-US" w:eastAsia="zh-CN" w:bidi="ar"/>
              </w:rPr>
              <w:t>40000m</w:t>
            </w:r>
            <w:r>
              <w:rPr>
                <w:rFonts w:hint="default" w:ascii="Times New Roman" w:hAnsi="Times New Roman" w:eastAsia="宋体" w:cs="Times New Roman"/>
                <w:color w:val="000000"/>
                <w:kern w:val="2"/>
                <w:sz w:val="21"/>
                <w:szCs w:val="21"/>
                <w:bdr w:val="none" w:color="auto" w:sz="0" w:space="0"/>
                <w:vertAlign w:val="superscript"/>
                <w:lang w:val="en-US" w:eastAsia="zh-CN" w:bidi="ar"/>
              </w:rPr>
              <w:t>3</w:t>
            </w:r>
            <w:r>
              <w:rPr>
                <w:rFonts w:hint="default" w:ascii="Times New Roman" w:hAnsi="Times New Roman" w:eastAsia="宋体" w:cs="Times New Roman"/>
                <w:color w:val="000000"/>
                <w:kern w:val="2"/>
                <w:sz w:val="21"/>
                <w:szCs w:val="21"/>
                <w:bdr w:val="none" w:color="auto" w:sz="0" w:space="0"/>
                <w:lang w:val="en-US" w:eastAsia="zh-CN" w:bidi="ar"/>
              </w:rPr>
              <w:t>/h</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r>
              <w:rPr>
                <w:rFonts w:hint="eastAsia" w:ascii="Times New Roman" w:hAnsi="Times New Roman" w:eastAsia="宋体" w:cs="Times New Roman"/>
                <w:color w:val="000000"/>
                <w:kern w:val="2"/>
                <w:sz w:val="21"/>
                <w:szCs w:val="21"/>
                <w:bdr w:val="none" w:color="auto" w:sz="0" w:space="0"/>
                <w:lang w:val="en-US" w:eastAsia="zh-CN" w:bidi="ar"/>
              </w:rPr>
              <w:t>套</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破碎、筛分等除尘</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22</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铲车</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r>
              <w:rPr>
                <w:rFonts w:hint="eastAsia" w:ascii="Times New Roman" w:hAnsi="Times New Roman" w:eastAsia="宋体" w:cs="Times New Roman"/>
                <w:color w:val="000000"/>
                <w:kern w:val="2"/>
                <w:sz w:val="21"/>
                <w:szCs w:val="21"/>
                <w:bdr w:val="none" w:color="auto" w:sz="0" w:space="0"/>
                <w:lang w:val="en-US" w:eastAsia="zh-CN" w:bidi="ar"/>
              </w:rPr>
              <w:t>台</w:t>
            </w:r>
          </w:p>
        </w:tc>
        <w:tc>
          <w:tcPr>
            <w:tcW w:w="227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新增</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23</w:t>
            </w:r>
          </w:p>
        </w:tc>
        <w:tc>
          <w:tcPr>
            <w:tcW w:w="20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吸尘车</w:t>
            </w:r>
          </w:p>
        </w:tc>
        <w:tc>
          <w:tcPr>
            <w:tcW w:w="24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c>
          <w:tcPr>
            <w:tcW w:w="85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r>
              <w:rPr>
                <w:rFonts w:hint="eastAsia" w:ascii="Times New Roman" w:hAnsi="Times New Roman" w:eastAsia="宋体" w:cs="Times New Roman"/>
                <w:color w:val="000000"/>
                <w:kern w:val="2"/>
                <w:sz w:val="21"/>
                <w:szCs w:val="21"/>
                <w:bdr w:val="none" w:color="auto" w:sz="0" w:space="0"/>
                <w:lang w:val="en-US" w:eastAsia="zh-CN" w:bidi="ar"/>
              </w:rPr>
              <w:t>台</w:t>
            </w:r>
          </w:p>
        </w:tc>
        <w:tc>
          <w:tcPr>
            <w:tcW w:w="2270" w:type="dxa"/>
            <w:vMerge w:val="restar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控制厂区内路面和作业场地粉尘</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964" w:type="dxa"/>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24</w:t>
            </w:r>
          </w:p>
        </w:tc>
        <w:tc>
          <w:tcPr>
            <w:tcW w:w="2042"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eastAsia" w:ascii="Times New Roman" w:hAnsi="Times New Roman" w:eastAsia="宋体" w:cs="Times New Roman"/>
                <w:color w:val="000000"/>
                <w:kern w:val="2"/>
                <w:sz w:val="21"/>
                <w:szCs w:val="21"/>
                <w:bdr w:val="none" w:color="auto" w:sz="0" w:space="0"/>
                <w:lang w:val="en-US" w:eastAsia="zh-CN" w:bidi="ar"/>
              </w:rPr>
              <w:t>洒水车</w:t>
            </w:r>
          </w:p>
        </w:tc>
        <w:tc>
          <w:tcPr>
            <w:tcW w:w="2491"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w:t>
            </w:r>
          </w:p>
        </w:tc>
        <w:tc>
          <w:tcPr>
            <w:tcW w:w="850"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kern w:val="2"/>
                <w:sz w:val="21"/>
                <w:szCs w:val="21"/>
                <w:bdr w:val="none" w:color="auto" w:sz="0" w:space="0"/>
                <w:lang w:val="en-US"/>
              </w:rPr>
            </w:pPr>
            <w:r>
              <w:rPr>
                <w:rFonts w:hint="default" w:ascii="Times New Roman" w:hAnsi="Times New Roman" w:eastAsia="宋体" w:cs="Times New Roman"/>
                <w:color w:val="000000"/>
                <w:kern w:val="2"/>
                <w:sz w:val="21"/>
                <w:szCs w:val="21"/>
                <w:bdr w:val="none" w:color="auto" w:sz="0" w:space="0"/>
                <w:lang w:val="en-US" w:eastAsia="zh-CN" w:bidi="ar"/>
              </w:rPr>
              <w:t>1</w:t>
            </w:r>
            <w:r>
              <w:rPr>
                <w:rFonts w:hint="eastAsia" w:ascii="Times New Roman" w:hAnsi="Times New Roman" w:eastAsia="宋体" w:cs="Times New Roman"/>
                <w:color w:val="000000"/>
                <w:kern w:val="2"/>
                <w:sz w:val="21"/>
                <w:szCs w:val="21"/>
                <w:bdr w:val="none" w:color="auto" w:sz="0" w:space="0"/>
                <w:lang w:val="en-US" w:eastAsia="zh-CN" w:bidi="ar"/>
              </w:rPr>
              <w:t>台</w:t>
            </w:r>
          </w:p>
        </w:tc>
        <w:tc>
          <w:tcPr>
            <w:tcW w:w="2270"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bl>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 xml:space="preserve">.6 </w:t>
      </w:r>
      <w:r>
        <w:rPr>
          <w:rFonts w:ascii="Times New Roman" w:hAnsi="Times New Roman" w:cs="Times New Roman"/>
          <w:color w:val="000000"/>
          <w:lang/>
        </w:rPr>
        <w:t>公</w:t>
      </w:r>
      <w:r>
        <w:rPr>
          <w:rFonts w:ascii="Times New Roman" w:hAnsi="Times New Roman" w:cs="Times New Roman"/>
          <w:color w:val="000000"/>
          <w:lang w:eastAsia="zh-CN"/>
        </w:rPr>
        <w:t>用</w:t>
      </w:r>
      <w:r>
        <w:rPr>
          <w:rFonts w:ascii="Times New Roman" w:hAnsi="Times New Roman" w:cs="Times New Roman"/>
          <w:color w:val="000000"/>
          <w:lang/>
        </w:rPr>
        <w:t>工程</w:t>
      </w:r>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）给水</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本项目供水水源来自厂区内自备水井，存于清水池中，取水证见附件。用水点包括生活用水和生产用水等。给水系统按分质分供的原则进行，并遵照节约用水的原则，做到一水多用，循环使用。新水用量</w:t>
      </w:r>
      <w:r>
        <w:rPr>
          <w:rFonts w:hint="default" w:ascii="Times New Roman" w:hAnsi="Times New Roman" w:eastAsia="宋体" w:cs="Times New Roman"/>
          <w:color w:val="000000"/>
          <w:kern w:val="0"/>
          <w:sz w:val="24"/>
          <w:szCs w:val="24"/>
          <w:lang w:val="en-US" w:eastAsia="zh-CN" w:bidi="ar"/>
        </w:rPr>
        <w:t>111090m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。现有取水井供水能力</w:t>
      </w:r>
      <w:r>
        <w:rPr>
          <w:rFonts w:hint="default" w:ascii="Times New Roman" w:hAnsi="Times New Roman" w:eastAsia="宋体" w:cs="Times New Roman"/>
          <w:color w:val="000000"/>
          <w:kern w:val="0"/>
          <w:sz w:val="24"/>
          <w:szCs w:val="24"/>
          <w:lang w:val="en-US" w:eastAsia="zh-CN" w:bidi="ar"/>
        </w:rPr>
        <w:t>40</w:t>
      </w:r>
      <w:r>
        <w:rPr>
          <w:rFonts w:hint="eastAsia" w:ascii="Times New Roman" w:hAnsi="Times New Roman" w:eastAsia="宋体" w:cs="Times New Roman"/>
          <w:color w:val="000000"/>
          <w:kern w:val="0"/>
          <w:sz w:val="24"/>
          <w:szCs w:val="24"/>
          <w:lang w:val="en-US" w:eastAsia="zh-CN" w:bidi="ar"/>
        </w:rPr>
        <w:t>万</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，目前已使用</w:t>
      </w:r>
      <w:r>
        <w:rPr>
          <w:rFonts w:hint="default" w:ascii="Times New Roman" w:hAnsi="Times New Roman" w:eastAsia="宋体" w:cs="Times New Roman"/>
          <w:color w:val="000000"/>
          <w:kern w:val="0"/>
          <w:sz w:val="24"/>
          <w:szCs w:val="24"/>
          <w:lang w:val="en-US" w:eastAsia="zh-CN" w:bidi="ar"/>
        </w:rPr>
        <w:t>158310m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，剩余</w:t>
      </w:r>
      <w:r>
        <w:rPr>
          <w:rFonts w:hint="default" w:ascii="Times New Roman" w:hAnsi="Times New Roman" w:eastAsia="宋体" w:cs="Times New Roman"/>
          <w:color w:val="000000"/>
          <w:kern w:val="0"/>
          <w:sz w:val="24"/>
          <w:szCs w:val="24"/>
          <w:lang w:val="en-US" w:eastAsia="zh-CN" w:bidi="ar"/>
        </w:rPr>
        <w:t>241690</w:t>
      </w:r>
      <w:r>
        <w:rPr>
          <w:rFonts w:hint="eastAsia" w:ascii="Times New Roman" w:hAnsi="Times New Roman" w:eastAsia="宋体" w:cs="Times New Roman"/>
          <w:color w:val="000000"/>
          <w:kern w:val="0"/>
          <w:sz w:val="24"/>
          <w:szCs w:val="24"/>
          <w:lang w:val="en-US" w:eastAsia="zh-CN" w:bidi="ar"/>
        </w:rPr>
        <w:t>万</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，可满足本项目依托要求。</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①</w:t>
      </w:r>
      <w:r>
        <w:rPr>
          <w:rFonts w:hint="eastAsia" w:ascii="Times New Roman" w:hAnsi="Times New Roman" w:eastAsia="宋体" w:cs="Times New Roman"/>
          <w:color w:val="000000"/>
          <w:kern w:val="0"/>
          <w:sz w:val="24"/>
          <w:szCs w:val="24"/>
          <w:lang w:val="en-US" w:eastAsia="zh-CN" w:bidi="ar"/>
        </w:rPr>
        <w:t>生产用水</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bCs/>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本项目生产工艺用水点主要包括球磨机、浓缩机、浮选药剂配制水、滤布冲洗水及设备地坪冲洗用水。本项目生产新水用量为</w:t>
      </w:r>
      <w:r>
        <w:rPr>
          <w:rFonts w:hint="default" w:ascii="Times New Roman" w:hAnsi="Times New Roman" w:eastAsia="宋体" w:cs="Times New Roman"/>
          <w:snapToGrid w:val="0"/>
          <w:color w:val="000000"/>
          <w:kern w:val="0"/>
          <w:sz w:val="24"/>
          <w:szCs w:val="24"/>
          <w:lang w:val="en-US" w:eastAsia="zh-CN" w:bidi="ar"/>
        </w:rPr>
        <w:t>110130</w:t>
      </w:r>
      <w:r>
        <w:rPr>
          <w:rFonts w:hint="default" w:ascii="Times New Roman" w:hAnsi="Times New Roman" w:eastAsia="宋体" w:cs="Times New Roman"/>
          <w:bCs/>
          <w:color w:val="000000"/>
          <w:kern w:val="0"/>
          <w:sz w:val="24"/>
          <w:szCs w:val="24"/>
          <w:lang w:val="en-US" w:eastAsia="zh-CN" w:bidi="ar"/>
        </w:rPr>
        <w:t xml:space="preserve"> m</w:t>
      </w:r>
      <w:r>
        <w:rPr>
          <w:rFonts w:hint="default" w:ascii="Times New Roman" w:hAnsi="Times New Roman" w:eastAsia="宋体" w:cs="Times New Roman"/>
          <w:bCs/>
          <w:color w:val="000000"/>
          <w:kern w:val="0"/>
          <w:sz w:val="24"/>
          <w:szCs w:val="24"/>
          <w:vertAlign w:val="superscript"/>
          <w:lang w:val="en-US" w:eastAsia="zh-CN" w:bidi="ar"/>
        </w:rPr>
        <w:t>3</w:t>
      </w:r>
      <w:r>
        <w:rPr>
          <w:rFonts w:hint="default" w:ascii="Times New Roman" w:hAnsi="Times New Roman" w:eastAsia="宋体" w:cs="Times New Roman"/>
          <w:bCs/>
          <w:color w:val="000000"/>
          <w:kern w:val="0"/>
          <w:sz w:val="24"/>
          <w:szCs w:val="24"/>
          <w:lang w:val="en-US" w:eastAsia="zh-CN" w:bidi="ar"/>
        </w:rPr>
        <w:t>/a</w:t>
      </w:r>
      <w:r>
        <w:rPr>
          <w:rFonts w:hint="eastAsia" w:ascii="Times New Roman" w:hAnsi="Times New Roman" w:eastAsia="宋体" w:cs="Times New Roman"/>
          <w:snapToGrid w:val="0"/>
          <w:color w:val="000000"/>
          <w:kern w:val="0"/>
          <w:sz w:val="24"/>
          <w:szCs w:val="24"/>
          <w:lang w:val="en-US" w:eastAsia="zh-CN" w:bidi="ar"/>
        </w:rPr>
        <w:t>。</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②</w:t>
      </w:r>
      <w:r>
        <w:rPr>
          <w:rFonts w:hint="eastAsia" w:ascii="Times New Roman" w:hAnsi="Times New Roman" w:eastAsia="宋体" w:cs="Times New Roman"/>
          <w:color w:val="000000"/>
          <w:kern w:val="0"/>
          <w:sz w:val="24"/>
          <w:szCs w:val="24"/>
          <w:lang w:val="en-US" w:eastAsia="zh-CN" w:bidi="ar"/>
        </w:rPr>
        <w:t>生活用水</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snapToGrid w:val="0"/>
          <w:color w:val="000000"/>
          <w:kern w:val="0"/>
          <w:sz w:val="24"/>
          <w:szCs w:val="24"/>
          <w:lang w:val="en-US" w:eastAsia="zh-CN" w:bidi="ar"/>
        </w:rPr>
        <w:t>本项目职工</w:t>
      </w:r>
      <w:r>
        <w:rPr>
          <w:rFonts w:hint="default" w:ascii="Times New Roman" w:hAnsi="Times New Roman" w:eastAsia="宋体" w:cs="Times New Roman"/>
          <w:snapToGrid w:val="0"/>
          <w:color w:val="000000"/>
          <w:kern w:val="0"/>
          <w:sz w:val="24"/>
          <w:szCs w:val="24"/>
          <w:lang w:val="en-US" w:eastAsia="zh-CN" w:bidi="ar"/>
        </w:rPr>
        <w:t>80</w:t>
      </w:r>
      <w:r>
        <w:rPr>
          <w:rFonts w:hint="eastAsia" w:ascii="Times New Roman" w:hAnsi="Times New Roman" w:eastAsia="宋体" w:cs="Times New Roman"/>
          <w:snapToGrid w:val="0"/>
          <w:color w:val="000000"/>
          <w:kern w:val="0"/>
          <w:sz w:val="24"/>
          <w:szCs w:val="24"/>
          <w:lang w:val="en-US" w:eastAsia="zh-CN" w:bidi="ar"/>
        </w:rPr>
        <w:t>人，</w:t>
      </w:r>
      <w:r>
        <w:rPr>
          <w:rFonts w:hint="eastAsia" w:ascii="Times New Roman" w:hAnsi="Times New Roman" w:eastAsia="宋体" w:cs="Times New Roman"/>
          <w:color w:val="000000"/>
          <w:kern w:val="0"/>
          <w:sz w:val="24"/>
          <w:szCs w:val="24"/>
          <w:lang w:val="en-US" w:eastAsia="zh-CN" w:bidi="ar"/>
        </w:rPr>
        <w:t>生活用水主要是职工饮用、卫生等用水，</w:t>
      </w:r>
      <w:r>
        <w:rPr>
          <w:rFonts w:hint="eastAsia" w:ascii="Times New Roman" w:hAnsi="Times New Roman" w:eastAsia="宋体" w:cs="Times New Roman"/>
          <w:snapToGrid w:val="0"/>
          <w:color w:val="000000"/>
          <w:kern w:val="0"/>
          <w:sz w:val="24"/>
          <w:szCs w:val="24"/>
          <w:lang w:val="en-US" w:eastAsia="zh-CN" w:bidi="ar"/>
        </w:rPr>
        <w:t>日常生活用水量按</w:t>
      </w:r>
      <w:r>
        <w:rPr>
          <w:rFonts w:hint="default" w:ascii="Times New Roman" w:hAnsi="Times New Roman" w:eastAsia="宋体" w:cs="Times New Roman"/>
          <w:snapToGrid w:val="0"/>
          <w:color w:val="000000"/>
          <w:kern w:val="0"/>
          <w:sz w:val="24"/>
          <w:szCs w:val="24"/>
          <w:lang w:val="en-US" w:eastAsia="zh-CN" w:bidi="ar"/>
        </w:rPr>
        <w:t>40L/</w:t>
      </w:r>
      <w:r>
        <w:rPr>
          <w:rFonts w:hint="eastAsia" w:ascii="Times New Roman" w:hAnsi="Times New Roman" w:eastAsia="宋体" w:cs="Times New Roman"/>
          <w:snapToGrid w:val="0"/>
          <w:color w:val="000000"/>
          <w:kern w:val="0"/>
          <w:sz w:val="24"/>
          <w:szCs w:val="24"/>
          <w:lang w:val="en-US" w:eastAsia="zh-CN" w:bidi="ar"/>
        </w:rPr>
        <w:t>人</w:t>
      </w:r>
      <w:r>
        <w:rPr>
          <w:rFonts w:hint="default" w:ascii="Times New Roman" w:hAnsi="Times New Roman" w:eastAsia="宋体" w:cs="Times New Roman"/>
          <w:snapToGrid w:val="0"/>
          <w:color w:val="000000"/>
          <w:kern w:val="0"/>
          <w:sz w:val="24"/>
          <w:szCs w:val="24"/>
          <w:lang w:val="en-US" w:eastAsia="zh-CN" w:bidi="ar"/>
        </w:rPr>
        <w:t>•d</w:t>
      </w:r>
      <w:r>
        <w:rPr>
          <w:rFonts w:hint="eastAsia" w:ascii="Times New Roman" w:hAnsi="Times New Roman" w:eastAsia="宋体" w:cs="Times New Roman"/>
          <w:snapToGrid w:val="0"/>
          <w:color w:val="000000"/>
          <w:kern w:val="0"/>
          <w:sz w:val="24"/>
          <w:szCs w:val="24"/>
          <w:lang w:val="en-US" w:eastAsia="zh-CN" w:bidi="ar"/>
        </w:rPr>
        <w:t>计，</w:t>
      </w:r>
      <w:r>
        <w:rPr>
          <w:rFonts w:hint="eastAsia" w:ascii="Times New Roman" w:hAnsi="Times New Roman" w:eastAsia="宋体" w:cs="Times New Roman"/>
          <w:bCs/>
          <w:color w:val="000000"/>
          <w:kern w:val="0"/>
          <w:sz w:val="24"/>
          <w:szCs w:val="24"/>
          <w:lang w:val="en-US" w:eastAsia="zh-CN" w:bidi="ar"/>
        </w:rPr>
        <w:t>则日常生活用水量约</w:t>
      </w:r>
      <w:r>
        <w:rPr>
          <w:rFonts w:hint="default" w:ascii="Times New Roman" w:hAnsi="Times New Roman" w:eastAsia="宋体" w:cs="Times New Roman"/>
          <w:bCs/>
          <w:snapToGrid w:val="0"/>
          <w:color w:val="000000"/>
          <w:kern w:val="0"/>
          <w:sz w:val="24"/>
          <w:szCs w:val="24"/>
          <w:lang w:val="en-US" w:eastAsia="zh-CN" w:bidi="ar"/>
        </w:rPr>
        <w:t>960m</w:t>
      </w:r>
      <w:r>
        <w:rPr>
          <w:rFonts w:hint="default" w:ascii="Times New Roman" w:hAnsi="Times New Roman" w:eastAsia="宋体" w:cs="Times New Roman"/>
          <w:bCs/>
          <w:snapToGrid w:val="0"/>
          <w:color w:val="000000"/>
          <w:kern w:val="0"/>
          <w:sz w:val="24"/>
          <w:szCs w:val="24"/>
          <w:vertAlign w:val="superscript"/>
          <w:lang w:val="en-US" w:eastAsia="zh-CN" w:bidi="ar"/>
        </w:rPr>
        <w:t>3</w:t>
      </w:r>
      <w:r>
        <w:rPr>
          <w:rFonts w:hint="default" w:ascii="Times New Roman" w:hAnsi="Times New Roman" w:eastAsia="宋体" w:cs="Times New Roman"/>
          <w:bCs/>
          <w:snapToGrid w:val="0"/>
          <w:color w:val="000000"/>
          <w:kern w:val="0"/>
          <w:sz w:val="24"/>
          <w:szCs w:val="24"/>
          <w:lang w:val="en-US" w:eastAsia="zh-CN" w:bidi="ar"/>
        </w:rPr>
        <w:t>/a</w:t>
      </w:r>
      <w:r>
        <w:rPr>
          <w:rFonts w:hint="eastAsia" w:ascii="Times New Roman" w:hAnsi="Times New Roman" w:eastAsia="宋体" w:cs="Times New Roman"/>
          <w:bCs/>
          <w:snapToGrid w:val="0"/>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）排水</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①</w:t>
      </w:r>
      <w:r>
        <w:rPr>
          <w:rFonts w:hint="eastAsia" w:ascii="Times New Roman" w:hAnsi="Times New Roman" w:eastAsia="宋体" w:cs="Times New Roman"/>
          <w:color w:val="000000"/>
          <w:kern w:val="0"/>
          <w:sz w:val="24"/>
          <w:szCs w:val="24"/>
          <w:lang w:val="en-US" w:eastAsia="zh-CN" w:bidi="ar"/>
        </w:rPr>
        <w:t>生活污水</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本项目新增生活用水量为</w:t>
      </w:r>
      <w:r>
        <w:rPr>
          <w:rFonts w:hint="default" w:ascii="Times New Roman" w:hAnsi="Times New Roman" w:eastAsia="宋体" w:cs="Times New Roman"/>
          <w:color w:val="000000"/>
          <w:kern w:val="0"/>
          <w:sz w:val="24"/>
          <w:szCs w:val="24"/>
          <w:lang w:val="en-US" w:eastAsia="zh-CN" w:bidi="ar"/>
        </w:rPr>
        <w:t>3.2m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/d</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960m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，排污系数按</w:t>
      </w:r>
      <w:r>
        <w:rPr>
          <w:rFonts w:hint="default" w:ascii="Times New Roman" w:hAnsi="Times New Roman" w:eastAsia="宋体" w:cs="Times New Roman"/>
          <w:color w:val="000000"/>
          <w:kern w:val="0"/>
          <w:sz w:val="24"/>
          <w:szCs w:val="24"/>
          <w:lang w:val="en-US" w:eastAsia="zh-CN" w:bidi="ar"/>
        </w:rPr>
        <w:t>0.85</w:t>
      </w:r>
      <w:r>
        <w:rPr>
          <w:rFonts w:hint="eastAsia" w:ascii="Times New Roman" w:hAnsi="Times New Roman" w:eastAsia="宋体" w:cs="Times New Roman"/>
          <w:color w:val="000000"/>
          <w:kern w:val="0"/>
          <w:sz w:val="24"/>
          <w:szCs w:val="24"/>
          <w:lang w:val="en-US" w:eastAsia="zh-CN" w:bidi="ar"/>
        </w:rPr>
        <w:t>计算，生活污水的产生量约为</w:t>
      </w:r>
      <w:r>
        <w:rPr>
          <w:rFonts w:hint="default" w:ascii="Times New Roman" w:hAnsi="Times New Roman" w:eastAsia="宋体" w:cs="Times New Roman"/>
          <w:color w:val="000000"/>
          <w:kern w:val="0"/>
          <w:sz w:val="24"/>
          <w:szCs w:val="24"/>
          <w:lang w:val="en-US" w:eastAsia="zh-CN" w:bidi="ar"/>
        </w:rPr>
        <w:t>2.72m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/d</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816m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。生活污水排入化粪池，</w:t>
      </w:r>
      <w:r>
        <w:rPr>
          <w:rFonts w:hint="eastAsia" w:ascii="宋体" w:hAnsi="宋体" w:eastAsia="宋体" w:cs="宋体"/>
          <w:color w:val="000000"/>
          <w:kern w:val="0"/>
          <w:sz w:val="24"/>
          <w:szCs w:val="24"/>
          <w:lang w:val="en-US" w:eastAsia="zh-CN" w:bidi="ar"/>
        </w:rPr>
        <w:t>定期清掏，堆沤腐熟、就地就近就农利用</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②</w:t>
      </w:r>
      <w:r>
        <w:rPr>
          <w:rFonts w:hint="eastAsia" w:ascii="Times New Roman" w:hAnsi="Times New Roman" w:eastAsia="宋体" w:cs="Times New Roman"/>
          <w:color w:val="000000"/>
          <w:kern w:val="0"/>
          <w:sz w:val="24"/>
          <w:szCs w:val="24"/>
          <w:lang w:val="en-US" w:eastAsia="zh-CN" w:bidi="ar"/>
        </w:rPr>
        <w:t>生产废水</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本项目生产废水合计</w:t>
      </w:r>
      <w:r>
        <w:rPr>
          <w:rFonts w:hint="default" w:ascii="Times New Roman" w:hAnsi="Times New Roman" w:eastAsia="宋体" w:cs="Times New Roman"/>
          <w:color w:val="000000"/>
          <w:kern w:val="0"/>
          <w:sz w:val="24"/>
          <w:szCs w:val="24"/>
          <w:lang w:val="en-US" w:eastAsia="zh-CN" w:bidi="ar"/>
        </w:rPr>
        <w:t>2351230m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，全部进入循环水池，经沉淀后回用于浮选生产，无生产废水外排。</w:t>
      </w:r>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）供暖</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本项目冬季办公室采用电供暖，生产车间不供暖。</w:t>
      </w:r>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）供电工程</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本项目供电电源来自市政电网，可满足本项目生产及生活使用，年用电量约为</w:t>
      </w:r>
      <w:r>
        <w:rPr>
          <w:rFonts w:hint="default" w:ascii="Times New Roman" w:hAnsi="Times New Roman" w:eastAsia="宋体" w:cs="Times New Roman"/>
          <w:color w:val="000000"/>
          <w:kern w:val="0"/>
          <w:sz w:val="24"/>
          <w:szCs w:val="24"/>
          <w:lang w:val="en-US" w:eastAsia="zh-CN" w:bidi="ar"/>
        </w:rPr>
        <w:t>2160</w:t>
      </w:r>
      <w:r>
        <w:rPr>
          <w:rFonts w:hint="eastAsia" w:ascii="Times New Roman" w:hAnsi="Times New Roman" w:eastAsia="宋体" w:cs="Times New Roman"/>
          <w:color w:val="000000"/>
          <w:kern w:val="0"/>
          <w:sz w:val="24"/>
          <w:szCs w:val="24"/>
          <w:lang w:val="en-US" w:eastAsia="zh-CN" w:bidi="ar"/>
        </w:rPr>
        <w:t>万</w:t>
      </w:r>
      <w:r>
        <w:rPr>
          <w:rFonts w:hint="default" w:ascii="Times New Roman" w:hAnsi="Times New Roman" w:eastAsia="宋体" w:cs="Times New Roman"/>
          <w:color w:val="000000"/>
          <w:kern w:val="0"/>
          <w:sz w:val="24"/>
          <w:szCs w:val="24"/>
          <w:lang w:val="en-US" w:eastAsia="zh-CN" w:bidi="ar"/>
        </w:rPr>
        <w:t>kW·h</w:t>
      </w:r>
      <w:r>
        <w:rPr>
          <w:rFonts w:hint="eastAsia" w:ascii="Times New Roman" w:hAnsi="Times New Roman" w:eastAsia="宋体" w:cs="Times New Roman"/>
          <w:color w:val="000000"/>
          <w:kern w:val="0"/>
          <w:sz w:val="24"/>
          <w:szCs w:val="24"/>
          <w:lang w:val="en-US" w:eastAsia="zh-CN" w:bidi="ar"/>
        </w:rPr>
        <w:t>。</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w:t>
      </w:r>
      <w:r>
        <w:rPr>
          <w:rFonts w:hint="default" w:ascii="Times New Roman" w:hAnsi="Times New Roman" w:cs="Times New Roman"/>
          <w:color w:val="000000"/>
          <w:lang w:eastAsia="zh-CN"/>
        </w:rPr>
        <w:t>8</w:t>
      </w:r>
      <w:r>
        <w:rPr>
          <w:rFonts w:hint="default" w:ascii="Times New Roman" w:hAnsi="Times New Roman" w:cs="Times New Roman"/>
          <w:color w:val="000000"/>
          <w:lang/>
        </w:rPr>
        <w:t xml:space="preserve"> </w:t>
      </w:r>
      <w:r>
        <w:rPr>
          <w:rFonts w:ascii="Times New Roman" w:hAnsi="Times New Roman" w:cs="Times New Roman"/>
          <w:color w:val="000000"/>
          <w:lang w:eastAsia="zh-CN"/>
        </w:rPr>
        <w:t>总平面布置</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本项目占地</w:t>
      </w:r>
      <w:r>
        <w:rPr>
          <w:rFonts w:hint="default" w:ascii="Times New Roman" w:hAnsi="Times New Roman" w:eastAsia="宋体" w:cs="Times New Roman"/>
          <w:color w:val="000000"/>
          <w:kern w:val="0"/>
          <w:sz w:val="24"/>
          <w:szCs w:val="24"/>
          <w:lang w:val="en-US" w:eastAsia="zh-CN" w:bidi="ar"/>
        </w:rPr>
        <w:t>30000m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，建筑物占地面积约</w:t>
      </w:r>
      <w:r>
        <w:rPr>
          <w:rFonts w:hint="default" w:ascii="Times New Roman" w:hAnsi="Times New Roman" w:eastAsia="宋体" w:cs="Times New Roman"/>
          <w:color w:val="000000"/>
          <w:kern w:val="0"/>
          <w:sz w:val="24"/>
          <w:szCs w:val="24"/>
          <w:lang w:val="en-US" w:eastAsia="zh-CN" w:bidi="ar"/>
        </w:rPr>
        <w:t>11334m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，本次扩建在华宇集团现有厂区内建设，不新增用地。本项目独立于现有工程建设，建设用地为坡地，自原料库至精矿库和尾矿库地势依次降低，原料库和精矿库之间地势高差</w:t>
      </w:r>
      <w:r>
        <w:rPr>
          <w:rFonts w:hint="default" w:ascii="Times New Roman" w:hAnsi="Times New Roman" w:eastAsia="宋体" w:cs="Times New Roman"/>
          <w:color w:val="000000"/>
          <w:kern w:val="0"/>
          <w:sz w:val="24"/>
          <w:szCs w:val="24"/>
          <w:lang w:val="en-US" w:eastAsia="zh-CN" w:bidi="ar"/>
        </w:rPr>
        <w:t>34m</w:t>
      </w:r>
      <w:r>
        <w:rPr>
          <w:rFonts w:hint="eastAsia" w:ascii="Times New Roman" w:hAnsi="Times New Roman" w:eastAsia="宋体" w:cs="Times New Roman"/>
          <w:color w:val="000000"/>
          <w:kern w:val="0"/>
          <w:sz w:val="24"/>
          <w:szCs w:val="24"/>
          <w:lang w:val="en-US" w:eastAsia="zh-CN" w:bidi="ar"/>
        </w:rPr>
        <w:t>。本扩建项目总平面布置见图</w:t>
      </w:r>
      <w:r>
        <w:rPr>
          <w:rFonts w:hint="default" w:ascii="Times New Roman" w:hAnsi="Times New Roman" w:eastAsia="宋体" w:cs="Times New Roman"/>
          <w:color w:val="000000"/>
          <w:kern w:val="0"/>
          <w:sz w:val="24"/>
          <w:szCs w:val="24"/>
          <w:lang w:val="en-US" w:eastAsia="zh-CN" w:bidi="ar"/>
        </w:rPr>
        <w:t>3-3</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360" w:lineRule="auto"/>
        <w:ind w:left="0" w:right="6" w:firstLine="480" w:firstLineChars="200"/>
        <w:jc w:val="center"/>
        <w:rPr>
          <w:rFonts w:hint="default" w:ascii="Times New Roman" w:hAnsi="Times New Roman" w:eastAsia="黑体" w:cs="Times New Roman"/>
          <w:color w:val="000000"/>
          <w:lang w:val="en-US"/>
        </w:rPr>
      </w:pPr>
      <w:r>
        <w:rPr>
          <w:rFonts w:hint="default" w:ascii="Times New Roman" w:hAnsi="Times New Roman" w:eastAsia="宋体" w:cs="Times New Roman"/>
          <w:color w:val="000000"/>
          <w:sz w:val="24"/>
          <w:szCs w:val="24"/>
          <w:lang w:val="en-US" w:eastAsia="zh-CN" w:bidi="ar"/>
        </w:rPr>
        <w:br w:type="page"/>
      </w:r>
      <w:r>
        <w:rPr>
          <w:rFonts w:hint="eastAsia" w:ascii="宋体" w:hAnsi="宋体" w:eastAsia="宋体" w:cs="宋体"/>
          <w:kern w:val="0"/>
          <w:sz w:val="24"/>
          <w:szCs w:val="24"/>
          <w:lang w:val="en-US" w:eastAsia="zh-CN" w:bidi="ar"/>
        </w:rPr>
        <w:drawing>
          <wp:anchor distT="0" distB="0" distL="114300" distR="114300" simplePos="0" relativeHeight="251727872" behindDoc="0" locked="0" layoutInCell="1" allowOverlap="1">
            <wp:simplePos x="0" y="0"/>
            <wp:positionH relativeFrom="column">
              <wp:posOffset>4944110</wp:posOffset>
            </wp:positionH>
            <wp:positionV relativeFrom="line">
              <wp:posOffset>-8162290</wp:posOffset>
            </wp:positionV>
            <wp:extent cx="715010" cy="1051560"/>
            <wp:effectExtent l="0" t="0" r="8890" b="15240"/>
            <wp:wrapNone/>
            <wp:docPr id="1" name="图片 15" descr="C:\Users\lh\Desktop\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5" descr="C:\Users\lh\Desktop\111111.jpg"/>
                    <pic:cNvPicPr>
                      <a:picLocks noChangeAspect="1"/>
                    </pic:cNvPicPr>
                  </pic:nvPicPr>
                  <pic:blipFill>
                    <a:blip r:embed="rId12"/>
                    <a:srcRect l="18935" t="16116" r="66762" b="69289"/>
                    <a:stretch>
                      <a:fillRect/>
                    </a:stretch>
                  </pic:blipFill>
                  <pic:spPr>
                    <a:xfrm>
                      <a:off x="0" y="0"/>
                      <a:ext cx="715010" cy="1051560"/>
                    </a:xfrm>
                    <a:prstGeom prst="rect">
                      <a:avLst/>
                    </a:prstGeom>
                    <a:noFill/>
                    <a:ln>
                      <a:noFill/>
                    </a:ln>
                  </pic:spPr>
                </pic:pic>
              </a:graphicData>
            </a:graphic>
          </wp:anchor>
        </w:drawing>
      </w:r>
      <w:r>
        <w:rPr>
          <w:rFonts w:hint="eastAsia" w:ascii="宋体" w:hAnsi="宋体" w:eastAsia="宋体" w:cs="宋体"/>
          <w:kern w:val="0"/>
          <w:sz w:val="24"/>
          <w:szCs w:val="24"/>
          <w:lang w:val="en-US" w:eastAsia="zh-CN" w:bidi="ar"/>
        </w:rPr>
        <w:drawing>
          <wp:anchor distT="0" distB="0" distL="114300" distR="114300" simplePos="0" relativeHeight="251659264" behindDoc="0" locked="0" layoutInCell="1" allowOverlap="1">
            <wp:simplePos x="0" y="0"/>
            <wp:positionH relativeFrom="column">
              <wp:posOffset>-411480</wp:posOffset>
            </wp:positionH>
            <wp:positionV relativeFrom="paragraph">
              <wp:posOffset>-182880</wp:posOffset>
            </wp:positionV>
            <wp:extent cx="6223000" cy="8321675"/>
            <wp:effectExtent l="0" t="0" r="6350" b="3175"/>
            <wp:wrapTopAndBottom/>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pic:cNvPicPr>
                  </pic:nvPicPr>
                  <pic:blipFill>
                    <a:blip r:embed="rId19"/>
                    <a:stretch>
                      <a:fillRect/>
                    </a:stretch>
                  </pic:blipFill>
                  <pic:spPr>
                    <a:xfrm>
                      <a:off x="0" y="0"/>
                      <a:ext cx="6223000" cy="8321675"/>
                    </a:xfrm>
                    <a:prstGeom prst="rect">
                      <a:avLst/>
                    </a:prstGeom>
                    <a:noFill/>
                    <a:ln>
                      <a:noFill/>
                    </a:ln>
                  </pic:spPr>
                </pic:pic>
              </a:graphicData>
            </a:graphic>
          </wp:anchor>
        </w:drawing>
      </w: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3-3    </w:t>
      </w:r>
      <w:r>
        <w:rPr>
          <w:rFonts w:hint="eastAsia" w:ascii="Times New Roman" w:hAnsi="Times New Roman" w:eastAsia="黑体" w:cs="Times New Roman"/>
          <w:color w:val="000000"/>
          <w:kern w:val="0"/>
          <w:sz w:val="24"/>
          <w:szCs w:val="24"/>
          <w:lang w:val="en-US" w:eastAsia="zh-CN" w:bidi="ar"/>
        </w:rPr>
        <w:t>本扩建项目总平面布置示意图</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w:t>
      </w:r>
      <w:r>
        <w:rPr>
          <w:rFonts w:hint="default" w:ascii="Times New Roman" w:hAnsi="Times New Roman" w:cs="Times New Roman"/>
          <w:color w:val="000000"/>
          <w:lang w:eastAsia="zh-CN"/>
        </w:rPr>
        <w:t>9</w:t>
      </w:r>
      <w:r>
        <w:rPr>
          <w:rFonts w:hint="default" w:ascii="Times New Roman" w:hAnsi="Times New Roman" w:cs="Times New Roman"/>
          <w:color w:val="000000"/>
          <w:lang/>
        </w:rPr>
        <w:t xml:space="preserve"> </w:t>
      </w:r>
      <w:r>
        <w:rPr>
          <w:rFonts w:ascii="Times New Roman" w:hAnsi="Times New Roman" w:cs="Times New Roman"/>
          <w:color w:val="000000"/>
          <w:lang w:eastAsia="zh-CN"/>
        </w:rPr>
        <w:t>主要技术经济指标</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本项目主要技术经济指标详见表</w:t>
      </w:r>
      <w:r>
        <w:rPr>
          <w:rFonts w:hint="default" w:ascii="Times New Roman" w:hAnsi="Times New Roman" w:eastAsia="宋体" w:cs="Times New Roman"/>
          <w:color w:val="000000"/>
          <w:kern w:val="0"/>
          <w:sz w:val="24"/>
          <w:szCs w:val="24"/>
          <w:lang w:val="en-US" w:eastAsia="zh-CN" w:bidi="ar"/>
        </w:rPr>
        <w:t>3.1-10</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3.1-10    </w:t>
      </w:r>
      <w:r>
        <w:rPr>
          <w:rFonts w:hint="eastAsia" w:ascii="Times New Roman" w:hAnsi="Times New Roman" w:eastAsia="黑体" w:cs="Times New Roman"/>
          <w:color w:val="000000"/>
          <w:kern w:val="0"/>
          <w:sz w:val="24"/>
          <w:szCs w:val="24"/>
          <w:lang w:val="en-US" w:eastAsia="zh-CN" w:bidi="ar"/>
        </w:rPr>
        <w:t>本项目主要技术经济指标表</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885"/>
        <w:gridCol w:w="2339"/>
        <w:gridCol w:w="1096"/>
        <w:gridCol w:w="1075"/>
        <w:gridCol w:w="3332"/>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12" w:hRule="atLeast"/>
          <w:tblHeader/>
        </w:trPr>
        <w:tc>
          <w:tcPr>
            <w:tcW w:w="507" w:type="pct"/>
            <w:tcBorders>
              <w:top w:val="thinThickSmallGap" w:color="auto" w:sz="12" w:space="0"/>
              <w:left w:val="nil"/>
              <w:bottom w:val="single" w:color="auto" w:sz="6" w:space="0"/>
              <w:right w:val="single" w:color="auto" w:sz="6" w:space="0"/>
            </w:tcBorders>
            <w:shd w:val="clear" w:color="auto" w:fill="D9D9D9"/>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序号</w:t>
            </w:r>
          </w:p>
        </w:tc>
        <w:tc>
          <w:tcPr>
            <w:tcW w:w="1340"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项目</w:t>
            </w:r>
          </w:p>
        </w:tc>
        <w:tc>
          <w:tcPr>
            <w:tcW w:w="628"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单位</w:t>
            </w:r>
          </w:p>
        </w:tc>
        <w:tc>
          <w:tcPr>
            <w:tcW w:w="616"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数量</w:t>
            </w:r>
          </w:p>
        </w:tc>
        <w:tc>
          <w:tcPr>
            <w:tcW w:w="1908" w:type="pct"/>
            <w:tcBorders>
              <w:top w:val="thinThickSmallGap" w:color="auto" w:sz="12" w:space="0"/>
              <w:left w:val="single" w:color="auto" w:sz="6" w:space="0"/>
              <w:bottom w:val="single" w:color="auto" w:sz="6" w:space="0"/>
              <w:right w:val="nil"/>
            </w:tcBorders>
            <w:shd w:val="clear" w:color="auto" w:fill="D9D9D9"/>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备注</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00" w:type="pct"/>
            <w:gridSpan w:val="5"/>
            <w:tcBorders>
              <w:top w:val="single" w:color="auto" w:sz="6" w:space="0"/>
              <w:left w:val="nil"/>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一、产品方案及规模</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7" w:type="pc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1</w:t>
            </w:r>
          </w:p>
        </w:tc>
        <w:tc>
          <w:tcPr>
            <w:tcW w:w="134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sz w:val="21"/>
                <w:szCs w:val="21"/>
                <w:bdr w:val="none" w:color="auto" w:sz="0" w:space="0"/>
                <w:lang w:val="en-US"/>
              </w:rPr>
            </w:pPr>
            <w:r>
              <w:rPr>
                <w:rFonts w:hint="eastAsia" w:ascii="宋体" w:hAnsi="宋体" w:eastAsia="宋体" w:cs="宋体"/>
                <w:color w:val="000000"/>
                <w:kern w:val="0"/>
                <w:sz w:val="21"/>
                <w:szCs w:val="21"/>
                <w:bdr w:val="none" w:color="auto" w:sz="0" w:space="0"/>
                <w:lang w:val="en-US" w:eastAsia="zh-CN" w:bidi="ar"/>
              </w:rPr>
              <w:t>菱镁精矿粉</w:t>
            </w:r>
          </w:p>
        </w:tc>
        <w:tc>
          <w:tcPr>
            <w:tcW w:w="628"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万</w:t>
            </w:r>
            <w:r>
              <w:rPr>
                <w:color w:val="000000"/>
                <w:bdr w:val="none" w:color="auto" w:sz="0" w:space="0"/>
                <w:lang/>
              </w:rPr>
              <w:t>t/a</w:t>
            </w:r>
          </w:p>
        </w:tc>
        <w:tc>
          <w:tcPr>
            <w:tcW w:w="61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100</w:t>
            </w:r>
          </w:p>
        </w:tc>
        <w:tc>
          <w:tcPr>
            <w:tcW w:w="1908"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sz w:val="21"/>
                <w:szCs w:val="21"/>
                <w:bdr w:val="none" w:color="auto" w:sz="0" w:space="0"/>
                <w:lang w:val="en-US"/>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7" w:type="pc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2</w:t>
            </w:r>
          </w:p>
        </w:tc>
        <w:tc>
          <w:tcPr>
            <w:tcW w:w="134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color w:val="000000"/>
                <w:sz w:val="21"/>
                <w:szCs w:val="21"/>
                <w:bdr w:val="none" w:color="auto" w:sz="0" w:space="0"/>
                <w:lang w:val="en-US"/>
              </w:rPr>
            </w:pPr>
            <w:r>
              <w:rPr>
                <w:rFonts w:hint="eastAsia" w:ascii="宋体" w:hAnsi="宋体" w:eastAsia="宋体" w:cs="宋体"/>
                <w:color w:val="000000"/>
                <w:kern w:val="0"/>
                <w:sz w:val="21"/>
                <w:szCs w:val="21"/>
                <w:bdr w:val="none" w:color="auto" w:sz="0" w:space="0"/>
                <w:lang w:val="en-US" w:eastAsia="zh-CN" w:bidi="ar"/>
              </w:rPr>
              <w:t>菱镁尾矿粉</w:t>
            </w:r>
          </w:p>
        </w:tc>
        <w:tc>
          <w:tcPr>
            <w:tcW w:w="628"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万</w:t>
            </w:r>
            <w:r>
              <w:rPr>
                <w:color w:val="000000"/>
                <w:bdr w:val="none" w:color="auto" w:sz="0" w:space="0"/>
                <w:lang/>
              </w:rPr>
              <w:t>t/a</w:t>
            </w:r>
          </w:p>
        </w:tc>
        <w:tc>
          <w:tcPr>
            <w:tcW w:w="61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25</w:t>
            </w:r>
          </w:p>
        </w:tc>
        <w:tc>
          <w:tcPr>
            <w:tcW w:w="1908"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color w:val="000000"/>
                <w:sz w:val="21"/>
                <w:szCs w:val="21"/>
                <w:bdr w:val="none" w:color="auto" w:sz="0" w:space="0"/>
                <w:lang w:val="en-US"/>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00" w:type="pct"/>
            <w:gridSpan w:val="5"/>
            <w:tcBorders>
              <w:top w:val="single" w:color="auto" w:sz="6" w:space="0"/>
              <w:left w:val="nil"/>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二、原辅材料消耗量</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7" w:type="pc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1</w:t>
            </w:r>
          </w:p>
        </w:tc>
        <w:tc>
          <w:tcPr>
            <w:tcW w:w="1340"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菱镁矿石</w:t>
            </w:r>
          </w:p>
        </w:tc>
        <w:tc>
          <w:tcPr>
            <w:tcW w:w="628"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万</w:t>
            </w:r>
            <w:r>
              <w:rPr>
                <w:color w:val="000000"/>
                <w:bdr w:val="none" w:color="auto" w:sz="0" w:space="0"/>
                <w:lang/>
              </w:rPr>
              <w:t>t/a</w:t>
            </w:r>
          </w:p>
        </w:tc>
        <w:tc>
          <w:tcPr>
            <w:tcW w:w="61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125</w:t>
            </w:r>
          </w:p>
        </w:tc>
        <w:tc>
          <w:tcPr>
            <w:tcW w:w="190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7" w:type="pc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2</w:t>
            </w:r>
          </w:p>
        </w:tc>
        <w:tc>
          <w:tcPr>
            <w:tcW w:w="1340"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反浮选药剂</w:t>
            </w:r>
          </w:p>
        </w:tc>
        <w:tc>
          <w:tcPr>
            <w:tcW w:w="628"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t/a</w:t>
            </w:r>
          </w:p>
        </w:tc>
        <w:tc>
          <w:tcPr>
            <w:tcW w:w="61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1500</w:t>
            </w:r>
          </w:p>
        </w:tc>
        <w:tc>
          <w:tcPr>
            <w:tcW w:w="190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7" w:type="pc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3</w:t>
            </w:r>
          </w:p>
        </w:tc>
        <w:tc>
          <w:tcPr>
            <w:tcW w:w="134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球磨机钢球</w:t>
            </w:r>
          </w:p>
        </w:tc>
        <w:tc>
          <w:tcPr>
            <w:tcW w:w="628"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t/a</w:t>
            </w:r>
          </w:p>
        </w:tc>
        <w:tc>
          <w:tcPr>
            <w:tcW w:w="61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600</w:t>
            </w:r>
          </w:p>
        </w:tc>
        <w:tc>
          <w:tcPr>
            <w:tcW w:w="190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7" w:type="pc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4</w:t>
            </w:r>
          </w:p>
        </w:tc>
        <w:tc>
          <w:tcPr>
            <w:tcW w:w="134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720"/>
              </w:tabs>
              <w:autoSpaceDE w:val="0"/>
              <w:autoSpaceDN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振动筛筛网</w:t>
            </w:r>
          </w:p>
        </w:tc>
        <w:tc>
          <w:tcPr>
            <w:tcW w:w="628"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t/a</w:t>
            </w:r>
          </w:p>
        </w:tc>
        <w:tc>
          <w:tcPr>
            <w:tcW w:w="61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60</w:t>
            </w:r>
          </w:p>
        </w:tc>
        <w:tc>
          <w:tcPr>
            <w:tcW w:w="190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7" w:type="pc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5</w:t>
            </w:r>
          </w:p>
        </w:tc>
        <w:tc>
          <w:tcPr>
            <w:tcW w:w="1340"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润滑油</w:t>
            </w:r>
          </w:p>
        </w:tc>
        <w:tc>
          <w:tcPr>
            <w:tcW w:w="628"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t/a</w:t>
            </w:r>
          </w:p>
        </w:tc>
        <w:tc>
          <w:tcPr>
            <w:tcW w:w="61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1</w:t>
            </w:r>
          </w:p>
        </w:tc>
        <w:tc>
          <w:tcPr>
            <w:tcW w:w="190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00" w:type="pct"/>
            <w:gridSpan w:val="5"/>
            <w:tcBorders>
              <w:top w:val="single" w:color="auto" w:sz="6" w:space="0"/>
              <w:left w:val="nil"/>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三、能源消耗</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7" w:type="pc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1</w:t>
            </w:r>
          </w:p>
        </w:tc>
        <w:tc>
          <w:tcPr>
            <w:tcW w:w="1340"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年耗电量</w:t>
            </w:r>
          </w:p>
        </w:tc>
        <w:tc>
          <w:tcPr>
            <w:tcW w:w="628"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10</w:t>
            </w:r>
            <w:r>
              <w:rPr>
                <w:color w:val="000000"/>
                <w:bdr w:val="none" w:color="auto" w:sz="0" w:space="0"/>
                <w:vertAlign w:val="superscript"/>
                <w:lang/>
              </w:rPr>
              <w:t>4</w:t>
            </w:r>
            <w:r>
              <w:rPr>
                <w:color w:val="000000"/>
                <w:bdr w:val="none" w:color="auto" w:sz="0" w:space="0"/>
                <w:lang/>
              </w:rPr>
              <w:t>kWh</w:t>
            </w:r>
          </w:p>
        </w:tc>
        <w:tc>
          <w:tcPr>
            <w:tcW w:w="61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2160</w:t>
            </w:r>
          </w:p>
        </w:tc>
        <w:tc>
          <w:tcPr>
            <w:tcW w:w="190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7" w:type="pc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2</w:t>
            </w:r>
          </w:p>
        </w:tc>
        <w:tc>
          <w:tcPr>
            <w:tcW w:w="1340"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新水用量</w:t>
            </w:r>
          </w:p>
        </w:tc>
        <w:tc>
          <w:tcPr>
            <w:tcW w:w="628"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m</w:t>
            </w:r>
            <w:r>
              <w:rPr>
                <w:color w:val="000000"/>
                <w:bdr w:val="none" w:color="auto" w:sz="0" w:space="0"/>
                <w:vertAlign w:val="superscript"/>
                <w:lang/>
              </w:rPr>
              <w:t>3</w:t>
            </w:r>
            <w:r>
              <w:rPr>
                <w:color w:val="000000"/>
                <w:bdr w:val="none" w:color="auto" w:sz="0" w:space="0"/>
                <w:lang/>
              </w:rPr>
              <w:t>/a</w:t>
            </w:r>
          </w:p>
        </w:tc>
        <w:tc>
          <w:tcPr>
            <w:tcW w:w="61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111090</w:t>
            </w:r>
          </w:p>
        </w:tc>
        <w:tc>
          <w:tcPr>
            <w:tcW w:w="190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00" w:type="pct"/>
            <w:gridSpan w:val="5"/>
            <w:tcBorders>
              <w:top w:val="single" w:color="auto" w:sz="6" w:space="0"/>
              <w:left w:val="nil"/>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四、其它</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7" w:type="pc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1</w:t>
            </w:r>
          </w:p>
        </w:tc>
        <w:tc>
          <w:tcPr>
            <w:tcW w:w="1340"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占地面积</w:t>
            </w:r>
          </w:p>
        </w:tc>
        <w:tc>
          <w:tcPr>
            <w:tcW w:w="628"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m</w:t>
            </w:r>
            <w:r>
              <w:rPr>
                <w:color w:val="000000"/>
                <w:bdr w:val="none" w:color="auto" w:sz="0" w:space="0"/>
                <w:vertAlign w:val="superscript"/>
                <w:lang/>
              </w:rPr>
              <w:t>2</w:t>
            </w:r>
          </w:p>
        </w:tc>
        <w:tc>
          <w:tcPr>
            <w:tcW w:w="61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30000</w:t>
            </w:r>
          </w:p>
        </w:tc>
        <w:tc>
          <w:tcPr>
            <w:tcW w:w="190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7" w:type="pc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2</w:t>
            </w:r>
          </w:p>
        </w:tc>
        <w:tc>
          <w:tcPr>
            <w:tcW w:w="1340"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建筑面积</w:t>
            </w:r>
          </w:p>
        </w:tc>
        <w:tc>
          <w:tcPr>
            <w:tcW w:w="628"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m</w:t>
            </w:r>
            <w:r>
              <w:rPr>
                <w:color w:val="000000"/>
                <w:bdr w:val="none" w:color="auto" w:sz="0" w:space="0"/>
                <w:vertAlign w:val="superscript"/>
                <w:lang/>
              </w:rPr>
              <w:t>2</w:t>
            </w:r>
          </w:p>
        </w:tc>
        <w:tc>
          <w:tcPr>
            <w:tcW w:w="61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11334</w:t>
            </w:r>
          </w:p>
        </w:tc>
        <w:tc>
          <w:tcPr>
            <w:tcW w:w="190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00" w:type="pct"/>
            <w:gridSpan w:val="5"/>
            <w:tcBorders>
              <w:top w:val="single" w:color="auto" w:sz="6" w:space="0"/>
              <w:left w:val="nil"/>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五、职工人数及工作制度</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7" w:type="pc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1</w:t>
            </w:r>
          </w:p>
        </w:tc>
        <w:tc>
          <w:tcPr>
            <w:tcW w:w="1340"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劳动定员</w:t>
            </w:r>
          </w:p>
        </w:tc>
        <w:tc>
          <w:tcPr>
            <w:tcW w:w="628"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人</w:t>
            </w:r>
          </w:p>
        </w:tc>
        <w:tc>
          <w:tcPr>
            <w:tcW w:w="61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eastAsia="zh-CN"/>
              </w:rPr>
              <w:t>8</w:t>
            </w:r>
            <w:r>
              <w:rPr>
                <w:color w:val="000000"/>
                <w:bdr w:val="none" w:color="auto" w:sz="0" w:space="0"/>
                <w:lang/>
              </w:rPr>
              <w:t>0</w:t>
            </w:r>
          </w:p>
        </w:tc>
        <w:tc>
          <w:tcPr>
            <w:tcW w:w="190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7" w:type="pc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2</w:t>
            </w:r>
          </w:p>
        </w:tc>
        <w:tc>
          <w:tcPr>
            <w:tcW w:w="1340"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年工作天数</w:t>
            </w:r>
          </w:p>
        </w:tc>
        <w:tc>
          <w:tcPr>
            <w:tcW w:w="628"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d/a</w:t>
            </w:r>
          </w:p>
        </w:tc>
        <w:tc>
          <w:tcPr>
            <w:tcW w:w="61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3</w:t>
            </w:r>
            <w:r>
              <w:rPr>
                <w:color w:val="000000"/>
                <w:bdr w:val="none" w:color="auto" w:sz="0" w:space="0"/>
                <w:lang w:eastAsia="zh-CN"/>
              </w:rPr>
              <w:t>0</w:t>
            </w:r>
            <w:r>
              <w:rPr>
                <w:color w:val="000000"/>
                <w:bdr w:val="none" w:color="auto" w:sz="0" w:space="0"/>
                <w:lang/>
              </w:rPr>
              <w:t>0</w:t>
            </w:r>
          </w:p>
        </w:tc>
        <w:tc>
          <w:tcPr>
            <w:tcW w:w="190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eastAsia="zh-CN"/>
              </w:rPr>
            </w:pPr>
            <w:r>
              <w:rPr>
                <w:rFonts w:hint="eastAsia" w:ascii="Times New Roman" w:hAnsi="Times New Roman" w:eastAsia="宋体" w:cs="宋体"/>
                <w:color w:val="000000"/>
                <w:bdr w:val="none" w:color="auto" w:sz="0" w:space="0"/>
                <w:lang/>
              </w:rPr>
              <w:t>每天</w:t>
            </w:r>
            <w:r>
              <w:rPr>
                <w:color w:val="000000"/>
                <w:bdr w:val="none" w:color="auto" w:sz="0" w:space="0"/>
                <w:lang/>
              </w:rPr>
              <w:t>24h</w:t>
            </w:r>
            <w:r>
              <w:rPr>
                <w:rFonts w:hint="eastAsia" w:ascii="Times New Roman" w:hAnsi="Times New Roman" w:eastAsia="宋体" w:cs="宋体"/>
                <w:color w:val="000000"/>
                <w:bdr w:val="none" w:color="auto" w:sz="0" w:space="0"/>
                <w:lang/>
              </w:rPr>
              <w:t>，</w:t>
            </w:r>
            <w:r>
              <w:rPr>
                <w:rFonts w:hint="eastAsia" w:ascii="Times New Roman" w:hAnsi="Times New Roman" w:eastAsia="宋体" w:cs="宋体"/>
                <w:color w:val="000000"/>
                <w:bdr w:val="none" w:color="auto" w:sz="0" w:space="0"/>
                <w:lang w:eastAsia="zh-CN"/>
              </w:rPr>
              <w:t>四班三倒</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00" w:type="pct"/>
            <w:gridSpan w:val="5"/>
            <w:tcBorders>
              <w:top w:val="single" w:color="auto" w:sz="6" w:space="0"/>
              <w:left w:val="nil"/>
              <w:bottom w:val="single" w:color="auto" w:sz="6"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六、经济指标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7" w:type="pct"/>
            <w:tcBorders>
              <w:top w:val="single" w:color="auto" w:sz="6" w:space="0"/>
              <w:left w:val="nil"/>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1</w:t>
            </w:r>
          </w:p>
        </w:tc>
        <w:tc>
          <w:tcPr>
            <w:tcW w:w="1340"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项目总投资</w:t>
            </w:r>
          </w:p>
        </w:tc>
        <w:tc>
          <w:tcPr>
            <w:tcW w:w="628"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万元</w:t>
            </w:r>
          </w:p>
        </w:tc>
        <w:tc>
          <w:tcPr>
            <w:tcW w:w="616" w:type="pct"/>
            <w:tcBorders>
              <w:top w:val="single" w:color="auto" w:sz="6" w:space="0"/>
              <w:left w:val="single" w:color="auto" w:sz="6" w:space="0"/>
              <w:bottom w:val="single" w:color="auto" w:sz="6"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6000</w:t>
            </w:r>
          </w:p>
        </w:tc>
        <w:tc>
          <w:tcPr>
            <w:tcW w:w="1908" w:type="pct"/>
            <w:tcBorders>
              <w:top w:val="single" w:color="auto" w:sz="6" w:space="0"/>
              <w:left w:val="single" w:color="auto" w:sz="6" w:space="0"/>
              <w:bottom w:val="single" w:color="auto" w:sz="6" w:space="0"/>
              <w:right w:val="nil"/>
            </w:tcBorders>
            <w:shd w:val="clear"/>
            <w:vAlign w:val="center"/>
          </w:tcPr>
          <w:p>
            <w:pPr>
              <w:pStyle w:val="91"/>
              <w:widowControl/>
              <w:rPr>
                <w:color w:val="000000"/>
                <w:bdr w:val="none" w:color="auto" w:sz="0" w:space="0"/>
                <w:lang/>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7" w:type="pct"/>
            <w:tcBorders>
              <w:top w:val="single" w:color="auto" w:sz="6" w:space="0"/>
              <w:left w:val="nil"/>
              <w:bottom w:val="thickThinSmallGap" w:color="auto" w:sz="12"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2</w:t>
            </w:r>
          </w:p>
        </w:tc>
        <w:tc>
          <w:tcPr>
            <w:tcW w:w="1340" w:type="pct"/>
            <w:tcBorders>
              <w:top w:val="single" w:color="auto" w:sz="6" w:space="0"/>
              <w:left w:val="single" w:color="auto" w:sz="6" w:space="0"/>
              <w:bottom w:val="thickThinSmallGap" w:color="auto" w:sz="12"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环保投资</w:t>
            </w:r>
          </w:p>
        </w:tc>
        <w:tc>
          <w:tcPr>
            <w:tcW w:w="628" w:type="pct"/>
            <w:tcBorders>
              <w:top w:val="single" w:color="auto" w:sz="6" w:space="0"/>
              <w:left w:val="single" w:color="auto" w:sz="6" w:space="0"/>
              <w:bottom w:val="thickThinSmallGap" w:color="auto" w:sz="12" w:space="0"/>
              <w:right w:val="single" w:color="auto" w:sz="6" w:space="0"/>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万元</w:t>
            </w:r>
          </w:p>
        </w:tc>
        <w:tc>
          <w:tcPr>
            <w:tcW w:w="616" w:type="pct"/>
            <w:tcBorders>
              <w:top w:val="single" w:color="auto" w:sz="6" w:space="0"/>
              <w:left w:val="single" w:color="auto" w:sz="6" w:space="0"/>
              <w:bottom w:val="thickThinSmallGap" w:color="auto" w:sz="12" w:space="0"/>
              <w:right w:val="single" w:color="auto" w:sz="6" w:space="0"/>
            </w:tcBorders>
            <w:shd w:val="clear"/>
            <w:vAlign w:val="center"/>
          </w:tcPr>
          <w:p>
            <w:pPr>
              <w:pStyle w:val="91"/>
              <w:widowControl/>
              <w:rPr>
                <w:color w:val="000000"/>
                <w:bdr w:val="none" w:color="auto" w:sz="0" w:space="0"/>
                <w:lang/>
              </w:rPr>
            </w:pPr>
            <w:r>
              <w:rPr>
                <w:color w:val="000000"/>
                <w:bdr w:val="none" w:color="auto" w:sz="0" w:space="0"/>
                <w:lang/>
              </w:rPr>
              <w:t>626</w:t>
            </w:r>
          </w:p>
        </w:tc>
        <w:tc>
          <w:tcPr>
            <w:tcW w:w="1908" w:type="pct"/>
            <w:tcBorders>
              <w:top w:val="single" w:color="auto" w:sz="6" w:space="0"/>
              <w:left w:val="single" w:color="auto" w:sz="6" w:space="0"/>
              <w:bottom w:val="thickThinSmallGap" w:color="auto" w:sz="12" w:space="0"/>
              <w:right w:val="nil"/>
            </w:tcBorders>
            <w:shd w:val="clear"/>
            <w:vAlign w:val="center"/>
          </w:tcPr>
          <w:p>
            <w:pPr>
              <w:pStyle w:val="91"/>
              <w:widowControl/>
              <w:rPr>
                <w:color w:val="000000"/>
                <w:bdr w:val="none" w:color="auto" w:sz="0" w:space="0"/>
                <w:lang/>
              </w:rPr>
            </w:pPr>
            <w:r>
              <w:rPr>
                <w:rFonts w:hint="eastAsia" w:ascii="Times New Roman" w:hAnsi="Times New Roman" w:eastAsia="宋体" w:cs="宋体"/>
                <w:color w:val="000000"/>
                <w:bdr w:val="none" w:color="auto" w:sz="0" w:space="0"/>
                <w:lang/>
              </w:rPr>
              <w:t>占总投资的</w:t>
            </w:r>
            <w:r>
              <w:rPr>
                <w:color w:val="000000"/>
                <w:bdr w:val="none" w:color="auto" w:sz="0" w:space="0"/>
                <w:lang/>
              </w:rPr>
              <w:t>10.4%</w:t>
            </w:r>
          </w:p>
        </w:tc>
      </w:tr>
    </w:tbl>
    <w:p>
      <w:pPr>
        <w:keepNext w:val="0"/>
        <w:keepLines w:val="0"/>
        <w:widowControl/>
        <w:suppressLineNumbers w:val="0"/>
        <w:spacing w:before="0" w:beforeAutospacing="0" w:after="0" w:afterAutospacing="0" w:line="360" w:lineRule="auto"/>
        <w:ind w:left="0" w:right="6"/>
        <w:jc w:val="center"/>
        <w:rPr>
          <w:rFonts w:hint="default" w:ascii="Times New Roman" w:hAnsi="Times New Roman" w:cs="Times New Roman"/>
          <w:color w:val="000000"/>
          <w:lang w:val="en-US"/>
        </w:rPr>
      </w:pPr>
    </w:p>
    <w:p>
      <w:pPr>
        <w:pStyle w:val="8"/>
        <w:widowControl/>
        <w:rPr>
          <w:color w:val="000000"/>
          <w:lang/>
        </w:rPr>
      </w:pPr>
      <w:bookmarkStart w:id="136" w:name="_Toc41656133"/>
      <w:bookmarkStart w:id="137" w:name="_Toc175714265"/>
      <w:bookmarkStart w:id="138" w:name="_Toc175711432"/>
      <w:bookmarkStart w:id="139" w:name="_Toc166464733"/>
      <w:bookmarkStart w:id="140" w:name="_Toc158523410"/>
      <w:bookmarkStart w:id="141" w:name="_Toc154570248"/>
      <w:bookmarkStart w:id="142" w:name="_Toc154569861"/>
      <w:bookmarkStart w:id="143" w:name="_Toc153878457"/>
      <w:bookmarkStart w:id="144" w:name="_Toc153007121"/>
      <w:bookmarkStart w:id="145" w:name="_Toc151278922"/>
      <w:bookmarkStart w:id="146" w:name="_Toc151276159"/>
      <w:bookmarkStart w:id="147" w:name="_Toc151200271"/>
      <w:bookmarkStart w:id="148" w:name="_Toc151200111"/>
      <w:r>
        <w:rPr>
          <w:color w:val="000000"/>
          <w:lang/>
        </w:rPr>
        <w:t xml:space="preserve">3.2 </w:t>
      </w:r>
      <w:r>
        <w:rPr>
          <w:rFonts w:hint="eastAsia" w:ascii="Times New Roman" w:hAnsi="Times New Roman" w:eastAsia="宋体" w:cs="宋体"/>
          <w:color w:val="000000"/>
          <w:lang w:eastAsia="zh-CN"/>
        </w:rPr>
        <w:t>影响因素分析</w:t>
      </w:r>
      <w:bookmarkEnd w:id="136"/>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.1 </w:t>
      </w:r>
      <w:r>
        <w:rPr>
          <w:rFonts w:ascii="Times New Roman" w:hAnsi="Times New Roman" w:cs="Times New Roman"/>
          <w:color w:val="000000"/>
          <w:lang/>
        </w:rPr>
        <w:t>施工期影响因素分析</w:t>
      </w:r>
    </w:p>
    <w:p>
      <w:pPr>
        <w:keepNext w:val="0"/>
        <w:keepLines w:val="0"/>
        <w:widowControl/>
        <w:suppressLineNumbers w:val="0"/>
        <w:tabs>
          <w:tab w:val="left" w:pos="1506"/>
        </w:tabs>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本工程建设期间进行掘土、地基处理及土石方、建筑材料运输、设备安装等施工行为，在施工期内将会对周边区域的环境质量造成一定影响。但这种影响一般是可逆的，在工程施工结束后将一并消失。</w:t>
      </w:r>
    </w:p>
    <w:p>
      <w:pPr>
        <w:keepNext w:val="0"/>
        <w:keepLines w:val="0"/>
        <w:widowControl/>
        <w:suppressLineNumbers w:val="0"/>
        <w:tabs>
          <w:tab w:val="left" w:pos="1506"/>
        </w:tabs>
        <w:spacing w:before="0" w:beforeAutospacing="0" w:after="0" w:afterAutospacing="0" w:line="500" w:lineRule="exact"/>
        <w:ind w:left="0" w:right="0" w:firstLine="420" w:firstLineChars="200"/>
        <w:jc w:val="both"/>
        <w:rPr>
          <w:rFonts w:hint="default" w:ascii="Times New Roman" w:hAnsi="Times New Roman" w:cs="Times New Roman"/>
          <w:color w:val="000000"/>
          <w:lang w:val="en-US"/>
        </w:rPr>
      </w:pPr>
    </w:p>
    <w:p>
      <w:pPr>
        <w:keepNext w:val="0"/>
        <w:keepLines w:val="0"/>
        <w:widowControl/>
        <w:suppressLineNumbers w:val="0"/>
        <w:tabs>
          <w:tab w:val="left" w:pos="1506"/>
        </w:tabs>
        <w:spacing w:before="0" w:beforeAutospacing="0" w:after="0" w:afterAutospacing="0" w:line="500" w:lineRule="exact"/>
        <w:ind w:left="0" w:right="0" w:firstLine="482" w:firstLineChars="200"/>
        <w:jc w:val="both"/>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）施工扬尘与废气</w:t>
      </w:r>
    </w:p>
    <w:p>
      <w:pPr>
        <w:keepNext w:val="0"/>
        <w:keepLines w:val="0"/>
        <w:widowControl/>
        <w:suppressLineNumbers w:val="0"/>
        <w:tabs>
          <w:tab w:val="left" w:pos="1506"/>
        </w:tabs>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一般来讲，由于工程施工而产生的大气污染源，主要有以下几个方面：</w:t>
      </w:r>
    </w:p>
    <w:p>
      <w:pPr>
        <w:keepNext w:val="0"/>
        <w:keepLines w:val="0"/>
        <w:widowControl/>
        <w:numPr>
          <w:ilvl w:val="0"/>
          <w:numId w:val="5"/>
        </w:numPr>
        <w:suppressLineNumbers w:val="0"/>
        <w:spacing w:before="0" w:beforeAutospacing="0" w:after="0" w:afterAutospacing="0" w:line="500" w:lineRule="exact"/>
        <w:ind w:left="900" w:right="0" w:hanging="42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以燃油为动力的施工机械排放的废气；</w:t>
      </w:r>
    </w:p>
    <w:p>
      <w:pPr>
        <w:keepNext w:val="0"/>
        <w:keepLines w:val="0"/>
        <w:widowControl/>
        <w:numPr>
          <w:ilvl w:val="0"/>
          <w:numId w:val="5"/>
        </w:numPr>
        <w:suppressLineNumbers w:val="0"/>
        <w:spacing w:before="0" w:beforeAutospacing="0" w:after="0" w:afterAutospacing="0" w:line="500" w:lineRule="exact"/>
        <w:ind w:left="900" w:right="0" w:hanging="42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施工中使用的材料泄漏；</w:t>
      </w:r>
    </w:p>
    <w:p>
      <w:pPr>
        <w:keepNext w:val="0"/>
        <w:keepLines w:val="0"/>
        <w:widowControl/>
        <w:numPr>
          <w:ilvl w:val="0"/>
          <w:numId w:val="5"/>
        </w:numPr>
        <w:suppressLineNumbers w:val="0"/>
        <w:spacing w:before="0" w:beforeAutospacing="0" w:after="0" w:afterAutospacing="0" w:line="500" w:lineRule="exact"/>
        <w:ind w:left="900" w:right="0" w:hanging="42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运输车辆尾气；</w:t>
      </w:r>
    </w:p>
    <w:p>
      <w:pPr>
        <w:keepNext w:val="0"/>
        <w:keepLines w:val="0"/>
        <w:widowControl/>
        <w:numPr>
          <w:ilvl w:val="0"/>
          <w:numId w:val="5"/>
        </w:numPr>
        <w:suppressLineNumbers w:val="0"/>
        <w:spacing w:before="0" w:beforeAutospacing="0" w:after="0" w:afterAutospacing="0" w:line="500" w:lineRule="exact"/>
        <w:ind w:left="900" w:right="0" w:hanging="42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施工过程中掘土等产生粉尘；</w:t>
      </w:r>
    </w:p>
    <w:p>
      <w:pPr>
        <w:keepNext w:val="0"/>
        <w:keepLines w:val="0"/>
        <w:widowControl/>
        <w:numPr>
          <w:ilvl w:val="0"/>
          <w:numId w:val="5"/>
        </w:numPr>
        <w:suppressLineNumbers w:val="0"/>
        <w:spacing w:before="0" w:beforeAutospacing="0" w:after="0" w:afterAutospacing="0" w:line="500" w:lineRule="exact"/>
        <w:ind w:left="900" w:right="0" w:hanging="42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开挖回填过程，会引起大量的粉尘飞扬；</w:t>
      </w:r>
    </w:p>
    <w:p>
      <w:pPr>
        <w:keepNext w:val="0"/>
        <w:keepLines w:val="0"/>
        <w:widowControl/>
        <w:numPr>
          <w:ilvl w:val="0"/>
          <w:numId w:val="5"/>
        </w:numPr>
        <w:suppressLineNumbers w:val="0"/>
        <w:spacing w:before="0" w:beforeAutospacing="0" w:after="0" w:afterAutospacing="0" w:line="500" w:lineRule="exact"/>
        <w:ind w:left="900" w:right="0" w:hanging="42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开挖泥土被雨水冲刷外流，遇到干燥天气再次扬起；</w:t>
      </w:r>
    </w:p>
    <w:p>
      <w:pPr>
        <w:keepNext w:val="0"/>
        <w:keepLines w:val="0"/>
        <w:widowControl/>
        <w:numPr>
          <w:ilvl w:val="0"/>
          <w:numId w:val="5"/>
        </w:numPr>
        <w:suppressLineNumbers w:val="0"/>
        <w:spacing w:before="0" w:beforeAutospacing="0" w:after="0" w:afterAutospacing="0" w:line="500" w:lineRule="exact"/>
        <w:ind w:left="900" w:right="0" w:hanging="42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开挖泥土未及时清运或回填，暴露在外，被晒干，遇风扬尘；</w:t>
      </w:r>
    </w:p>
    <w:p>
      <w:pPr>
        <w:keepNext w:val="0"/>
        <w:keepLines w:val="0"/>
        <w:widowControl/>
        <w:numPr>
          <w:ilvl w:val="0"/>
          <w:numId w:val="5"/>
        </w:numPr>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水泥、沙子、碎石等在装卸过程中产生粉尘，运输过程中沿途散落在路面上，在风力作用下尘土再次扬起。运输车辆在行驶中也能带起粉尘。</w:t>
      </w:r>
    </w:p>
    <w:p>
      <w:pPr>
        <w:keepNext w:val="0"/>
        <w:keepLines w:val="0"/>
        <w:widowControl/>
        <w:suppressLineNumbers w:val="0"/>
        <w:tabs>
          <w:tab w:val="left" w:pos="1506"/>
        </w:tabs>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由上面分析可以看出，施工期对周围大气环境的影响主要是地面扬尘污染，污染因子为</w:t>
      </w:r>
      <w:r>
        <w:rPr>
          <w:rFonts w:hint="default" w:ascii="Times New Roman" w:hAnsi="Times New Roman" w:eastAsia="宋体" w:cs="Times New Roman"/>
          <w:color w:val="000000"/>
          <w:kern w:val="0"/>
          <w:sz w:val="24"/>
          <w:szCs w:val="24"/>
          <w:lang w:val="en-US" w:eastAsia="zh-CN" w:bidi="ar"/>
        </w:rPr>
        <w:t>TSP</w:t>
      </w:r>
      <w:r>
        <w:rPr>
          <w:rFonts w:hint="eastAsia" w:ascii="Times New Roman" w:hAnsi="Times New Roman" w:eastAsia="宋体" w:cs="Times New Roman"/>
          <w:color w:val="000000"/>
          <w:kern w:val="0"/>
          <w:sz w:val="24"/>
          <w:szCs w:val="24"/>
          <w:lang w:val="en-US" w:eastAsia="zh-CN" w:bidi="ar"/>
        </w:rPr>
        <w:t>。这种污染影响是暂时的，可逆的，工程一结束，污染影响也就随之而停止。但由于挖掘地基、挖土和填土操作过程中产生的尘埃排放物，还是会在短期内影响当地的空气质量。粉尘排放量随施工作业的活动水平、特定操作和主导天气而每天变化很大，而且很大一部分是由于在施工现场临时修筑的道路上，设备车辆往来行驶所引起的。</w:t>
      </w:r>
    </w:p>
    <w:p>
      <w:pPr>
        <w:keepNext w:val="0"/>
        <w:keepLines w:val="0"/>
        <w:widowControl/>
        <w:suppressLineNumbers w:val="0"/>
        <w:tabs>
          <w:tab w:val="left" w:pos="1506"/>
        </w:tabs>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总的说来，施工造成的扬尘主要来自以下几个方面：其一是挖掘地基、地下构筑物等过程中产生的地面扬尘；其二是运输车辆与施工用车运行引起的扬尘。</w:t>
      </w:r>
    </w:p>
    <w:p>
      <w:pPr>
        <w:keepNext w:val="0"/>
        <w:keepLines w:val="0"/>
        <w:widowControl/>
        <w:suppressLineNumbers w:val="0"/>
        <w:tabs>
          <w:tab w:val="left" w:pos="1506"/>
        </w:tabs>
        <w:spacing w:before="0" w:beforeAutospacing="0" w:after="0" w:afterAutospacing="0" w:line="500" w:lineRule="exact"/>
        <w:ind w:left="0" w:right="-6" w:firstLine="482" w:firstLineChars="200"/>
        <w:jc w:val="both"/>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）施工噪声</w:t>
      </w:r>
    </w:p>
    <w:p>
      <w:pPr>
        <w:keepNext w:val="0"/>
        <w:keepLines w:val="0"/>
        <w:widowControl/>
        <w:suppressLineNumbers w:val="0"/>
        <w:tabs>
          <w:tab w:val="left" w:pos="1506"/>
        </w:tabs>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施工期的噪声主要来源于包括施工现场的各类机械设备和物料运输的交通噪声。施工场地噪声主要是施工机械设备噪声，物料装卸碰撞噪声及施工人员的活动噪声，各施工阶段的主要噪声源及其声级见表</w:t>
      </w:r>
      <w:r>
        <w:rPr>
          <w:rFonts w:hint="default" w:ascii="Times New Roman" w:hAnsi="Times New Roman" w:eastAsia="宋体" w:cs="Times New Roman"/>
          <w:color w:val="000000"/>
          <w:kern w:val="0"/>
          <w:sz w:val="24"/>
          <w:szCs w:val="24"/>
          <w:lang w:val="en-US" w:eastAsia="zh-CN" w:bidi="ar"/>
        </w:rPr>
        <w:t>3.2-1</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1506"/>
        </w:tabs>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声级最大的是电钻，可达</w:t>
      </w:r>
      <w:r>
        <w:rPr>
          <w:rFonts w:hint="default" w:ascii="Times New Roman" w:hAnsi="Times New Roman" w:eastAsia="宋体" w:cs="Times New Roman"/>
          <w:color w:val="000000"/>
          <w:kern w:val="0"/>
          <w:sz w:val="24"/>
          <w:szCs w:val="24"/>
          <w:lang w:val="en-US" w:eastAsia="zh-CN" w:bidi="ar"/>
        </w:rPr>
        <w:t>115dB(A)</w:t>
      </w:r>
      <w:r>
        <w:rPr>
          <w:rFonts w:hint="eastAsia" w:ascii="Times New Roman" w:hAnsi="Times New Roman" w:eastAsia="宋体" w:cs="Times New Roman"/>
          <w:color w:val="000000"/>
          <w:kern w:val="0"/>
          <w:sz w:val="24"/>
          <w:szCs w:val="24"/>
          <w:lang w:val="en-US" w:eastAsia="zh-CN" w:bidi="ar"/>
        </w:rPr>
        <w:t>。物料运输的交通噪声主要是各施工阶段物料运输车辆引起的噪声，各阶段的车辆类型及声级见表</w:t>
      </w:r>
      <w:r>
        <w:rPr>
          <w:rFonts w:hint="default" w:ascii="Times New Roman" w:hAnsi="Times New Roman" w:eastAsia="宋体" w:cs="Times New Roman"/>
          <w:color w:val="000000"/>
          <w:kern w:val="0"/>
          <w:sz w:val="24"/>
          <w:szCs w:val="24"/>
          <w:lang w:val="en-US" w:eastAsia="zh-CN" w:bidi="ar"/>
        </w:rPr>
        <w:t>3.2-2</w:t>
      </w:r>
      <w:r>
        <w:rPr>
          <w:rFonts w:hint="eastAsia" w:ascii="Times New Roman" w:hAnsi="Times New Roman" w:eastAsia="宋体" w:cs="Times New Roman"/>
          <w:color w:val="000000"/>
          <w:kern w:val="0"/>
          <w:sz w:val="24"/>
          <w:szCs w:val="24"/>
          <w:lang w:val="en-US" w:eastAsia="zh-CN" w:bidi="ar"/>
        </w:rPr>
        <w:t>。</w:t>
      </w:r>
    </w:p>
    <w:p>
      <w:pPr>
        <w:pStyle w:val="56"/>
        <w:widowControl/>
        <w:snapToGrid/>
        <w:rPr>
          <w:color w:val="000000"/>
          <w:lang w:val="en-US"/>
        </w:rPr>
      </w:pPr>
      <w:r>
        <w:rPr>
          <w:rFonts w:hint="default" w:ascii="Times New Roman" w:hAnsi="Times New Roman" w:eastAsia="黑体" w:cs="Times New Roman"/>
          <w:color w:val="000000"/>
          <w:kern w:val="2"/>
          <w:sz w:val="24"/>
          <w:szCs w:val="20"/>
          <w:lang w:val="en-US" w:eastAsia="zh-CN" w:bidi="ar"/>
        </w:rPr>
        <w:br w:type="page"/>
      </w:r>
      <w:r>
        <w:rPr>
          <w:rFonts w:hint="eastAsia" w:ascii="Times New Roman" w:hAnsi="Times New Roman" w:eastAsia="黑体" w:cs="黑体"/>
          <w:color w:val="000000"/>
          <w:lang w:eastAsia="zh-CN"/>
        </w:rPr>
        <w:t>表</w:t>
      </w:r>
      <w:r>
        <w:rPr>
          <w:color w:val="000000"/>
          <w:lang w:val="en-US"/>
        </w:rPr>
        <w:t xml:space="preserve">3.2-1  </w:t>
      </w:r>
      <w:r>
        <w:rPr>
          <w:rFonts w:hint="eastAsia" w:ascii="Times New Roman" w:hAnsi="Times New Roman" w:eastAsia="黑体" w:cs="黑体"/>
          <w:color w:val="000000"/>
          <w:lang w:eastAsia="zh-CN"/>
        </w:rPr>
        <w:t>各施工阶段主要噪声源状况</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1441"/>
        <w:gridCol w:w="1445"/>
        <w:gridCol w:w="1445"/>
        <w:gridCol w:w="1306"/>
        <w:gridCol w:w="1559"/>
        <w:gridCol w:w="1483"/>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97" w:hRule="atLeast"/>
          <w:tblHeader/>
        </w:trPr>
        <w:tc>
          <w:tcPr>
            <w:tcW w:w="1441" w:type="dxa"/>
            <w:tcBorders>
              <w:top w:val="thinThickSmallGap" w:color="auto" w:sz="12" w:space="0"/>
              <w:left w:val="nil"/>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施工阶段</w:t>
            </w:r>
          </w:p>
        </w:tc>
        <w:tc>
          <w:tcPr>
            <w:tcW w:w="1445" w:type="dxa"/>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声源</w:t>
            </w:r>
          </w:p>
        </w:tc>
        <w:tc>
          <w:tcPr>
            <w:tcW w:w="1445" w:type="dxa"/>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声级</w:t>
            </w:r>
            <w:r>
              <w:rPr>
                <w:rFonts w:hint="default" w:ascii="Times New Roman" w:hAnsi="Times New Roman" w:cs="Times New Roman"/>
                <w:color w:val="000000"/>
                <w:sz w:val="21"/>
                <w:szCs w:val="24"/>
                <w:bdr w:val="none" w:color="auto" w:sz="0" w:space="0"/>
                <w:lang w:val="en-US"/>
              </w:rPr>
              <w:t>[dB</w:t>
            </w:r>
            <w:r>
              <w:rPr>
                <w:rFonts w:ascii="Times New Roman" w:hAnsi="Times New Roman" w:cs="Times New Roman"/>
                <w:color w:val="000000"/>
                <w:sz w:val="21"/>
                <w:szCs w:val="24"/>
                <w:bdr w:val="none" w:color="auto" w:sz="0" w:space="0"/>
              </w:rPr>
              <w:t>（</w:t>
            </w:r>
            <w:r>
              <w:rPr>
                <w:rFonts w:hint="default" w:ascii="Times New Roman" w:hAnsi="Times New Roman" w:cs="Times New Roman"/>
                <w:color w:val="000000"/>
                <w:sz w:val="21"/>
                <w:szCs w:val="24"/>
                <w:bdr w:val="none" w:color="auto" w:sz="0" w:space="0"/>
                <w:lang w:val="en-US"/>
              </w:rPr>
              <w:t>A</w:t>
            </w:r>
            <w:r>
              <w:rPr>
                <w:rFonts w:ascii="Times New Roman" w:hAnsi="Times New Roman" w:cs="Times New Roman"/>
                <w:color w:val="000000"/>
                <w:sz w:val="21"/>
                <w:szCs w:val="24"/>
                <w:bdr w:val="none" w:color="auto" w:sz="0" w:space="0"/>
              </w:rPr>
              <w:t>）</w:t>
            </w:r>
            <w:r>
              <w:rPr>
                <w:rFonts w:hint="default" w:ascii="Times New Roman" w:hAnsi="Times New Roman" w:cs="Times New Roman"/>
                <w:color w:val="000000"/>
                <w:sz w:val="21"/>
                <w:szCs w:val="24"/>
                <w:bdr w:val="none" w:color="auto" w:sz="0" w:space="0"/>
                <w:lang w:val="en-US"/>
              </w:rPr>
              <w:t>]</w:t>
            </w:r>
          </w:p>
        </w:tc>
        <w:tc>
          <w:tcPr>
            <w:tcW w:w="1306" w:type="dxa"/>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施工阶段</w:t>
            </w:r>
          </w:p>
        </w:tc>
        <w:tc>
          <w:tcPr>
            <w:tcW w:w="1559" w:type="dxa"/>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声源</w:t>
            </w:r>
          </w:p>
        </w:tc>
        <w:tc>
          <w:tcPr>
            <w:tcW w:w="1483" w:type="dxa"/>
            <w:tcBorders>
              <w:top w:val="thinThickSmallGap" w:color="auto" w:sz="12" w:space="0"/>
              <w:left w:val="single" w:color="auto" w:sz="6" w:space="0"/>
              <w:bottom w:val="single" w:color="auto" w:sz="6" w:space="0"/>
              <w:right w:val="nil"/>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声级</w:t>
            </w:r>
            <w:r>
              <w:rPr>
                <w:rFonts w:hint="default" w:ascii="Times New Roman" w:hAnsi="Times New Roman" w:cs="Times New Roman"/>
                <w:color w:val="000000"/>
                <w:sz w:val="21"/>
                <w:szCs w:val="24"/>
                <w:bdr w:val="none" w:color="auto" w:sz="0" w:space="0"/>
                <w:lang w:val="en-US"/>
              </w:rPr>
              <w:t>[dB</w:t>
            </w:r>
            <w:r>
              <w:rPr>
                <w:rFonts w:ascii="Times New Roman" w:hAnsi="Times New Roman" w:cs="Times New Roman"/>
                <w:color w:val="000000"/>
                <w:sz w:val="21"/>
                <w:szCs w:val="24"/>
                <w:bdr w:val="none" w:color="auto" w:sz="0" w:space="0"/>
              </w:rPr>
              <w:t>（</w:t>
            </w:r>
            <w:r>
              <w:rPr>
                <w:rFonts w:hint="default" w:ascii="Times New Roman" w:hAnsi="Times New Roman" w:cs="Times New Roman"/>
                <w:color w:val="000000"/>
                <w:sz w:val="21"/>
                <w:szCs w:val="24"/>
                <w:bdr w:val="none" w:color="auto" w:sz="0" w:space="0"/>
                <w:lang w:val="en-US"/>
              </w:rPr>
              <w:t>A</w:t>
            </w:r>
            <w:r>
              <w:rPr>
                <w:rFonts w:ascii="Times New Roman" w:hAnsi="Times New Roman" w:cs="Times New Roman"/>
                <w:color w:val="000000"/>
                <w:sz w:val="21"/>
                <w:szCs w:val="24"/>
                <w:bdr w:val="none" w:color="auto" w:sz="0" w:space="0"/>
              </w:rPr>
              <w:t>）</w:t>
            </w:r>
            <w:r>
              <w:rPr>
                <w:rFonts w:hint="default" w:ascii="Times New Roman" w:hAnsi="Times New Roman" w:cs="Times New Roman"/>
                <w:color w:val="000000"/>
                <w:sz w:val="21"/>
                <w:szCs w:val="24"/>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41"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土石方阶段</w:t>
            </w:r>
          </w:p>
        </w:tc>
        <w:tc>
          <w:tcPr>
            <w:tcW w:w="144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挖土机</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冲击机</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空压机</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打桩机</w:t>
            </w:r>
          </w:p>
        </w:tc>
        <w:tc>
          <w:tcPr>
            <w:tcW w:w="144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78</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96</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95</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75</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85</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95</w:t>
            </w:r>
            <w:r>
              <w:rPr>
                <w:rFonts w:ascii="Times New Roman" w:hAnsi="Times New Roman" w:cs="Times New Roman"/>
                <w:color w:val="000000"/>
                <w:sz w:val="21"/>
                <w:szCs w:val="24"/>
                <w:bdr w:val="none" w:color="auto" w:sz="0" w:space="0"/>
              </w:rPr>
              <w:t>～</w:t>
            </w:r>
            <w:r>
              <w:rPr>
                <w:rFonts w:hint="default" w:ascii="Times New Roman" w:hAnsi="Times New Roman" w:cs="Times New Roman"/>
                <w:color w:val="000000"/>
                <w:sz w:val="21"/>
                <w:szCs w:val="24"/>
                <w:bdr w:val="none" w:color="auto" w:sz="0" w:space="0"/>
                <w:lang w:val="en-US"/>
              </w:rPr>
              <w:t>105</w:t>
            </w:r>
          </w:p>
        </w:tc>
        <w:tc>
          <w:tcPr>
            <w:tcW w:w="1306" w:type="dxa"/>
            <w:vMerge w:val="restar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装修、安装阶段</w:t>
            </w:r>
          </w:p>
        </w:tc>
        <w:tc>
          <w:tcPr>
            <w:tcW w:w="1559" w:type="dxa"/>
            <w:vMerge w:val="restar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电钻</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电锤</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手工钻</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无齿锯</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多功能木工刨</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混凝土搅拌机</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云石机</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角向磨光机</w:t>
            </w:r>
          </w:p>
        </w:tc>
        <w:tc>
          <w:tcPr>
            <w:tcW w:w="1483" w:type="dxa"/>
            <w:vMerge w:val="restar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100</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115</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100</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105</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100</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105</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105</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90</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100</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100</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110</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100</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110</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100</w:t>
            </w:r>
            <w:r>
              <w:rPr>
                <w:rFonts w:ascii="Times New Roman" w:hAnsi="Times New Roman" w:cs="Times New Roman"/>
                <w:color w:val="000000"/>
                <w:sz w:val="21"/>
                <w:szCs w:val="24"/>
                <w:bdr w:val="none" w:color="auto" w:sz="0" w:space="0"/>
              </w:rPr>
              <w:t>～</w:t>
            </w:r>
            <w:r>
              <w:rPr>
                <w:rFonts w:hint="default" w:ascii="Times New Roman" w:hAnsi="Times New Roman" w:cs="Times New Roman"/>
                <w:color w:val="000000"/>
                <w:sz w:val="21"/>
                <w:szCs w:val="24"/>
                <w:bdr w:val="none" w:color="auto" w:sz="0" w:space="0"/>
                <w:lang w:val="en-US"/>
              </w:rPr>
              <w:t>115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41" w:type="dxa"/>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底板与结构阶段</w:t>
            </w:r>
          </w:p>
        </w:tc>
        <w:tc>
          <w:tcPr>
            <w:tcW w:w="1445"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16" w:leftChars="-56" w:right="-97" w:rightChars="-46" w:hanging="102" w:hangingChars="49"/>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混凝土输送泵</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振捣机</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电锯</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电焊机</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空压机</w:t>
            </w:r>
          </w:p>
        </w:tc>
        <w:tc>
          <w:tcPr>
            <w:tcW w:w="1445"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90</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100</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100</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105</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100</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110</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90</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95</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75</w:t>
            </w:r>
            <w:r>
              <w:rPr>
                <w:rFonts w:ascii="Times New Roman" w:hAnsi="Times New Roman" w:cs="Times New Roman"/>
                <w:color w:val="000000"/>
                <w:sz w:val="21"/>
                <w:szCs w:val="24"/>
                <w:bdr w:val="none" w:color="auto" w:sz="0" w:space="0"/>
              </w:rPr>
              <w:t>～</w:t>
            </w:r>
            <w:r>
              <w:rPr>
                <w:rFonts w:hint="default" w:ascii="Times New Roman" w:hAnsi="Times New Roman" w:cs="Times New Roman"/>
                <w:color w:val="000000"/>
                <w:sz w:val="21"/>
                <w:szCs w:val="24"/>
                <w:bdr w:val="none" w:color="auto" w:sz="0" w:space="0"/>
                <w:lang w:val="en-US"/>
              </w:rPr>
              <w:t>85</w:t>
            </w:r>
          </w:p>
        </w:tc>
        <w:tc>
          <w:tcPr>
            <w:tcW w:w="1306" w:type="dxa"/>
            <w:vMerge w:val="continue"/>
            <w:tcBorders>
              <w:top w:val="single" w:color="auto" w:sz="6" w:space="0"/>
              <w:left w:val="single" w:color="auto" w:sz="6" w:space="0"/>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559" w:type="dxa"/>
            <w:vMerge w:val="continue"/>
            <w:tcBorders>
              <w:top w:val="single" w:color="auto" w:sz="6" w:space="0"/>
              <w:left w:val="single" w:color="auto" w:sz="6" w:space="0"/>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483"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bl>
    <w:p>
      <w:pPr>
        <w:pStyle w:val="56"/>
        <w:widowControl/>
        <w:snapToGrid/>
        <w:rPr>
          <w:color w:val="000000"/>
          <w:lang w:val="en-US"/>
        </w:rPr>
      </w:pPr>
      <w:r>
        <w:rPr>
          <w:rFonts w:hint="eastAsia" w:ascii="Times New Roman" w:hAnsi="Times New Roman" w:eastAsia="黑体" w:cs="黑体"/>
          <w:color w:val="000000"/>
          <w:lang w:eastAsia="zh-CN"/>
        </w:rPr>
        <w:t>表</w:t>
      </w:r>
      <w:r>
        <w:rPr>
          <w:color w:val="000000"/>
          <w:lang w:val="en-US"/>
        </w:rPr>
        <w:t xml:space="preserve">3.2-2  </w:t>
      </w:r>
      <w:r>
        <w:rPr>
          <w:rFonts w:hint="eastAsia" w:ascii="Times New Roman" w:hAnsi="Times New Roman" w:eastAsia="黑体" w:cs="黑体"/>
          <w:color w:val="000000"/>
          <w:lang w:eastAsia="zh-CN"/>
        </w:rPr>
        <w:t>各施工阶段交通运输车辆状况</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1790"/>
        <w:gridCol w:w="2874"/>
        <w:gridCol w:w="2256"/>
        <w:gridCol w:w="1752"/>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97" w:hRule="atLeast"/>
        </w:trPr>
        <w:tc>
          <w:tcPr>
            <w:tcW w:w="1790" w:type="dxa"/>
            <w:tcBorders>
              <w:top w:val="thinThickSmallGap" w:color="auto" w:sz="12" w:space="0"/>
              <w:left w:val="nil"/>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施工阶段</w:t>
            </w:r>
          </w:p>
        </w:tc>
        <w:tc>
          <w:tcPr>
            <w:tcW w:w="2874" w:type="dxa"/>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运输内容</w:t>
            </w:r>
          </w:p>
        </w:tc>
        <w:tc>
          <w:tcPr>
            <w:tcW w:w="2256" w:type="dxa"/>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车辆类型</w:t>
            </w:r>
          </w:p>
        </w:tc>
        <w:tc>
          <w:tcPr>
            <w:tcW w:w="1752" w:type="dxa"/>
            <w:tcBorders>
              <w:top w:val="thinThickSmallGap" w:color="auto" w:sz="12" w:space="0"/>
              <w:left w:val="single" w:color="auto" w:sz="6" w:space="0"/>
              <w:bottom w:val="single" w:color="auto" w:sz="6" w:space="0"/>
              <w:right w:val="nil"/>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声级</w:t>
            </w:r>
            <w:r>
              <w:rPr>
                <w:rFonts w:hint="default" w:ascii="Times New Roman" w:hAnsi="Times New Roman" w:cs="Times New Roman"/>
                <w:color w:val="000000"/>
                <w:sz w:val="21"/>
                <w:szCs w:val="24"/>
                <w:bdr w:val="none" w:color="auto" w:sz="0" w:space="0"/>
                <w:lang w:val="en-US"/>
              </w:rPr>
              <w:t>[dB(A)]</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790" w:type="dxa"/>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土方阶段</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底板及结构阶段</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装修阶段</w:t>
            </w:r>
          </w:p>
        </w:tc>
        <w:tc>
          <w:tcPr>
            <w:tcW w:w="2874"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土方外运</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商品混凝土</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各种装修材料及必要的设备</w:t>
            </w:r>
          </w:p>
        </w:tc>
        <w:tc>
          <w:tcPr>
            <w:tcW w:w="2256"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大型载重车</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混凝土罐车、载重车</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轻型载重卡车</w:t>
            </w:r>
          </w:p>
        </w:tc>
        <w:tc>
          <w:tcPr>
            <w:tcW w:w="1752" w:type="dxa"/>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90</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80</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85</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75</w:t>
            </w:r>
          </w:p>
        </w:tc>
      </w:tr>
    </w:tbl>
    <w:p>
      <w:pPr>
        <w:keepNext w:val="0"/>
        <w:keepLines w:val="0"/>
        <w:widowControl/>
        <w:suppressLineNumbers w:val="0"/>
        <w:spacing w:before="0" w:beforeAutospacing="0" w:after="0" w:afterAutospacing="0" w:line="500" w:lineRule="exact"/>
        <w:ind w:left="0" w:right="0" w:firstLine="482" w:firstLineChars="200"/>
        <w:jc w:val="both"/>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）施工废水</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施工废水主要是施工人员所排放的生活污水和地基开挖产生的含泥沙废水。其中，施工废水经简易沉淀池沉淀后可回用于场地洒水抑尘；施工人员的生活污水排入化粪池处理，定期清掏。</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在施工期间，建设单位应加强监管，避免施工人员随意排放生活污水污染周边环境。</w:t>
      </w:r>
    </w:p>
    <w:p>
      <w:pPr>
        <w:keepNext w:val="0"/>
        <w:keepLines w:val="0"/>
        <w:widowControl/>
        <w:suppressLineNumbers w:val="0"/>
        <w:spacing w:before="0" w:beforeAutospacing="0" w:after="0" w:afterAutospacing="0" w:line="500" w:lineRule="exact"/>
        <w:ind w:left="0" w:right="0" w:firstLine="482" w:firstLineChars="200"/>
        <w:jc w:val="both"/>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4</w:t>
      </w:r>
      <w:r>
        <w:rPr>
          <w:rFonts w:hint="eastAsia" w:ascii="Times New Roman" w:hAnsi="Times New Roman" w:eastAsia="宋体" w:cs="Times New Roman"/>
          <w:b/>
          <w:bCs w:val="0"/>
          <w:color w:val="000000"/>
          <w:kern w:val="0"/>
          <w:sz w:val="24"/>
          <w:szCs w:val="24"/>
          <w:lang w:val="en-US" w:eastAsia="zh-CN" w:bidi="ar"/>
        </w:rPr>
        <w:t>）施工固体废物</w:t>
      </w:r>
    </w:p>
    <w:p>
      <w:pPr>
        <w:keepNext w:val="0"/>
        <w:keepLines w:val="0"/>
        <w:widowControl/>
        <w:suppressLineNumbers w:val="0"/>
        <w:tabs>
          <w:tab w:val="left" w:pos="1506"/>
        </w:tabs>
        <w:spacing w:before="0" w:beforeAutospacing="0" w:after="0" w:afterAutospacing="0" w:line="500" w:lineRule="exact"/>
        <w:ind w:left="0" w:right="0" w:firstLine="480" w:firstLineChars="200"/>
        <w:jc w:val="both"/>
        <w:rPr>
          <w:rFonts w:hint="default" w:ascii="Times New Roman" w:hAnsi="Times New Roman" w:cs="Times New Roman"/>
          <w:color w:val="000000"/>
          <w:szCs w:val="32"/>
          <w:lang w:val="en-US"/>
        </w:rPr>
      </w:pPr>
      <w:r>
        <w:rPr>
          <w:rFonts w:hint="eastAsia" w:ascii="Times New Roman" w:hAnsi="Times New Roman" w:eastAsia="宋体" w:cs="Times New Roman"/>
          <w:color w:val="000000"/>
          <w:kern w:val="0"/>
          <w:sz w:val="24"/>
          <w:szCs w:val="24"/>
          <w:lang w:val="en-US" w:eastAsia="zh-CN" w:bidi="ar"/>
        </w:rPr>
        <w:t>施工期产生的固体废物主要是土建工程中产生的废土石方、废建筑材料和施工人员生活垃圾等。土石方</w:t>
      </w:r>
      <w:r>
        <w:rPr>
          <w:rFonts w:hint="eastAsia" w:ascii="Times New Roman" w:hAnsi="Times New Roman" w:eastAsia="宋体" w:cs="Times New Roman"/>
          <w:color w:val="000000"/>
          <w:kern w:val="0"/>
          <w:sz w:val="24"/>
          <w:szCs w:val="32"/>
          <w:lang w:val="en-US" w:eastAsia="zh-CN" w:bidi="ar"/>
        </w:rPr>
        <w:t>全部用于厂区内的场地平整，不外排；废建筑材料和生活垃圾集中收集后由环卫部门统一处理。</w:t>
      </w:r>
    </w:p>
    <w:p>
      <w:pPr>
        <w:keepNext w:val="0"/>
        <w:keepLines w:val="0"/>
        <w:widowControl/>
        <w:suppressLineNumbers w:val="0"/>
        <w:tabs>
          <w:tab w:val="left" w:pos="1506"/>
        </w:tabs>
        <w:spacing w:before="0" w:beforeAutospacing="0" w:after="0" w:afterAutospacing="0" w:line="500" w:lineRule="exact"/>
        <w:ind w:left="0" w:right="0" w:firstLine="420" w:firstLineChars="200"/>
        <w:jc w:val="both"/>
        <w:rPr>
          <w:rFonts w:hint="default" w:ascii="Times New Roman" w:hAnsi="Times New Roman" w:cs="Times New Roman"/>
          <w:color w:val="000000"/>
          <w:szCs w:val="32"/>
          <w:lang w:val="en-US"/>
        </w:rPr>
      </w:pPr>
    </w:p>
    <w:p>
      <w:pPr>
        <w:keepNext w:val="0"/>
        <w:keepLines w:val="0"/>
        <w:widowControl/>
        <w:suppressLineNumbers w:val="0"/>
        <w:tabs>
          <w:tab w:val="left" w:pos="1506"/>
        </w:tabs>
        <w:spacing w:before="0" w:beforeAutospacing="0" w:after="0" w:afterAutospacing="0" w:line="500" w:lineRule="exact"/>
        <w:ind w:left="0" w:right="0" w:firstLine="420" w:firstLineChars="200"/>
        <w:jc w:val="both"/>
        <w:rPr>
          <w:rFonts w:hint="default" w:ascii="Times New Roman" w:hAnsi="Times New Roman" w:cs="Times New Roman"/>
          <w:color w:val="000000"/>
          <w:szCs w:val="32"/>
          <w:lang w:val="en-US"/>
        </w:rPr>
      </w:pPr>
    </w:p>
    <w:p>
      <w:pPr>
        <w:keepNext w:val="0"/>
        <w:keepLines w:val="0"/>
        <w:widowControl/>
        <w:suppressLineNumbers w:val="0"/>
        <w:tabs>
          <w:tab w:val="left" w:pos="1506"/>
        </w:tabs>
        <w:spacing w:before="0" w:beforeAutospacing="0" w:after="0" w:afterAutospacing="0" w:line="500" w:lineRule="exact"/>
        <w:ind w:left="0" w:right="0" w:firstLine="420" w:firstLineChars="200"/>
        <w:jc w:val="both"/>
        <w:rPr>
          <w:rFonts w:hint="default" w:ascii="Times New Roman" w:hAnsi="Times New Roman" w:cs="Times New Roman"/>
          <w:color w:val="000000"/>
          <w:szCs w:val="32"/>
          <w:lang w:val="en-US"/>
        </w:rPr>
      </w:pPr>
    </w:p>
    <w:p>
      <w:pPr>
        <w:keepNext w:val="0"/>
        <w:keepLines w:val="0"/>
        <w:widowControl/>
        <w:suppressLineNumbers w:val="0"/>
        <w:tabs>
          <w:tab w:val="left" w:pos="1506"/>
        </w:tabs>
        <w:spacing w:before="0" w:beforeAutospacing="0" w:after="0" w:afterAutospacing="0" w:line="500" w:lineRule="exact"/>
        <w:ind w:left="0" w:right="0" w:firstLine="420" w:firstLineChars="200"/>
        <w:jc w:val="both"/>
        <w:rPr>
          <w:rFonts w:hint="default" w:ascii="Times New Roman" w:hAnsi="Times New Roman" w:cs="Times New Roman"/>
          <w:color w:val="000000"/>
          <w:szCs w:val="32"/>
          <w:lang w:val="en-US"/>
        </w:rPr>
      </w:pPr>
    </w:p>
    <w:p>
      <w:pPr>
        <w:keepNext w:val="0"/>
        <w:keepLines w:val="0"/>
        <w:widowControl/>
        <w:suppressLineNumbers w:val="0"/>
        <w:tabs>
          <w:tab w:val="left" w:pos="1506"/>
        </w:tabs>
        <w:spacing w:before="0" w:beforeAutospacing="0" w:after="0" w:afterAutospacing="0" w:line="500" w:lineRule="exact"/>
        <w:ind w:left="0" w:right="0" w:firstLine="420" w:firstLineChars="200"/>
        <w:jc w:val="both"/>
        <w:rPr>
          <w:rFonts w:hint="default" w:ascii="Times New Roman" w:hAnsi="Times New Roman" w:cs="Times New Roman"/>
          <w:color w:val="000000"/>
          <w:lang w:val="en-US"/>
        </w:rPr>
      </w:pPr>
    </w:p>
    <w:p>
      <w:pPr>
        <w:pStyle w:val="9"/>
        <w:widowControl/>
        <w:rPr>
          <w:rFonts w:hint="default" w:ascii="Times New Roman" w:hAnsi="Times New Roman" w:cs="Times New Roman"/>
          <w:color w:val="000000"/>
          <w:lang w:eastAsia="zh-CN"/>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.2 </w:t>
      </w:r>
      <w:r>
        <w:rPr>
          <w:rFonts w:ascii="Times New Roman" w:hAnsi="Times New Roman" w:cs="Times New Roman"/>
          <w:color w:val="000000"/>
          <w:lang w:eastAsia="zh-CN"/>
        </w:rPr>
        <w:t>运营期影响因素分析</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.1 </w:t>
      </w:r>
      <w:r>
        <w:rPr>
          <w:rFonts w:ascii="Times New Roman" w:hAnsi="Times New Roman" w:cs="Times New Roman"/>
          <w:color w:val="000000"/>
          <w:lang w:eastAsia="zh-CN"/>
        </w:rPr>
        <w:t>浮选工艺流程</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1</w:t>
      </w:r>
      <w:r>
        <w:rPr>
          <w:rFonts w:hint="eastAsia" w:ascii="Times New Roman" w:hAnsi="Times New Roman" w:eastAsia="宋体" w:cs="Times New Roman"/>
          <w:bCs/>
          <w:color w:val="000000"/>
          <w:kern w:val="0"/>
          <w:sz w:val="24"/>
          <w:szCs w:val="24"/>
          <w:lang w:val="en-US" w:eastAsia="zh-CN" w:bidi="ar"/>
        </w:rPr>
        <w:t>）原料</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本项目所用原料外购自海城华宇矿产品有限公司，为华宇集团自有矿山采出的四级低品位菱镁矿石，来料粒度小于</w:t>
      </w:r>
      <w:r>
        <w:rPr>
          <w:rFonts w:hint="default" w:ascii="Times New Roman" w:hAnsi="Times New Roman" w:eastAsia="宋体" w:cs="Times New Roman"/>
          <w:bCs/>
          <w:color w:val="000000"/>
          <w:kern w:val="0"/>
          <w:sz w:val="24"/>
          <w:szCs w:val="24"/>
          <w:lang w:val="en-US" w:eastAsia="zh-CN" w:bidi="ar"/>
        </w:rPr>
        <w:t>500mm</w:t>
      </w:r>
      <w:r>
        <w:rPr>
          <w:rFonts w:hint="eastAsia" w:ascii="Times New Roman" w:hAnsi="Times New Roman" w:eastAsia="宋体" w:cs="Times New Roman"/>
          <w:bCs/>
          <w:color w:val="000000"/>
          <w:kern w:val="0"/>
          <w:sz w:val="24"/>
          <w:szCs w:val="24"/>
          <w:lang w:val="en-US" w:eastAsia="zh-CN" w:bidi="ar"/>
        </w:rPr>
        <w:t>，采用</w:t>
      </w:r>
      <w:r>
        <w:rPr>
          <w:rFonts w:hint="eastAsia" w:ascii="宋体" w:hAnsi="宋体" w:eastAsia="宋体" w:cs="宋体"/>
          <w:color w:val="000000"/>
          <w:kern w:val="0"/>
          <w:sz w:val="24"/>
          <w:szCs w:val="24"/>
          <w:lang w:val="en-US" w:eastAsia="zh-CN" w:bidi="ar"/>
        </w:rPr>
        <w:t>自卸汽车</w:t>
      </w:r>
      <w:r>
        <w:rPr>
          <w:rFonts w:hint="eastAsia" w:ascii="Times New Roman" w:hAnsi="Times New Roman" w:eastAsia="宋体" w:cs="Times New Roman"/>
          <w:bCs/>
          <w:color w:val="000000"/>
          <w:kern w:val="0"/>
          <w:sz w:val="24"/>
          <w:szCs w:val="24"/>
          <w:lang w:val="en-US" w:eastAsia="zh-CN" w:bidi="ar"/>
        </w:rPr>
        <w:t>将矿石运到本项目新建封闭原料库</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G</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内堆存，并定期洒水抑尘。</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2</w:t>
      </w:r>
      <w:r>
        <w:rPr>
          <w:rFonts w:hint="eastAsia" w:ascii="Times New Roman" w:hAnsi="Times New Roman" w:eastAsia="宋体" w:cs="Times New Roman"/>
          <w:bCs/>
          <w:color w:val="000000"/>
          <w:kern w:val="0"/>
          <w:sz w:val="24"/>
          <w:szCs w:val="24"/>
          <w:lang w:val="en-US" w:eastAsia="zh-CN" w:bidi="ar"/>
        </w:rPr>
        <w:t>）破碎及筛分</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500mm</w:t>
      </w:r>
      <w:r>
        <w:rPr>
          <w:rFonts w:hint="eastAsia" w:ascii="Times New Roman" w:hAnsi="Times New Roman" w:eastAsia="宋体" w:cs="Times New Roman"/>
          <w:bCs/>
          <w:color w:val="000000"/>
          <w:kern w:val="0"/>
          <w:sz w:val="24"/>
          <w:szCs w:val="24"/>
          <w:lang w:val="en-US" w:eastAsia="zh-CN" w:bidi="ar"/>
        </w:rPr>
        <w:t>的</w:t>
      </w:r>
      <w:r>
        <w:rPr>
          <w:rFonts w:hint="eastAsia" w:ascii="Times New Roman" w:hAnsi="Times New Roman" w:eastAsia="宋体" w:cs="Times New Roman"/>
          <w:color w:val="000000"/>
          <w:kern w:val="0"/>
          <w:sz w:val="24"/>
          <w:szCs w:val="24"/>
          <w:lang w:val="en-US" w:eastAsia="zh-CN" w:bidi="ar"/>
        </w:rPr>
        <w:t>菱镁矿石洒水加湿后利用高差，经铲车卸入颚式破碎机</w:t>
      </w: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N</w:t>
      </w:r>
      <w:r>
        <w:rPr>
          <w:rFonts w:hint="default" w:ascii="Times New Roman" w:hAnsi="Times New Roman" w:eastAsia="宋体" w:cs="Times New Roman"/>
          <w:bCs/>
          <w:color w:val="000000"/>
          <w:kern w:val="0"/>
          <w:sz w:val="24"/>
          <w:szCs w:val="24"/>
          <w:vertAlign w:val="subscript"/>
          <w:lang w:val="en-US" w:eastAsia="zh-CN" w:bidi="ar"/>
        </w:rPr>
        <w:t>1</w:t>
      </w:r>
      <w:r>
        <w:rPr>
          <w:rFonts w:hint="eastAsia"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进行粗破（粗破后粒度约</w:t>
      </w:r>
      <w:r>
        <w:rPr>
          <w:rFonts w:hint="default" w:ascii="Times New Roman" w:hAnsi="Times New Roman" w:eastAsia="宋体" w:cs="Times New Roman"/>
          <w:color w:val="000000"/>
          <w:kern w:val="0"/>
          <w:sz w:val="24"/>
          <w:szCs w:val="24"/>
          <w:lang w:val="en-US" w:eastAsia="zh-CN" w:bidi="ar"/>
        </w:rPr>
        <w:t>20~</w:t>
      </w:r>
      <w:r>
        <w:rPr>
          <w:rFonts w:hint="default" w:ascii="Times New Roman" w:hAnsi="Times New Roman" w:eastAsia="宋体" w:cs="Times New Roman"/>
          <w:bCs/>
          <w:color w:val="000000"/>
          <w:kern w:val="0"/>
          <w:sz w:val="24"/>
          <w:szCs w:val="24"/>
          <w:lang w:val="en-US" w:eastAsia="zh-CN" w:bidi="ar"/>
        </w:rPr>
        <w:t>100mm</w:t>
      </w:r>
      <w:r>
        <w:rPr>
          <w:rFonts w:hint="eastAsia" w:ascii="Times New Roman" w:hAnsi="Times New Roman" w:eastAsia="宋体" w:cs="Times New Roman"/>
          <w:color w:val="000000"/>
          <w:kern w:val="0"/>
          <w:sz w:val="24"/>
          <w:szCs w:val="24"/>
          <w:lang w:val="en-US" w:eastAsia="zh-CN" w:bidi="ar"/>
        </w:rPr>
        <w:t>），出料通过皮带输送机送入中破颚式破碎机</w:t>
      </w: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N</w:t>
      </w:r>
      <w:r>
        <w:rPr>
          <w:rFonts w:hint="default" w:ascii="Times New Roman" w:hAnsi="Times New Roman" w:eastAsia="宋体" w:cs="Times New Roman"/>
          <w:bCs/>
          <w:color w:val="000000"/>
          <w:kern w:val="0"/>
          <w:sz w:val="24"/>
          <w:szCs w:val="24"/>
          <w:vertAlign w:val="subscript"/>
          <w:lang w:val="en-US" w:eastAsia="zh-CN" w:bidi="ar"/>
        </w:rPr>
        <w:t>2</w:t>
      </w:r>
      <w:r>
        <w:rPr>
          <w:rFonts w:hint="eastAsia" w:ascii="Times New Roman" w:hAnsi="Times New Roman" w:eastAsia="宋体" w:cs="Times New Roman"/>
          <w:bCs/>
          <w:color w:val="000000"/>
          <w:kern w:val="0"/>
          <w:sz w:val="24"/>
          <w:szCs w:val="24"/>
          <w:lang w:val="en-US" w:eastAsia="zh-CN" w:bidi="ar"/>
        </w:rPr>
        <w:t>）进行</w:t>
      </w:r>
      <w:r>
        <w:rPr>
          <w:rFonts w:hint="eastAsia" w:ascii="Times New Roman" w:hAnsi="Times New Roman" w:eastAsia="宋体" w:cs="Times New Roman"/>
          <w:color w:val="000000"/>
          <w:kern w:val="0"/>
          <w:sz w:val="24"/>
          <w:szCs w:val="24"/>
          <w:lang w:val="en-US" w:eastAsia="zh-CN" w:bidi="ar"/>
        </w:rPr>
        <w:t>破碎（中破后粒度</w:t>
      </w:r>
      <w:r>
        <w:rPr>
          <w:rFonts w:hint="default" w:ascii="Times New Roman" w:hAnsi="Times New Roman" w:eastAsia="宋体" w:cs="Times New Roman"/>
          <w:color w:val="000000"/>
          <w:kern w:val="0"/>
          <w:sz w:val="24"/>
          <w:szCs w:val="24"/>
          <w:lang w:val="en-US" w:eastAsia="zh-CN" w:bidi="ar"/>
        </w:rPr>
        <w:t>~10mm</w:t>
      </w:r>
      <w:r>
        <w:rPr>
          <w:rFonts w:hint="eastAsia" w:ascii="Times New Roman" w:hAnsi="Times New Roman" w:eastAsia="宋体" w:cs="Times New Roman"/>
          <w:color w:val="000000"/>
          <w:kern w:val="0"/>
          <w:sz w:val="24"/>
          <w:szCs w:val="24"/>
          <w:lang w:val="en-US" w:eastAsia="zh-CN" w:bidi="ar"/>
        </w:rPr>
        <w:t>），中破后</w:t>
      </w:r>
      <w:r>
        <w:rPr>
          <w:rFonts w:hint="eastAsia" w:ascii="宋体" w:hAnsi="宋体" w:eastAsia="宋体" w:cs="宋体"/>
          <w:color w:val="000000"/>
          <w:kern w:val="0"/>
          <w:sz w:val="24"/>
          <w:szCs w:val="24"/>
          <w:lang w:val="en-US" w:eastAsia="zh-CN" w:bidi="ar"/>
        </w:rPr>
        <w:t>经</w:t>
      </w:r>
      <w:r>
        <w:rPr>
          <w:rFonts w:hint="eastAsia" w:ascii="Times New Roman" w:hAnsi="Times New Roman" w:eastAsia="宋体" w:cs="Times New Roman"/>
          <w:color w:val="000000"/>
          <w:kern w:val="0"/>
          <w:sz w:val="24"/>
          <w:szCs w:val="24"/>
          <w:lang w:val="en-US" w:eastAsia="zh-CN" w:bidi="ar"/>
        </w:rPr>
        <w:t>皮带</w:t>
      </w:r>
      <w:r>
        <w:rPr>
          <w:rFonts w:hint="eastAsia" w:ascii="宋体" w:hAnsi="宋体" w:eastAsia="宋体" w:cs="宋体"/>
          <w:color w:val="000000"/>
          <w:kern w:val="0"/>
          <w:sz w:val="24"/>
          <w:szCs w:val="24"/>
          <w:lang w:val="en-US" w:eastAsia="zh-CN" w:bidi="ar"/>
        </w:rPr>
        <w:t>输送至封闭振动筛</w:t>
      </w: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S</w:t>
      </w:r>
      <w:r>
        <w:rPr>
          <w:rFonts w:hint="default" w:ascii="Times New Roman" w:hAnsi="Times New Roman" w:eastAsia="宋体" w:cs="Times New Roman"/>
          <w:color w:val="000000"/>
          <w:kern w:val="0"/>
          <w:sz w:val="24"/>
          <w:szCs w:val="24"/>
          <w:vertAlign w:val="subscript"/>
          <w:lang w:val="en-US" w:eastAsia="zh-CN" w:bidi="ar"/>
        </w:rPr>
        <w:t>1</w:t>
      </w: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N</w:t>
      </w:r>
      <w:r>
        <w:rPr>
          <w:rFonts w:hint="default" w:ascii="Times New Roman" w:hAnsi="Times New Roman" w:eastAsia="宋体" w:cs="Times New Roman"/>
          <w:bCs/>
          <w:color w:val="000000"/>
          <w:kern w:val="0"/>
          <w:sz w:val="24"/>
          <w:szCs w:val="24"/>
          <w:vertAlign w:val="subscript"/>
          <w:lang w:val="en-US" w:eastAsia="zh-CN" w:bidi="ar"/>
        </w:rPr>
        <w:t>3</w:t>
      </w:r>
      <w:r>
        <w:rPr>
          <w:rFonts w:hint="eastAsia" w:ascii="Times New Roman" w:hAnsi="Times New Roman" w:eastAsia="宋体" w:cs="Times New Roman"/>
          <w:bCs/>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筛分</w:t>
      </w:r>
      <w:r>
        <w:rPr>
          <w:rFonts w:hint="eastAsia" w:ascii="Times New Roman" w:hAnsi="Times New Roman" w:eastAsia="宋体" w:cs="Times New Roman"/>
          <w:color w:val="000000"/>
          <w:kern w:val="0"/>
          <w:sz w:val="24"/>
          <w:szCs w:val="24"/>
          <w:lang w:val="en-US" w:eastAsia="zh-CN" w:bidi="ar"/>
        </w:rPr>
        <w:t>，筛上料（粒度＞</w:t>
      </w:r>
      <w:r>
        <w:rPr>
          <w:rFonts w:hint="default" w:ascii="Times New Roman" w:hAnsi="Times New Roman" w:eastAsia="宋体" w:cs="Times New Roman"/>
          <w:color w:val="000000"/>
          <w:kern w:val="0"/>
          <w:sz w:val="24"/>
          <w:szCs w:val="24"/>
          <w:lang w:val="en-US" w:eastAsia="zh-CN" w:bidi="ar"/>
        </w:rPr>
        <w:t>10mm</w:t>
      </w:r>
      <w:r>
        <w:rPr>
          <w:rFonts w:hint="eastAsia" w:ascii="Times New Roman" w:hAnsi="Times New Roman" w:eastAsia="宋体" w:cs="Times New Roman"/>
          <w:color w:val="000000"/>
          <w:kern w:val="0"/>
          <w:sz w:val="24"/>
          <w:szCs w:val="24"/>
          <w:lang w:val="en-US" w:eastAsia="zh-CN" w:bidi="ar"/>
        </w:rPr>
        <w:t>）去圆锥破碎机</w:t>
      </w: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N</w:t>
      </w:r>
      <w:r>
        <w:rPr>
          <w:rFonts w:hint="default" w:ascii="Times New Roman" w:hAnsi="Times New Roman" w:eastAsia="宋体" w:cs="Times New Roman"/>
          <w:bCs/>
          <w:color w:val="000000"/>
          <w:kern w:val="0"/>
          <w:sz w:val="24"/>
          <w:szCs w:val="24"/>
          <w:vertAlign w:val="subscript"/>
          <w:lang w:val="en-US" w:eastAsia="zh-CN" w:bidi="ar"/>
        </w:rPr>
        <w:t>4</w:t>
      </w:r>
      <w:r>
        <w:rPr>
          <w:rFonts w:hint="eastAsia"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细破，细破后返回</w:t>
      </w:r>
      <w:r>
        <w:rPr>
          <w:rFonts w:hint="eastAsia" w:ascii="宋体" w:hAnsi="宋体" w:eastAsia="宋体" w:cs="宋体"/>
          <w:color w:val="000000"/>
          <w:kern w:val="0"/>
          <w:sz w:val="24"/>
          <w:szCs w:val="24"/>
          <w:lang w:val="en-US" w:eastAsia="zh-CN" w:bidi="ar"/>
        </w:rPr>
        <w:t>振动筛</w:t>
      </w:r>
      <w:r>
        <w:rPr>
          <w:rFonts w:hint="eastAsia" w:ascii="Times New Roman" w:hAnsi="Times New Roman" w:eastAsia="宋体" w:cs="Times New Roman"/>
          <w:color w:val="000000"/>
          <w:kern w:val="0"/>
          <w:sz w:val="24"/>
          <w:szCs w:val="24"/>
          <w:lang w:val="en-US" w:eastAsia="zh-CN" w:bidi="ar"/>
        </w:rPr>
        <w:t>形成闭路；筛下料（粒度＜</w:t>
      </w:r>
      <w:r>
        <w:rPr>
          <w:rFonts w:hint="default" w:ascii="Times New Roman" w:hAnsi="Times New Roman" w:eastAsia="宋体" w:cs="Times New Roman"/>
          <w:color w:val="000000"/>
          <w:kern w:val="0"/>
          <w:sz w:val="24"/>
          <w:szCs w:val="24"/>
          <w:lang w:val="en-US" w:eastAsia="zh-CN" w:bidi="ar"/>
        </w:rPr>
        <w:t>10mm</w:t>
      </w:r>
      <w:r>
        <w:rPr>
          <w:rFonts w:hint="eastAsia" w:ascii="Times New Roman" w:hAnsi="Times New Roman" w:eastAsia="宋体" w:cs="Times New Roman"/>
          <w:color w:val="000000"/>
          <w:kern w:val="0"/>
          <w:sz w:val="24"/>
          <w:szCs w:val="24"/>
          <w:lang w:val="en-US" w:eastAsia="zh-CN" w:bidi="ar"/>
        </w:rPr>
        <w:t>）通过皮带输送机送入</w:t>
      </w:r>
      <w:r>
        <w:rPr>
          <w:rFonts w:hint="eastAsia" w:ascii="Times New Roman" w:hAnsi="Times New Roman" w:eastAsia="宋体" w:cs="Times New Roman"/>
          <w:bCs/>
          <w:color w:val="000000"/>
          <w:kern w:val="0"/>
          <w:sz w:val="24"/>
          <w:szCs w:val="24"/>
          <w:lang w:val="en-US" w:eastAsia="zh-CN" w:bidi="ar"/>
        </w:rPr>
        <w:t>湿式球磨机的供料仓</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破碎、筛分过程会产生粉尘，</w:t>
      </w:r>
      <w:r>
        <w:rPr>
          <w:rFonts w:hint="eastAsia" w:ascii="宋体" w:hAnsi="宋体" w:eastAsia="宋体" w:cs="宋体"/>
          <w:color w:val="000000"/>
          <w:kern w:val="0"/>
          <w:sz w:val="24"/>
          <w:szCs w:val="24"/>
          <w:lang w:val="en-US" w:eastAsia="zh-CN" w:bidi="ar"/>
        </w:rPr>
        <w:t>本项目在粗破和中破颚式破碎机的给料点及下料点、圆锥破碎机的给料点及下料点分别设置集气罩</w:t>
      </w:r>
      <w:r>
        <w:rPr>
          <w:rFonts w:hint="eastAsia" w:ascii="Times New Roman" w:hAnsi="Times New Roman" w:eastAsia="宋体" w:cs="Times New Roman"/>
          <w:color w:val="000000"/>
          <w:kern w:val="0"/>
          <w:sz w:val="24"/>
          <w:szCs w:val="24"/>
          <w:lang w:val="en-US" w:eastAsia="zh-CN" w:bidi="ar"/>
        </w:rPr>
        <w:t>收集破碎粉尘</w:t>
      </w: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G</w:t>
      </w:r>
      <w:r>
        <w:rPr>
          <w:rFonts w:hint="default" w:ascii="Times New Roman" w:hAnsi="Times New Roman" w:eastAsia="宋体" w:cs="Times New Roman"/>
          <w:bCs/>
          <w:color w:val="000000"/>
          <w:kern w:val="0"/>
          <w:sz w:val="24"/>
          <w:szCs w:val="24"/>
          <w:vertAlign w:val="subscript"/>
          <w:lang w:val="en-US" w:eastAsia="zh-CN" w:bidi="ar"/>
        </w:rPr>
        <w:t>1</w:t>
      </w:r>
      <w:r>
        <w:rPr>
          <w:rFonts w:hint="eastAsia"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，捕集率约</w:t>
      </w:r>
      <w:r>
        <w:rPr>
          <w:rFonts w:hint="default" w:ascii="Times New Roman" w:hAnsi="Times New Roman" w:eastAsia="宋体" w:cs="Times New Roman"/>
          <w:color w:val="000000"/>
          <w:kern w:val="0"/>
          <w:sz w:val="24"/>
          <w:szCs w:val="24"/>
          <w:lang w:val="en-US" w:eastAsia="zh-CN" w:bidi="ar"/>
        </w:rPr>
        <w:t>95%</w:t>
      </w:r>
      <w:r>
        <w:rPr>
          <w:rFonts w:hint="eastAsia"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振动筛分机为封闭式，进出料口设置集气罩，可有效控制筛分粉尘</w:t>
      </w: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G</w:t>
      </w:r>
      <w:r>
        <w:rPr>
          <w:rFonts w:hint="default" w:ascii="Times New Roman" w:hAnsi="Times New Roman" w:eastAsia="宋体" w:cs="Times New Roman"/>
          <w:bCs/>
          <w:color w:val="000000"/>
          <w:kern w:val="0"/>
          <w:sz w:val="24"/>
          <w:szCs w:val="24"/>
          <w:vertAlign w:val="subscript"/>
          <w:lang w:val="en-US" w:eastAsia="zh-CN" w:bidi="ar"/>
        </w:rPr>
        <w:t>2</w:t>
      </w:r>
      <w:r>
        <w:rPr>
          <w:rFonts w:hint="eastAsia" w:ascii="Times New Roman" w:hAnsi="Times New Roman" w:eastAsia="宋体" w:cs="Times New Roman"/>
          <w:bCs/>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不外逸，收集的粉尘均通过引风机（</w:t>
      </w:r>
      <w:r>
        <w:rPr>
          <w:rFonts w:hint="default" w:ascii="Times New Roman" w:hAnsi="Times New Roman" w:eastAsia="宋体" w:cs="Times New Roman"/>
          <w:bCs/>
          <w:color w:val="000000"/>
          <w:kern w:val="0"/>
          <w:sz w:val="24"/>
          <w:szCs w:val="24"/>
          <w:lang w:val="en-US" w:eastAsia="zh-CN" w:bidi="ar"/>
        </w:rPr>
        <w:t>N</w:t>
      </w:r>
      <w:r>
        <w:rPr>
          <w:rFonts w:hint="default" w:ascii="Times New Roman" w:hAnsi="Times New Roman" w:eastAsia="宋体" w:cs="Times New Roman"/>
          <w:bCs/>
          <w:color w:val="000000"/>
          <w:kern w:val="0"/>
          <w:sz w:val="24"/>
          <w:szCs w:val="24"/>
          <w:vertAlign w:val="subscript"/>
          <w:lang w:val="en-US" w:eastAsia="zh-CN" w:bidi="ar"/>
        </w:rPr>
        <w:t>5</w:t>
      </w:r>
      <w:r>
        <w:rPr>
          <w:rFonts w:hint="eastAsia" w:ascii="宋体" w:hAnsi="宋体" w:eastAsia="宋体" w:cs="宋体"/>
          <w:color w:val="000000"/>
          <w:kern w:val="0"/>
          <w:sz w:val="24"/>
          <w:szCs w:val="24"/>
          <w:lang w:val="en-US" w:eastAsia="zh-CN" w:bidi="ar"/>
        </w:rPr>
        <w:t>）抽至布袋除尘</w:t>
      </w:r>
      <w:r>
        <w:rPr>
          <w:rFonts w:hint="eastAsia" w:ascii="Times New Roman" w:hAnsi="Times New Roman" w:eastAsia="宋体" w:cs="Times New Roman"/>
          <w:color w:val="000000"/>
          <w:kern w:val="0"/>
          <w:sz w:val="24"/>
          <w:szCs w:val="24"/>
          <w:lang w:val="en-US" w:eastAsia="zh-CN" w:bidi="ar"/>
        </w:rPr>
        <w:t>器（</w:t>
      </w:r>
      <w:r>
        <w:rPr>
          <w:rFonts w:hint="default" w:ascii="Times New Roman" w:hAnsi="Times New Roman" w:eastAsia="宋体" w:cs="Times New Roman"/>
          <w:color w:val="000000"/>
          <w:kern w:val="0"/>
          <w:sz w:val="24"/>
          <w:szCs w:val="24"/>
          <w:lang w:val="en-US" w:eastAsia="zh-CN" w:bidi="ar"/>
        </w:rPr>
        <w:t>S</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Times New Roman" w:hAnsi="Times New Roman" w:eastAsia="宋体" w:cs="Times New Roman"/>
          <w:color w:val="000000"/>
          <w:kern w:val="0"/>
          <w:sz w:val="24"/>
          <w:szCs w:val="24"/>
          <w:lang w:val="en-US" w:eastAsia="zh-CN" w:bidi="ar"/>
        </w:rPr>
        <w:t>）净化后</w:t>
      </w: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G</w:t>
      </w:r>
      <w:r>
        <w:rPr>
          <w:rFonts w:hint="default" w:ascii="Times New Roman" w:hAnsi="Times New Roman" w:eastAsia="宋体" w:cs="Times New Roman"/>
          <w:bCs/>
          <w:color w:val="000000"/>
          <w:kern w:val="0"/>
          <w:sz w:val="24"/>
          <w:szCs w:val="24"/>
          <w:vertAlign w:val="subscript"/>
          <w:lang w:val="en-US" w:eastAsia="zh-CN" w:bidi="ar"/>
        </w:rPr>
        <w:t>1</w:t>
      </w:r>
      <w:r>
        <w:rPr>
          <w:rFonts w:hint="eastAsia"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由</w:t>
      </w:r>
      <w:r>
        <w:rPr>
          <w:rFonts w:hint="default" w:ascii="Times New Roman" w:hAnsi="Times New Roman" w:eastAsia="宋体" w:cs="Times New Roman"/>
          <w:color w:val="000000"/>
          <w:kern w:val="0"/>
          <w:sz w:val="24"/>
          <w:szCs w:val="24"/>
          <w:lang w:val="en-US" w:eastAsia="zh-CN" w:bidi="ar"/>
        </w:rPr>
        <w:t>15m</w:t>
      </w:r>
      <w:r>
        <w:rPr>
          <w:rFonts w:hint="eastAsia" w:ascii="Times New Roman" w:hAnsi="Times New Roman" w:eastAsia="宋体" w:cs="Times New Roman"/>
          <w:color w:val="000000"/>
          <w:kern w:val="0"/>
          <w:sz w:val="24"/>
          <w:szCs w:val="24"/>
          <w:lang w:val="en-US" w:eastAsia="zh-CN" w:bidi="ar"/>
        </w:rPr>
        <w:t>高排气筒排放。未捕集的废气（</w:t>
      </w:r>
      <w:r>
        <w:rPr>
          <w:rFonts w:hint="default" w:ascii="Times New Roman" w:hAnsi="Times New Roman" w:eastAsia="宋体" w:cs="Times New Roman"/>
          <w:color w:val="000000"/>
          <w:kern w:val="0"/>
          <w:sz w:val="24"/>
          <w:szCs w:val="24"/>
          <w:lang w:val="en-US" w:eastAsia="zh-CN" w:bidi="ar"/>
        </w:rPr>
        <w:t>G</w:t>
      </w:r>
      <w:r>
        <w:rPr>
          <w:rFonts w:hint="default" w:ascii="Times New Roman" w:hAnsi="Times New Roman" w:eastAsia="宋体" w:cs="Times New Roman"/>
          <w:color w:val="000000"/>
          <w:kern w:val="0"/>
          <w:sz w:val="24"/>
          <w:szCs w:val="24"/>
          <w:vertAlign w:val="subscript"/>
          <w:lang w:val="en-US" w:eastAsia="zh-CN" w:bidi="ar"/>
        </w:rPr>
        <w:t>1</w:t>
      </w:r>
      <w:r>
        <w:rPr>
          <w:rFonts w:hint="eastAsia" w:ascii="Times New Roman" w:hAnsi="Times New Roman" w:eastAsia="宋体" w:cs="Times New Roman"/>
          <w:color w:val="000000"/>
          <w:kern w:val="0"/>
          <w:sz w:val="24"/>
          <w:szCs w:val="24"/>
          <w:lang w:val="en-US" w:eastAsia="zh-CN" w:bidi="ar"/>
        </w:rPr>
        <w:t>’）经封闭厂房遮挡后无组织排放。</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）湿式球磨</w:t>
      </w:r>
    </w:p>
    <w:p>
      <w:pPr>
        <w:keepNext w:val="0"/>
        <w:keepLines w:val="0"/>
        <w:widowControl/>
        <w:suppressLineNumbers w:val="0"/>
        <w:spacing w:before="0" w:beforeAutospacing="0" w:after="0" w:afterAutospacing="0"/>
        <w:ind w:left="0" w:right="0" w:firstLine="480" w:firstLineChars="200"/>
        <w:jc w:val="both"/>
        <w:rPr>
          <w:color w:val="000000"/>
          <w:lang w:val="en-US"/>
        </w:rPr>
      </w:pPr>
      <w:r>
        <w:rPr>
          <w:rFonts w:hint="eastAsia" w:ascii="宋体" w:hAnsi="宋体" w:eastAsia="宋体" w:cs="宋体"/>
          <w:color w:val="000000"/>
          <w:kern w:val="0"/>
          <w:sz w:val="24"/>
          <w:szCs w:val="24"/>
          <w:lang w:val="en-US" w:eastAsia="zh-CN" w:bidi="ar"/>
        </w:rPr>
        <w:t>经筛分的筛下料通过皮带送入设于破碎车间的球磨机供料仓，料仓内的菱镁矿利用破碎车间与磨矿车间的高差直接从出料口经管道给入球磨机。</w:t>
      </w:r>
    </w:p>
    <w:p>
      <w:pPr>
        <w:keepNext w:val="0"/>
        <w:keepLines w:val="0"/>
        <w:widowControl/>
        <w:suppressLineNumbers w:val="0"/>
        <w:spacing w:before="0" w:beforeAutospacing="0" w:after="0" w:afterAutospacing="0"/>
        <w:ind w:left="0" w:right="0" w:firstLine="480" w:firstLineChars="200"/>
        <w:jc w:val="both"/>
        <w:rPr>
          <w:color w:val="000000"/>
          <w:lang w:val="en-US"/>
        </w:rPr>
      </w:pPr>
      <w:r>
        <w:rPr>
          <w:rFonts w:hint="eastAsia" w:ascii="Times New Roman" w:hAnsi="Times New Roman" w:eastAsia="宋体" w:cs="Times New Roman"/>
          <w:bCs/>
          <w:color w:val="000000"/>
          <w:kern w:val="0"/>
          <w:sz w:val="24"/>
          <w:szCs w:val="24"/>
          <w:lang w:val="en-US" w:eastAsia="zh-CN" w:bidi="ar"/>
        </w:rPr>
        <w:t>本项目采用湿式磨矿工艺（含水率</w:t>
      </w:r>
      <w:r>
        <w:rPr>
          <w:rFonts w:hint="default" w:ascii="Times New Roman" w:hAnsi="Times New Roman" w:eastAsia="宋体" w:cs="Times New Roman"/>
          <w:bCs/>
          <w:color w:val="000000"/>
          <w:kern w:val="0"/>
          <w:sz w:val="24"/>
          <w:szCs w:val="24"/>
          <w:lang w:val="en-US" w:eastAsia="zh-CN" w:bidi="ar"/>
        </w:rPr>
        <w:t>65%</w:t>
      </w:r>
      <w:r>
        <w:rPr>
          <w:rFonts w:hint="eastAsia" w:ascii="Times New Roman" w:hAnsi="Times New Roman" w:eastAsia="宋体" w:cs="Times New Roman"/>
          <w:bCs/>
          <w:color w:val="000000"/>
          <w:kern w:val="0"/>
          <w:sz w:val="24"/>
          <w:szCs w:val="24"/>
          <w:lang w:val="en-US" w:eastAsia="zh-CN" w:bidi="ar"/>
        </w:rPr>
        <w:t>），磨矿工序基本无粉尘产生。矿石经球磨机（</w:t>
      </w:r>
      <w:r>
        <w:rPr>
          <w:rFonts w:hint="default" w:ascii="Times New Roman" w:hAnsi="Times New Roman" w:eastAsia="宋体" w:cs="Times New Roman"/>
          <w:color w:val="000000"/>
          <w:kern w:val="0"/>
          <w:sz w:val="24"/>
          <w:szCs w:val="24"/>
          <w:lang w:val="en-US" w:eastAsia="zh-CN" w:bidi="ar"/>
        </w:rPr>
        <w:t>S</w:t>
      </w:r>
      <w:r>
        <w:rPr>
          <w:rFonts w:hint="default" w:ascii="Times New Roman" w:hAnsi="Times New Roman" w:eastAsia="宋体" w:cs="Times New Roman"/>
          <w:color w:val="000000"/>
          <w:kern w:val="0"/>
          <w:sz w:val="24"/>
          <w:szCs w:val="24"/>
          <w:vertAlign w:val="subscript"/>
          <w:lang w:val="en-US" w:eastAsia="zh-CN" w:bidi="ar"/>
        </w:rPr>
        <w:t>3</w:t>
      </w: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N</w:t>
      </w:r>
      <w:r>
        <w:rPr>
          <w:rFonts w:hint="default" w:ascii="Times New Roman" w:hAnsi="Times New Roman" w:eastAsia="宋体" w:cs="Times New Roman"/>
          <w:bCs/>
          <w:color w:val="000000"/>
          <w:kern w:val="0"/>
          <w:sz w:val="24"/>
          <w:szCs w:val="24"/>
          <w:vertAlign w:val="subscript"/>
          <w:lang w:val="en-US" w:eastAsia="zh-CN" w:bidi="ar"/>
        </w:rPr>
        <w:t>6</w:t>
      </w:r>
      <w:r>
        <w:rPr>
          <w:rFonts w:hint="eastAsia" w:ascii="Times New Roman" w:hAnsi="Times New Roman" w:eastAsia="宋体" w:cs="Times New Roman"/>
          <w:bCs/>
          <w:color w:val="000000"/>
          <w:kern w:val="0"/>
          <w:sz w:val="24"/>
          <w:szCs w:val="24"/>
          <w:lang w:val="en-US" w:eastAsia="zh-CN" w:bidi="ar"/>
        </w:rPr>
        <w:t>）研磨至～</w:t>
      </w:r>
      <w:r>
        <w:rPr>
          <w:rFonts w:hint="default" w:ascii="Times New Roman" w:hAnsi="Times New Roman" w:eastAsia="宋体" w:cs="Times New Roman"/>
          <w:bCs/>
          <w:color w:val="000000"/>
          <w:kern w:val="0"/>
          <w:sz w:val="24"/>
          <w:szCs w:val="24"/>
          <w:lang w:val="en-US" w:eastAsia="zh-CN" w:bidi="ar"/>
        </w:rPr>
        <w:t>200</w:t>
      </w:r>
      <w:r>
        <w:rPr>
          <w:rFonts w:hint="eastAsia" w:ascii="Times New Roman" w:hAnsi="Times New Roman" w:eastAsia="宋体" w:cs="Times New Roman"/>
          <w:bCs/>
          <w:color w:val="000000"/>
          <w:kern w:val="0"/>
          <w:sz w:val="24"/>
          <w:szCs w:val="24"/>
          <w:lang w:val="en-US" w:eastAsia="zh-CN" w:bidi="ar"/>
        </w:rPr>
        <w:t>目，球磨后的矿浆利用高差输送至旋流器进行分级，旋流器溢流的约</w:t>
      </w:r>
      <w:r>
        <w:rPr>
          <w:rFonts w:hint="default" w:ascii="Times New Roman" w:hAnsi="Times New Roman" w:eastAsia="宋体" w:cs="Times New Roman"/>
          <w:bCs/>
          <w:color w:val="000000"/>
          <w:kern w:val="0"/>
          <w:sz w:val="24"/>
          <w:szCs w:val="24"/>
          <w:lang w:val="en-US" w:eastAsia="zh-CN" w:bidi="ar"/>
        </w:rPr>
        <w:t>70%</w:t>
      </w:r>
      <w:r>
        <w:rPr>
          <w:rFonts w:hint="eastAsia" w:ascii="Times New Roman" w:hAnsi="Times New Roman" w:eastAsia="宋体" w:cs="Times New Roman"/>
          <w:bCs/>
          <w:color w:val="000000"/>
          <w:kern w:val="0"/>
          <w:sz w:val="24"/>
          <w:szCs w:val="24"/>
          <w:lang w:val="en-US" w:eastAsia="zh-CN" w:bidi="ar"/>
        </w:rPr>
        <w:t>矿粉粒度小于</w:t>
      </w:r>
      <w:r>
        <w:rPr>
          <w:rFonts w:hint="default" w:ascii="Times New Roman" w:hAnsi="Times New Roman" w:eastAsia="宋体" w:cs="Times New Roman"/>
          <w:bCs/>
          <w:color w:val="000000"/>
          <w:kern w:val="0"/>
          <w:sz w:val="24"/>
          <w:szCs w:val="24"/>
          <w:lang w:val="en-US" w:eastAsia="zh-CN" w:bidi="ar"/>
        </w:rPr>
        <w:t>200</w:t>
      </w:r>
      <w:r>
        <w:rPr>
          <w:rFonts w:hint="eastAsia" w:ascii="Times New Roman" w:hAnsi="Times New Roman" w:eastAsia="宋体" w:cs="Times New Roman"/>
          <w:bCs/>
          <w:color w:val="000000"/>
          <w:kern w:val="0"/>
          <w:sz w:val="24"/>
          <w:szCs w:val="24"/>
          <w:lang w:val="en-US" w:eastAsia="zh-CN" w:bidi="ar"/>
        </w:rPr>
        <w:t>目的矿浆进入反浮选矿浆搅拌槽</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N</w:t>
      </w:r>
      <w:r>
        <w:rPr>
          <w:rFonts w:hint="default" w:ascii="Times New Roman" w:hAnsi="Times New Roman" w:eastAsia="宋体" w:cs="Times New Roman"/>
          <w:color w:val="000000"/>
          <w:kern w:val="0"/>
          <w:sz w:val="24"/>
          <w:szCs w:val="24"/>
          <w:vertAlign w:val="subscript"/>
          <w:lang w:val="en-US" w:eastAsia="zh-CN" w:bidi="ar"/>
        </w:rPr>
        <w:t>7</w:t>
      </w:r>
      <w:r>
        <w:rPr>
          <w:rFonts w:hint="eastAsia"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，旋流器底部大于</w:t>
      </w:r>
      <w:r>
        <w:rPr>
          <w:rFonts w:hint="default" w:ascii="Times New Roman" w:hAnsi="Times New Roman" w:eastAsia="宋体" w:cs="Times New Roman"/>
          <w:bCs/>
          <w:color w:val="000000"/>
          <w:kern w:val="0"/>
          <w:sz w:val="24"/>
          <w:szCs w:val="24"/>
          <w:lang w:val="en-US" w:eastAsia="zh-CN" w:bidi="ar"/>
        </w:rPr>
        <w:t>200</w:t>
      </w:r>
      <w:r>
        <w:rPr>
          <w:rFonts w:hint="eastAsia" w:ascii="Times New Roman" w:hAnsi="Times New Roman" w:eastAsia="宋体" w:cs="Times New Roman"/>
          <w:bCs/>
          <w:color w:val="000000"/>
          <w:kern w:val="0"/>
          <w:sz w:val="24"/>
          <w:szCs w:val="24"/>
          <w:lang w:val="en-US" w:eastAsia="zh-CN" w:bidi="ar"/>
        </w:rPr>
        <w:t>目的矿浆</w:t>
      </w:r>
      <w:r>
        <w:rPr>
          <w:rFonts w:hint="eastAsia" w:ascii="宋体" w:hAnsi="宋体" w:eastAsia="宋体" w:cs="宋体"/>
          <w:color w:val="000000"/>
          <w:kern w:val="0"/>
          <w:sz w:val="24"/>
          <w:szCs w:val="24"/>
          <w:lang w:val="en-US" w:eastAsia="zh-CN" w:bidi="ar"/>
        </w:rPr>
        <w:t>由入旋流器排渣口带到球磨机皮带入口，重新进入球磨机再细磨，形成闭路磨矿，即粒度不合格的矿石回到球磨机内反复研磨。</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bCs/>
          <w:color w:val="000000"/>
          <w:lang w:val="en-US"/>
        </w:rPr>
      </w:pPr>
      <w:r>
        <w:rPr>
          <w:rFonts w:hint="eastAsia" w:ascii="宋体" w:hAnsi="宋体" w:eastAsia="宋体" w:cs="宋体"/>
          <w:color w:val="000000"/>
          <w:kern w:val="0"/>
          <w:sz w:val="24"/>
          <w:szCs w:val="24"/>
          <w:lang w:val="en-US" w:eastAsia="zh-CN" w:bidi="ar"/>
        </w:rPr>
        <w:t>本项目在球磨供料仓仓顶设置集气罩，</w:t>
      </w:r>
      <w:r>
        <w:rPr>
          <w:rFonts w:hint="eastAsia" w:ascii="Times New Roman" w:hAnsi="Times New Roman" w:eastAsia="宋体" w:cs="Times New Roman"/>
          <w:color w:val="000000"/>
          <w:kern w:val="0"/>
          <w:sz w:val="24"/>
          <w:szCs w:val="24"/>
          <w:lang w:val="en-US" w:eastAsia="zh-CN" w:bidi="ar"/>
        </w:rPr>
        <w:t>将受料粉尘</w:t>
      </w: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G</w:t>
      </w:r>
      <w:r>
        <w:rPr>
          <w:rFonts w:hint="default" w:ascii="Times New Roman" w:hAnsi="Times New Roman" w:eastAsia="宋体" w:cs="Times New Roman"/>
          <w:bCs/>
          <w:color w:val="000000"/>
          <w:kern w:val="0"/>
          <w:sz w:val="24"/>
          <w:szCs w:val="24"/>
          <w:vertAlign w:val="subscript"/>
          <w:lang w:val="en-US" w:eastAsia="zh-CN" w:bidi="ar"/>
        </w:rPr>
        <w:t>3</w:t>
      </w:r>
      <w:r>
        <w:rPr>
          <w:rFonts w:hint="eastAsia"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收集（捕集率约</w:t>
      </w:r>
      <w:r>
        <w:rPr>
          <w:rFonts w:hint="default" w:ascii="Times New Roman" w:hAnsi="Times New Roman" w:eastAsia="宋体" w:cs="Times New Roman"/>
          <w:color w:val="000000"/>
          <w:kern w:val="0"/>
          <w:sz w:val="24"/>
          <w:szCs w:val="24"/>
          <w:lang w:val="en-US" w:eastAsia="zh-CN" w:bidi="ar"/>
        </w:rPr>
        <w:t>95%</w:t>
      </w:r>
      <w:r>
        <w:rPr>
          <w:rFonts w:hint="eastAsia"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后并入破碎筛分布袋除尘</w:t>
      </w:r>
      <w:r>
        <w:rPr>
          <w:rFonts w:hint="eastAsia" w:ascii="Times New Roman" w:hAnsi="Times New Roman" w:eastAsia="宋体" w:cs="Times New Roman"/>
          <w:color w:val="000000"/>
          <w:kern w:val="0"/>
          <w:sz w:val="24"/>
          <w:szCs w:val="24"/>
          <w:lang w:val="en-US" w:eastAsia="zh-CN" w:bidi="ar"/>
        </w:rPr>
        <w:t>器净化</w:t>
      </w:r>
      <w:r>
        <w:rPr>
          <w:rFonts w:hint="eastAsia" w:ascii="Times New Roman" w:hAnsi="Times New Roman" w:eastAsia="宋体" w:cs="Times New Roman"/>
          <w:bCs/>
          <w:color w:val="000000"/>
          <w:kern w:val="0"/>
          <w:sz w:val="24"/>
          <w:szCs w:val="24"/>
          <w:lang w:val="en-US" w:eastAsia="zh-CN" w:bidi="ar"/>
        </w:rPr>
        <w:t>，统一</w:t>
      </w:r>
      <w:r>
        <w:rPr>
          <w:rFonts w:hint="eastAsia" w:ascii="Times New Roman" w:hAnsi="Times New Roman" w:eastAsia="宋体" w:cs="Times New Roman"/>
          <w:color w:val="000000"/>
          <w:kern w:val="0"/>
          <w:sz w:val="24"/>
          <w:szCs w:val="24"/>
          <w:lang w:val="en-US" w:eastAsia="zh-CN" w:bidi="ar"/>
        </w:rPr>
        <w:t>由</w:t>
      </w:r>
      <w:r>
        <w:rPr>
          <w:rFonts w:hint="default" w:ascii="Times New Roman" w:hAnsi="Times New Roman" w:eastAsia="宋体" w:cs="Times New Roman"/>
          <w:color w:val="000000"/>
          <w:kern w:val="0"/>
          <w:sz w:val="24"/>
          <w:szCs w:val="24"/>
          <w:lang w:val="en-US" w:eastAsia="zh-CN" w:bidi="ar"/>
        </w:rPr>
        <w:t>15m</w:t>
      </w:r>
      <w:r>
        <w:rPr>
          <w:rFonts w:hint="eastAsia" w:ascii="Times New Roman" w:hAnsi="Times New Roman" w:eastAsia="宋体" w:cs="Times New Roman"/>
          <w:color w:val="000000"/>
          <w:kern w:val="0"/>
          <w:sz w:val="24"/>
          <w:szCs w:val="24"/>
          <w:lang w:val="en-US" w:eastAsia="zh-CN" w:bidi="ar"/>
        </w:rPr>
        <w:t>高排气筒排放。</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4</w:t>
      </w:r>
      <w:r>
        <w:rPr>
          <w:rFonts w:hint="eastAsia" w:ascii="Times New Roman" w:hAnsi="Times New Roman" w:eastAsia="宋体" w:cs="Times New Roman"/>
          <w:bCs/>
          <w:color w:val="000000"/>
          <w:kern w:val="0"/>
          <w:sz w:val="24"/>
          <w:szCs w:val="24"/>
          <w:lang w:val="en-US" w:eastAsia="zh-CN" w:bidi="ar"/>
        </w:rPr>
        <w:t>）浮选</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spacing w:val="2"/>
          <w:lang w:val="en-US"/>
        </w:rPr>
      </w:pPr>
      <w:r>
        <w:rPr>
          <w:rFonts w:hint="eastAsia" w:ascii="Times New Roman" w:hAnsi="Times New Roman" w:eastAsia="宋体" w:cs="Times New Roman"/>
          <w:color w:val="000000"/>
          <w:kern w:val="0"/>
          <w:sz w:val="24"/>
          <w:szCs w:val="24"/>
          <w:lang w:val="en-US" w:eastAsia="zh-CN" w:bidi="ar"/>
        </w:rPr>
        <w:t>本项目采用反浮选工艺，</w:t>
      </w:r>
      <w:r>
        <w:rPr>
          <w:rFonts w:hint="eastAsia" w:ascii="Times New Roman" w:hAnsi="Times New Roman" w:eastAsia="宋体" w:cs="Times New Roman"/>
          <w:color w:val="000000"/>
          <w:spacing w:val="4"/>
          <w:kern w:val="0"/>
          <w:sz w:val="24"/>
          <w:szCs w:val="24"/>
          <w:lang w:val="en-US" w:eastAsia="zh-CN" w:bidi="ar"/>
        </w:rPr>
        <w:t>去除菱镁矿石里的</w:t>
      </w:r>
      <w:r>
        <w:rPr>
          <w:rFonts w:hint="default" w:ascii="Times New Roman" w:hAnsi="Times New Roman" w:eastAsia="宋体" w:cs="Times New Roman"/>
          <w:color w:val="000000"/>
          <w:spacing w:val="-1"/>
          <w:kern w:val="0"/>
          <w:sz w:val="24"/>
          <w:szCs w:val="24"/>
          <w:lang w:val="en-US" w:eastAsia="zh-CN" w:bidi="ar"/>
        </w:rPr>
        <w:t>SiO</w:t>
      </w:r>
      <w:r>
        <w:rPr>
          <w:rFonts w:hint="default" w:ascii="Times New Roman" w:hAnsi="Times New Roman" w:eastAsia="宋体" w:cs="Times New Roman"/>
          <w:color w:val="000000"/>
          <w:spacing w:val="-1"/>
          <w:kern w:val="0"/>
          <w:sz w:val="24"/>
          <w:szCs w:val="24"/>
          <w:vertAlign w:val="subscript"/>
          <w:lang w:val="en-US" w:eastAsia="zh-CN" w:bidi="ar"/>
        </w:rPr>
        <w:t>2</w:t>
      </w:r>
      <w:r>
        <w:rPr>
          <w:rFonts w:hint="eastAsia" w:ascii="Times New Roman" w:hAnsi="Times New Roman" w:eastAsia="宋体" w:cs="Times New Roman"/>
          <w:color w:val="000000"/>
          <w:spacing w:val="-1"/>
          <w:kern w:val="0"/>
          <w:sz w:val="24"/>
          <w:szCs w:val="24"/>
          <w:lang w:val="en-US" w:eastAsia="zh-CN" w:bidi="ar"/>
        </w:rPr>
        <w:t>和</w:t>
      </w:r>
      <w:r>
        <w:rPr>
          <w:rFonts w:hint="default" w:ascii="Times New Roman" w:hAnsi="Times New Roman" w:eastAsia="宋体" w:cs="Times New Roman"/>
          <w:color w:val="000000"/>
          <w:spacing w:val="-1"/>
          <w:kern w:val="0"/>
          <w:sz w:val="24"/>
          <w:szCs w:val="24"/>
          <w:lang w:val="en-US" w:eastAsia="zh-CN" w:bidi="ar"/>
        </w:rPr>
        <w:t>Al</w:t>
      </w:r>
      <w:r>
        <w:rPr>
          <w:rFonts w:hint="default" w:ascii="Times New Roman" w:hAnsi="Times New Roman" w:eastAsia="宋体" w:cs="Times New Roman"/>
          <w:color w:val="000000"/>
          <w:spacing w:val="-1"/>
          <w:kern w:val="0"/>
          <w:sz w:val="24"/>
          <w:szCs w:val="24"/>
          <w:vertAlign w:val="subscript"/>
          <w:lang w:val="en-US" w:eastAsia="zh-CN" w:bidi="ar"/>
        </w:rPr>
        <w:t>2</w:t>
      </w:r>
      <w:r>
        <w:rPr>
          <w:rFonts w:hint="default" w:ascii="Times New Roman" w:hAnsi="Times New Roman" w:eastAsia="宋体" w:cs="Times New Roman"/>
          <w:color w:val="000000"/>
          <w:spacing w:val="-1"/>
          <w:kern w:val="0"/>
          <w:sz w:val="24"/>
          <w:szCs w:val="24"/>
          <w:lang w:val="en-US" w:eastAsia="zh-CN" w:bidi="ar"/>
        </w:rPr>
        <w:t>O</w:t>
      </w:r>
      <w:r>
        <w:rPr>
          <w:rFonts w:hint="default" w:ascii="Times New Roman" w:hAnsi="Times New Roman" w:eastAsia="宋体" w:cs="Times New Roman"/>
          <w:color w:val="000000"/>
          <w:spacing w:val="-1"/>
          <w:kern w:val="0"/>
          <w:sz w:val="24"/>
          <w:szCs w:val="24"/>
          <w:vertAlign w:val="subscript"/>
          <w:lang w:val="en-US" w:eastAsia="zh-CN" w:bidi="ar"/>
        </w:rPr>
        <w:t>3</w:t>
      </w:r>
      <w:r>
        <w:rPr>
          <w:rFonts w:hint="eastAsia" w:ascii="Times New Roman" w:hAnsi="Times New Roman" w:eastAsia="宋体" w:cs="Times New Roman"/>
          <w:color w:val="000000"/>
          <w:spacing w:val="-1"/>
          <w:kern w:val="0"/>
          <w:sz w:val="24"/>
          <w:szCs w:val="24"/>
          <w:lang w:val="en-US" w:eastAsia="zh-CN" w:bidi="ar"/>
        </w:rPr>
        <w:t>（矿浆上层泡沫</w:t>
      </w:r>
      <w:r>
        <w:rPr>
          <w:rFonts w:hint="eastAsia" w:ascii="Times New Roman" w:hAnsi="Times New Roman" w:eastAsia="宋体" w:cs="Times New Roman"/>
          <w:color w:val="000000"/>
          <w:spacing w:val="-32"/>
          <w:kern w:val="0"/>
          <w:sz w:val="24"/>
          <w:szCs w:val="24"/>
          <w:lang w:val="en-US" w:eastAsia="zh-CN" w:bidi="ar"/>
        </w:rPr>
        <w:t>含</w:t>
      </w:r>
      <w:r>
        <w:rPr>
          <w:rFonts w:hint="default" w:ascii="Times New Roman" w:hAnsi="Times New Roman" w:eastAsia="Times New Roman" w:cs="Times New Roman"/>
          <w:color w:val="000000"/>
          <w:kern w:val="0"/>
          <w:sz w:val="24"/>
          <w:szCs w:val="24"/>
          <w:lang w:val="en-US" w:eastAsia="zh-CN" w:bidi="ar"/>
        </w:rPr>
        <w:t>SiO</w:t>
      </w:r>
      <w:r>
        <w:rPr>
          <w:rFonts w:hint="default" w:ascii="Times New Roman" w:hAnsi="Times New Roman" w:eastAsia="Times New Roman" w:cs="Times New Roman"/>
          <w:color w:val="000000"/>
          <w:kern w:val="0"/>
          <w:position w:val="-2"/>
          <w:sz w:val="16"/>
          <w:szCs w:val="24"/>
          <w:lang w:val="en-US" w:eastAsia="zh-CN" w:bidi="ar"/>
        </w:rPr>
        <w:t>2</w:t>
      </w:r>
      <w:r>
        <w:rPr>
          <w:rFonts w:hint="eastAsia" w:ascii="Times New Roman" w:hAnsi="Times New Roman" w:eastAsia="宋体" w:cs="Times New Roman"/>
          <w:color w:val="000000"/>
          <w:spacing w:val="-3"/>
          <w:kern w:val="0"/>
          <w:sz w:val="24"/>
          <w:szCs w:val="24"/>
          <w:lang w:val="en-US" w:eastAsia="zh-CN" w:bidi="ar"/>
        </w:rPr>
        <w:t>、</w:t>
      </w:r>
      <w:r>
        <w:rPr>
          <w:rFonts w:hint="default" w:ascii="Times New Roman" w:hAnsi="Times New Roman" w:eastAsia="Times New Roman" w:cs="Times New Roman"/>
          <w:color w:val="000000"/>
          <w:kern w:val="0"/>
          <w:sz w:val="24"/>
          <w:szCs w:val="24"/>
          <w:lang w:val="en-US" w:eastAsia="zh-CN" w:bidi="ar"/>
        </w:rPr>
        <w:t>Al</w:t>
      </w:r>
      <w:r>
        <w:rPr>
          <w:rFonts w:hint="default" w:ascii="Times New Roman" w:hAnsi="Times New Roman" w:eastAsia="Times New Roman" w:cs="Times New Roman"/>
          <w:color w:val="000000"/>
          <w:kern w:val="0"/>
          <w:position w:val="-2"/>
          <w:sz w:val="16"/>
          <w:szCs w:val="24"/>
          <w:lang w:val="en-US" w:eastAsia="zh-CN" w:bidi="ar"/>
        </w:rPr>
        <w:t>2</w:t>
      </w:r>
      <w:r>
        <w:rPr>
          <w:rFonts w:hint="default" w:ascii="Times New Roman" w:hAnsi="Times New Roman" w:eastAsia="Times New Roman" w:cs="Times New Roman"/>
          <w:color w:val="000000"/>
          <w:kern w:val="0"/>
          <w:sz w:val="24"/>
          <w:szCs w:val="24"/>
          <w:lang w:val="en-US" w:eastAsia="zh-CN" w:bidi="ar"/>
        </w:rPr>
        <w:t>O</w:t>
      </w:r>
      <w:r>
        <w:rPr>
          <w:rFonts w:hint="default" w:ascii="Times New Roman" w:hAnsi="Times New Roman" w:eastAsia="Times New Roman" w:cs="Times New Roman"/>
          <w:color w:val="000000"/>
          <w:kern w:val="0"/>
          <w:position w:val="-2"/>
          <w:sz w:val="16"/>
          <w:szCs w:val="24"/>
          <w:lang w:val="en-US" w:eastAsia="zh-CN" w:bidi="ar"/>
        </w:rPr>
        <w:t>3</w:t>
      </w:r>
      <w:r>
        <w:rPr>
          <w:rFonts w:hint="eastAsia" w:ascii="Times New Roman" w:hAnsi="Times New Roman" w:eastAsia="宋体" w:cs="Times New Roman"/>
          <w:color w:val="000000"/>
          <w:spacing w:val="-1"/>
          <w:kern w:val="0"/>
          <w:sz w:val="24"/>
          <w:szCs w:val="24"/>
          <w:lang w:val="en-US" w:eastAsia="zh-CN" w:bidi="ar"/>
        </w:rPr>
        <w:t>，下层底流含</w:t>
      </w:r>
      <w:r>
        <w:rPr>
          <w:rFonts w:hint="default" w:ascii="Times New Roman" w:hAnsi="Times New Roman" w:eastAsia="Times New Roman" w:cs="Times New Roman"/>
          <w:color w:val="000000"/>
          <w:kern w:val="0"/>
          <w:sz w:val="24"/>
          <w:szCs w:val="24"/>
          <w:lang w:val="en-US" w:eastAsia="zh-CN" w:bidi="ar"/>
        </w:rPr>
        <w:t>MgO</w:t>
      </w:r>
      <w:r>
        <w:rPr>
          <w:rFonts w:hint="eastAsia" w:ascii="Times New Roman" w:hAnsi="Times New Roman" w:eastAsia="宋体" w:cs="Times New Roman"/>
          <w:color w:val="000000"/>
          <w:spacing w:val="-5"/>
          <w:kern w:val="0"/>
          <w:sz w:val="24"/>
          <w:szCs w:val="24"/>
          <w:lang w:val="en-US" w:eastAsia="zh-CN" w:bidi="ar"/>
        </w:rPr>
        <w:t>），</w:t>
      </w:r>
      <w:r>
        <w:rPr>
          <w:rFonts w:hint="eastAsia" w:ascii="宋体" w:hAnsi="宋体" w:eastAsia="宋体" w:cs="宋体"/>
          <w:color w:val="000000"/>
          <w:kern w:val="0"/>
          <w:sz w:val="24"/>
          <w:szCs w:val="24"/>
          <w:lang w:val="en-US" w:eastAsia="zh-CN" w:bidi="ar"/>
        </w:rPr>
        <w:t>从</w:t>
      </w:r>
      <w:r>
        <w:rPr>
          <w:rFonts w:hint="eastAsia" w:ascii="Times New Roman" w:hAnsi="Times New Roman" w:eastAsia="宋体" w:cs="Times New Roman"/>
          <w:color w:val="000000"/>
          <w:kern w:val="0"/>
          <w:sz w:val="24"/>
          <w:szCs w:val="24"/>
          <w:lang w:val="en-US" w:eastAsia="zh-CN" w:bidi="ar"/>
        </w:rPr>
        <w:t>而使菱镁矿石里的</w:t>
      </w:r>
      <w:r>
        <w:rPr>
          <w:rFonts w:hint="default" w:ascii="Times New Roman" w:hAnsi="Times New Roman" w:eastAsia="宋体" w:cs="Times New Roman"/>
          <w:color w:val="000000"/>
          <w:kern w:val="0"/>
          <w:sz w:val="24"/>
          <w:szCs w:val="24"/>
          <w:lang w:val="en-US" w:eastAsia="zh-CN" w:bidi="ar"/>
        </w:rPr>
        <w:t>MgO</w:t>
      </w:r>
      <w:r>
        <w:rPr>
          <w:rFonts w:hint="eastAsia" w:ascii="Times New Roman" w:hAnsi="Times New Roman" w:eastAsia="宋体" w:cs="Times New Roman"/>
          <w:color w:val="000000"/>
          <w:kern w:val="0"/>
          <w:sz w:val="24"/>
          <w:szCs w:val="24"/>
          <w:lang w:val="en-US" w:eastAsia="zh-CN" w:bidi="ar"/>
        </w:rPr>
        <w:t>和其它杂质分离开来，以达到提高</w:t>
      </w:r>
      <w:r>
        <w:rPr>
          <w:rFonts w:hint="default" w:ascii="Times New Roman" w:hAnsi="Times New Roman" w:eastAsia="宋体" w:cs="Times New Roman"/>
          <w:color w:val="000000"/>
          <w:kern w:val="0"/>
          <w:sz w:val="24"/>
          <w:szCs w:val="24"/>
          <w:lang w:val="en-US" w:eastAsia="zh-CN" w:bidi="ar"/>
        </w:rPr>
        <w:t>MgO</w:t>
      </w:r>
      <w:r>
        <w:rPr>
          <w:rFonts w:hint="eastAsia" w:ascii="Times New Roman" w:hAnsi="Times New Roman" w:eastAsia="宋体" w:cs="Times New Roman"/>
          <w:color w:val="000000"/>
          <w:kern w:val="0"/>
          <w:sz w:val="24"/>
          <w:szCs w:val="24"/>
          <w:lang w:val="en-US" w:eastAsia="zh-CN" w:bidi="ar"/>
        </w:rPr>
        <w:t>含量的目的。</w:t>
      </w:r>
    </w:p>
    <w:p>
      <w:pPr>
        <w:keepNext w:val="0"/>
        <w:keepLines w:val="0"/>
        <w:widowControl/>
        <w:suppressLineNumbers w:val="0"/>
        <w:spacing w:before="0" w:beforeAutospacing="0" w:after="0" w:afterAutospacing="0"/>
        <w:ind w:left="0" w:right="0" w:firstLine="488"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spacing w:val="2"/>
          <w:kern w:val="0"/>
          <w:sz w:val="24"/>
          <w:szCs w:val="24"/>
          <w:lang w:val="en-US" w:eastAsia="zh-CN" w:bidi="ar"/>
        </w:rPr>
        <w:t>经球磨后</w:t>
      </w:r>
      <w:r>
        <w:rPr>
          <w:rFonts w:hint="eastAsia" w:ascii="Times New Roman" w:hAnsi="Times New Roman" w:eastAsia="宋体" w:cs="Times New Roman"/>
          <w:color w:val="000000"/>
          <w:spacing w:val="-2"/>
          <w:kern w:val="0"/>
          <w:sz w:val="24"/>
          <w:szCs w:val="24"/>
          <w:lang w:val="en-US" w:eastAsia="zh-CN" w:bidi="ar"/>
        </w:rPr>
        <w:t>小于</w:t>
      </w:r>
      <w:r>
        <w:rPr>
          <w:rFonts w:hint="default" w:ascii="Times New Roman" w:hAnsi="Times New Roman" w:eastAsia="宋体" w:cs="Times New Roman"/>
          <w:color w:val="000000"/>
          <w:spacing w:val="-2"/>
          <w:kern w:val="0"/>
          <w:sz w:val="24"/>
          <w:szCs w:val="24"/>
          <w:lang w:val="en-US" w:eastAsia="zh-CN" w:bidi="ar"/>
        </w:rPr>
        <w:t>200</w:t>
      </w:r>
      <w:r>
        <w:rPr>
          <w:rFonts w:hint="eastAsia" w:ascii="Times New Roman" w:hAnsi="Times New Roman" w:eastAsia="宋体" w:cs="Times New Roman"/>
          <w:color w:val="000000"/>
          <w:spacing w:val="-2"/>
          <w:kern w:val="0"/>
          <w:sz w:val="24"/>
          <w:szCs w:val="24"/>
          <w:lang w:val="en-US" w:eastAsia="zh-CN" w:bidi="ar"/>
        </w:rPr>
        <w:t>目的溢流矿浆液进入反浮选矿浆搅拌槽</w:t>
      </w:r>
      <w:r>
        <w:rPr>
          <w:rFonts w:hint="eastAsia" w:ascii="Times New Roman" w:hAnsi="Times New Roman" w:eastAsia="宋体" w:cs="Times New Roman"/>
          <w:color w:val="000000"/>
          <w:kern w:val="0"/>
          <w:sz w:val="24"/>
          <w:szCs w:val="24"/>
          <w:lang w:val="en-US" w:eastAsia="zh-CN" w:bidi="ar"/>
        </w:rPr>
        <w:t>（内设有搅拌器），在搅拌槽中加入经配制好的反浮选药剂溶液，经搅拌使反浮选药剂液与矿浆充分混合，</w:t>
      </w:r>
      <w:r>
        <w:rPr>
          <w:rFonts w:hint="eastAsia" w:ascii="宋体" w:hAnsi="宋体" w:eastAsia="宋体" w:cs="宋体"/>
          <w:color w:val="000000"/>
          <w:kern w:val="0"/>
          <w:sz w:val="24"/>
          <w:szCs w:val="24"/>
          <w:lang w:val="en-US" w:eastAsia="zh-CN" w:bidi="ar"/>
        </w:rPr>
        <w:t>混合后矿浆进入反浮选机</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N</w:t>
      </w:r>
      <w:r>
        <w:rPr>
          <w:rFonts w:hint="default" w:ascii="Times New Roman" w:hAnsi="Times New Roman" w:eastAsia="宋体" w:cs="Times New Roman"/>
          <w:color w:val="000000"/>
          <w:kern w:val="0"/>
          <w:sz w:val="24"/>
          <w:szCs w:val="24"/>
          <w:vertAlign w:val="subscript"/>
          <w:lang w:val="en-US" w:eastAsia="zh-CN" w:bidi="ar"/>
        </w:rPr>
        <w:t>8</w:t>
      </w:r>
      <w:r>
        <w:rPr>
          <w:rFonts w:hint="eastAsia"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w:t>
      </w:r>
      <w:r>
        <w:rPr>
          <w:rFonts w:hint="eastAsia" w:ascii="楷体_GB2312" w:hAnsi="宋体" w:eastAsia="楷体_GB2312" w:cs="楷体_GB2312"/>
          <w:color w:val="000000"/>
          <w:kern w:val="0"/>
          <w:sz w:val="24"/>
          <w:szCs w:val="24"/>
          <w:lang w:val="en-US" w:eastAsia="zh-CN" w:bidi="ar"/>
        </w:rPr>
        <w:t>本项目共有16台反浮选机，每4台一组，</w:t>
      </w:r>
      <w:r>
        <w:rPr>
          <w:rFonts w:hint="eastAsia" w:ascii="Times New Roman" w:hAnsi="Times New Roman" w:eastAsia="楷体_GB2312" w:cs="Times New Roman"/>
          <w:color w:val="000000"/>
          <w:kern w:val="0"/>
          <w:sz w:val="24"/>
          <w:szCs w:val="24"/>
          <w:lang w:val="en-US" w:eastAsia="zh-CN" w:bidi="ar"/>
        </w:rPr>
        <w:t>串连进行反浮选</w:t>
      </w:r>
      <w:r>
        <w:rPr>
          <w:rFonts w:hint="eastAsia" w:ascii="Times New Roman" w:hAnsi="Times New Roman" w:eastAsia="宋体" w:cs="Times New Roman"/>
          <w:color w:val="000000"/>
          <w:kern w:val="0"/>
          <w:sz w:val="24"/>
          <w:szCs w:val="24"/>
          <w:lang w:val="en-US" w:eastAsia="zh-CN" w:bidi="ar"/>
        </w:rPr>
        <w:t>），经反浮选机将矿石中大部分</w:t>
      </w:r>
      <w:r>
        <w:rPr>
          <w:rFonts w:hint="default" w:ascii="Times New Roman" w:hAnsi="Times New Roman" w:eastAsia="宋体" w:cs="Times New Roman"/>
          <w:color w:val="000000"/>
          <w:kern w:val="0"/>
          <w:sz w:val="24"/>
          <w:szCs w:val="24"/>
          <w:lang w:val="en-US" w:eastAsia="zh-CN" w:bidi="ar"/>
        </w:rPr>
        <w:t>SiO</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Al</w:t>
      </w:r>
      <w:r>
        <w:rPr>
          <w:rFonts w:hint="default" w:ascii="Times New Roman" w:hAnsi="Times New Roman" w:eastAsia="宋体" w:cs="Times New Roman"/>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O</w:t>
      </w:r>
      <w:r>
        <w:rPr>
          <w:rFonts w:hint="default" w:ascii="Times New Roman" w:hAnsi="Times New Roman" w:eastAsia="宋体" w:cs="Times New Roman"/>
          <w:color w:val="000000"/>
          <w:kern w:val="0"/>
          <w:sz w:val="24"/>
          <w:szCs w:val="24"/>
          <w:vertAlign w:val="subscript"/>
          <w:lang w:val="en-US" w:eastAsia="zh-CN" w:bidi="ar"/>
        </w:rPr>
        <w:t>3</w:t>
      </w:r>
      <w:r>
        <w:rPr>
          <w:rFonts w:hint="eastAsia" w:ascii="Times New Roman" w:hAnsi="Times New Roman" w:eastAsia="宋体" w:cs="Times New Roman"/>
          <w:color w:val="000000"/>
          <w:kern w:val="0"/>
          <w:sz w:val="24"/>
          <w:szCs w:val="24"/>
          <w:lang w:val="en-US" w:eastAsia="zh-CN" w:bidi="ar"/>
        </w:rPr>
        <w:t>等分离出来，富含菱镁矿的反浮选底流（含</w:t>
      </w:r>
      <w:r>
        <w:rPr>
          <w:rFonts w:hint="default" w:ascii="Times New Roman" w:hAnsi="Times New Roman" w:eastAsia="宋体" w:cs="Times New Roman"/>
          <w:color w:val="000000"/>
          <w:kern w:val="0"/>
          <w:sz w:val="24"/>
          <w:szCs w:val="24"/>
          <w:lang w:val="en-US" w:eastAsia="zh-CN" w:bidi="ar"/>
        </w:rPr>
        <w:t>MgO</w:t>
      </w:r>
      <w:r>
        <w:rPr>
          <w:rFonts w:hint="eastAsia" w:ascii="Times New Roman" w:hAnsi="Times New Roman" w:eastAsia="宋体" w:cs="Times New Roman"/>
          <w:color w:val="000000"/>
          <w:kern w:val="0"/>
          <w:sz w:val="24"/>
          <w:szCs w:val="24"/>
          <w:lang w:val="en-US" w:eastAsia="zh-CN" w:bidi="ar"/>
        </w:rPr>
        <w:t>）矿浆利用高差通过管道输送入精矿浆搅拌槽中。精矿由精矿搅拌槽内的底流泵送至真空带式过滤机（</w:t>
      </w:r>
      <w:r>
        <w:rPr>
          <w:rFonts w:hint="default" w:ascii="Times New Roman" w:hAnsi="Times New Roman" w:eastAsia="宋体" w:cs="Times New Roman"/>
          <w:color w:val="000000"/>
          <w:kern w:val="0"/>
          <w:sz w:val="24"/>
          <w:szCs w:val="24"/>
          <w:lang w:val="en-US" w:eastAsia="zh-CN" w:bidi="ar"/>
        </w:rPr>
        <w:t>N</w:t>
      </w:r>
      <w:r>
        <w:rPr>
          <w:rFonts w:hint="default" w:ascii="Times New Roman" w:hAnsi="Times New Roman" w:eastAsia="宋体" w:cs="Times New Roman"/>
          <w:color w:val="000000"/>
          <w:kern w:val="0"/>
          <w:sz w:val="24"/>
          <w:szCs w:val="24"/>
          <w:vertAlign w:val="subscript"/>
          <w:lang w:val="en-US" w:eastAsia="zh-CN" w:bidi="ar"/>
        </w:rPr>
        <w:t>9</w:t>
      </w:r>
      <w:r>
        <w:rPr>
          <w:rFonts w:hint="eastAsia" w:ascii="Times New Roman" w:hAnsi="Times New Roman" w:eastAsia="宋体" w:cs="Times New Roman"/>
          <w:color w:val="000000"/>
          <w:kern w:val="0"/>
          <w:sz w:val="24"/>
          <w:szCs w:val="24"/>
          <w:lang w:val="en-US" w:eastAsia="zh-CN" w:bidi="ar"/>
        </w:rPr>
        <w:t>）的滤布上，滤布是通过一条重型橡胶皮带传送的，此橡胶皮带上横向开有凹槽且中间开有通孔以使液体能够吸入真空箱。滤液和空气同时被抽送到真空总管，真空滤液收集管中滤液进入气液分离器进行气水分离，气液分离器顶部出口与真空泵相连，气体出真空泵抽走。分离后的滤液（</w:t>
      </w:r>
      <w:r>
        <w:rPr>
          <w:rFonts w:hint="default" w:ascii="Times New Roman" w:hAnsi="Times New Roman" w:eastAsia="宋体" w:cs="Times New Roman"/>
          <w:color w:val="000000"/>
          <w:kern w:val="0"/>
          <w:sz w:val="24"/>
          <w:szCs w:val="24"/>
          <w:lang w:val="en-US" w:eastAsia="zh-CN" w:bidi="ar"/>
        </w:rPr>
        <w:t>W</w:t>
      </w:r>
      <w:r>
        <w:rPr>
          <w:rFonts w:hint="default" w:ascii="Times New Roman" w:hAnsi="Times New Roman" w:eastAsia="宋体" w:cs="Times New Roman"/>
          <w:color w:val="000000"/>
          <w:kern w:val="0"/>
          <w:sz w:val="24"/>
          <w:szCs w:val="24"/>
          <w:vertAlign w:val="subscript"/>
          <w:lang w:val="en-US" w:eastAsia="zh-CN" w:bidi="ar"/>
        </w:rPr>
        <w:t>1</w:t>
      </w:r>
      <w:r>
        <w:rPr>
          <w:rFonts w:hint="eastAsia" w:ascii="Times New Roman" w:hAnsi="Times New Roman" w:eastAsia="宋体" w:cs="Times New Roman"/>
          <w:color w:val="000000"/>
          <w:kern w:val="0"/>
          <w:sz w:val="24"/>
          <w:szCs w:val="24"/>
          <w:lang w:val="en-US" w:eastAsia="zh-CN" w:bidi="ar"/>
        </w:rPr>
        <w:t>）利用高差自流进入循环水池（</w:t>
      </w:r>
      <w:r>
        <w:rPr>
          <w:rFonts w:hint="default" w:ascii="Times New Roman" w:hAnsi="Times New Roman" w:eastAsia="宋体" w:cs="Times New Roman"/>
          <w:color w:val="000000"/>
          <w:kern w:val="0"/>
          <w:sz w:val="24"/>
          <w:szCs w:val="24"/>
          <w:lang w:val="en-US" w:eastAsia="zh-CN" w:bidi="ar"/>
        </w:rPr>
        <w:t>S</w:t>
      </w:r>
      <w:r>
        <w:rPr>
          <w:rFonts w:hint="default" w:ascii="Times New Roman" w:hAnsi="Times New Roman" w:eastAsia="宋体" w:cs="Times New Roman"/>
          <w:color w:val="000000"/>
          <w:kern w:val="0"/>
          <w:sz w:val="24"/>
          <w:szCs w:val="24"/>
          <w:vertAlign w:val="subscript"/>
          <w:lang w:val="en-US" w:eastAsia="zh-CN" w:bidi="ar"/>
        </w:rPr>
        <w:t>4</w:t>
      </w:r>
      <w:r>
        <w:rPr>
          <w:rFonts w:hint="eastAsia" w:ascii="Times New Roman" w:hAnsi="Times New Roman" w:eastAsia="宋体" w:cs="Times New Roman"/>
          <w:color w:val="000000"/>
          <w:kern w:val="0"/>
          <w:sz w:val="24"/>
          <w:szCs w:val="24"/>
          <w:lang w:val="en-US" w:eastAsia="zh-CN" w:bidi="ar"/>
        </w:rPr>
        <w:t>）中，沉淀后回用于生产循环利用。经带式过滤机脱水后，物料水份被降至</w:t>
      </w:r>
      <w:r>
        <w:rPr>
          <w:rFonts w:hint="default" w:ascii="Times New Roman" w:hAnsi="Times New Roman" w:eastAsia="宋体" w:cs="Times New Roman"/>
          <w:color w:val="000000"/>
          <w:kern w:val="0"/>
          <w:sz w:val="24"/>
          <w:szCs w:val="24"/>
          <w:lang w:val="en-US" w:eastAsia="zh-CN" w:bidi="ar"/>
        </w:rPr>
        <w:t>10</w:t>
      </w:r>
      <w:r>
        <w:rPr>
          <w:rFonts w:hint="eastAsia" w:ascii="Times New Roman" w:hAnsi="Times New Roman" w:eastAsia="宋体" w:cs="Times New Roman"/>
          <w:color w:val="000000"/>
          <w:kern w:val="0"/>
          <w:sz w:val="24"/>
          <w:szCs w:val="24"/>
          <w:lang w:val="en-US" w:eastAsia="zh-CN" w:bidi="ar"/>
        </w:rPr>
        <w:t>％左右的菱镁精矿粉，利用高差直接进入精矿库（</w:t>
      </w:r>
      <w:r>
        <w:rPr>
          <w:rFonts w:hint="default" w:ascii="Times New Roman" w:hAnsi="Times New Roman" w:eastAsia="宋体" w:cs="Times New Roman"/>
          <w:color w:val="000000"/>
          <w:kern w:val="0"/>
          <w:sz w:val="24"/>
          <w:szCs w:val="24"/>
          <w:lang w:val="en-US" w:eastAsia="zh-CN" w:bidi="ar"/>
        </w:rPr>
        <w:t>G</w:t>
      </w:r>
      <w:r>
        <w:rPr>
          <w:rFonts w:hint="default" w:ascii="Times New Roman" w:hAnsi="Times New Roman" w:eastAsia="宋体" w:cs="Times New Roman"/>
          <w:color w:val="000000"/>
          <w:kern w:val="0"/>
          <w:sz w:val="24"/>
          <w:szCs w:val="24"/>
          <w:vertAlign w:val="subscript"/>
          <w:lang w:val="en-US" w:eastAsia="zh-CN" w:bidi="ar"/>
        </w:rPr>
        <w:t>3</w:t>
      </w:r>
      <w:r>
        <w:rPr>
          <w:rFonts w:hint="eastAsia" w:ascii="Times New Roman" w:hAnsi="Times New Roman" w:eastAsia="宋体" w:cs="Times New Roman"/>
          <w:color w:val="000000"/>
          <w:kern w:val="0"/>
          <w:sz w:val="24"/>
          <w:szCs w:val="24"/>
          <w:lang w:val="en-US" w:eastAsia="zh-CN" w:bidi="ar"/>
        </w:rPr>
        <w:t>’）中暂存。</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富含杂质（含</w:t>
      </w:r>
      <w:r>
        <w:rPr>
          <w:rFonts w:hint="default" w:ascii="Times New Roman" w:hAnsi="Times New Roman" w:eastAsia="宋体" w:cs="Times New Roman"/>
          <w:color w:val="000000"/>
          <w:kern w:val="0"/>
          <w:sz w:val="24"/>
          <w:szCs w:val="24"/>
          <w:lang w:val="en-US" w:eastAsia="zh-CN" w:bidi="ar"/>
        </w:rPr>
        <w:t>SiO</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Times New Roman" w:hAnsi="Times New Roman" w:eastAsia="宋体" w:cs="Times New Roman"/>
          <w:color w:val="000000"/>
          <w:kern w:val="0"/>
          <w:sz w:val="24"/>
          <w:szCs w:val="24"/>
          <w:lang w:val="en-US" w:eastAsia="zh-CN" w:bidi="ar"/>
        </w:rPr>
        <w:t>）的尾矿浆自流进入尾矿浓缩池中浓缩，上清液（</w:t>
      </w:r>
      <w:r>
        <w:rPr>
          <w:rFonts w:hint="default" w:ascii="Times New Roman" w:hAnsi="Times New Roman" w:eastAsia="宋体" w:cs="Times New Roman"/>
          <w:color w:val="000000"/>
          <w:kern w:val="0"/>
          <w:sz w:val="24"/>
          <w:szCs w:val="24"/>
          <w:lang w:val="en-US" w:eastAsia="zh-CN" w:bidi="ar"/>
        </w:rPr>
        <w:t>W</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Times New Roman" w:hAnsi="Times New Roman" w:eastAsia="宋体" w:cs="Times New Roman"/>
          <w:color w:val="000000"/>
          <w:kern w:val="0"/>
          <w:sz w:val="24"/>
          <w:szCs w:val="24"/>
          <w:lang w:val="en-US" w:eastAsia="zh-CN" w:bidi="ar"/>
        </w:rPr>
        <w:t>）自流至循环水池中，沉淀后回用于生产。尾矿浓缩池内的底流尾矿浓度约为</w:t>
      </w:r>
      <w:r>
        <w:rPr>
          <w:rFonts w:hint="default" w:ascii="Times New Roman" w:hAnsi="Times New Roman" w:eastAsia="宋体" w:cs="Times New Roman"/>
          <w:color w:val="000000"/>
          <w:kern w:val="0"/>
          <w:sz w:val="24"/>
          <w:szCs w:val="24"/>
          <w:lang w:val="en-US" w:eastAsia="zh-CN" w:bidi="ar"/>
        </w:rPr>
        <w:t>45%</w:t>
      </w:r>
      <w:r>
        <w:rPr>
          <w:rFonts w:hint="eastAsia" w:ascii="Times New Roman" w:hAnsi="Times New Roman" w:eastAsia="宋体" w:cs="Times New Roman"/>
          <w:color w:val="000000"/>
          <w:kern w:val="0"/>
          <w:sz w:val="24"/>
          <w:szCs w:val="24"/>
          <w:lang w:val="en-US" w:eastAsia="zh-CN" w:bidi="ar"/>
        </w:rPr>
        <w:t>，由底流泵送至板框压滤机（</w:t>
      </w:r>
      <w:r>
        <w:rPr>
          <w:rFonts w:hint="default" w:ascii="Times New Roman" w:hAnsi="Times New Roman" w:eastAsia="宋体" w:cs="Times New Roman"/>
          <w:color w:val="000000"/>
          <w:kern w:val="0"/>
          <w:sz w:val="24"/>
          <w:szCs w:val="24"/>
          <w:lang w:val="en-US" w:eastAsia="zh-CN" w:bidi="ar"/>
        </w:rPr>
        <w:t>N</w:t>
      </w:r>
      <w:r>
        <w:rPr>
          <w:rFonts w:hint="default" w:ascii="Times New Roman" w:hAnsi="Times New Roman" w:eastAsia="宋体" w:cs="Times New Roman"/>
          <w:color w:val="000000"/>
          <w:kern w:val="0"/>
          <w:sz w:val="24"/>
          <w:szCs w:val="24"/>
          <w:vertAlign w:val="subscript"/>
          <w:lang w:val="en-US" w:eastAsia="zh-CN" w:bidi="ar"/>
        </w:rPr>
        <w:t>10</w:t>
      </w:r>
      <w:r>
        <w:rPr>
          <w:rFonts w:hint="eastAsia" w:ascii="Times New Roman" w:hAnsi="Times New Roman" w:eastAsia="宋体" w:cs="Times New Roman"/>
          <w:color w:val="000000"/>
          <w:kern w:val="0"/>
          <w:sz w:val="24"/>
          <w:szCs w:val="24"/>
          <w:lang w:val="en-US" w:eastAsia="zh-CN" w:bidi="ar"/>
        </w:rPr>
        <w:t>），分离后的滤液（</w:t>
      </w:r>
      <w:r>
        <w:rPr>
          <w:rFonts w:hint="default" w:ascii="Times New Roman" w:hAnsi="Times New Roman" w:eastAsia="宋体" w:cs="Times New Roman"/>
          <w:color w:val="000000"/>
          <w:kern w:val="0"/>
          <w:sz w:val="24"/>
          <w:szCs w:val="24"/>
          <w:lang w:val="en-US" w:eastAsia="zh-CN" w:bidi="ar"/>
        </w:rPr>
        <w:t>W</w:t>
      </w:r>
      <w:r>
        <w:rPr>
          <w:rFonts w:hint="default" w:ascii="Times New Roman" w:hAnsi="Times New Roman" w:eastAsia="宋体" w:cs="Times New Roman"/>
          <w:color w:val="000000"/>
          <w:kern w:val="0"/>
          <w:sz w:val="24"/>
          <w:szCs w:val="24"/>
          <w:vertAlign w:val="subscript"/>
          <w:lang w:val="en-US" w:eastAsia="zh-CN" w:bidi="ar"/>
        </w:rPr>
        <w:t>3</w:t>
      </w:r>
      <w:r>
        <w:rPr>
          <w:rFonts w:hint="eastAsia" w:ascii="Times New Roman" w:hAnsi="Times New Roman" w:eastAsia="宋体" w:cs="Times New Roman"/>
          <w:color w:val="000000"/>
          <w:kern w:val="0"/>
          <w:sz w:val="24"/>
          <w:szCs w:val="24"/>
          <w:lang w:val="en-US" w:eastAsia="zh-CN" w:bidi="ar"/>
        </w:rPr>
        <w:t>）利用高差自流进入循环水池中，沉淀后回用于生产循环利用。经板框压滤机脱水后，尾矿水份被降至</w:t>
      </w:r>
      <w:r>
        <w:rPr>
          <w:rFonts w:hint="default" w:ascii="Times New Roman" w:hAnsi="Times New Roman" w:eastAsia="宋体" w:cs="Times New Roman"/>
          <w:color w:val="000000"/>
          <w:kern w:val="0"/>
          <w:sz w:val="24"/>
          <w:szCs w:val="24"/>
          <w:lang w:val="en-US" w:eastAsia="zh-CN" w:bidi="ar"/>
        </w:rPr>
        <w:t>12</w:t>
      </w:r>
      <w:r>
        <w:rPr>
          <w:rFonts w:hint="eastAsia" w:ascii="Times New Roman" w:hAnsi="Times New Roman" w:eastAsia="宋体" w:cs="Times New Roman"/>
          <w:color w:val="000000"/>
          <w:kern w:val="0"/>
          <w:sz w:val="24"/>
          <w:szCs w:val="24"/>
          <w:lang w:val="en-US" w:eastAsia="zh-CN" w:bidi="ar"/>
        </w:rPr>
        <w:t>％左右，利用高差直接进入尾矿库（</w:t>
      </w:r>
      <w:r>
        <w:rPr>
          <w:rFonts w:hint="default" w:ascii="Times New Roman" w:hAnsi="Times New Roman" w:eastAsia="宋体" w:cs="Times New Roman"/>
          <w:color w:val="000000"/>
          <w:kern w:val="0"/>
          <w:sz w:val="24"/>
          <w:szCs w:val="24"/>
          <w:lang w:val="en-US" w:eastAsia="zh-CN" w:bidi="ar"/>
        </w:rPr>
        <w:t>G</w:t>
      </w:r>
      <w:r>
        <w:rPr>
          <w:rFonts w:hint="default" w:ascii="Times New Roman" w:hAnsi="Times New Roman" w:eastAsia="宋体" w:cs="Times New Roman"/>
          <w:color w:val="000000"/>
          <w:kern w:val="0"/>
          <w:sz w:val="24"/>
          <w:szCs w:val="24"/>
          <w:vertAlign w:val="subscript"/>
          <w:lang w:val="en-US" w:eastAsia="zh-CN" w:bidi="ar"/>
        </w:rPr>
        <w:t>4</w:t>
      </w:r>
      <w:r>
        <w:rPr>
          <w:rFonts w:hint="eastAsia" w:ascii="Times New Roman" w:hAnsi="Times New Roman" w:eastAsia="宋体" w:cs="Times New Roman"/>
          <w:color w:val="000000"/>
          <w:kern w:val="0"/>
          <w:sz w:val="24"/>
          <w:szCs w:val="24"/>
          <w:lang w:val="en-US" w:eastAsia="zh-CN" w:bidi="ar"/>
        </w:rPr>
        <w:t>’）中暂存，定期外售用于造渣球生产。</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5</w:t>
      </w:r>
      <w:r>
        <w:rPr>
          <w:rFonts w:hint="eastAsia" w:ascii="Times New Roman" w:hAnsi="Times New Roman" w:eastAsia="宋体" w:cs="Times New Roman"/>
          <w:color w:val="000000"/>
          <w:kern w:val="0"/>
          <w:sz w:val="24"/>
          <w:szCs w:val="24"/>
          <w:lang w:val="en-US" w:eastAsia="zh-CN" w:bidi="ar"/>
        </w:rPr>
        <w:t>）除尘方案</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3.2-3   </w:t>
      </w:r>
      <w:r>
        <w:rPr>
          <w:rFonts w:hint="eastAsia" w:ascii="Times New Roman" w:hAnsi="Times New Roman" w:eastAsia="黑体" w:cs="Times New Roman"/>
          <w:color w:val="000000"/>
          <w:kern w:val="0"/>
          <w:sz w:val="24"/>
          <w:szCs w:val="24"/>
          <w:lang w:val="en-US" w:eastAsia="zh-CN" w:bidi="ar"/>
        </w:rPr>
        <w:t>废气治理方案一览表</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384"/>
        <w:gridCol w:w="1128"/>
        <w:gridCol w:w="1285"/>
        <w:gridCol w:w="2128"/>
        <w:gridCol w:w="1702"/>
        <w:gridCol w:w="1100"/>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40" w:hRule="atLeast"/>
          <w:jc w:val="center"/>
        </w:trPr>
        <w:tc>
          <w:tcPr>
            <w:tcW w:w="793" w:type="pct"/>
            <w:tcBorders>
              <w:top w:val="thinThickSmallGap" w:color="auto" w:sz="12" w:space="0"/>
              <w:left w:val="nil"/>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b/>
                <w:bCs w:val="0"/>
                <w:color w:val="000000"/>
                <w:sz w:val="21"/>
                <w:szCs w:val="24"/>
                <w:bdr w:val="none" w:color="auto" w:sz="0" w:space="0"/>
                <w:lang w:val="en-US"/>
              </w:rPr>
            </w:pPr>
            <w:r>
              <w:rPr>
                <w:rFonts w:cs="Times New Roman"/>
                <w:b/>
                <w:bCs w:val="0"/>
                <w:color w:val="000000"/>
                <w:sz w:val="21"/>
                <w:szCs w:val="24"/>
                <w:bdr w:val="none" w:color="auto" w:sz="0" w:space="0"/>
              </w:rPr>
              <w:t>除尘设施</w:t>
            </w:r>
          </w:p>
        </w:tc>
        <w:tc>
          <w:tcPr>
            <w:tcW w:w="646" w:type="pc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b/>
                <w:bCs w:val="0"/>
                <w:color w:val="000000"/>
                <w:sz w:val="21"/>
                <w:szCs w:val="24"/>
                <w:bdr w:val="none" w:color="auto" w:sz="0" w:space="0"/>
                <w:lang w:val="en-US"/>
              </w:rPr>
            </w:pPr>
            <w:r>
              <w:rPr>
                <w:rFonts w:cs="Times New Roman"/>
                <w:b/>
                <w:bCs w:val="0"/>
                <w:color w:val="000000"/>
                <w:sz w:val="21"/>
                <w:szCs w:val="24"/>
                <w:bdr w:val="none" w:color="auto" w:sz="0" w:space="0"/>
              </w:rPr>
              <w:t>排气筒</w:t>
            </w:r>
          </w:p>
        </w:tc>
        <w:tc>
          <w:tcPr>
            <w:tcW w:w="736" w:type="pc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b/>
                <w:bCs w:val="0"/>
                <w:color w:val="000000"/>
                <w:sz w:val="21"/>
                <w:szCs w:val="24"/>
                <w:bdr w:val="none" w:color="auto" w:sz="0" w:space="0"/>
                <w:lang w:val="en-US"/>
              </w:rPr>
            </w:pPr>
            <w:r>
              <w:rPr>
                <w:rFonts w:cs="Times New Roman"/>
                <w:b/>
                <w:bCs w:val="0"/>
                <w:color w:val="000000"/>
                <w:sz w:val="21"/>
                <w:szCs w:val="24"/>
                <w:bdr w:val="none" w:color="auto" w:sz="0" w:space="0"/>
              </w:rPr>
              <w:t>车间</w:t>
            </w:r>
          </w:p>
        </w:tc>
        <w:tc>
          <w:tcPr>
            <w:tcW w:w="1219" w:type="pc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b/>
                <w:bCs w:val="0"/>
                <w:color w:val="000000"/>
                <w:sz w:val="21"/>
                <w:szCs w:val="24"/>
                <w:bdr w:val="none" w:color="auto" w:sz="0" w:space="0"/>
                <w:lang w:val="en-US"/>
              </w:rPr>
            </w:pPr>
            <w:r>
              <w:rPr>
                <w:rFonts w:cs="Times New Roman"/>
                <w:b/>
                <w:bCs w:val="0"/>
                <w:color w:val="000000"/>
                <w:sz w:val="21"/>
                <w:szCs w:val="24"/>
                <w:bdr w:val="none" w:color="auto" w:sz="0" w:space="0"/>
              </w:rPr>
              <w:t>除尘点</w:t>
            </w:r>
          </w:p>
        </w:tc>
        <w:tc>
          <w:tcPr>
            <w:tcW w:w="975" w:type="pc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b/>
                <w:bCs w:val="0"/>
                <w:color w:val="000000"/>
                <w:sz w:val="21"/>
                <w:szCs w:val="24"/>
                <w:bdr w:val="none" w:color="auto" w:sz="0" w:space="0"/>
                <w:lang w:val="en-US"/>
              </w:rPr>
            </w:pPr>
            <w:r>
              <w:rPr>
                <w:rFonts w:cs="Times New Roman"/>
                <w:b/>
                <w:bCs w:val="0"/>
                <w:color w:val="000000"/>
                <w:sz w:val="21"/>
                <w:szCs w:val="24"/>
                <w:bdr w:val="none" w:color="auto" w:sz="0" w:space="0"/>
              </w:rPr>
              <w:t>收尘方式</w:t>
            </w:r>
          </w:p>
        </w:tc>
        <w:tc>
          <w:tcPr>
            <w:tcW w:w="630" w:type="pct"/>
            <w:tcBorders>
              <w:top w:val="thinThickSmallGap" w:color="auto" w:sz="12" w:space="0"/>
              <w:left w:val="single" w:color="auto" w:sz="4" w:space="0"/>
              <w:bottom w:val="single" w:color="auto" w:sz="4" w:space="0"/>
              <w:right w:val="nil"/>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b/>
                <w:bCs w:val="0"/>
                <w:color w:val="000000"/>
                <w:sz w:val="21"/>
                <w:szCs w:val="24"/>
                <w:bdr w:val="none" w:color="auto" w:sz="0" w:space="0"/>
                <w:lang w:val="en-US"/>
              </w:rPr>
            </w:pPr>
            <w:r>
              <w:rPr>
                <w:rFonts w:cs="Times New Roman"/>
                <w:b/>
                <w:bCs w:val="0"/>
                <w:color w:val="000000"/>
                <w:sz w:val="21"/>
                <w:szCs w:val="24"/>
                <w:bdr w:val="none" w:color="auto" w:sz="0" w:space="0"/>
              </w:rPr>
              <w:t>备注</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Merge w:val="restart"/>
            <w:tcBorders>
              <w:top w:val="single" w:color="auto" w:sz="4" w:space="0"/>
              <w:left w:val="nil"/>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b/>
                <w:bCs w:val="0"/>
                <w:color w:val="000000"/>
                <w:sz w:val="21"/>
                <w:szCs w:val="24"/>
                <w:bdr w:val="none" w:color="auto" w:sz="0" w:space="0"/>
                <w:lang w:val="en-US"/>
              </w:rPr>
            </w:pPr>
            <w:r>
              <w:rPr>
                <w:rFonts w:cs="Times New Roman"/>
                <w:color w:val="000000"/>
                <w:sz w:val="21"/>
                <w:szCs w:val="24"/>
                <w:bdr w:val="none" w:color="auto" w:sz="0" w:space="0"/>
              </w:rPr>
              <w:t>布袋除尘器</w:t>
            </w:r>
            <w:r>
              <w:rPr>
                <w:rFonts w:cs="Times New Roman"/>
                <w:color w:val="000000"/>
                <w:sz w:val="21"/>
                <w:szCs w:val="24"/>
                <w:bdr w:val="none" w:color="auto" w:sz="0" w:space="0"/>
                <w:lang w:val="en-US"/>
              </w:rPr>
              <w:t>1</w:t>
            </w:r>
            <w:r>
              <w:rPr>
                <w:rFonts w:cs="Times New Roman"/>
                <w:color w:val="000000"/>
                <w:sz w:val="21"/>
                <w:szCs w:val="24"/>
                <w:bdr w:val="none" w:color="auto" w:sz="0" w:space="0"/>
              </w:rPr>
              <w:t>台</w:t>
            </w:r>
          </w:p>
        </w:tc>
        <w:tc>
          <w:tcPr>
            <w:tcW w:w="646" w:type="pct"/>
            <w:vMerge w:val="restar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b/>
                <w:bCs w:val="0"/>
                <w:color w:val="000000"/>
                <w:sz w:val="21"/>
                <w:szCs w:val="24"/>
                <w:bdr w:val="none" w:color="auto" w:sz="0" w:space="0"/>
                <w:lang w:val="en-US"/>
              </w:rPr>
            </w:pPr>
            <w:r>
              <w:rPr>
                <w:rFonts w:cs="Times New Roman"/>
                <w:color w:val="000000"/>
                <w:sz w:val="21"/>
                <w:szCs w:val="24"/>
                <w:bdr w:val="none" w:color="auto" w:sz="0" w:space="0"/>
                <w:lang w:val="en-US"/>
              </w:rPr>
              <w:t>P1</w:t>
            </w:r>
          </w:p>
        </w:tc>
        <w:tc>
          <w:tcPr>
            <w:tcW w:w="736" w:type="pct"/>
            <w:vMerge w:val="restar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color w:val="000000"/>
                <w:sz w:val="21"/>
                <w:szCs w:val="24"/>
                <w:bdr w:val="none" w:color="auto" w:sz="0" w:space="0"/>
                <w:lang w:val="en-US"/>
              </w:rPr>
            </w:pPr>
            <w:r>
              <w:rPr>
                <w:rFonts w:cs="Times New Roman"/>
                <w:color w:val="000000"/>
                <w:sz w:val="21"/>
                <w:szCs w:val="24"/>
                <w:bdr w:val="none" w:color="auto" w:sz="0" w:space="0"/>
              </w:rPr>
              <w:t>破碎车间</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b/>
                <w:bCs w:val="0"/>
                <w:color w:val="000000"/>
                <w:sz w:val="21"/>
                <w:szCs w:val="24"/>
                <w:bdr w:val="none" w:color="auto" w:sz="0" w:space="0"/>
                <w:lang w:val="en-US"/>
              </w:rPr>
            </w:pPr>
            <w:r>
              <w:rPr>
                <w:rFonts w:cs="Times New Roman"/>
                <w:color w:val="000000"/>
                <w:sz w:val="21"/>
                <w:szCs w:val="24"/>
                <w:bdr w:val="none" w:color="auto" w:sz="0" w:space="0"/>
              </w:rPr>
              <w:t>破碎机进、出料口</w:t>
            </w:r>
          </w:p>
        </w:tc>
        <w:tc>
          <w:tcPr>
            <w:tcW w:w="97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b/>
                <w:bCs w:val="0"/>
                <w:color w:val="000000"/>
                <w:sz w:val="21"/>
                <w:szCs w:val="24"/>
                <w:bdr w:val="none" w:color="auto" w:sz="0" w:space="0"/>
                <w:lang w:val="en-US"/>
              </w:rPr>
            </w:pPr>
            <w:r>
              <w:rPr>
                <w:rFonts w:cs="Times New Roman"/>
                <w:color w:val="000000"/>
                <w:sz w:val="21"/>
                <w:szCs w:val="24"/>
                <w:bdr w:val="none" w:color="auto" w:sz="0" w:space="0"/>
              </w:rPr>
              <w:t>集气罩</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color w:val="000000"/>
                <w:sz w:val="21"/>
                <w:szCs w:val="24"/>
                <w:bdr w:val="none" w:color="auto" w:sz="0" w:space="0"/>
                <w:lang w:val="en-US"/>
              </w:rPr>
            </w:pPr>
            <w:r>
              <w:rPr>
                <w:rFonts w:cs="Times New Roman"/>
                <w:color w:val="000000"/>
                <w:sz w:val="21"/>
                <w:szCs w:val="24"/>
                <w:bdr w:val="none" w:color="auto" w:sz="0" w:space="0"/>
              </w:rPr>
              <w:t>新增</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646"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736"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color w:val="000000"/>
                <w:sz w:val="21"/>
                <w:szCs w:val="24"/>
                <w:bdr w:val="none" w:color="auto" w:sz="0" w:space="0"/>
                <w:lang w:val="en-US"/>
              </w:rPr>
            </w:pPr>
            <w:r>
              <w:rPr>
                <w:rFonts w:cs="Times New Roman"/>
                <w:color w:val="000000"/>
                <w:sz w:val="21"/>
                <w:szCs w:val="24"/>
                <w:bdr w:val="none" w:color="auto" w:sz="0" w:space="0"/>
              </w:rPr>
              <w:t>振动筛分机</w:t>
            </w:r>
          </w:p>
        </w:tc>
        <w:tc>
          <w:tcPr>
            <w:tcW w:w="97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color w:val="000000"/>
                <w:sz w:val="21"/>
                <w:szCs w:val="24"/>
                <w:bdr w:val="none" w:color="auto" w:sz="0" w:space="0"/>
                <w:lang w:val="en-US"/>
              </w:rPr>
            </w:pPr>
            <w:r>
              <w:rPr>
                <w:rFonts w:cs="Times New Roman"/>
                <w:color w:val="000000"/>
                <w:sz w:val="21"/>
                <w:szCs w:val="24"/>
                <w:bdr w:val="none" w:color="auto" w:sz="0" w:space="0"/>
              </w:rPr>
              <w:t>密闭罩、集气罩</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color w:val="000000"/>
                <w:sz w:val="21"/>
                <w:szCs w:val="24"/>
                <w:bdr w:val="none" w:color="auto" w:sz="0" w:space="0"/>
                <w:lang w:val="en-US"/>
              </w:rPr>
            </w:pPr>
            <w:r>
              <w:rPr>
                <w:rFonts w:cs="Times New Roman"/>
                <w:color w:val="000000"/>
                <w:sz w:val="21"/>
                <w:szCs w:val="24"/>
                <w:bdr w:val="none" w:color="auto" w:sz="0" w:space="0"/>
              </w:rPr>
              <w:t>新增</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646"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736"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1219"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color w:val="000000"/>
                <w:sz w:val="21"/>
                <w:szCs w:val="24"/>
                <w:bdr w:val="none" w:color="auto" w:sz="0" w:space="0"/>
                <w:lang w:val="en-US"/>
              </w:rPr>
            </w:pPr>
            <w:r>
              <w:rPr>
                <w:rFonts w:cs="Times New Roman"/>
                <w:color w:val="000000"/>
                <w:sz w:val="21"/>
                <w:szCs w:val="24"/>
                <w:bdr w:val="none" w:color="auto" w:sz="0" w:space="0"/>
              </w:rPr>
              <w:t>球磨供料仓仓顶</w:t>
            </w:r>
          </w:p>
        </w:tc>
        <w:tc>
          <w:tcPr>
            <w:tcW w:w="975"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color w:val="000000"/>
                <w:sz w:val="21"/>
                <w:szCs w:val="24"/>
                <w:bdr w:val="none" w:color="auto" w:sz="0" w:space="0"/>
                <w:lang w:val="en-US"/>
              </w:rPr>
            </w:pPr>
            <w:r>
              <w:rPr>
                <w:rFonts w:cs="Times New Roman"/>
                <w:color w:val="000000"/>
                <w:sz w:val="21"/>
                <w:szCs w:val="24"/>
                <w:bdr w:val="none" w:color="auto" w:sz="0" w:space="0"/>
              </w:rPr>
              <w:t>集气罩</w:t>
            </w:r>
          </w:p>
        </w:tc>
        <w:tc>
          <w:tcPr>
            <w:tcW w:w="630" w:type="pct"/>
            <w:tcBorders>
              <w:top w:val="single" w:color="auto" w:sz="4" w:space="0"/>
              <w:left w:val="single" w:color="auto" w:sz="4" w:space="0"/>
              <w:bottom w:val="thickThinSmallGap" w:color="auto" w:sz="12"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cs="Times New Roman"/>
                <w:color w:val="000000"/>
                <w:sz w:val="21"/>
                <w:szCs w:val="24"/>
                <w:bdr w:val="none" w:color="auto" w:sz="0" w:space="0"/>
                <w:lang w:val="en-US"/>
              </w:rPr>
            </w:pPr>
            <w:r>
              <w:rPr>
                <w:rFonts w:cs="Times New Roman"/>
                <w:color w:val="000000"/>
                <w:sz w:val="21"/>
                <w:szCs w:val="24"/>
                <w:bdr w:val="none" w:color="auto" w:sz="0" w:space="0"/>
              </w:rPr>
              <w:t>新增</w:t>
            </w:r>
          </w:p>
        </w:tc>
      </w:tr>
    </w:tbl>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浮选生产工艺流程见图</w:t>
      </w:r>
      <w:r>
        <w:rPr>
          <w:rFonts w:hint="default" w:ascii="Times New Roman" w:hAnsi="Times New Roman" w:eastAsia="宋体" w:cs="Times New Roman"/>
          <w:color w:val="000000"/>
          <w:kern w:val="0"/>
          <w:sz w:val="24"/>
          <w:szCs w:val="24"/>
          <w:lang w:val="en-US" w:eastAsia="zh-CN" w:bidi="ar"/>
        </w:rPr>
        <w:t>3-4</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lang w:val="en-US"/>
        </w:rPr>
      </w:pPr>
      <w:r>
        <w:rPr>
          <w:rFonts w:hint="default" w:ascii="Times New Roman" w:hAnsi="Times New Roman" w:eastAsia="宋体" w:cs="Times New Roman"/>
          <w:bCs/>
          <w:color w:val="000000"/>
          <w:sz w:val="24"/>
          <w:szCs w:val="24"/>
          <w:lang w:val="en-US" w:eastAsia="zh-CN" w:bidi="ar"/>
        </w:rPr>
        <w:br w:type="page"/>
      </w:r>
      <w:r>
        <w:rPr>
          <w:rFonts w:hint="eastAsia" w:ascii="宋体" w:hAnsi="宋体" w:eastAsia="宋体" w:cs="宋体"/>
          <w:color w:val="000000"/>
          <w:kern w:val="0"/>
          <w:sz w:val="24"/>
          <w:szCs w:val="24"/>
          <w:lang w:val="en-US" w:eastAsia="zh-CN" w:bidi="ar"/>
        </w:rPr>
        <w:object>
          <v:shape id="_x0000_i1030" o:spt="75" type="#_x0000_t75" style="height:607.5pt;width:435pt;" o:ole="t" filled="f" o:preferrelative="t" stroked="f" coordsize="21600,21600">
            <v:path/>
            <v:fill on="f" focussize="0,0"/>
            <v:stroke on="f" joinstyle="miter"/>
            <v:imagedata r:id="rId21" o:title=""/>
            <o:lock v:ext="edit" aspectratio="t"/>
            <w10:wrap type="none"/>
            <w10:anchorlock/>
          </v:shape>
          <o:OLEObject Type="Embed" ProgID="" ShapeID="_x0000_i1030" DrawAspect="Content" ObjectID="_1468075727" r:id="rId20">
            <o:LockedField>false</o:LockedField>
          </o:OLEObject>
        </w:object>
      </w: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3-4  </w:t>
      </w:r>
      <w:r>
        <w:rPr>
          <w:rFonts w:hint="eastAsia" w:ascii="Times New Roman" w:hAnsi="Times New Roman" w:eastAsia="黑体" w:cs="Times New Roman"/>
          <w:color w:val="000000"/>
          <w:kern w:val="0"/>
          <w:sz w:val="24"/>
          <w:szCs w:val="24"/>
          <w:lang w:val="en-US" w:eastAsia="zh-CN" w:bidi="ar"/>
        </w:rPr>
        <w:t>本项目浮选生产线工艺流程及产排污节点示意图</w:t>
      </w:r>
    </w:p>
    <w:p>
      <w:pPr>
        <w:pStyle w:val="113"/>
        <w:widowControl/>
        <w:rPr>
          <w:rFonts w:hint="default" w:ascii="Times New Roman" w:hAnsi="Times New Roman" w:cs="Times New Roman"/>
          <w:color w:val="000000"/>
          <w:lang/>
        </w:rPr>
      </w:pPr>
      <w:r>
        <w:rPr>
          <w:rFonts w:hint="default" w:ascii="Times New Roman" w:hAnsi="Times New Roman" w:eastAsia="宋体" w:cs="Times New Roman"/>
          <w:b/>
          <w:bCs w:val="0"/>
          <w:color w:val="000000"/>
          <w:sz w:val="24"/>
          <w:szCs w:val="28"/>
          <w:lang w:eastAsia="zh-CN" w:bidi="ar"/>
        </w:rPr>
        <w:br w:type="page"/>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 </w:t>
      </w:r>
      <w:r>
        <w:rPr>
          <w:rFonts w:ascii="Times New Roman" w:hAnsi="Times New Roman" w:cs="Times New Roman"/>
          <w:color w:val="000000"/>
          <w:lang w:eastAsia="zh-CN"/>
        </w:rPr>
        <w:t>排污节点</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3.2-4    </w:t>
      </w:r>
      <w:r>
        <w:rPr>
          <w:rFonts w:hint="eastAsia" w:ascii="Times New Roman" w:hAnsi="Times New Roman" w:eastAsia="黑体" w:cs="Times New Roman"/>
          <w:color w:val="000000"/>
          <w:kern w:val="0"/>
          <w:sz w:val="24"/>
          <w:szCs w:val="24"/>
          <w:lang w:val="en-US" w:eastAsia="zh-CN" w:bidi="ar"/>
        </w:rPr>
        <w:t>本项目排污节点一览表</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822"/>
        <w:gridCol w:w="1381"/>
        <w:gridCol w:w="1894"/>
        <w:gridCol w:w="1613"/>
        <w:gridCol w:w="1916"/>
        <w:gridCol w:w="1101"/>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40" w:hRule="atLeast"/>
          <w:tblHeader/>
        </w:trPr>
        <w:tc>
          <w:tcPr>
            <w:tcW w:w="471" w:type="pct"/>
            <w:tcBorders>
              <w:top w:val="thinThickSmallGap" w:color="auto" w:sz="12" w:space="0"/>
              <w:left w:val="nil"/>
              <w:bottom w:val="single" w:color="auto" w:sz="4" w:space="0"/>
              <w:right w:val="single" w:color="auto" w:sz="4"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类别</w:t>
            </w:r>
          </w:p>
        </w:tc>
        <w:tc>
          <w:tcPr>
            <w:tcW w:w="791" w:type="pc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污染源编号</w:t>
            </w:r>
          </w:p>
        </w:tc>
        <w:tc>
          <w:tcPr>
            <w:tcW w:w="1085" w:type="pc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产污节点</w:t>
            </w:r>
          </w:p>
        </w:tc>
        <w:tc>
          <w:tcPr>
            <w:tcW w:w="924" w:type="pc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主要污染物</w:t>
            </w:r>
          </w:p>
        </w:tc>
        <w:tc>
          <w:tcPr>
            <w:tcW w:w="1097" w:type="pc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主要治理措施</w:t>
            </w:r>
          </w:p>
        </w:tc>
        <w:tc>
          <w:tcPr>
            <w:tcW w:w="630" w:type="pct"/>
            <w:tcBorders>
              <w:top w:val="thinThickSmallGap" w:color="auto" w:sz="12" w:space="0"/>
              <w:left w:val="single" w:color="auto" w:sz="4" w:space="0"/>
              <w:bottom w:val="single" w:color="auto" w:sz="4"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备注</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废气</w:t>
            </w: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G</w:t>
            </w:r>
            <w:r>
              <w:rPr>
                <w:rFonts w:hint="default" w:ascii="Times New Roman" w:hAnsi="Times New Roman" w:cs="Times New Roman"/>
                <w:color w:val="000000"/>
                <w:sz w:val="21"/>
                <w:szCs w:val="21"/>
                <w:bdr w:val="none" w:color="auto" w:sz="0" w:space="0"/>
                <w:vertAlign w:val="subscript"/>
                <w:lang w:val="en-US"/>
              </w:rPr>
              <w:t>1</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破碎</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1097"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布袋除尘器</w:t>
            </w:r>
            <w:r>
              <w:rPr>
                <w:rFonts w:hint="default" w:ascii="Times New Roman" w:hAnsi="Times New Roman" w:cs="Times New Roman"/>
                <w:color w:val="000000"/>
                <w:sz w:val="21"/>
                <w:szCs w:val="21"/>
                <w:bdr w:val="none" w:color="auto" w:sz="0" w:space="0"/>
                <w:lang w:val="en-US"/>
              </w:rPr>
              <w:t>+15m</w:t>
            </w:r>
            <w:r>
              <w:rPr>
                <w:rFonts w:ascii="Times New Roman" w:hAnsi="Times New Roman" w:cs="Times New Roman"/>
                <w:color w:val="000000"/>
                <w:sz w:val="21"/>
                <w:szCs w:val="21"/>
                <w:bdr w:val="none" w:color="auto" w:sz="0" w:space="0"/>
              </w:rPr>
              <w:t>排气筒</w:t>
            </w:r>
          </w:p>
        </w:tc>
        <w:tc>
          <w:tcPr>
            <w:tcW w:w="630" w:type="pct"/>
            <w:vMerge w:val="restar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firstLine="210" w:firstLineChars="100"/>
              <w:jc w:val="left"/>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有组织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G</w:t>
            </w:r>
            <w:r>
              <w:rPr>
                <w:rFonts w:hint="default" w:ascii="Times New Roman" w:hAnsi="Times New Roman" w:cs="Times New Roman"/>
                <w:color w:val="000000"/>
                <w:sz w:val="21"/>
                <w:szCs w:val="21"/>
                <w:bdr w:val="none" w:color="auto" w:sz="0" w:space="0"/>
                <w:vertAlign w:val="subscript"/>
                <w:lang w:val="en-US"/>
              </w:rPr>
              <w:t>2</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筛分</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1097"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630"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G</w:t>
            </w:r>
            <w:r>
              <w:rPr>
                <w:rFonts w:hint="default" w:ascii="Times New Roman" w:hAnsi="Times New Roman" w:cs="Times New Roman"/>
                <w:color w:val="000000"/>
                <w:sz w:val="21"/>
                <w:szCs w:val="21"/>
                <w:bdr w:val="none" w:color="auto" w:sz="0" w:space="0"/>
                <w:vertAlign w:val="subscript"/>
                <w:lang w:val="en-US"/>
              </w:rPr>
              <w:t>3</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球磨供料仓受料</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1097"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630"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G</w:t>
            </w:r>
            <w:r>
              <w:rPr>
                <w:rFonts w:hint="default" w:ascii="Times New Roman" w:hAnsi="Times New Roman" w:cs="Times New Roman"/>
                <w:color w:val="000000"/>
                <w:sz w:val="21"/>
                <w:szCs w:val="21"/>
                <w:bdr w:val="none" w:color="auto" w:sz="0" w:space="0"/>
                <w:vertAlign w:val="subscript"/>
                <w:lang w:val="en-US"/>
              </w:rPr>
              <w:t>1</w:t>
            </w:r>
            <w:r>
              <w:rPr>
                <w:rFonts w:hint="default" w:ascii="Times New Roman" w:hAnsi="Times New Roman" w:cs="Times New Roman"/>
                <w:color w:val="000000"/>
                <w:sz w:val="21"/>
                <w:szCs w:val="21"/>
                <w:bdr w:val="none" w:color="auto" w:sz="0" w:space="0"/>
                <w:lang w:val="en-US"/>
              </w:rPr>
              <w:t>’</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破碎车间</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厂房遮挡</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无组织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G</w:t>
            </w:r>
            <w:r>
              <w:rPr>
                <w:rFonts w:hint="default" w:ascii="Times New Roman" w:hAnsi="Times New Roman" w:cs="Times New Roman"/>
                <w:color w:val="000000"/>
                <w:sz w:val="21"/>
                <w:szCs w:val="21"/>
                <w:bdr w:val="none" w:color="auto" w:sz="0" w:space="0"/>
                <w:vertAlign w:val="subscript"/>
                <w:lang w:val="en-US"/>
              </w:rPr>
              <w:t>2</w:t>
            </w:r>
            <w:r>
              <w:rPr>
                <w:rFonts w:hint="default" w:ascii="Times New Roman" w:hAnsi="Times New Roman" w:cs="Times New Roman"/>
                <w:color w:val="000000"/>
                <w:sz w:val="21"/>
                <w:szCs w:val="21"/>
                <w:bdr w:val="none" w:color="auto" w:sz="0" w:space="0"/>
                <w:lang w:val="en-US"/>
              </w:rPr>
              <w:t>’</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封闭原料库</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厂房遮挡</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无组织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G</w:t>
            </w:r>
            <w:r>
              <w:rPr>
                <w:rFonts w:hint="default" w:ascii="Times New Roman" w:hAnsi="Times New Roman" w:cs="Times New Roman"/>
                <w:color w:val="000000"/>
                <w:sz w:val="21"/>
                <w:szCs w:val="21"/>
                <w:bdr w:val="none" w:color="auto" w:sz="0" w:space="0"/>
                <w:vertAlign w:val="subscript"/>
                <w:lang w:val="en-US"/>
              </w:rPr>
              <w:t>3</w:t>
            </w:r>
            <w:r>
              <w:rPr>
                <w:rFonts w:hint="default" w:ascii="Times New Roman" w:hAnsi="Times New Roman" w:cs="Times New Roman"/>
                <w:color w:val="000000"/>
                <w:sz w:val="21"/>
                <w:szCs w:val="21"/>
                <w:bdr w:val="none" w:color="auto" w:sz="0" w:space="0"/>
                <w:lang w:val="en-US"/>
              </w:rPr>
              <w:t>’</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封闭精矿库</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厂房遮挡</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无组织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G</w:t>
            </w:r>
            <w:r>
              <w:rPr>
                <w:rFonts w:hint="default" w:ascii="Times New Roman" w:hAnsi="Times New Roman" w:cs="Times New Roman"/>
                <w:color w:val="000000"/>
                <w:sz w:val="21"/>
                <w:szCs w:val="21"/>
                <w:bdr w:val="none" w:color="auto" w:sz="0" w:space="0"/>
                <w:vertAlign w:val="subscript"/>
                <w:lang w:val="en-US"/>
              </w:rPr>
              <w:t>4</w:t>
            </w:r>
            <w:r>
              <w:rPr>
                <w:rFonts w:hint="default" w:ascii="Times New Roman" w:hAnsi="Times New Roman" w:cs="Times New Roman"/>
                <w:color w:val="000000"/>
                <w:sz w:val="21"/>
                <w:szCs w:val="21"/>
                <w:bdr w:val="none" w:color="auto" w:sz="0" w:space="0"/>
                <w:lang w:val="en-US"/>
              </w:rPr>
              <w:t>’</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封闭尾矿库</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厂房遮挡</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无组织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废水</w:t>
            </w: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w:t>
            </w:r>
            <w:r>
              <w:rPr>
                <w:rFonts w:hint="default" w:ascii="Times New Roman" w:hAnsi="Times New Roman" w:cs="Times New Roman"/>
                <w:color w:val="000000"/>
                <w:sz w:val="21"/>
                <w:szCs w:val="21"/>
                <w:bdr w:val="none" w:color="auto" w:sz="0" w:space="0"/>
                <w:vertAlign w:val="subscript"/>
                <w:lang w:val="en-US"/>
              </w:rPr>
              <w:t>1</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精矿过滤机</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SS</w:t>
            </w:r>
          </w:p>
        </w:tc>
        <w:tc>
          <w:tcPr>
            <w:tcW w:w="1097"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color w:val="000000"/>
                <w:sz w:val="21"/>
                <w:szCs w:val="21"/>
                <w:bdr w:val="none" w:color="auto" w:sz="0" w:space="0"/>
              </w:rPr>
              <w:t>排入循环水池，经沉淀处理后回用于生产</w:t>
            </w:r>
          </w:p>
        </w:tc>
        <w:tc>
          <w:tcPr>
            <w:tcW w:w="630" w:type="pct"/>
            <w:vMerge w:val="restar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不外排</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w:t>
            </w:r>
            <w:r>
              <w:rPr>
                <w:rFonts w:hint="default" w:ascii="Times New Roman" w:hAnsi="Times New Roman" w:cs="Times New Roman"/>
                <w:color w:val="000000"/>
                <w:sz w:val="21"/>
                <w:szCs w:val="21"/>
                <w:bdr w:val="none" w:color="auto" w:sz="0" w:space="0"/>
                <w:vertAlign w:val="subscript"/>
                <w:lang w:val="en-US"/>
              </w:rPr>
              <w:t>2</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color w:val="000000"/>
                <w:sz w:val="21"/>
                <w:szCs w:val="21"/>
                <w:bdr w:val="none" w:color="auto" w:sz="0" w:space="0"/>
              </w:rPr>
              <w:t>尾矿浓缩机</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SS</w:t>
            </w:r>
          </w:p>
        </w:tc>
        <w:tc>
          <w:tcPr>
            <w:tcW w:w="1097"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630"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w:t>
            </w:r>
            <w:r>
              <w:rPr>
                <w:rFonts w:hint="default" w:ascii="Times New Roman" w:hAnsi="Times New Roman" w:cs="Times New Roman"/>
                <w:color w:val="000000"/>
                <w:sz w:val="21"/>
                <w:szCs w:val="21"/>
                <w:bdr w:val="none" w:color="auto" w:sz="0" w:space="0"/>
                <w:vertAlign w:val="subscript"/>
                <w:lang w:val="en-US"/>
              </w:rPr>
              <w:t>3</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color w:val="000000"/>
                <w:sz w:val="21"/>
                <w:szCs w:val="21"/>
                <w:bdr w:val="none" w:color="auto" w:sz="0" w:space="0"/>
              </w:rPr>
              <w:t>尾矿过滤机</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SS</w:t>
            </w:r>
          </w:p>
        </w:tc>
        <w:tc>
          <w:tcPr>
            <w:tcW w:w="1097"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630"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员工生活</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生活污水</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排入化粪池，定期清掏，堆沤腐熟、就地就近就农利用</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不外排</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固体</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废物</w:t>
            </w: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S</w:t>
            </w:r>
            <w:r>
              <w:rPr>
                <w:rFonts w:hint="default" w:ascii="Times New Roman" w:hAnsi="Times New Roman" w:cs="Times New Roman"/>
                <w:color w:val="000000"/>
                <w:sz w:val="21"/>
                <w:szCs w:val="21"/>
                <w:bdr w:val="none" w:color="auto" w:sz="0" w:space="0"/>
                <w:vertAlign w:val="subscript"/>
                <w:lang w:val="en-US"/>
              </w:rPr>
              <w:t>1</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振动筛</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废筛网</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厂家回收</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不外排</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S</w:t>
            </w:r>
            <w:r>
              <w:rPr>
                <w:rFonts w:hint="default" w:ascii="Times New Roman" w:hAnsi="Times New Roman" w:cs="Times New Roman"/>
                <w:color w:val="000000"/>
                <w:sz w:val="21"/>
                <w:szCs w:val="21"/>
                <w:bdr w:val="none" w:color="auto" w:sz="0" w:space="0"/>
                <w:vertAlign w:val="subscript"/>
                <w:lang w:val="en-US"/>
              </w:rPr>
              <w:t>2</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布袋除尘器</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收集粉尘</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回用于生产</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不外排</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S</w:t>
            </w:r>
            <w:r>
              <w:rPr>
                <w:rFonts w:hint="default" w:ascii="Times New Roman" w:hAnsi="Times New Roman" w:cs="Times New Roman"/>
                <w:color w:val="000000"/>
                <w:sz w:val="21"/>
                <w:szCs w:val="21"/>
                <w:bdr w:val="none" w:color="auto" w:sz="0" w:space="0"/>
                <w:vertAlign w:val="subscript"/>
                <w:lang w:val="en-US"/>
              </w:rPr>
              <w:t>3</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球磨机</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废钢球</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厂家回收</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不外排</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S</w:t>
            </w:r>
            <w:r>
              <w:rPr>
                <w:rFonts w:hint="default" w:ascii="Times New Roman" w:hAnsi="Times New Roman" w:cs="Times New Roman"/>
                <w:color w:val="000000"/>
                <w:sz w:val="21"/>
                <w:szCs w:val="21"/>
                <w:bdr w:val="none" w:color="auto" w:sz="0" w:space="0"/>
                <w:vertAlign w:val="subscript"/>
                <w:lang w:val="en-US"/>
              </w:rPr>
              <w:t>4</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循环水池</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矿泥</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尾矿库</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不外排</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color w:val="000000"/>
                <w:sz w:val="21"/>
                <w:szCs w:val="24"/>
                <w:bdr w:val="none" w:color="auto" w:sz="0" w:space="0"/>
              </w:rPr>
              <w:t>药剂车间</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color w:val="000000"/>
                <w:sz w:val="21"/>
                <w:szCs w:val="24"/>
                <w:bdr w:val="none" w:color="auto" w:sz="0" w:space="0"/>
              </w:rPr>
              <w:t>药剂包装桶</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bCs/>
                <w:color w:val="000000"/>
                <w:sz w:val="21"/>
                <w:szCs w:val="21"/>
                <w:bdr w:val="none" w:color="auto" w:sz="0" w:space="0"/>
              </w:rPr>
              <w:t>委托资质单位处理</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不外排</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厂房遮挡粉尘</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粉尘</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回用于生产</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不外排</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设备检修</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废润滑油桶</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bCs/>
                <w:color w:val="000000"/>
                <w:sz w:val="21"/>
                <w:szCs w:val="21"/>
                <w:bdr w:val="none" w:color="auto" w:sz="0" w:space="0"/>
              </w:rPr>
              <w:t>委托资质单位处理</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不外排</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设备检修</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废含油抹布</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bCs/>
                <w:color w:val="000000"/>
                <w:sz w:val="21"/>
                <w:szCs w:val="21"/>
                <w:bdr w:val="none" w:color="auto" w:sz="0" w:space="0"/>
                <w:lang w:val="en-US"/>
              </w:rPr>
            </w:pPr>
            <w:r>
              <w:rPr>
                <w:color w:val="000000"/>
                <w:sz w:val="21"/>
                <w:szCs w:val="21"/>
                <w:bdr w:val="none" w:color="auto" w:sz="0" w:space="0"/>
              </w:rPr>
              <w:t>环卫清运</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不外排</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员工生活</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生活垃圾</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bCs/>
                <w:color w:val="000000"/>
                <w:sz w:val="21"/>
                <w:szCs w:val="21"/>
                <w:bdr w:val="none" w:color="auto" w:sz="0" w:space="0"/>
                <w:lang w:val="en-US"/>
              </w:rPr>
            </w:pPr>
            <w:r>
              <w:rPr>
                <w:color w:val="000000"/>
                <w:sz w:val="21"/>
                <w:szCs w:val="21"/>
                <w:bdr w:val="none" w:color="auto" w:sz="0" w:space="0"/>
              </w:rPr>
              <w:t>环卫清运</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不外排</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restar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噪声</w:t>
            </w: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r>
              <w:rPr>
                <w:rFonts w:hint="default" w:ascii="Times New Roman" w:hAnsi="Times New Roman" w:cs="Times New Roman"/>
                <w:color w:val="000000"/>
                <w:sz w:val="21"/>
                <w:szCs w:val="21"/>
                <w:bdr w:val="none" w:color="auto" w:sz="0" w:space="0"/>
                <w:vertAlign w:val="subscript"/>
                <w:lang w:val="en-US"/>
              </w:rPr>
              <w:t>1</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粗破颚式破碎机</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等效</w:t>
            </w:r>
            <w:r>
              <w:rPr>
                <w:rFonts w:hint="default" w:ascii="Times New Roman" w:hAnsi="Times New Roman" w:cs="Times New Roman"/>
                <w:color w:val="000000"/>
                <w:sz w:val="21"/>
                <w:szCs w:val="21"/>
                <w:bdr w:val="none" w:color="auto" w:sz="0" w:space="0"/>
                <w:lang w:val="en-US"/>
              </w:rPr>
              <w:t>A</w:t>
            </w:r>
            <w:r>
              <w:rPr>
                <w:rFonts w:ascii="Times New Roman" w:hAnsi="Times New Roman" w:cs="Times New Roman"/>
                <w:color w:val="000000"/>
                <w:sz w:val="21"/>
                <w:szCs w:val="21"/>
                <w:bdr w:val="none" w:color="auto" w:sz="0" w:space="0"/>
              </w:rPr>
              <w:t>声级</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隔声、减振</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r>
              <w:rPr>
                <w:rFonts w:hint="default" w:ascii="Times New Roman" w:hAnsi="Times New Roman" w:cs="Times New Roman"/>
                <w:color w:val="000000"/>
                <w:sz w:val="21"/>
                <w:szCs w:val="21"/>
                <w:bdr w:val="none" w:color="auto" w:sz="0" w:space="0"/>
                <w:vertAlign w:val="subscript"/>
                <w:lang w:val="en-US"/>
              </w:rPr>
              <w:t>2</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中破颚式破碎机</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等效</w:t>
            </w:r>
            <w:r>
              <w:rPr>
                <w:rFonts w:hint="default" w:ascii="Times New Roman" w:hAnsi="Times New Roman" w:cs="Times New Roman"/>
                <w:color w:val="000000"/>
                <w:sz w:val="21"/>
                <w:szCs w:val="21"/>
                <w:bdr w:val="none" w:color="auto" w:sz="0" w:space="0"/>
                <w:lang w:val="en-US"/>
              </w:rPr>
              <w:t>A</w:t>
            </w:r>
            <w:r>
              <w:rPr>
                <w:rFonts w:ascii="Times New Roman" w:hAnsi="Times New Roman" w:cs="Times New Roman"/>
                <w:color w:val="000000"/>
                <w:sz w:val="21"/>
                <w:szCs w:val="21"/>
                <w:bdr w:val="none" w:color="auto" w:sz="0" w:space="0"/>
              </w:rPr>
              <w:t>声级</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隔声、减振</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r>
              <w:rPr>
                <w:rFonts w:hint="default" w:ascii="Times New Roman" w:hAnsi="Times New Roman" w:cs="Times New Roman"/>
                <w:color w:val="000000"/>
                <w:sz w:val="21"/>
                <w:szCs w:val="21"/>
                <w:bdr w:val="none" w:color="auto" w:sz="0" w:space="0"/>
                <w:vertAlign w:val="subscript"/>
                <w:lang w:val="en-US"/>
              </w:rPr>
              <w:t>3</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振动筛分机</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等效</w:t>
            </w:r>
            <w:r>
              <w:rPr>
                <w:rFonts w:hint="default" w:ascii="Times New Roman" w:hAnsi="Times New Roman" w:cs="Times New Roman"/>
                <w:color w:val="000000"/>
                <w:sz w:val="21"/>
                <w:szCs w:val="21"/>
                <w:bdr w:val="none" w:color="auto" w:sz="0" w:space="0"/>
                <w:lang w:val="en-US"/>
              </w:rPr>
              <w:t>A</w:t>
            </w:r>
            <w:r>
              <w:rPr>
                <w:rFonts w:ascii="Times New Roman" w:hAnsi="Times New Roman" w:cs="Times New Roman"/>
                <w:color w:val="000000"/>
                <w:sz w:val="21"/>
                <w:szCs w:val="21"/>
                <w:bdr w:val="none" w:color="auto" w:sz="0" w:space="0"/>
              </w:rPr>
              <w:t>声级</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隔声、减振</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r>
              <w:rPr>
                <w:rFonts w:hint="default" w:ascii="Times New Roman" w:hAnsi="Times New Roman" w:cs="Times New Roman"/>
                <w:color w:val="000000"/>
                <w:sz w:val="21"/>
                <w:szCs w:val="21"/>
                <w:bdr w:val="none" w:color="auto" w:sz="0" w:space="0"/>
                <w:vertAlign w:val="subscript"/>
                <w:lang w:val="en-US"/>
              </w:rPr>
              <w:t>4</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圆锥破碎机</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等效</w:t>
            </w:r>
            <w:r>
              <w:rPr>
                <w:rFonts w:hint="default" w:ascii="Times New Roman" w:hAnsi="Times New Roman" w:cs="Times New Roman"/>
                <w:color w:val="000000"/>
                <w:sz w:val="21"/>
                <w:szCs w:val="21"/>
                <w:bdr w:val="none" w:color="auto" w:sz="0" w:space="0"/>
                <w:lang w:val="en-US"/>
              </w:rPr>
              <w:t>A</w:t>
            </w:r>
            <w:r>
              <w:rPr>
                <w:rFonts w:ascii="Times New Roman" w:hAnsi="Times New Roman" w:cs="Times New Roman"/>
                <w:color w:val="000000"/>
                <w:sz w:val="21"/>
                <w:szCs w:val="21"/>
                <w:bdr w:val="none" w:color="auto" w:sz="0" w:space="0"/>
              </w:rPr>
              <w:t>声级</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隔声、减振</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r>
              <w:rPr>
                <w:rFonts w:hint="default" w:ascii="Times New Roman" w:hAnsi="Times New Roman" w:cs="Times New Roman"/>
                <w:color w:val="000000"/>
                <w:sz w:val="21"/>
                <w:szCs w:val="21"/>
                <w:bdr w:val="none" w:color="auto" w:sz="0" w:space="0"/>
                <w:vertAlign w:val="subscript"/>
                <w:lang w:val="en-US"/>
              </w:rPr>
              <w:t>5</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风机</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等效</w:t>
            </w:r>
            <w:r>
              <w:rPr>
                <w:rFonts w:hint="default" w:ascii="Times New Roman" w:hAnsi="Times New Roman" w:cs="Times New Roman"/>
                <w:color w:val="000000"/>
                <w:sz w:val="21"/>
                <w:szCs w:val="21"/>
                <w:bdr w:val="none" w:color="auto" w:sz="0" w:space="0"/>
                <w:lang w:val="en-US"/>
              </w:rPr>
              <w:t>A</w:t>
            </w:r>
            <w:r>
              <w:rPr>
                <w:rFonts w:ascii="Times New Roman" w:hAnsi="Times New Roman" w:cs="Times New Roman"/>
                <w:color w:val="000000"/>
                <w:sz w:val="21"/>
                <w:szCs w:val="21"/>
                <w:bdr w:val="none" w:color="auto" w:sz="0" w:space="0"/>
              </w:rPr>
              <w:t>声级</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隔声、消声</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r>
              <w:rPr>
                <w:rFonts w:hint="default" w:ascii="Times New Roman" w:hAnsi="Times New Roman" w:cs="Times New Roman"/>
                <w:color w:val="000000"/>
                <w:sz w:val="21"/>
                <w:szCs w:val="21"/>
                <w:bdr w:val="none" w:color="auto" w:sz="0" w:space="0"/>
                <w:vertAlign w:val="subscript"/>
                <w:lang w:val="en-US"/>
              </w:rPr>
              <w:t>6</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球磨机</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等效</w:t>
            </w:r>
            <w:r>
              <w:rPr>
                <w:rFonts w:hint="default" w:ascii="Times New Roman" w:hAnsi="Times New Roman" w:cs="Times New Roman"/>
                <w:color w:val="000000"/>
                <w:sz w:val="21"/>
                <w:szCs w:val="21"/>
                <w:bdr w:val="none" w:color="auto" w:sz="0" w:space="0"/>
                <w:lang w:val="en-US"/>
              </w:rPr>
              <w:t>A</w:t>
            </w:r>
            <w:r>
              <w:rPr>
                <w:rFonts w:ascii="Times New Roman" w:hAnsi="Times New Roman" w:cs="Times New Roman"/>
                <w:color w:val="000000"/>
                <w:sz w:val="21"/>
                <w:szCs w:val="21"/>
                <w:bdr w:val="none" w:color="auto" w:sz="0" w:space="0"/>
              </w:rPr>
              <w:t>声级</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隔声、减振</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r>
              <w:rPr>
                <w:rFonts w:hint="default" w:ascii="Times New Roman" w:hAnsi="Times New Roman" w:cs="Times New Roman"/>
                <w:color w:val="000000"/>
                <w:sz w:val="21"/>
                <w:szCs w:val="21"/>
                <w:bdr w:val="none" w:color="auto" w:sz="0" w:space="0"/>
                <w:vertAlign w:val="subscript"/>
                <w:lang w:val="en-US"/>
              </w:rPr>
              <w:t>7</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搅拌槽</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等效</w:t>
            </w:r>
            <w:r>
              <w:rPr>
                <w:rFonts w:hint="default" w:ascii="Times New Roman" w:hAnsi="Times New Roman" w:cs="Times New Roman"/>
                <w:color w:val="000000"/>
                <w:sz w:val="21"/>
                <w:szCs w:val="21"/>
                <w:bdr w:val="none" w:color="auto" w:sz="0" w:space="0"/>
                <w:lang w:val="en-US"/>
              </w:rPr>
              <w:t>A</w:t>
            </w:r>
            <w:r>
              <w:rPr>
                <w:rFonts w:ascii="Times New Roman" w:hAnsi="Times New Roman" w:cs="Times New Roman"/>
                <w:color w:val="000000"/>
                <w:sz w:val="21"/>
                <w:szCs w:val="21"/>
                <w:bdr w:val="none" w:color="auto" w:sz="0" w:space="0"/>
              </w:rPr>
              <w:t>声级</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隔声、减振</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r>
              <w:rPr>
                <w:rFonts w:hint="default" w:ascii="Times New Roman" w:hAnsi="Times New Roman" w:cs="Times New Roman"/>
                <w:color w:val="000000"/>
                <w:sz w:val="21"/>
                <w:szCs w:val="21"/>
                <w:bdr w:val="none" w:color="auto" w:sz="0" w:space="0"/>
                <w:vertAlign w:val="subscript"/>
                <w:lang w:val="en-US"/>
              </w:rPr>
              <w:t>8</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反浮选机</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等效</w:t>
            </w:r>
            <w:r>
              <w:rPr>
                <w:rFonts w:hint="default" w:ascii="Times New Roman" w:hAnsi="Times New Roman" w:cs="Times New Roman"/>
                <w:color w:val="000000"/>
                <w:sz w:val="21"/>
                <w:szCs w:val="21"/>
                <w:bdr w:val="none" w:color="auto" w:sz="0" w:space="0"/>
                <w:lang w:val="en-US"/>
              </w:rPr>
              <w:t>A</w:t>
            </w:r>
            <w:r>
              <w:rPr>
                <w:rFonts w:ascii="Times New Roman" w:hAnsi="Times New Roman" w:cs="Times New Roman"/>
                <w:color w:val="000000"/>
                <w:sz w:val="21"/>
                <w:szCs w:val="21"/>
                <w:bdr w:val="none" w:color="auto" w:sz="0" w:space="0"/>
              </w:rPr>
              <w:t>声级</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隔声、减振</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r>
              <w:rPr>
                <w:rFonts w:hint="default" w:ascii="Times New Roman" w:hAnsi="Times New Roman" w:cs="Times New Roman"/>
                <w:color w:val="000000"/>
                <w:sz w:val="21"/>
                <w:szCs w:val="21"/>
                <w:bdr w:val="none" w:color="auto" w:sz="0" w:space="0"/>
                <w:vertAlign w:val="subscript"/>
                <w:lang w:val="en-US"/>
              </w:rPr>
              <w:t>9</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带式过滤机</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等效</w:t>
            </w:r>
            <w:r>
              <w:rPr>
                <w:rFonts w:hint="default" w:ascii="Times New Roman" w:hAnsi="Times New Roman" w:cs="Times New Roman"/>
                <w:color w:val="000000"/>
                <w:sz w:val="21"/>
                <w:szCs w:val="21"/>
                <w:bdr w:val="none" w:color="auto" w:sz="0" w:space="0"/>
                <w:lang w:val="en-US"/>
              </w:rPr>
              <w:t>A</w:t>
            </w:r>
            <w:r>
              <w:rPr>
                <w:rFonts w:ascii="Times New Roman" w:hAnsi="Times New Roman" w:cs="Times New Roman"/>
                <w:color w:val="000000"/>
                <w:sz w:val="21"/>
                <w:szCs w:val="21"/>
                <w:bdr w:val="none" w:color="auto" w:sz="0" w:space="0"/>
              </w:rPr>
              <w:t>声级</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隔声、减振</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r>
              <w:rPr>
                <w:rFonts w:hint="default" w:ascii="Times New Roman" w:hAnsi="Times New Roman" w:cs="Times New Roman"/>
                <w:color w:val="000000"/>
                <w:sz w:val="21"/>
                <w:szCs w:val="21"/>
                <w:bdr w:val="none" w:color="auto" w:sz="0" w:space="0"/>
                <w:vertAlign w:val="subscript"/>
                <w:lang w:val="en-US"/>
              </w:rPr>
              <w:t>10</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板框压滤机</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等效</w:t>
            </w:r>
            <w:r>
              <w:rPr>
                <w:rFonts w:hint="default" w:ascii="Times New Roman" w:hAnsi="Times New Roman" w:cs="Times New Roman"/>
                <w:color w:val="000000"/>
                <w:sz w:val="21"/>
                <w:szCs w:val="21"/>
                <w:bdr w:val="none" w:color="auto" w:sz="0" w:space="0"/>
                <w:lang w:val="en-US"/>
              </w:rPr>
              <w:t>A</w:t>
            </w:r>
            <w:r>
              <w:rPr>
                <w:rFonts w:ascii="Times New Roman" w:hAnsi="Times New Roman" w:cs="Times New Roman"/>
                <w:color w:val="000000"/>
                <w:sz w:val="21"/>
                <w:szCs w:val="21"/>
                <w:bdr w:val="none" w:color="auto" w:sz="0" w:space="0"/>
              </w:rPr>
              <w:t>声级</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隔声、减振</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r>
              <w:rPr>
                <w:rFonts w:hint="default" w:ascii="Times New Roman" w:hAnsi="Times New Roman" w:cs="Times New Roman"/>
                <w:color w:val="000000"/>
                <w:sz w:val="21"/>
                <w:szCs w:val="21"/>
                <w:bdr w:val="none" w:color="auto" w:sz="0" w:space="0"/>
                <w:vertAlign w:val="subscript"/>
                <w:lang w:val="en-US"/>
              </w:rPr>
              <w:t>11</w:t>
            </w:r>
          </w:p>
        </w:tc>
        <w:tc>
          <w:tcPr>
            <w:tcW w:w="108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泵类</w:t>
            </w:r>
          </w:p>
        </w:tc>
        <w:tc>
          <w:tcPr>
            <w:tcW w:w="92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等效</w:t>
            </w:r>
            <w:r>
              <w:rPr>
                <w:rFonts w:hint="default" w:ascii="Times New Roman" w:hAnsi="Times New Roman" w:cs="Times New Roman"/>
                <w:color w:val="000000"/>
                <w:sz w:val="21"/>
                <w:szCs w:val="21"/>
                <w:bdr w:val="none" w:color="auto" w:sz="0" w:space="0"/>
                <w:lang w:val="en-US"/>
              </w:rPr>
              <w:t>A</w:t>
            </w:r>
            <w:r>
              <w:rPr>
                <w:rFonts w:ascii="Times New Roman" w:hAnsi="Times New Roman" w:cs="Times New Roman"/>
                <w:color w:val="000000"/>
                <w:sz w:val="21"/>
                <w:szCs w:val="21"/>
                <w:bdr w:val="none" w:color="auto" w:sz="0" w:space="0"/>
              </w:rPr>
              <w:t>声级</w:t>
            </w:r>
          </w:p>
        </w:tc>
        <w:tc>
          <w:tcPr>
            <w:tcW w:w="109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隔声、减振</w:t>
            </w:r>
          </w:p>
        </w:tc>
        <w:tc>
          <w:tcPr>
            <w:tcW w:w="63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791"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85"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运输车量</w:t>
            </w:r>
          </w:p>
        </w:tc>
        <w:tc>
          <w:tcPr>
            <w:tcW w:w="924"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等效</w:t>
            </w:r>
            <w:r>
              <w:rPr>
                <w:rFonts w:hint="default" w:ascii="Times New Roman" w:hAnsi="Times New Roman" w:cs="Times New Roman"/>
                <w:color w:val="000000"/>
                <w:sz w:val="21"/>
                <w:szCs w:val="21"/>
                <w:bdr w:val="none" w:color="auto" w:sz="0" w:space="0"/>
                <w:lang w:val="en-US"/>
              </w:rPr>
              <w:t>A</w:t>
            </w:r>
            <w:r>
              <w:rPr>
                <w:rFonts w:ascii="Times New Roman" w:hAnsi="Times New Roman" w:cs="Times New Roman"/>
                <w:color w:val="000000"/>
                <w:sz w:val="21"/>
                <w:szCs w:val="21"/>
                <w:bdr w:val="none" w:color="auto" w:sz="0" w:space="0"/>
              </w:rPr>
              <w:t>声级</w:t>
            </w:r>
          </w:p>
        </w:tc>
        <w:tc>
          <w:tcPr>
            <w:tcW w:w="1097"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630"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bl>
    <w:p>
      <w:pPr>
        <w:pStyle w:val="8"/>
        <w:widowControl/>
        <w:rPr>
          <w:color w:val="000000"/>
          <w:lang/>
        </w:rPr>
      </w:pPr>
      <w:r>
        <w:rPr>
          <w:rFonts w:hint="default" w:ascii="Times New Roman" w:hAnsi="Times New Roman" w:eastAsia="宋体" w:cs="Times New Roman"/>
          <w:b/>
          <w:bCs w:val="0"/>
          <w:color w:val="000000"/>
          <w:sz w:val="32"/>
          <w:szCs w:val="24"/>
          <w:lang w:eastAsia="zh-CN" w:bidi="ar"/>
        </w:rPr>
        <w:br w:type="page"/>
      </w:r>
      <w:bookmarkStart w:id="149" w:name="_Toc41656134"/>
      <w:r>
        <w:rPr>
          <w:color w:val="000000"/>
          <w:lang/>
        </w:rPr>
        <w:t xml:space="preserve">3.3 </w:t>
      </w:r>
      <w:r>
        <w:rPr>
          <w:rFonts w:hint="eastAsia" w:ascii="Times New Roman" w:hAnsi="Times New Roman" w:eastAsia="宋体" w:cs="宋体"/>
          <w:color w:val="000000"/>
          <w:lang w:eastAsia="zh-CN"/>
        </w:rPr>
        <w:t>主要污染源、污染物及控制措施</w:t>
      </w:r>
      <w:bookmarkEnd w:id="149"/>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 xml:space="preserve">.1 </w:t>
      </w:r>
      <w:r>
        <w:rPr>
          <w:rFonts w:ascii="Times New Roman" w:hAnsi="Times New Roman" w:cs="Times New Roman"/>
          <w:color w:val="000000"/>
          <w:lang w:eastAsia="zh-CN"/>
        </w:rPr>
        <w:t>施工期污染源源强核算</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 xml:space="preserve">.1 </w:t>
      </w:r>
      <w:r>
        <w:rPr>
          <w:rFonts w:ascii="Times New Roman" w:hAnsi="Times New Roman" w:cs="Times New Roman"/>
          <w:color w:val="000000"/>
          <w:lang w:eastAsia="zh-CN"/>
        </w:rPr>
        <w:t>废气</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本项目施工期施工人员约</w:t>
      </w:r>
      <w:r>
        <w:rPr>
          <w:rFonts w:hint="default" w:ascii="Times New Roman" w:hAnsi="Times New Roman" w:eastAsia="宋体" w:cs="Times New Roman"/>
          <w:color w:val="000000"/>
          <w:kern w:val="0"/>
          <w:sz w:val="24"/>
          <w:szCs w:val="24"/>
          <w:lang w:val="en-US" w:eastAsia="zh-CN" w:bidi="ar"/>
        </w:rPr>
        <w:t>50</w:t>
      </w:r>
      <w:r>
        <w:rPr>
          <w:rFonts w:hint="eastAsia" w:ascii="Times New Roman" w:hAnsi="Times New Roman" w:eastAsia="宋体" w:cs="Times New Roman"/>
          <w:color w:val="000000"/>
          <w:kern w:val="0"/>
          <w:sz w:val="24"/>
          <w:szCs w:val="24"/>
          <w:lang w:val="en-US" w:eastAsia="zh-CN" w:bidi="ar"/>
        </w:rPr>
        <w:t>人，均从当地招募。</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施工期间，基础的开挖、土方挖填、建筑材料堆放、施工机械运输、装卸等产生扬尘，运输车辆产生汽车尾气以及</w:t>
      </w:r>
      <w:r>
        <w:rPr>
          <w:rFonts w:hint="eastAsia" w:ascii="Times New Roman" w:hAnsi="Times New Roman" w:eastAsia="宋体" w:cs="Times New Roman"/>
          <w:color w:val="000000"/>
          <w:spacing w:val="-4"/>
          <w:kern w:val="0"/>
          <w:sz w:val="24"/>
          <w:szCs w:val="24"/>
          <w:lang w:val="en-US" w:eastAsia="zh-CN" w:bidi="ar"/>
        </w:rPr>
        <w:t>室内装修过程装修材料产生的异味等</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）施工扬尘污染</w:t>
      </w:r>
    </w:p>
    <w:p>
      <w:pPr>
        <w:keepNext w:val="0"/>
        <w:keepLines w:val="0"/>
        <w:widowControl/>
        <w:suppressLineNumbers w:val="0"/>
        <w:tabs>
          <w:tab w:val="left" w:pos="1506"/>
        </w:tabs>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其中扬尘是施工期环境空气的主要污染物，产生原因如下：</w:t>
      </w:r>
    </w:p>
    <w:p>
      <w:pPr>
        <w:keepNext w:val="0"/>
        <w:keepLines w:val="0"/>
        <w:widowControl w:val="0"/>
        <w:numPr>
          <w:ilvl w:val="0"/>
          <w:numId w:val="6"/>
        </w:numPr>
        <w:suppressLineNumbers w:val="0"/>
        <w:tabs>
          <w:tab w:val="left" w:pos="284"/>
        </w:tabs>
        <w:adjustRightInd w:val="0"/>
        <w:snapToGrid w:val="0"/>
        <w:spacing w:before="0" w:beforeAutospacing="0" w:after="0" w:afterAutospacing="0" w:line="360" w:lineRule="auto"/>
        <w:ind w:left="0" w:right="0" w:firstLine="480" w:firstLineChars="200"/>
        <w:jc w:val="both"/>
        <w:textAlignment w:val="baseline"/>
        <w:rPr>
          <w:rFonts w:hint="default" w:ascii="Times New Roman" w:hAnsi="Times New Roman" w:cs="Times New Roman"/>
          <w:color w:val="000000"/>
          <w:vertAlign w:val="baseline"/>
          <w:lang w:val="en-US"/>
        </w:rPr>
      </w:pPr>
      <w:r>
        <w:rPr>
          <w:rFonts w:hint="eastAsia" w:ascii="Times New Roman" w:hAnsi="Times New Roman" w:eastAsia="宋体" w:cs="Times New Roman"/>
          <w:color w:val="000000"/>
          <w:kern w:val="0"/>
          <w:sz w:val="24"/>
          <w:szCs w:val="24"/>
          <w:vertAlign w:val="baseline"/>
          <w:lang w:val="en-US" w:eastAsia="zh-CN" w:bidi="ar"/>
        </w:rPr>
        <w:t>平整场地、挖填土石方，从而使施工场地的地表和植被遭到破坏，遇风可产生扬尘。</w:t>
      </w:r>
    </w:p>
    <w:p>
      <w:pPr>
        <w:keepNext w:val="0"/>
        <w:keepLines w:val="0"/>
        <w:widowControl w:val="0"/>
        <w:numPr>
          <w:ilvl w:val="0"/>
          <w:numId w:val="6"/>
        </w:numPr>
        <w:suppressLineNumbers w:val="0"/>
        <w:tabs>
          <w:tab w:val="left" w:pos="284"/>
        </w:tabs>
        <w:adjustRightInd w:val="0"/>
        <w:snapToGrid w:val="0"/>
        <w:spacing w:before="0" w:beforeAutospacing="0" w:after="0" w:afterAutospacing="0" w:line="360" w:lineRule="auto"/>
        <w:ind w:left="0" w:right="0" w:firstLine="480" w:firstLineChars="200"/>
        <w:jc w:val="both"/>
        <w:textAlignment w:val="baseline"/>
        <w:rPr>
          <w:rFonts w:hint="default" w:ascii="Times New Roman" w:hAnsi="Times New Roman" w:cs="Times New Roman"/>
          <w:color w:val="000000"/>
          <w:vertAlign w:val="baseline"/>
          <w:lang w:val="en-US"/>
        </w:rPr>
      </w:pPr>
      <w:r>
        <w:rPr>
          <w:rFonts w:hint="eastAsia" w:ascii="Times New Roman" w:hAnsi="Times New Roman" w:eastAsia="宋体" w:cs="Times New Roman"/>
          <w:color w:val="000000"/>
          <w:kern w:val="0"/>
          <w:sz w:val="24"/>
          <w:szCs w:val="24"/>
          <w:vertAlign w:val="baseline"/>
          <w:lang w:val="en-US" w:eastAsia="zh-CN" w:bidi="ar"/>
        </w:rPr>
        <w:t>堆放沙子、水泥和石灰等易产尘的建筑材料，如无围挡、随意堆放，会产生二次扬尘。</w:t>
      </w:r>
    </w:p>
    <w:p>
      <w:pPr>
        <w:keepNext w:val="0"/>
        <w:keepLines w:val="0"/>
        <w:widowControl w:val="0"/>
        <w:numPr>
          <w:ilvl w:val="0"/>
          <w:numId w:val="6"/>
        </w:numPr>
        <w:suppressLineNumbers w:val="0"/>
        <w:tabs>
          <w:tab w:val="left" w:pos="284"/>
        </w:tabs>
        <w:adjustRightInd w:val="0"/>
        <w:snapToGrid w:val="0"/>
        <w:spacing w:before="0" w:beforeAutospacing="0" w:after="0" w:afterAutospacing="0" w:line="360" w:lineRule="auto"/>
        <w:ind w:left="0" w:right="0" w:firstLine="480" w:firstLineChars="200"/>
        <w:jc w:val="both"/>
        <w:textAlignment w:val="baseline"/>
        <w:rPr>
          <w:rFonts w:hint="default" w:ascii="Times New Roman" w:hAnsi="Times New Roman" w:cs="Times New Roman"/>
          <w:color w:val="000000"/>
          <w:vertAlign w:val="baseline"/>
          <w:lang w:val="en-US"/>
        </w:rPr>
      </w:pPr>
      <w:r>
        <w:rPr>
          <w:rFonts w:hint="eastAsia" w:ascii="Times New Roman" w:hAnsi="Times New Roman" w:eastAsia="宋体" w:cs="Times New Roman"/>
          <w:color w:val="000000"/>
          <w:kern w:val="0"/>
          <w:sz w:val="24"/>
          <w:szCs w:val="24"/>
          <w:vertAlign w:val="baseline"/>
          <w:lang w:val="en-US" w:eastAsia="zh-CN" w:bidi="ar"/>
        </w:rPr>
        <w:t>建筑材料的运输，如不采取有效的遮盖措施，会沿路遗撒，产生扬尘。</w:t>
      </w:r>
    </w:p>
    <w:p>
      <w:pPr>
        <w:keepNext w:val="0"/>
        <w:keepLines w:val="0"/>
        <w:widowControl w:val="0"/>
        <w:numPr>
          <w:ilvl w:val="0"/>
          <w:numId w:val="6"/>
        </w:numPr>
        <w:suppressLineNumbers w:val="0"/>
        <w:tabs>
          <w:tab w:val="left" w:pos="284"/>
        </w:tabs>
        <w:adjustRightInd w:val="0"/>
        <w:snapToGrid w:val="0"/>
        <w:spacing w:before="0" w:beforeAutospacing="0" w:after="0" w:afterAutospacing="0" w:line="360" w:lineRule="auto"/>
        <w:ind w:left="0" w:right="0" w:firstLine="480" w:firstLineChars="200"/>
        <w:jc w:val="both"/>
        <w:textAlignment w:val="baseline"/>
        <w:rPr>
          <w:rFonts w:hint="default" w:ascii="Times New Roman" w:hAnsi="Times New Roman" w:cs="Times New Roman"/>
          <w:color w:val="000000"/>
          <w:vertAlign w:val="baseline"/>
          <w:lang w:val="en-US"/>
        </w:rPr>
      </w:pPr>
      <w:r>
        <w:rPr>
          <w:rFonts w:hint="eastAsia" w:ascii="Times New Roman" w:hAnsi="Times New Roman" w:eastAsia="宋体" w:cs="Times New Roman"/>
          <w:color w:val="000000"/>
          <w:kern w:val="0"/>
          <w:sz w:val="24"/>
          <w:szCs w:val="24"/>
          <w:vertAlign w:val="baseline"/>
          <w:lang w:val="en-US" w:eastAsia="zh-CN" w:bidi="ar"/>
        </w:rPr>
        <w:t>在建、构筑物施工期间搅拌机搅拌混凝土和沙浆时也会造成水泥粉尘散发。</w:t>
      </w:r>
    </w:p>
    <w:p>
      <w:pPr>
        <w:keepNext w:val="0"/>
        <w:keepLines w:val="0"/>
        <w:widowControl w:val="0"/>
        <w:numPr>
          <w:ilvl w:val="0"/>
          <w:numId w:val="6"/>
        </w:numPr>
        <w:suppressLineNumbers w:val="0"/>
        <w:tabs>
          <w:tab w:val="left" w:pos="284"/>
        </w:tabs>
        <w:adjustRightInd w:val="0"/>
        <w:snapToGrid w:val="0"/>
        <w:spacing w:before="0" w:beforeAutospacing="0" w:after="0" w:afterAutospacing="0" w:line="360" w:lineRule="auto"/>
        <w:ind w:left="0" w:right="0" w:firstLine="480" w:firstLineChars="200"/>
        <w:jc w:val="both"/>
        <w:textAlignment w:val="baseline"/>
        <w:rPr>
          <w:rFonts w:hint="default" w:ascii="Times New Roman" w:hAnsi="Times New Roman" w:cs="Times New Roman"/>
          <w:color w:val="000000"/>
          <w:vertAlign w:val="baseline"/>
          <w:lang w:val="en-US"/>
        </w:rPr>
      </w:pPr>
      <w:r>
        <w:rPr>
          <w:rFonts w:hint="eastAsia" w:ascii="Times New Roman" w:hAnsi="Times New Roman" w:eastAsia="宋体" w:cs="Times New Roman"/>
          <w:color w:val="000000"/>
          <w:kern w:val="0"/>
          <w:sz w:val="24"/>
          <w:szCs w:val="24"/>
          <w:vertAlign w:val="baseline"/>
          <w:lang w:val="en-US" w:eastAsia="zh-CN" w:bidi="ar"/>
        </w:rPr>
        <w:t>施工垃圾的清理会产生扬尘。</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扬尘大小与施工管理、气象（特别是风速、降雨）条件等密切相关。一般在大风天气和干旱季节较为严重，是施工期的主要大气污染源。本项目</w:t>
      </w:r>
      <w:r>
        <w:rPr>
          <w:rFonts w:hint="eastAsia" w:ascii="Times New Roman" w:hAnsi="Times New Roman" w:eastAsia="宋体" w:cs="Times New Roman"/>
          <w:bCs/>
          <w:color w:val="000000"/>
          <w:kern w:val="0"/>
          <w:sz w:val="24"/>
          <w:szCs w:val="24"/>
          <w:lang w:val="en-US" w:eastAsia="zh-CN" w:bidi="ar"/>
        </w:rPr>
        <w:t>本项目为建筑工地，无拆迁，评价</w:t>
      </w:r>
      <w:r>
        <w:rPr>
          <w:rFonts w:hint="eastAsia" w:ascii="Times New Roman" w:hAnsi="Times New Roman" w:eastAsia="宋体" w:cs="Times New Roman"/>
          <w:color w:val="000000"/>
          <w:kern w:val="0"/>
          <w:sz w:val="24"/>
          <w:szCs w:val="24"/>
          <w:lang w:val="en-US" w:eastAsia="zh-CN" w:bidi="ar"/>
        </w:rPr>
        <w:t>采用《</w:t>
      </w:r>
      <w:r>
        <w:rPr>
          <w:rFonts w:hint="eastAsia" w:ascii="Times New Roman" w:hAnsi="Times New Roman" w:eastAsia="宋体" w:cs="Times New Roman"/>
          <w:bCs/>
          <w:color w:val="000000"/>
          <w:kern w:val="0"/>
          <w:sz w:val="24"/>
          <w:szCs w:val="24"/>
          <w:lang w:val="en-US" w:eastAsia="zh-CN" w:bidi="ar"/>
        </w:rPr>
        <w:t>辽宁省城区建筑施工扬尘排放量计算方法》中建筑工程施工工地扬尘计算方法：</w:t>
      </w:r>
    </w:p>
    <w:p>
      <w:pPr>
        <w:keepNext w:val="0"/>
        <w:keepLines w:val="0"/>
        <w:widowControl/>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施工工地扬尘排放量</w:t>
      </w:r>
      <w:r>
        <w:rPr>
          <w:rFonts w:hint="default" w:ascii="Times New Roman" w:hAnsi="Times New Roman" w:eastAsia="宋体" w:cs="Times New Roman"/>
          <w:color w:val="000000"/>
          <w:kern w:val="0"/>
          <w:sz w:val="24"/>
          <w:szCs w:val="24"/>
          <w:lang w:val="en-US" w:eastAsia="zh-CN" w:bidi="ar"/>
        </w:rPr>
        <w:t>W=W</w:t>
      </w:r>
      <w:r>
        <w:rPr>
          <w:rFonts w:hint="default" w:ascii="Times New Roman" w:hAnsi="Times New Roman" w:eastAsia="宋体" w:cs="Times New Roman"/>
          <w:color w:val="000000"/>
          <w:kern w:val="0"/>
          <w:sz w:val="24"/>
          <w:szCs w:val="24"/>
          <w:vertAlign w:val="subscript"/>
          <w:lang w:val="en-US" w:eastAsia="zh-CN" w:bidi="ar"/>
        </w:rPr>
        <w:t>B</w:t>
      </w:r>
      <w:r>
        <w:rPr>
          <w:rFonts w:hint="default" w:ascii="Times New Roman" w:hAnsi="Times New Roman" w:eastAsia="宋体" w:cs="Times New Roman"/>
          <w:color w:val="000000"/>
          <w:kern w:val="0"/>
          <w:sz w:val="24"/>
          <w:szCs w:val="24"/>
          <w:lang w:val="en-US" w:eastAsia="zh-CN" w:bidi="ar"/>
        </w:rPr>
        <w:t>+W</w:t>
      </w:r>
      <w:r>
        <w:rPr>
          <w:rFonts w:hint="default" w:ascii="Times New Roman" w:hAnsi="Times New Roman" w:eastAsia="宋体" w:cs="Times New Roman"/>
          <w:color w:val="000000"/>
          <w:kern w:val="0"/>
          <w:sz w:val="24"/>
          <w:szCs w:val="24"/>
          <w:vertAlign w:val="subscript"/>
          <w:lang w:val="en-US" w:eastAsia="zh-CN" w:bidi="ar"/>
        </w:rPr>
        <w:t>K</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（吨）</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式中：基本排放量</w:t>
      </w:r>
      <w:r>
        <w:rPr>
          <w:rFonts w:hint="default" w:ascii="Times New Roman" w:hAnsi="Times New Roman" w:eastAsia="宋体" w:cs="Times New Roman"/>
          <w:color w:val="000000"/>
          <w:kern w:val="0"/>
          <w:sz w:val="24"/>
          <w:szCs w:val="24"/>
          <w:lang w:val="en-US" w:eastAsia="zh-CN" w:bidi="ar"/>
        </w:rPr>
        <w:t>W</w:t>
      </w:r>
      <w:r>
        <w:rPr>
          <w:rFonts w:hint="default" w:ascii="Times New Roman" w:hAnsi="Times New Roman" w:eastAsia="宋体" w:cs="Times New Roman"/>
          <w:color w:val="000000"/>
          <w:kern w:val="0"/>
          <w:sz w:val="24"/>
          <w:szCs w:val="24"/>
          <w:vertAlign w:val="subscript"/>
          <w:lang w:val="en-US" w:eastAsia="zh-CN" w:bidi="ar"/>
        </w:rPr>
        <w:t>B</w:t>
      </w:r>
      <w:r>
        <w:rPr>
          <w:rFonts w:hint="default" w:ascii="Times New Roman" w:hAnsi="Times New Roman" w:eastAsia="宋体" w:cs="Times New Roman"/>
          <w:color w:val="000000"/>
          <w:kern w:val="0"/>
          <w:sz w:val="24"/>
          <w:szCs w:val="24"/>
          <w:lang w:val="en-US" w:eastAsia="zh-CN" w:bidi="ar"/>
        </w:rPr>
        <w:t xml:space="preserve"> =A×B×T </w:t>
      </w:r>
      <w:r>
        <w:rPr>
          <w:rFonts w:hint="eastAsia" w:ascii="Times New Roman" w:hAnsi="Times New Roman" w:eastAsia="宋体" w:cs="Times New Roman"/>
          <w:color w:val="000000"/>
          <w:kern w:val="0"/>
          <w:sz w:val="24"/>
          <w:szCs w:val="24"/>
          <w:lang w:val="en-US" w:eastAsia="zh-CN" w:bidi="ar"/>
        </w:rPr>
        <w:t>（吨）</w:t>
      </w:r>
    </w:p>
    <w:p>
      <w:pPr>
        <w:keepNext w:val="0"/>
        <w:keepLines w:val="0"/>
        <w:widowControl/>
        <w:suppressLineNumbers w:val="0"/>
        <w:adjustRightInd w:val="0"/>
        <w:snapToGrid w:val="0"/>
        <w:spacing w:before="0" w:beforeAutospacing="0" w:after="0" w:afterAutospacing="0" w:line="360" w:lineRule="auto"/>
        <w:ind w:left="0" w:right="0" w:firstLine="1200" w:firstLineChars="5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可控排放量</w:t>
      </w:r>
      <w:r>
        <w:rPr>
          <w:rFonts w:hint="default" w:ascii="Times New Roman" w:hAnsi="Times New Roman" w:eastAsia="宋体" w:cs="Times New Roman"/>
          <w:color w:val="000000"/>
          <w:kern w:val="0"/>
          <w:sz w:val="24"/>
          <w:szCs w:val="24"/>
          <w:lang w:val="en-US" w:eastAsia="zh-CN" w:bidi="ar"/>
        </w:rPr>
        <w:t>W</w:t>
      </w:r>
      <w:r>
        <w:rPr>
          <w:rFonts w:hint="default" w:ascii="Times New Roman" w:hAnsi="Times New Roman" w:eastAsia="宋体" w:cs="Times New Roman"/>
          <w:color w:val="000000"/>
          <w:kern w:val="0"/>
          <w:sz w:val="24"/>
          <w:szCs w:val="24"/>
          <w:vertAlign w:val="subscript"/>
          <w:lang w:val="en-US" w:eastAsia="zh-CN" w:bidi="ar"/>
        </w:rPr>
        <w:t>K</w:t>
      </w:r>
      <w:r>
        <w:rPr>
          <w:rFonts w:hint="default" w:ascii="Times New Roman" w:hAnsi="Times New Roman" w:eastAsia="宋体" w:cs="Times New Roman"/>
          <w:color w:val="000000"/>
          <w:kern w:val="0"/>
          <w:sz w:val="24"/>
          <w:szCs w:val="24"/>
          <w:lang w:val="en-US" w:eastAsia="zh-CN" w:bidi="ar"/>
        </w:rPr>
        <w:t>= A×</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P</w:t>
      </w:r>
      <w:r>
        <w:rPr>
          <w:rFonts w:hint="default" w:ascii="Times New Roman" w:hAnsi="Times New Roman" w:eastAsia="宋体" w:cs="Times New Roman"/>
          <w:color w:val="000000"/>
          <w:kern w:val="0"/>
          <w:sz w:val="24"/>
          <w:szCs w:val="24"/>
          <w:vertAlign w:val="subscript"/>
          <w:lang w:val="en-US" w:eastAsia="zh-CN" w:bidi="ar"/>
        </w:rPr>
        <w:t>11</w:t>
      </w:r>
      <w:r>
        <w:rPr>
          <w:rFonts w:hint="default" w:ascii="Times New Roman" w:hAnsi="Times New Roman" w:eastAsia="宋体" w:cs="Times New Roman"/>
          <w:color w:val="000000"/>
          <w:kern w:val="0"/>
          <w:sz w:val="24"/>
          <w:szCs w:val="24"/>
          <w:lang w:val="en-US" w:eastAsia="zh-CN" w:bidi="ar"/>
        </w:rPr>
        <w:t>+ P</w:t>
      </w:r>
      <w:r>
        <w:rPr>
          <w:rFonts w:hint="default" w:ascii="Times New Roman" w:hAnsi="Times New Roman" w:eastAsia="宋体" w:cs="Times New Roman"/>
          <w:color w:val="000000"/>
          <w:kern w:val="0"/>
          <w:sz w:val="24"/>
          <w:szCs w:val="24"/>
          <w:vertAlign w:val="subscript"/>
          <w:lang w:val="en-US" w:eastAsia="zh-CN" w:bidi="ar"/>
        </w:rPr>
        <w:t>12</w:t>
      </w:r>
      <w:r>
        <w:rPr>
          <w:rFonts w:hint="default" w:ascii="Times New Roman" w:hAnsi="Times New Roman" w:eastAsia="宋体" w:cs="Times New Roman"/>
          <w:color w:val="000000"/>
          <w:kern w:val="0"/>
          <w:sz w:val="24"/>
          <w:szCs w:val="24"/>
          <w:lang w:val="en-US" w:eastAsia="zh-CN" w:bidi="ar"/>
        </w:rPr>
        <w:t>+ P</w:t>
      </w:r>
      <w:r>
        <w:rPr>
          <w:rFonts w:hint="default" w:ascii="Times New Roman" w:hAnsi="Times New Roman" w:eastAsia="宋体" w:cs="Times New Roman"/>
          <w:color w:val="000000"/>
          <w:kern w:val="0"/>
          <w:sz w:val="24"/>
          <w:szCs w:val="24"/>
          <w:vertAlign w:val="subscript"/>
          <w:lang w:val="en-US" w:eastAsia="zh-CN" w:bidi="ar"/>
        </w:rPr>
        <w:t>13</w:t>
      </w:r>
      <w:r>
        <w:rPr>
          <w:rFonts w:hint="default" w:ascii="Times New Roman" w:hAnsi="Times New Roman" w:eastAsia="宋体" w:cs="Times New Roman"/>
          <w:color w:val="000000"/>
          <w:kern w:val="0"/>
          <w:sz w:val="24"/>
          <w:szCs w:val="24"/>
          <w:lang w:val="en-US" w:eastAsia="zh-CN" w:bidi="ar"/>
        </w:rPr>
        <w:t>+ P</w:t>
      </w:r>
      <w:r>
        <w:rPr>
          <w:rFonts w:hint="default" w:ascii="Times New Roman" w:hAnsi="Times New Roman" w:eastAsia="宋体" w:cs="Times New Roman"/>
          <w:color w:val="000000"/>
          <w:kern w:val="0"/>
          <w:sz w:val="24"/>
          <w:szCs w:val="24"/>
          <w:vertAlign w:val="subscript"/>
          <w:lang w:val="en-US" w:eastAsia="zh-CN" w:bidi="ar"/>
        </w:rPr>
        <w:t>14</w:t>
      </w:r>
      <w:r>
        <w:rPr>
          <w:rFonts w:hint="default" w:ascii="Times New Roman" w:hAnsi="Times New Roman" w:eastAsia="宋体" w:cs="Times New Roman"/>
          <w:color w:val="000000"/>
          <w:kern w:val="0"/>
          <w:sz w:val="24"/>
          <w:szCs w:val="24"/>
          <w:lang w:val="en-US" w:eastAsia="zh-CN" w:bidi="ar"/>
        </w:rPr>
        <w:t>+ P</w:t>
      </w:r>
      <w:r>
        <w:rPr>
          <w:rFonts w:hint="default" w:ascii="Times New Roman" w:hAnsi="Times New Roman" w:eastAsia="宋体" w:cs="Times New Roman"/>
          <w:color w:val="000000"/>
          <w:kern w:val="0"/>
          <w:sz w:val="24"/>
          <w:szCs w:val="24"/>
          <w:vertAlign w:val="subscript"/>
          <w:lang w:val="en-US" w:eastAsia="zh-CN" w:bidi="ar"/>
        </w:rPr>
        <w:t>15</w:t>
      </w:r>
      <w:r>
        <w:rPr>
          <w:rFonts w:hint="default" w:ascii="Times New Roman" w:hAnsi="Times New Roman" w:eastAsia="宋体" w:cs="Times New Roman"/>
          <w:color w:val="000000"/>
          <w:kern w:val="0"/>
          <w:sz w:val="24"/>
          <w:szCs w:val="24"/>
          <w:lang w:val="en-US" w:eastAsia="zh-CN" w:bidi="ar"/>
        </w:rPr>
        <w:t>+ P</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 xml:space="preserve">×T </w:t>
      </w:r>
      <w:r>
        <w:rPr>
          <w:rFonts w:hint="eastAsia" w:ascii="Times New Roman" w:hAnsi="Times New Roman" w:eastAsia="宋体" w:cs="Times New Roman"/>
          <w:color w:val="000000"/>
          <w:kern w:val="0"/>
          <w:sz w:val="24"/>
          <w:szCs w:val="24"/>
          <w:lang w:val="en-US" w:eastAsia="zh-CN" w:bidi="ar"/>
        </w:rPr>
        <w:t>（吨）</w:t>
      </w:r>
    </w:p>
    <w:p>
      <w:pPr>
        <w:keepNext w:val="0"/>
        <w:keepLines w:val="0"/>
        <w:widowControl/>
        <w:suppressLineNumbers w:val="0"/>
        <w:adjustRightInd w:val="0"/>
        <w:snapToGrid w:val="0"/>
        <w:spacing w:before="0" w:beforeAutospacing="0" w:after="0" w:afterAutospacing="0" w:line="360" w:lineRule="auto"/>
        <w:ind w:left="0" w:right="0" w:firstLine="1200" w:firstLineChars="5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：建筑面积（市政工地按施工面积）（万平方米）</w:t>
      </w:r>
    </w:p>
    <w:p>
      <w:pPr>
        <w:keepNext w:val="0"/>
        <w:keepLines w:val="0"/>
        <w:widowControl/>
        <w:suppressLineNumbers w:val="0"/>
        <w:adjustRightInd w:val="0"/>
        <w:snapToGrid w:val="0"/>
        <w:spacing w:before="0" w:beforeAutospacing="0" w:after="0" w:afterAutospacing="0" w:line="360" w:lineRule="auto"/>
        <w:ind w:left="0" w:right="0" w:firstLine="1200" w:firstLineChars="5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B</w:t>
      </w:r>
      <w:r>
        <w:rPr>
          <w:rFonts w:hint="eastAsia" w:ascii="Times New Roman" w:hAnsi="Times New Roman" w:eastAsia="宋体" w:cs="Times New Roman"/>
          <w:color w:val="000000"/>
          <w:kern w:val="0"/>
          <w:sz w:val="24"/>
          <w:szCs w:val="24"/>
          <w:lang w:val="en-US" w:eastAsia="zh-CN" w:bidi="ar"/>
        </w:rPr>
        <w:t>：基本排放量排放系数（吨</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万平方米</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月），详见下表。</w:t>
      </w:r>
    </w:p>
    <w:p>
      <w:pPr>
        <w:keepNext w:val="0"/>
        <w:keepLines w:val="0"/>
        <w:widowControl/>
        <w:suppressLineNumbers w:val="0"/>
        <w:adjustRightInd w:val="0"/>
        <w:snapToGrid w:val="0"/>
        <w:spacing w:before="0" w:beforeAutospacing="0" w:after="0" w:afterAutospacing="0" w:line="360" w:lineRule="auto"/>
        <w:ind w:left="0" w:right="0" w:firstLine="1050" w:firstLineChars="500"/>
        <w:jc w:val="both"/>
        <w:rPr>
          <w:rFonts w:hint="default" w:ascii="Times New Roman" w:hAnsi="Times New Roman" w:cs="Times New Roman"/>
          <w:color w:val="000000"/>
          <w:lang w:val="en-US"/>
        </w:rPr>
      </w:pPr>
    </w:p>
    <w:p>
      <w:pPr>
        <w:keepNext w:val="0"/>
        <w:keepLines w:val="0"/>
        <w:widowControl/>
        <w:suppressLineNumbers w:val="0"/>
        <w:adjustRightInd w:val="0"/>
        <w:snapToGrid w:val="0"/>
        <w:spacing w:before="0" w:beforeAutospacing="0" w:after="0" w:afterAutospacing="0" w:line="360" w:lineRule="auto"/>
        <w:ind w:left="0" w:right="0" w:firstLine="1050" w:firstLineChars="500"/>
        <w:jc w:val="left"/>
        <w:rPr>
          <w:rFonts w:hint="default" w:ascii="Times New Roman" w:hAnsi="Times New Roman" w:cs="Times New Roman"/>
          <w:color w:val="000000"/>
          <w:lang w:val="en-US"/>
        </w:rPr>
      </w:pPr>
    </w:p>
    <w:p>
      <w:pPr>
        <w:keepNext w:val="0"/>
        <w:keepLines w:val="0"/>
        <w:widowControl w:val="0"/>
        <w:suppressLineNumbers w:val="0"/>
        <w:spacing w:before="0" w:beforeAutospacing="0" w:after="0" w:afterAutospacing="0" w:line="400" w:lineRule="exact"/>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3.3-1  </w:t>
      </w:r>
      <w:r>
        <w:rPr>
          <w:rFonts w:hint="eastAsia" w:ascii="Times New Roman" w:hAnsi="Times New Roman" w:eastAsia="黑体" w:cs="Times New Roman"/>
          <w:color w:val="000000"/>
          <w:kern w:val="0"/>
          <w:sz w:val="24"/>
          <w:szCs w:val="24"/>
          <w:lang w:val="en-US" w:eastAsia="zh-CN" w:bidi="ar"/>
        </w:rPr>
        <w:t>施工工地扬尘基本排放系数</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1384"/>
        <w:gridCol w:w="2410"/>
        <w:gridCol w:w="4837"/>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jc w:val="center"/>
        </w:trPr>
        <w:tc>
          <w:tcPr>
            <w:tcW w:w="1384" w:type="dxa"/>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序号</w:t>
            </w:r>
          </w:p>
        </w:tc>
        <w:tc>
          <w:tcPr>
            <w:tcW w:w="2410"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工地类型</w:t>
            </w:r>
          </w:p>
        </w:tc>
        <w:tc>
          <w:tcPr>
            <w:tcW w:w="4837" w:type="dxa"/>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基本排放量排放系数</w:t>
            </w:r>
            <w:r>
              <w:rPr>
                <w:rFonts w:hint="default" w:ascii="Times New Roman" w:hAnsi="Times New Roman" w:cs="Times New Roman"/>
                <w:color w:val="000000"/>
                <w:sz w:val="21"/>
                <w:szCs w:val="21"/>
                <w:bdr w:val="none" w:color="auto" w:sz="0" w:space="0"/>
                <w:lang w:val="en-US"/>
              </w:rPr>
              <w:t>B</w:t>
            </w:r>
            <w:r>
              <w:rPr>
                <w:rFonts w:ascii="Times New Roman" w:hAnsi="Times New Roman" w:cs="Times New Roman"/>
                <w:color w:val="000000"/>
                <w:sz w:val="21"/>
                <w:szCs w:val="21"/>
                <w:bdr w:val="none" w:color="auto" w:sz="0" w:space="0"/>
              </w:rPr>
              <w:t>（吨</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万平方米</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8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241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建筑工地</w:t>
            </w:r>
          </w:p>
        </w:tc>
        <w:tc>
          <w:tcPr>
            <w:tcW w:w="4837"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4.8</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8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p>
        </w:tc>
        <w:tc>
          <w:tcPr>
            <w:tcW w:w="241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市政工地</w:t>
            </w:r>
          </w:p>
        </w:tc>
        <w:tc>
          <w:tcPr>
            <w:tcW w:w="4837"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6.6</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84" w:type="dxa"/>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w:t>
            </w:r>
          </w:p>
        </w:tc>
        <w:tc>
          <w:tcPr>
            <w:tcW w:w="2410"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拆迁工地</w:t>
            </w:r>
          </w:p>
        </w:tc>
        <w:tc>
          <w:tcPr>
            <w:tcW w:w="4837" w:type="dxa"/>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24.2</w:t>
            </w:r>
          </w:p>
        </w:tc>
      </w:tr>
    </w:tbl>
    <w:p>
      <w:pPr>
        <w:keepNext w:val="0"/>
        <w:keepLines w:val="0"/>
        <w:widowControl/>
        <w:suppressLineNumbers w:val="0"/>
        <w:snapToGrid w:val="0"/>
        <w:spacing w:before="0" w:beforeAutospacing="0" w:after="0" w:afterAutospacing="0"/>
        <w:ind w:left="0" w:right="0" w:firstLine="482"/>
        <w:jc w:val="center"/>
        <w:rPr>
          <w:rFonts w:hint="default" w:ascii="Times New Roman" w:hAnsi="Times New Roman" w:cs="Times New Roman"/>
          <w:b/>
          <w:bCs w:val="0"/>
          <w:color w:val="000000"/>
          <w:lang w:val="en-US"/>
        </w:rPr>
      </w:pPr>
    </w:p>
    <w:p>
      <w:pPr>
        <w:keepNext w:val="0"/>
        <w:keepLines w:val="0"/>
        <w:widowControl/>
        <w:suppressLineNumbers w:val="0"/>
        <w:spacing w:before="0" w:beforeAutospacing="0" w:after="0" w:afterAutospacing="0"/>
        <w:ind w:left="0" w:right="0" w:firstLine="48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T</w:t>
      </w:r>
      <w:r>
        <w:rPr>
          <w:rFonts w:hint="eastAsia" w:ascii="Times New Roman" w:hAnsi="Times New Roman" w:eastAsia="宋体" w:cs="Times New Roman"/>
          <w:color w:val="000000"/>
          <w:kern w:val="0"/>
          <w:sz w:val="24"/>
          <w:szCs w:val="24"/>
          <w:lang w:val="en-US" w:eastAsia="zh-CN" w:bidi="ar"/>
        </w:rPr>
        <w:t>：施工期（月），计算基本排放量时，建筑工程最大值为</w:t>
      </w:r>
      <w:r>
        <w:rPr>
          <w:rFonts w:hint="default" w:ascii="Times New Roman" w:hAnsi="Times New Roman" w:eastAsia="宋体" w:cs="Times New Roman"/>
          <w:color w:val="000000"/>
          <w:kern w:val="0"/>
          <w:sz w:val="24"/>
          <w:szCs w:val="24"/>
          <w:lang w:val="en-US" w:eastAsia="zh-CN" w:bidi="ar"/>
        </w:rPr>
        <w:t>12</w:t>
      </w:r>
      <w:r>
        <w:rPr>
          <w:rFonts w:hint="eastAsia" w:ascii="Times New Roman" w:hAnsi="Times New Roman" w:eastAsia="宋体" w:cs="Times New Roman"/>
          <w:color w:val="000000"/>
          <w:kern w:val="0"/>
          <w:sz w:val="24"/>
          <w:szCs w:val="24"/>
          <w:lang w:val="en-US" w:eastAsia="zh-CN" w:bidi="ar"/>
        </w:rPr>
        <w:t>个月，市政工程最大值为</w:t>
      </w:r>
      <w:r>
        <w:rPr>
          <w:rFonts w:hint="default" w:ascii="Times New Roman" w:hAnsi="Times New Roman" w:eastAsia="宋体" w:cs="Times New Roman"/>
          <w:color w:val="000000"/>
          <w:kern w:val="0"/>
          <w:sz w:val="24"/>
          <w:szCs w:val="24"/>
          <w:lang w:val="en-US" w:eastAsia="zh-CN" w:bidi="ar"/>
        </w:rPr>
        <w:t>8</w:t>
      </w:r>
      <w:r>
        <w:rPr>
          <w:rFonts w:hint="eastAsia" w:ascii="Times New Roman" w:hAnsi="Times New Roman" w:eastAsia="宋体" w:cs="Times New Roman"/>
          <w:color w:val="000000"/>
          <w:kern w:val="0"/>
          <w:sz w:val="24"/>
          <w:szCs w:val="24"/>
          <w:lang w:val="en-US" w:eastAsia="zh-CN" w:bidi="ar"/>
        </w:rPr>
        <w:t>个月</w:t>
      </w:r>
    </w:p>
    <w:p>
      <w:pPr>
        <w:keepNext w:val="0"/>
        <w:keepLines w:val="0"/>
        <w:widowControl/>
        <w:suppressLineNumbers w:val="0"/>
        <w:spacing w:before="0" w:beforeAutospacing="0" w:after="0" w:afterAutospacing="0"/>
        <w:ind w:left="0" w:right="0" w:firstLine="48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P</w:t>
      </w:r>
      <w:r>
        <w:rPr>
          <w:rFonts w:hint="default" w:ascii="Times New Roman" w:hAnsi="Times New Roman" w:eastAsia="宋体" w:cs="Times New Roman"/>
          <w:color w:val="000000"/>
          <w:kern w:val="0"/>
          <w:sz w:val="24"/>
          <w:szCs w:val="24"/>
          <w:vertAlign w:val="subscript"/>
          <w:lang w:val="en-US" w:eastAsia="zh-CN" w:bidi="ar"/>
        </w:rPr>
        <w:t>11</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P</w:t>
      </w:r>
      <w:r>
        <w:rPr>
          <w:rFonts w:hint="default" w:ascii="Times New Roman" w:hAnsi="Times New Roman" w:eastAsia="宋体" w:cs="Times New Roman"/>
          <w:color w:val="000000"/>
          <w:kern w:val="0"/>
          <w:sz w:val="24"/>
          <w:szCs w:val="24"/>
          <w:vertAlign w:val="subscript"/>
          <w:lang w:val="en-US" w:eastAsia="zh-CN" w:bidi="ar"/>
        </w:rPr>
        <w:t>12</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P</w:t>
      </w:r>
      <w:r>
        <w:rPr>
          <w:rFonts w:hint="default" w:ascii="Times New Roman" w:hAnsi="Times New Roman" w:eastAsia="宋体" w:cs="Times New Roman"/>
          <w:color w:val="000000"/>
          <w:kern w:val="0"/>
          <w:sz w:val="24"/>
          <w:szCs w:val="24"/>
          <w:vertAlign w:val="subscript"/>
          <w:lang w:val="en-US" w:eastAsia="zh-CN" w:bidi="ar"/>
        </w:rPr>
        <w:t>13</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P</w:t>
      </w:r>
      <w:r>
        <w:rPr>
          <w:rFonts w:hint="default" w:ascii="Times New Roman" w:hAnsi="Times New Roman" w:eastAsia="宋体" w:cs="Times New Roman"/>
          <w:color w:val="000000"/>
          <w:kern w:val="0"/>
          <w:sz w:val="24"/>
          <w:szCs w:val="24"/>
          <w:vertAlign w:val="subscript"/>
          <w:lang w:val="en-US" w:eastAsia="zh-CN" w:bidi="ar"/>
        </w:rPr>
        <w:t>14</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P</w:t>
      </w:r>
      <w:r>
        <w:rPr>
          <w:rFonts w:hint="default" w:ascii="Times New Roman" w:hAnsi="Times New Roman" w:eastAsia="宋体" w:cs="Times New Roman"/>
          <w:color w:val="000000"/>
          <w:kern w:val="0"/>
          <w:sz w:val="24"/>
          <w:szCs w:val="24"/>
          <w:vertAlign w:val="subscript"/>
          <w:lang w:val="en-US" w:eastAsia="zh-CN" w:bidi="ar"/>
        </w:rPr>
        <w:t>15</w:t>
      </w:r>
      <w:r>
        <w:rPr>
          <w:rFonts w:hint="eastAsia" w:ascii="Times New Roman" w:hAnsi="Times New Roman" w:eastAsia="宋体" w:cs="Times New Roman"/>
          <w:color w:val="000000"/>
          <w:kern w:val="0"/>
          <w:sz w:val="24"/>
          <w:szCs w:val="24"/>
          <w:lang w:val="en-US" w:eastAsia="zh-CN" w:bidi="ar"/>
        </w:rPr>
        <w:t>：各项控制扬尘措施所对应的一次扬尘可控排放量排污系数（吨</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万平方米</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月），详见下表。</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P</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Times New Roman" w:hAnsi="Times New Roman" w:eastAsia="宋体" w:cs="Times New Roman"/>
          <w:color w:val="000000"/>
          <w:kern w:val="0"/>
          <w:sz w:val="24"/>
          <w:szCs w:val="24"/>
          <w:lang w:val="en-US" w:eastAsia="zh-CN" w:bidi="ar"/>
        </w:rPr>
        <w:t>：控制运输车辆扬尘所对应二次扬尘可控排放量系数（吨</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万平方米</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月），详见下表。</w:t>
      </w:r>
    </w:p>
    <w:p>
      <w:pPr>
        <w:keepNext w:val="0"/>
        <w:keepLines w:val="0"/>
        <w:widowControl w:val="0"/>
        <w:suppressLineNumbers w:val="0"/>
        <w:spacing w:before="0" w:beforeAutospacing="0" w:after="0" w:afterAutospacing="0" w:line="320" w:lineRule="exact"/>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3.3-2  </w:t>
      </w:r>
      <w:r>
        <w:rPr>
          <w:rFonts w:hint="eastAsia" w:ascii="Times New Roman" w:hAnsi="Times New Roman" w:eastAsia="黑体" w:cs="Times New Roman"/>
          <w:color w:val="000000"/>
          <w:kern w:val="0"/>
          <w:sz w:val="24"/>
          <w:szCs w:val="24"/>
          <w:lang w:val="en-US" w:eastAsia="zh-CN" w:bidi="ar"/>
        </w:rPr>
        <w:t>施工工地扬尘可控排放系数</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1242"/>
        <w:gridCol w:w="1664"/>
        <w:gridCol w:w="2589"/>
        <w:gridCol w:w="1075"/>
        <w:gridCol w:w="1075"/>
        <w:gridCol w:w="1076"/>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jc w:val="center"/>
        </w:trPr>
        <w:tc>
          <w:tcPr>
            <w:tcW w:w="1242" w:type="dxa"/>
            <w:vMerge w:val="restar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工地类型</w:t>
            </w:r>
          </w:p>
        </w:tc>
        <w:tc>
          <w:tcPr>
            <w:tcW w:w="1664" w:type="dxa"/>
            <w:vMerge w:val="restar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扬尘类型</w:t>
            </w:r>
          </w:p>
        </w:tc>
        <w:tc>
          <w:tcPr>
            <w:tcW w:w="2589" w:type="dxa"/>
            <w:vMerge w:val="restar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扬尘污染控制措施</w:t>
            </w:r>
          </w:p>
        </w:tc>
        <w:tc>
          <w:tcPr>
            <w:tcW w:w="3226" w:type="dxa"/>
            <w:gridSpan w:val="3"/>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可控排放量排放系数</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（吨</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万平方米</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月）</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2" w:type="dxa"/>
            <w:vMerge w:val="continue"/>
            <w:tcBorders>
              <w:top w:val="thinThickSmallGap" w:color="auto" w:sz="12" w:space="0"/>
              <w:left w:val="nil"/>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1664" w:type="dxa"/>
            <w:vMerge w:val="continue"/>
            <w:tcBorders>
              <w:top w:val="thinThickSmallGap" w:color="auto" w:sz="12" w:space="0"/>
              <w:left w:val="single" w:color="auto" w:sz="6" w:space="0"/>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2589" w:type="dxa"/>
            <w:vMerge w:val="continue"/>
            <w:tcBorders>
              <w:top w:val="thinThickSmallGap" w:color="auto" w:sz="12" w:space="0"/>
              <w:left w:val="single" w:color="auto" w:sz="6" w:space="0"/>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1075" w:type="dxa"/>
            <w:vMerge w:val="restart"/>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代码</w:t>
            </w:r>
          </w:p>
        </w:tc>
        <w:tc>
          <w:tcPr>
            <w:tcW w:w="2151" w:type="dxa"/>
            <w:gridSpan w:val="2"/>
            <w:tcBorders>
              <w:top w:val="single" w:color="auto" w:sz="6"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措施达标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2" w:type="dxa"/>
            <w:vMerge w:val="continue"/>
            <w:tcBorders>
              <w:top w:val="thinThickSmallGap" w:color="auto" w:sz="12" w:space="0"/>
              <w:left w:val="nil"/>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1664" w:type="dxa"/>
            <w:vMerge w:val="continue"/>
            <w:tcBorders>
              <w:top w:val="thinThickSmallGap" w:color="auto" w:sz="12" w:space="0"/>
              <w:left w:val="single" w:color="auto" w:sz="6" w:space="0"/>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2589" w:type="dxa"/>
            <w:vMerge w:val="continue"/>
            <w:tcBorders>
              <w:top w:val="thinThickSmallGap" w:color="auto" w:sz="12" w:space="0"/>
              <w:left w:val="single" w:color="auto" w:sz="6" w:space="0"/>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1075" w:type="dxa"/>
            <w:vMerge w:val="continue"/>
            <w:tcBorders>
              <w:top w:val="single" w:color="auto" w:sz="6" w:space="0"/>
              <w:left w:val="single" w:color="auto" w:sz="6" w:space="0"/>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1075" w:type="dxa"/>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是</w:t>
            </w:r>
          </w:p>
        </w:tc>
        <w:tc>
          <w:tcPr>
            <w:tcW w:w="1076" w:type="dxa"/>
            <w:tcBorders>
              <w:top w:val="single" w:color="auto" w:sz="6"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否</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2" w:type="dxa"/>
            <w:vMerge w:val="restar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建筑工地</w:t>
            </w:r>
          </w:p>
        </w:tc>
        <w:tc>
          <w:tcPr>
            <w:tcW w:w="1664" w:type="dxa"/>
            <w:vMerge w:val="restar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一次扬尘</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（累计计算）</w:t>
            </w:r>
          </w:p>
        </w:tc>
        <w:tc>
          <w:tcPr>
            <w:tcW w:w="258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道路硬化与管理</w:t>
            </w:r>
          </w:p>
        </w:tc>
        <w:tc>
          <w:tcPr>
            <w:tcW w:w="10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P</w:t>
            </w:r>
            <w:r>
              <w:rPr>
                <w:rFonts w:hint="default" w:ascii="Times New Roman" w:hAnsi="Times New Roman" w:cs="Times New Roman"/>
                <w:color w:val="000000"/>
                <w:sz w:val="21"/>
                <w:szCs w:val="21"/>
                <w:bdr w:val="none" w:color="auto" w:sz="0" w:space="0"/>
                <w:vertAlign w:val="subscript"/>
                <w:lang w:val="en-US"/>
              </w:rPr>
              <w:t>11</w:t>
            </w:r>
          </w:p>
        </w:tc>
        <w:tc>
          <w:tcPr>
            <w:tcW w:w="10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1076"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0.71</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2" w:type="dxa"/>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664"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258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边界围挡</w:t>
            </w:r>
          </w:p>
        </w:tc>
        <w:tc>
          <w:tcPr>
            <w:tcW w:w="10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P</w:t>
            </w:r>
            <w:r>
              <w:rPr>
                <w:rFonts w:hint="default" w:ascii="Times New Roman" w:hAnsi="Times New Roman" w:cs="Times New Roman"/>
                <w:color w:val="000000"/>
                <w:sz w:val="21"/>
                <w:szCs w:val="21"/>
                <w:bdr w:val="none" w:color="auto" w:sz="0" w:space="0"/>
                <w:vertAlign w:val="subscript"/>
                <w:lang w:val="en-US"/>
              </w:rPr>
              <w:t>12</w:t>
            </w:r>
          </w:p>
        </w:tc>
        <w:tc>
          <w:tcPr>
            <w:tcW w:w="10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1076"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0.47</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2" w:type="dxa"/>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664"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258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裸露地面覆盖</w:t>
            </w:r>
          </w:p>
        </w:tc>
        <w:tc>
          <w:tcPr>
            <w:tcW w:w="10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P</w:t>
            </w:r>
            <w:r>
              <w:rPr>
                <w:rFonts w:hint="default" w:ascii="Times New Roman" w:hAnsi="Times New Roman" w:cs="Times New Roman"/>
                <w:color w:val="000000"/>
                <w:sz w:val="21"/>
                <w:szCs w:val="21"/>
                <w:bdr w:val="none" w:color="auto" w:sz="0" w:space="0"/>
                <w:vertAlign w:val="subscript"/>
                <w:lang w:val="en-US"/>
              </w:rPr>
              <w:t>13</w:t>
            </w:r>
          </w:p>
        </w:tc>
        <w:tc>
          <w:tcPr>
            <w:tcW w:w="10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1076"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0.47</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2" w:type="dxa"/>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664"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258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易扬尘物料覆盖</w:t>
            </w:r>
          </w:p>
        </w:tc>
        <w:tc>
          <w:tcPr>
            <w:tcW w:w="10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P</w:t>
            </w:r>
            <w:r>
              <w:rPr>
                <w:rFonts w:hint="default" w:ascii="Times New Roman" w:hAnsi="Times New Roman" w:cs="Times New Roman"/>
                <w:color w:val="000000"/>
                <w:sz w:val="21"/>
                <w:szCs w:val="21"/>
                <w:bdr w:val="none" w:color="auto" w:sz="0" w:space="0"/>
                <w:vertAlign w:val="subscript"/>
                <w:lang w:val="en-US"/>
              </w:rPr>
              <w:t>14</w:t>
            </w:r>
          </w:p>
        </w:tc>
        <w:tc>
          <w:tcPr>
            <w:tcW w:w="10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1076"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0.25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2" w:type="dxa"/>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664"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258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定期喷洒抑制剂</w:t>
            </w:r>
          </w:p>
        </w:tc>
        <w:tc>
          <w:tcPr>
            <w:tcW w:w="10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P</w:t>
            </w:r>
            <w:r>
              <w:rPr>
                <w:rFonts w:hint="default" w:ascii="Times New Roman" w:hAnsi="Times New Roman" w:cs="Times New Roman"/>
                <w:color w:val="000000"/>
                <w:sz w:val="21"/>
                <w:szCs w:val="21"/>
                <w:bdr w:val="none" w:color="auto" w:sz="0" w:space="0"/>
                <w:vertAlign w:val="subscript"/>
                <w:lang w:val="en-US"/>
              </w:rPr>
              <w:t>15</w:t>
            </w:r>
          </w:p>
        </w:tc>
        <w:tc>
          <w:tcPr>
            <w:tcW w:w="10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1076"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2" w:type="dxa"/>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664"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二次扬尘</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（不累计计算）</w:t>
            </w:r>
          </w:p>
        </w:tc>
        <w:tc>
          <w:tcPr>
            <w:tcW w:w="2589"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运输车辆简易冲洗装置</w:t>
            </w:r>
          </w:p>
        </w:tc>
        <w:tc>
          <w:tcPr>
            <w:tcW w:w="1075"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P</w:t>
            </w:r>
            <w:r>
              <w:rPr>
                <w:rFonts w:hint="default" w:ascii="Times New Roman" w:hAnsi="Times New Roman" w:cs="Times New Roman"/>
                <w:color w:val="000000"/>
                <w:sz w:val="21"/>
                <w:szCs w:val="21"/>
                <w:bdr w:val="none" w:color="auto" w:sz="0" w:space="0"/>
                <w:vertAlign w:val="subscript"/>
                <w:lang w:val="en-US"/>
              </w:rPr>
              <w:t>2</w:t>
            </w:r>
          </w:p>
        </w:tc>
        <w:tc>
          <w:tcPr>
            <w:tcW w:w="1075"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1.55</w:t>
            </w:r>
          </w:p>
        </w:tc>
        <w:tc>
          <w:tcPr>
            <w:tcW w:w="1076" w:type="dxa"/>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3.1</w:t>
            </w:r>
          </w:p>
        </w:tc>
      </w:tr>
    </w:tbl>
    <w:p>
      <w:pPr>
        <w:keepNext w:val="0"/>
        <w:keepLines w:val="0"/>
        <w:widowControl/>
        <w:suppressLineNumbers w:val="0"/>
        <w:snapToGrid w:val="0"/>
        <w:spacing w:before="0" w:beforeAutospacing="0" w:after="0" w:afterAutospacing="0"/>
        <w:ind w:left="0" w:right="0" w:firstLine="482"/>
        <w:jc w:val="center"/>
        <w:rPr>
          <w:rFonts w:hint="default" w:ascii="Times New Roman" w:hAnsi="Times New Roman" w:cs="Times New Roman"/>
          <w:b/>
          <w:bCs w:val="0"/>
          <w:color w:val="000000"/>
          <w:lang w:val="en-US"/>
        </w:rPr>
      </w:pP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对于建筑工地按建筑面积计算。施工期以月为单位，根据实际施工时间，通常按自然月计，不足一个月，大于</w:t>
      </w:r>
      <w:r>
        <w:rPr>
          <w:rFonts w:hint="default" w:ascii="Times New Roman" w:hAnsi="Times New Roman" w:eastAsia="宋体" w:cs="Times New Roman"/>
          <w:color w:val="000000"/>
          <w:kern w:val="0"/>
          <w:sz w:val="24"/>
          <w:szCs w:val="24"/>
          <w:lang w:val="en-US" w:eastAsia="zh-CN" w:bidi="ar"/>
        </w:rPr>
        <w:t>15</w:t>
      </w:r>
      <w:r>
        <w:rPr>
          <w:rFonts w:hint="eastAsia" w:ascii="Times New Roman" w:hAnsi="Times New Roman" w:eastAsia="宋体" w:cs="Times New Roman"/>
          <w:color w:val="000000"/>
          <w:kern w:val="0"/>
          <w:sz w:val="24"/>
          <w:szCs w:val="24"/>
          <w:lang w:val="en-US" w:eastAsia="zh-CN" w:bidi="ar"/>
        </w:rPr>
        <w:t>天（含</w:t>
      </w:r>
      <w:r>
        <w:rPr>
          <w:rFonts w:hint="default" w:ascii="Times New Roman" w:hAnsi="Times New Roman" w:eastAsia="宋体" w:cs="Times New Roman"/>
          <w:color w:val="000000"/>
          <w:kern w:val="0"/>
          <w:sz w:val="24"/>
          <w:szCs w:val="24"/>
          <w:lang w:val="en-US" w:eastAsia="zh-CN" w:bidi="ar"/>
        </w:rPr>
        <w:t>15</w:t>
      </w:r>
      <w:r>
        <w:rPr>
          <w:rFonts w:hint="eastAsia" w:ascii="Times New Roman" w:hAnsi="Times New Roman" w:eastAsia="宋体" w:cs="Times New Roman"/>
          <w:color w:val="000000"/>
          <w:kern w:val="0"/>
          <w:sz w:val="24"/>
          <w:szCs w:val="24"/>
          <w:lang w:val="en-US" w:eastAsia="zh-CN" w:bidi="ar"/>
        </w:rPr>
        <w:t>天）的按一个月计，小于</w:t>
      </w:r>
      <w:r>
        <w:rPr>
          <w:rFonts w:hint="default" w:ascii="Times New Roman" w:hAnsi="Times New Roman" w:eastAsia="宋体" w:cs="Times New Roman"/>
          <w:color w:val="000000"/>
          <w:kern w:val="0"/>
          <w:sz w:val="24"/>
          <w:szCs w:val="24"/>
          <w:lang w:val="en-US" w:eastAsia="zh-CN" w:bidi="ar"/>
        </w:rPr>
        <w:t>15</w:t>
      </w:r>
      <w:r>
        <w:rPr>
          <w:rFonts w:hint="eastAsia" w:ascii="Times New Roman" w:hAnsi="Times New Roman" w:eastAsia="宋体" w:cs="Times New Roman"/>
          <w:color w:val="000000"/>
          <w:kern w:val="0"/>
          <w:sz w:val="24"/>
          <w:szCs w:val="24"/>
          <w:lang w:val="en-US" w:eastAsia="zh-CN" w:bidi="ar"/>
        </w:rPr>
        <w:t>天的按</w:t>
      </w:r>
      <w:r>
        <w:rPr>
          <w:rFonts w:hint="default" w:ascii="Times New Roman" w:hAnsi="Times New Roman" w:eastAsia="宋体" w:cs="Times New Roman"/>
          <w:color w:val="000000"/>
          <w:kern w:val="0"/>
          <w:sz w:val="24"/>
          <w:szCs w:val="24"/>
          <w:lang w:val="en-US" w:eastAsia="zh-CN" w:bidi="ar"/>
        </w:rPr>
        <w:t>0.5</w:t>
      </w:r>
      <w:r>
        <w:rPr>
          <w:rFonts w:hint="eastAsia" w:ascii="Times New Roman" w:hAnsi="Times New Roman" w:eastAsia="宋体" w:cs="Times New Roman"/>
          <w:color w:val="000000"/>
          <w:kern w:val="0"/>
          <w:sz w:val="24"/>
          <w:szCs w:val="24"/>
          <w:lang w:val="en-US" w:eastAsia="zh-CN" w:bidi="ar"/>
        </w:rPr>
        <w:t>个月。本工程施工面积约为</w:t>
      </w:r>
      <w:r>
        <w:rPr>
          <w:rFonts w:hint="default" w:ascii="Times New Roman" w:hAnsi="Times New Roman" w:eastAsia="宋体" w:cs="Times New Roman"/>
          <w:color w:val="000000"/>
          <w:kern w:val="0"/>
          <w:sz w:val="24"/>
          <w:szCs w:val="24"/>
          <w:lang w:val="en-US" w:eastAsia="zh-CN" w:bidi="ar"/>
        </w:rPr>
        <w:t>30000</w:t>
      </w:r>
      <w:r>
        <w:rPr>
          <w:rFonts w:hint="default" w:ascii="Times New Roman" w:hAnsi="Times New Roman" w:eastAsia="宋体" w:cs="Times New Roman"/>
          <w:color w:val="000000"/>
          <w:spacing w:val="-20"/>
          <w:kern w:val="0"/>
          <w:sz w:val="24"/>
          <w:szCs w:val="24"/>
          <w:lang w:val="en-US" w:eastAsia="zh-CN" w:bidi="ar"/>
        </w:rPr>
        <w:t>m</w:t>
      </w:r>
      <w:r>
        <w:rPr>
          <w:rFonts w:hint="default" w:ascii="Times New Roman" w:hAnsi="Times New Roman" w:eastAsia="宋体" w:cs="Times New Roman"/>
          <w:color w:val="000000"/>
          <w:spacing w:val="-2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W</w:t>
      </w:r>
      <w:r>
        <w:rPr>
          <w:rFonts w:hint="default" w:ascii="Times New Roman" w:hAnsi="Times New Roman" w:eastAsia="宋体" w:cs="Times New Roman"/>
          <w:color w:val="000000"/>
          <w:kern w:val="0"/>
          <w:sz w:val="24"/>
          <w:szCs w:val="24"/>
          <w:vertAlign w:val="subscript"/>
          <w:lang w:val="en-US" w:eastAsia="zh-CN" w:bidi="ar"/>
        </w:rPr>
        <w:t>B</w:t>
      </w:r>
      <w:r>
        <w:rPr>
          <w:rFonts w:hint="default" w:ascii="Times New Roman" w:hAnsi="Times New Roman" w:eastAsia="宋体" w:cs="Times New Roman"/>
          <w:color w:val="000000"/>
          <w:kern w:val="0"/>
          <w:sz w:val="24"/>
          <w:szCs w:val="24"/>
          <w:lang w:val="en-US" w:eastAsia="zh-CN" w:bidi="ar"/>
        </w:rPr>
        <w:t xml:space="preserve"> =3.0×4.8×6≈86.4</w:t>
      </w:r>
      <w:r>
        <w:rPr>
          <w:rFonts w:hint="eastAsia" w:ascii="Times New Roman" w:hAnsi="Times New Roman" w:eastAsia="宋体" w:cs="Times New Roman"/>
          <w:color w:val="000000"/>
          <w:kern w:val="0"/>
          <w:sz w:val="24"/>
          <w:szCs w:val="24"/>
          <w:lang w:val="en-US" w:eastAsia="zh-CN" w:bidi="ar"/>
        </w:rPr>
        <w:t>（吨）</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W</w:t>
      </w:r>
      <w:r>
        <w:rPr>
          <w:rFonts w:hint="default" w:ascii="Times New Roman" w:hAnsi="Times New Roman" w:eastAsia="宋体" w:cs="Times New Roman"/>
          <w:color w:val="000000"/>
          <w:kern w:val="0"/>
          <w:sz w:val="24"/>
          <w:szCs w:val="24"/>
          <w:vertAlign w:val="subscript"/>
          <w:lang w:val="en-US" w:eastAsia="zh-CN" w:bidi="ar"/>
        </w:rPr>
        <w:t>K</w:t>
      </w:r>
      <w:r>
        <w:rPr>
          <w:rFonts w:hint="default" w:ascii="Times New Roman" w:hAnsi="Times New Roman" w:eastAsia="宋体" w:cs="Times New Roman"/>
          <w:color w:val="000000"/>
          <w:kern w:val="0"/>
          <w:sz w:val="24"/>
          <w:szCs w:val="24"/>
          <w:lang w:val="en-US" w:eastAsia="zh-CN" w:bidi="ar"/>
        </w:rPr>
        <w:t>=3.0×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0+ 0+ 0+ 0+ 0+ 1.55</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×6≈27.9</w:t>
      </w:r>
      <w:r>
        <w:rPr>
          <w:rFonts w:hint="eastAsia" w:ascii="Times New Roman" w:hAnsi="Times New Roman" w:eastAsia="宋体" w:cs="Times New Roman"/>
          <w:color w:val="000000"/>
          <w:kern w:val="0"/>
          <w:sz w:val="24"/>
          <w:szCs w:val="24"/>
          <w:lang w:val="en-US" w:eastAsia="zh-CN" w:bidi="ar"/>
        </w:rPr>
        <w:t>（吨）</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W=W</w:t>
      </w:r>
      <w:r>
        <w:rPr>
          <w:rFonts w:hint="default" w:ascii="Times New Roman" w:hAnsi="Times New Roman" w:eastAsia="宋体" w:cs="Times New Roman"/>
          <w:color w:val="000000"/>
          <w:kern w:val="0"/>
          <w:sz w:val="24"/>
          <w:szCs w:val="24"/>
          <w:vertAlign w:val="subscript"/>
          <w:lang w:val="en-US" w:eastAsia="zh-CN" w:bidi="ar"/>
        </w:rPr>
        <w:t>B</w:t>
      </w:r>
      <w:r>
        <w:rPr>
          <w:rFonts w:hint="default" w:ascii="Times New Roman" w:hAnsi="Times New Roman" w:eastAsia="宋体" w:cs="Times New Roman"/>
          <w:color w:val="000000"/>
          <w:kern w:val="0"/>
          <w:sz w:val="24"/>
          <w:szCs w:val="24"/>
          <w:lang w:val="en-US" w:eastAsia="zh-CN" w:bidi="ar"/>
        </w:rPr>
        <w:t>+W</w:t>
      </w:r>
      <w:r>
        <w:rPr>
          <w:rFonts w:hint="default" w:ascii="Times New Roman" w:hAnsi="Times New Roman" w:eastAsia="宋体" w:cs="Times New Roman"/>
          <w:color w:val="000000"/>
          <w:kern w:val="0"/>
          <w:sz w:val="24"/>
          <w:szCs w:val="24"/>
          <w:vertAlign w:val="subscript"/>
          <w:lang w:val="en-US" w:eastAsia="zh-CN" w:bidi="ar"/>
        </w:rPr>
        <w:t>K</w:t>
      </w:r>
      <w:r>
        <w:rPr>
          <w:rFonts w:hint="default" w:ascii="Times New Roman" w:hAnsi="Times New Roman" w:eastAsia="宋体" w:cs="Times New Roman"/>
          <w:color w:val="000000"/>
          <w:kern w:val="0"/>
          <w:sz w:val="24"/>
          <w:szCs w:val="24"/>
          <w:lang w:val="en-US" w:eastAsia="zh-CN" w:bidi="ar"/>
        </w:rPr>
        <w:t>=86.4+27.9=114.3</w:t>
      </w:r>
      <w:r>
        <w:rPr>
          <w:rFonts w:hint="eastAsia" w:ascii="Times New Roman" w:hAnsi="Times New Roman" w:eastAsia="宋体" w:cs="Times New Roman"/>
          <w:color w:val="000000"/>
          <w:kern w:val="0"/>
          <w:sz w:val="24"/>
          <w:szCs w:val="24"/>
          <w:lang w:val="en-US" w:eastAsia="zh-CN" w:bidi="ar"/>
        </w:rPr>
        <w:t>（吨）</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由此核算，本工程施工扬尘量约</w:t>
      </w:r>
      <w:r>
        <w:rPr>
          <w:rFonts w:hint="default" w:ascii="Times New Roman" w:hAnsi="Times New Roman" w:eastAsia="宋体" w:cs="Times New Roman"/>
          <w:color w:val="000000"/>
          <w:kern w:val="0"/>
          <w:sz w:val="24"/>
          <w:szCs w:val="24"/>
          <w:lang w:val="en-US" w:eastAsia="zh-CN" w:bidi="ar"/>
        </w:rPr>
        <w:t>114.3</w:t>
      </w:r>
      <w:r>
        <w:rPr>
          <w:rFonts w:hint="eastAsia" w:ascii="Times New Roman" w:hAnsi="Times New Roman" w:eastAsia="宋体" w:cs="Times New Roman"/>
          <w:color w:val="000000"/>
          <w:kern w:val="0"/>
          <w:sz w:val="24"/>
          <w:szCs w:val="24"/>
          <w:lang w:val="en-US" w:eastAsia="zh-CN" w:bidi="ar"/>
        </w:rPr>
        <w:t>吨。</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）施工机械排放的尾气污染</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尾气污染源在整个施工期也一直存在，建筑施工机械、运输车辆使用的燃料基本为柴油，柴油机械设备运行时产生的主要大气污染物包括烟尘、</w:t>
      </w:r>
      <w:r>
        <w:rPr>
          <w:rFonts w:hint="default" w:ascii="Times New Roman" w:hAnsi="Times New Roman" w:eastAsia="宋体" w:cs="Times New Roman"/>
          <w:color w:val="000000"/>
          <w:kern w:val="0"/>
          <w:sz w:val="24"/>
          <w:szCs w:val="24"/>
          <w:lang w:val="en-US" w:eastAsia="zh-CN" w:bidi="ar"/>
        </w:rPr>
        <w:t>SO</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NOx</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CO</w:t>
      </w:r>
      <w:r>
        <w:rPr>
          <w:rFonts w:hint="eastAsia" w:ascii="Times New Roman" w:hAnsi="Times New Roman" w:eastAsia="宋体" w:cs="Times New Roman"/>
          <w:color w:val="000000"/>
          <w:kern w:val="0"/>
          <w:sz w:val="24"/>
          <w:szCs w:val="24"/>
          <w:lang w:val="en-US" w:eastAsia="zh-CN" w:bidi="ar"/>
        </w:rPr>
        <w:t>和</w:t>
      </w:r>
      <w:r>
        <w:rPr>
          <w:rFonts w:hint="default" w:ascii="Times New Roman" w:hAnsi="Times New Roman" w:eastAsia="宋体" w:cs="Times New Roman"/>
          <w:color w:val="000000"/>
          <w:kern w:val="0"/>
          <w:sz w:val="24"/>
          <w:szCs w:val="24"/>
          <w:lang w:val="en-US" w:eastAsia="zh-CN" w:bidi="ar"/>
        </w:rPr>
        <w:t>HC</w:t>
      </w:r>
      <w:r>
        <w:rPr>
          <w:rFonts w:hint="eastAsia" w:ascii="Times New Roman" w:hAnsi="Times New Roman" w:eastAsia="宋体" w:cs="Times New Roman"/>
          <w:color w:val="000000"/>
          <w:kern w:val="0"/>
          <w:sz w:val="24"/>
          <w:szCs w:val="24"/>
          <w:lang w:val="en-US" w:eastAsia="zh-CN" w:bidi="ar"/>
        </w:rPr>
        <w:t>等。其源强大小主要取决于施工机械维护保养和作业机械的数量及密度。一般情况下，由于施工机械作业的流动性、阶段性和间断性的特点，施工场地平均单位时间排放的尾气污染物总量并不大。</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spacing w:val="-4"/>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spacing w:val="-4"/>
          <w:kern w:val="0"/>
          <w:sz w:val="24"/>
          <w:szCs w:val="24"/>
          <w:lang w:val="en-US" w:eastAsia="zh-CN" w:bidi="ar"/>
        </w:rPr>
        <w:t>装修材料废气防治</w:t>
      </w:r>
    </w:p>
    <w:p>
      <w:pPr>
        <w:keepNext w:val="0"/>
        <w:keepLines w:val="0"/>
        <w:widowControl/>
        <w:suppressLineNumbers w:val="0"/>
        <w:adjustRightInd w:val="0"/>
        <w:snapToGrid w:val="0"/>
        <w:spacing w:before="0" w:beforeAutospacing="0" w:after="0" w:afterAutospacing="0" w:line="360" w:lineRule="auto"/>
        <w:ind w:left="0" w:right="0" w:firstLine="464" w:firstLineChars="200"/>
        <w:jc w:val="both"/>
        <w:rPr>
          <w:rFonts w:hint="default" w:ascii="Times New Roman" w:hAnsi="Times New Roman" w:cs="Times New Roman"/>
          <w:color w:val="000000"/>
          <w:spacing w:val="-4"/>
          <w:lang w:val="en-US"/>
        </w:rPr>
      </w:pPr>
      <w:r>
        <w:rPr>
          <w:rFonts w:hint="eastAsia" w:ascii="Times New Roman" w:hAnsi="Times New Roman" w:eastAsia="宋体" w:cs="Times New Roman"/>
          <w:color w:val="000000"/>
          <w:spacing w:val="-4"/>
          <w:kern w:val="0"/>
          <w:sz w:val="24"/>
          <w:szCs w:val="24"/>
          <w:lang w:val="en-US" w:eastAsia="zh-CN" w:bidi="ar"/>
        </w:rPr>
        <w:t>各建筑建设完成后，需进行室内装修，该过程装修材料产生异味。</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 </w:t>
      </w:r>
      <w:r>
        <w:rPr>
          <w:rFonts w:ascii="Times New Roman" w:hAnsi="Times New Roman" w:cs="Times New Roman"/>
          <w:color w:val="000000"/>
          <w:lang w:eastAsia="zh-CN"/>
        </w:rPr>
        <w:t>废水</w:t>
      </w:r>
    </w:p>
    <w:p>
      <w:pPr>
        <w:keepNext w:val="0"/>
        <w:keepLines w:val="0"/>
        <w:widowControl/>
        <w:suppressLineNumbers w:val="0"/>
        <w:tabs>
          <w:tab w:val="left" w:pos="1506"/>
        </w:tabs>
        <w:adjustRightInd w:val="0"/>
        <w:snapToGrid w:val="0"/>
        <w:spacing w:before="0" w:beforeAutospacing="0" w:after="0" w:afterAutospacing="0" w:line="360" w:lineRule="auto"/>
        <w:ind w:left="0" w:right="0" w:firstLine="480" w:firstLineChars="200"/>
        <w:jc w:val="both"/>
        <w:rPr>
          <w:color w:val="000000"/>
          <w:lang w:val="en-US"/>
        </w:rPr>
      </w:pPr>
      <w:r>
        <w:rPr>
          <w:rFonts w:hint="eastAsia" w:ascii="宋体" w:hAnsi="宋体" w:eastAsia="宋体" w:cs="宋体"/>
          <w:color w:val="000000"/>
          <w:kern w:val="0"/>
          <w:sz w:val="24"/>
          <w:szCs w:val="24"/>
          <w:lang w:val="en-US" w:eastAsia="zh-CN" w:bidi="ar"/>
        </w:rPr>
        <w:t>施工期废水主要为施工人员所排放的生活污水及施工废水。</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其中，施工废水包括施工作业中地基开挖、钻孔、结构施工产生的泥浆水；施工机械及运输车辆的冲洗水；施工机械跑、冒、滴、漏的污油及露天机械被雨水冲刷后产生的含油污水；下雨时冲刷浮土、建筑泥沙等产生的地表径流污水等。这些废水的主要污染因子为</w:t>
      </w:r>
      <w:r>
        <w:rPr>
          <w:rFonts w:hint="default" w:ascii="Times New Roman" w:hAnsi="Times New Roman" w:eastAsia="宋体" w:cs="Times New Roman"/>
          <w:color w:val="000000"/>
          <w:kern w:val="0"/>
          <w:sz w:val="24"/>
          <w:szCs w:val="24"/>
          <w:lang w:val="en-US" w:eastAsia="zh-CN" w:bidi="ar"/>
        </w:rPr>
        <w:t>SS</w:t>
      </w:r>
      <w:r>
        <w:rPr>
          <w:rFonts w:hint="eastAsia" w:ascii="Times New Roman" w:hAnsi="Times New Roman" w:eastAsia="宋体" w:cs="Times New Roman"/>
          <w:color w:val="000000"/>
          <w:kern w:val="0"/>
          <w:sz w:val="24"/>
          <w:szCs w:val="24"/>
          <w:lang w:val="en-US" w:eastAsia="zh-CN" w:bidi="ar"/>
        </w:rPr>
        <w:t>、石油类、</w:t>
      </w:r>
      <w:r>
        <w:rPr>
          <w:rFonts w:hint="default" w:ascii="Times New Roman" w:hAnsi="Times New Roman" w:eastAsia="宋体" w:cs="Times New Roman"/>
          <w:color w:val="000000"/>
          <w:kern w:val="0"/>
          <w:sz w:val="24"/>
          <w:szCs w:val="24"/>
          <w:lang w:val="en-US" w:eastAsia="zh-CN" w:bidi="ar"/>
        </w:rPr>
        <w:t>CODcr</w:t>
      </w:r>
      <w:r>
        <w:rPr>
          <w:rFonts w:hint="eastAsia" w:ascii="Times New Roman" w:hAnsi="Times New Roman" w:eastAsia="宋体" w:cs="Times New Roman"/>
          <w:color w:val="000000"/>
          <w:kern w:val="0"/>
          <w:sz w:val="24"/>
          <w:szCs w:val="24"/>
          <w:lang w:val="en-US" w:eastAsia="zh-CN" w:bidi="ar"/>
        </w:rPr>
        <w:t>。根据工程量施工废水日产生量约为</w:t>
      </w:r>
      <w:r>
        <w:rPr>
          <w:rFonts w:hint="default" w:ascii="Times New Roman" w:hAnsi="Times New Roman" w:eastAsia="宋体" w:cs="Times New Roman"/>
          <w:color w:val="000000"/>
          <w:kern w:val="0"/>
          <w:sz w:val="24"/>
          <w:szCs w:val="24"/>
          <w:lang w:val="en-US" w:eastAsia="zh-CN" w:bidi="ar"/>
        </w:rPr>
        <w:t>3t</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施工期生活污水的主要污染因子为</w:t>
      </w:r>
      <w:r>
        <w:rPr>
          <w:rFonts w:hint="default" w:ascii="Times New Roman" w:hAnsi="Times New Roman" w:eastAsia="宋体" w:cs="Times New Roman"/>
          <w:color w:val="000000"/>
          <w:kern w:val="0"/>
          <w:sz w:val="24"/>
          <w:szCs w:val="24"/>
          <w:lang w:val="en-US" w:eastAsia="zh-CN" w:bidi="ar"/>
        </w:rPr>
        <w:t>CODcr</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BOD</w:t>
      </w:r>
      <w:r>
        <w:rPr>
          <w:rFonts w:hint="default" w:ascii="Times New Roman" w:hAnsi="Times New Roman" w:eastAsia="宋体" w:cs="Times New Roman"/>
          <w:color w:val="000000"/>
          <w:kern w:val="0"/>
          <w:sz w:val="24"/>
          <w:szCs w:val="24"/>
          <w:vertAlign w:val="subscript"/>
          <w:lang w:val="en-US" w:eastAsia="zh-CN" w:bidi="ar"/>
        </w:rPr>
        <w:t>5</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SS</w:t>
      </w:r>
      <w:r>
        <w:rPr>
          <w:rFonts w:hint="eastAsia" w:ascii="Times New Roman" w:hAnsi="Times New Roman" w:eastAsia="宋体" w:cs="Times New Roman"/>
          <w:color w:val="000000"/>
          <w:kern w:val="0"/>
          <w:sz w:val="24"/>
          <w:szCs w:val="24"/>
          <w:lang w:val="en-US" w:eastAsia="zh-CN" w:bidi="ar"/>
        </w:rPr>
        <w:t>和氨氮等，不含特殊毒性因子，且排放量较小。</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 xml:space="preserve"> </w:t>
      </w:r>
      <w:r>
        <w:rPr>
          <w:rFonts w:ascii="Times New Roman" w:hAnsi="Times New Roman" w:cs="Times New Roman"/>
          <w:color w:val="000000"/>
          <w:lang w:eastAsia="zh-CN"/>
        </w:rPr>
        <w:t>固体废物</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color w:val="000000"/>
          <w:lang w:val="en-US"/>
        </w:rPr>
      </w:pPr>
      <w:r>
        <w:rPr>
          <w:rFonts w:hint="eastAsia" w:ascii="宋体" w:hAnsi="宋体" w:eastAsia="宋体" w:cs="宋体"/>
          <w:color w:val="000000"/>
          <w:kern w:val="0"/>
          <w:sz w:val="24"/>
          <w:szCs w:val="24"/>
          <w:lang w:val="en-US" w:eastAsia="zh-CN" w:bidi="ar"/>
        </w:rPr>
        <w:t>施工期间的固体废物主要来自于土石方、建筑垃圾和生活垃圾。建筑垃圾主要来自施工废弃物，如废弃的沙石砖瓦、木块、废瓷砖、塑料、废混凝土、废金属、油漆涂料包装物、碎玻璃等。若处置不当，遇暴雨降水等会被冲刷流失到受纳水体而产生水污染。</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w:t>
      </w: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 </w:t>
      </w:r>
      <w:r>
        <w:rPr>
          <w:rFonts w:ascii="Times New Roman" w:hAnsi="Times New Roman" w:cs="Times New Roman"/>
          <w:color w:val="000000"/>
          <w:lang w:eastAsia="zh-CN"/>
        </w:rPr>
        <w:t>噪声</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施工期噪声污染主要来源于施工现场的施工机械作业时产生的噪声，以及车辆运输产生的噪声。这些噪声源既有固定源，也有流动源，有的是连续源，也有不少属瞬时源（突发性噪声）。根据相关类比资料，一般建筑施工主要机械设备及其噪声源强列于下表。</w:t>
      </w:r>
    </w:p>
    <w:p>
      <w:pPr>
        <w:keepNext w:val="0"/>
        <w:keepLines w:val="0"/>
        <w:widowControl/>
        <w:suppressLineNumbers w:val="0"/>
        <w:spacing w:before="0" w:beforeAutospacing="0" w:after="0" w:afterAutospacing="0"/>
        <w:ind w:left="0" w:right="0" w:firstLine="420" w:firstLineChars="200"/>
        <w:jc w:val="both"/>
        <w:rPr>
          <w:rFonts w:hint="default" w:ascii="Times New Roman" w:hAnsi="Times New Roman" w:cs="Times New Roman"/>
          <w:color w:val="000000"/>
          <w:lang w:val="en-US"/>
        </w:rPr>
      </w:pPr>
    </w:p>
    <w:p>
      <w:pPr>
        <w:keepNext w:val="0"/>
        <w:keepLines w:val="0"/>
        <w:widowControl w:val="0"/>
        <w:suppressLineNumbers w:val="0"/>
        <w:spacing w:before="0" w:beforeAutospacing="0" w:after="0" w:afterAutospacing="0" w:line="320" w:lineRule="exact"/>
        <w:ind w:left="0" w:right="0"/>
        <w:jc w:val="center"/>
        <w:rPr>
          <w:rFonts w:eastAsia="黑体"/>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3.3-3  </w:t>
      </w:r>
      <w:r>
        <w:rPr>
          <w:rFonts w:hint="eastAsia" w:ascii="宋体" w:hAnsi="宋体" w:eastAsia="黑体" w:cs="黑体"/>
          <w:color w:val="000000"/>
          <w:kern w:val="0"/>
          <w:sz w:val="24"/>
          <w:szCs w:val="24"/>
          <w:lang w:val="en-US" w:eastAsia="zh-CN" w:bidi="ar"/>
        </w:rPr>
        <w:t>主要施工设备及噪声源强</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080"/>
        <w:gridCol w:w="3278"/>
        <w:gridCol w:w="2210"/>
        <w:gridCol w:w="2159"/>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rPr>
        <w:tc>
          <w:tcPr>
            <w:tcW w:w="619" w:type="pct"/>
            <w:vMerge w:val="restar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序号</w:t>
            </w:r>
          </w:p>
        </w:tc>
        <w:tc>
          <w:tcPr>
            <w:tcW w:w="1878" w:type="pct"/>
            <w:vMerge w:val="restar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主要设备名称</w:t>
            </w:r>
          </w:p>
        </w:tc>
        <w:tc>
          <w:tcPr>
            <w:tcW w:w="2502" w:type="pct"/>
            <w:gridSpan w:val="2"/>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源强</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9" w:type="pct"/>
            <w:vMerge w:val="continue"/>
            <w:tcBorders>
              <w:top w:val="thinThickSmallGap" w:color="auto" w:sz="12" w:space="0"/>
              <w:left w:val="nil"/>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1878" w:type="pct"/>
            <w:vMerge w:val="continue"/>
            <w:tcBorders>
              <w:top w:val="thinThickSmallGap" w:color="auto" w:sz="12" w:space="0"/>
              <w:left w:val="single" w:color="auto" w:sz="6" w:space="0"/>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1266" w:type="pct"/>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测距（</w:t>
            </w:r>
            <w:r>
              <w:rPr>
                <w:rFonts w:hint="default" w:ascii="Times New Roman" w:hAnsi="Times New Roman" w:cs="Times New Roman"/>
                <w:color w:val="000000"/>
                <w:sz w:val="21"/>
                <w:szCs w:val="21"/>
                <w:bdr w:val="none" w:color="auto" w:sz="0" w:space="0"/>
                <w:lang w:val="en-US"/>
              </w:rPr>
              <w:t>m</w:t>
            </w:r>
            <w:r>
              <w:rPr>
                <w:rFonts w:ascii="Times New Roman" w:hAnsi="Times New Roman" w:cs="Times New Roman"/>
                <w:color w:val="000000"/>
                <w:sz w:val="21"/>
                <w:szCs w:val="21"/>
                <w:bdr w:val="none" w:color="auto" w:sz="0" w:space="0"/>
              </w:rPr>
              <w:t>）</w:t>
            </w:r>
          </w:p>
        </w:tc>
        <w:tc>
          <w:tcPr>
            <w:tcW w:w="1237" w:type="pct"/>
            <w:tcBorders>
              <w:top w:val="single" w:color="auto" w:sz="6"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Lqmax</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dB</w:t>
            </w:r>
            <w:r>
              <w:rPr>
                <w:rFonts w:ascii="Times New Roman" w:hAnsi="Times New Roman" w:cs="Times New Roman"/>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9"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187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推土机</w:t>
            </w:r>
          </w:p>
        </w:tc>
        <w:tc>
          <w:tcPr>
            <w:tcW w:w="126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5.0</w:t>
            </w:r>
          </w:p>
        </w:tc>
        <w:tc>
          <w:tcPr>
            <w:tcW w:w="123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9"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p>
        </w:tc>
        <w:tc>
          <w:tcPr>
            <w:tcW w:w="187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挖掘机</w:t>
            </w:r>
          </w:p>
        </w:tc>
        <w:tc>
          <w:tcPr>
            <w:tcW w:w="126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5.0</w:t>
            </w:r>
          </w:p>
        </w:tc>
        <w:tc>
          <w:tcPr>
            <w:tcW w:w="123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9"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w:t>
            </w:r>
          </w:p>
        </w:tc>
        <w:tc>
          <w:tcPr>
            <w:tcW w:w="187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运输车</w:t>
            </w:r>
          </w:p>
        </w:tc>
        <w:tc>
          <w:tcPr>
            <w:tcW w:w="126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w:t>
            </w:r>
          </w:p>
        </w:tc>
        <w:tc>
          <w:tcPr>
            <w:tcW w:w="123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84</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9"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w:t>
            </w:r>
          </w:p>
        </w:tc>
        <w:tc>
          <w:tcPr>
            <w:tcW w:w="187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搅拌机</w:t>
            </w:r>
          </w:p>
        </w:tc>
        <w:tc>
          <w:tcPr>
            <w:tcW w:w="126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w:t>
            </w:r>
          </w:p>
        </w:tc>
        <w:tc>
          <w:tcPr>
            <w:tcW w:w="123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72</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9"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w:t>
            </w:r>
          </w:p>
        </w:tc>
        <w:tc>
          <w:tcPr>
            <w:tcW w:w="187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潜水泵</w:t>
            </w:r>
          </w:p>
        </w:tc>
        <w:tc>
          <w:tcPr>
            <w:tcW w:w="126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w:t>
            </w:r>
          </w:p>
        </w:tc>
        <w:tc>
          <w:tcPr>
            <w:tcW w:w="123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9"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w:t>
            </w:r>
          </w:p>
        </w:tc>
        <w:tc>
          <w:tcPr>
            <w:tcW w:w="187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混凝土泵</w:t>
            </w:r>
          </w:p>
        </w:tc>
        <w:tc>
          <w:tcPr>
            <w:tcW w:w="126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5.0</w:t>
            </w:r>
          </w:p>
        </w:tc>
        <w:tc>
          <w:tcPr>
            <w:tcW w:w="123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9"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w:t>
            </w:r>
          </w:p>
        </w:tc>
        <w:tc>
          <w:tcPr>
            <w:tcW w:w="187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电焊机</w:t>
            </w:r>
          </w:p>
        </w:tc>
        <w:tc>
          <w:tcPr>
            <w:tcW w:w="126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w:t>
            </w:r>
          </w:p>
        </w:tc>
        <w:tc>
          <w:tcPr>
            <w:tcW w:w="123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93</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9"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w:t>
            </w:r>
          </w:p>
        </w:tc>
        <w:tc>
          <w:tcPr>
            <w:tcW w:w="187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钢筋调直机</w:t>
            </w:r>
          </w:p>
        </w:tc>
        <w:tc>
          <w:tcPr>
            <w:tcW w:w="126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7.0</w:t>
            </w:r>
          </w:p>
        </w:tc>
        <w:tc>
          <w:tcPr>
            <w:tcW w:w="123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77</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9"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9</w:t>
            </w:r>
          </w:p>
        </w:tc>
        <w:tc>
          <w:tcPr>
            <w:tcW w:w="187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塔吊</w:t>
            </w:r>
          </w:p>
        </w:tc>
        <w:tc>
          <w:tcPr>
            <w:tcW w:w="126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15.0</w:t>
            </w:r>
          </w:p>
        </w:tc>
        <w:tc>
          <w:tcPr>
            <w:tcW w:w="123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71</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9"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w:t>
            </w:r>
          </w:p>
        </w:tc>
        <w:tc>
          <w:tcPr>
            <w:tcW w:w="187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折弯机</w:t>
            </w:r>
          </w:p>
        </w:tc>
        <w:tc>
          <w:tcPr>
            <w:tcW w:w="126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w:t>
            </w:r>
          </w:p>
        </w:tc>
        <w:tc>
          <w:tcPr>
            <w:tcW w:w="123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95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9"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11</w:t>
            </w:r>
          </w:p>
        </w:tc>
        <w:tc>
          <w:tcPr>
            <w:tcW w:w="187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电锯</w:t>
            </w:r>
          </w:p>
        </w:tc>
        <w:tc>
          <w:tcPr>
            <w:tcW w:w="126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w:t>
            </w:r>
          </w:p>
        </w:tc>
        <w:tc>
          <w:tcPr>
            <w:tcW w:w="123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103</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9"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12</w:t>
            </w:r>
          </w:p>
        </w:tc>
        <w:tc>
          <w:tcPr>
            <w:tcW w:w="187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混凝土运输车</w:t>
            </w:r>
          </w:p>
        </w:tc>
        <w:tc>
          <w:tcPr>
            <w:tcW w:w="126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5.0</w:t>
            </w:r>
          </w:p>
        </w:tc>
        <w:tc>
          <w:tcPr>
            <w:tcW w:w="123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87</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9"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13</w:t>
            </w:r>
          </w:p>
        </w:tc>
        <w:tc>
          <w:tcPr>
            <w:tcW w:w="187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钻机</w:t>
            </w:r>
          </w:p>
        </w:tc>
        <w:tc>
          <w:tcPr>
            <w:tcW w:w="126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w:t>
            </w:r>
          </w:p>
        </w:tc>
        <w:tc>
          <w:tcPr>
            <w:tcW w:w="123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90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9"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14</w:t>
            </w:r>
          </w:p>
        </w:tc>
        <w:tc>
          <w:tcPr>
            <w:tcW w:w="1878"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混凝土振捣器</w:t>
            </w:r>
          </w:p>
        </w:tc>
        <w:tc>
          <w:tcPr>
            <w:tcW w:w="1266"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12</w:t>
            </w:r>
          </w:p>
        </w:tc>
        <w:tc>
          <w:tcPr>
            <w:tcW w:w="1237"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80</w:t>
            </w:r>
          </w:p>
        </w:tc>
      </w:tr>
    </w:tbl>
    <w:p>
      <w:pPr>
        <w:keepNext w:val="0"/>
        <w:keepLines w:val="0"/>
        <w:widowControl/>
        <w:suppressLineNumbers w:val="0"/>
        <w:adjustRightInd w:val="0"/>
        <w:snapToGrid w:val="0"/>
        <w:spacing w:before="0" w:beforeAutospacing="0" w:after="0" w:afterAutospacing="0" w:line="360" w:lineRule="auto"/>
        <w:ind w:left="0" w:right="0" w:firstLine="420" w:firstLineChars="200"/>
        <w:jc w:val="left"/>
        <w:rPr>
          <w:rFonts w:hint="default" w:ascii="Times New Roman" w:hAnsi="Times New Roman" w:cs="Times New Roman"/>
          <w:color w:val="000000"/>
          <w:lang/>
        </w:rPr>
      </w:pP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 </w:t>
      </w:r>
      <w:r>
        <w:rPr>
          <w:rFonts w:ascii="Times New Roman" w:hAnsi="Times New Roman" w:cs="Times New Roman"/>
          <w:color w:val="000000"/>
          <w:lang w:eastAsia="zh-CN"/>
        </w:rPr>
        <w:t>运营期污染源源强核算</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.1 </w:t>
      </w:r>
      <w:r>
        <w:rPr>
          <w:rFonts w:ascii="Times New Roman" w:hAnsi="Times New Roman" w:cs="Times New Roman"/>
          <w:color w:val="000000"/>
          <w:lang w:eastAsia="zh-CN"/>
        </w:rPr>
        <w:t>废气</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b/>
          <w:color w:val="000000"/>
          <w:lang/>
        </w:rPr>
      </w:pPr>
      <w:r>
        <w:rPr>
          <w:rFonts w:hint="eastAsia" w:ascii="宋体" w:hAnsi="宋体" w:eastAsia="宋体" w:cs="宋体"/>
          <w:b/>
          <w:color w:val="000000"/>
          <w:kern w:val="0"/>
          <w:sz w:val="24"/>
          <w:szCs w:val="24"/>
          <w:lang w:val="en-US" w:eastAsia="zh-CN" w:bidi="ar"/>
        </w:rPr>
        <w:t>（</w:t>
      </w:r>
      <w:r>
        <w:rPr>
          <w:rFonts w:hint="eastAsia" w:ascii="宋体" w:hAnsi="宋体" w:eastAsia="宋体" w:cs="宋体"/>
          <w:b/>
          <w:color w:val="000000"/>
          <w:kern w:val="0"/>
          <w:sz w:val="24"/>
          <w:szCs w:val="24"/>
          <w:lang w:eastAsia="zh-CN" w:bidi="ar"/>
        </w:rPr>
        <w:t>1</w:t>
      </w:r>
      <w:r>
        <w:rPr>
          <w:rFonts w:hint="eastAsia" w:ascii="宋体" w:hAnsi="宋体" w:eastAsia="宋体" w:cs="宋体"/>
          <w:b/>
          <w:color w:val="000000"/>
          <w:kern w:val="0"/>
          <w:sz w:val="24"/>
          <w:szCs w:val="24"/>
          <w:lang w:val="en-US" w:eastAsia="zh-CN" w:bidi="ar"/>
        </w:rPr>
        <w:t>）有组织废气</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color w:val="000000"/>
          <w:kern w:val="0"/>
          <w:sz w:val="24"/>
          <w:szCs w:val="24"/>
          <w:lang w:val="en-US" w:eastAsia="zh-CN" w:bidi="ar"/>
        </w:rPr>
        <w:t>①</w:t>
      </w:r>
      <w:r>
        <w:rPr>
          <w:rFonts w:hint="eastAsia" w:ascii="Times New Roman" w:hAnsi="Times New Roman" w:eastAsia="宋体" w:cs="Times New Roman"/>
          <w:b/>
          <w:bCs w:val="0"/>
          <w:color w:val="000000"/>
          <w:kern w:val="0"/>
          <w:sz w:val="24"/>
          <w:szCs w:val="24"/>
          <w:lang w:val="en-US" w:eastAsia="zh-CN" w:bidi="ar"/>
        </w:rPr>
        <w:t>破碎粉尘（</w:t>
      </w:r>
      <w:r>
        <w:rPr>
          <w:rFonts w:hint="default" w:ascii="Times New Roman" w:hAnsi="Times New Roman" w:eastAsia="宋体" w:cs="Times New Roman"/>
          <w:b/>
          <w:bCs w:val="0"/>
          <w:color w:val="000000"/>
          <w:kern w:val="0"/>
          <w:sz w:val="24"/>
          <w:szCs w:val="24"/>
          <w:lang w:val="en-US" w:eastAsia="zh-CN" w:bidi="ar"/>
        </w:rPr>
        <w:t>G</w:t>
      </w:r>
      <w:r>
        <w:rPr>
          <w:rFonts w:hint="default" w:ascii="Times New Roman" w:hAnsi="Times New Roman" w:eastAsia="宋体" w:cs="Times New Roman"/>
          <w:b/>
          <w:bCs w:val="0"/>
          <w:color w:val="000000"/>
          <w:kern w:val="0"/>
          <w:sz w:val="24"/>
          <w:szCs w:val="24"/>
          <w:vertAlign w:val="subscript"/>
          <w:lang w:val="en-US" w:eastAsia="zh-CN" w:bidi="ar"/>
        </w:rPr>
        <w:t>1</w:t>
      </w:r>
      <w:r>
        <w:rPr>
          <w:rFonts w:hint="eastAsia" w:ascii="Times New Roman" w:hAnsi="Times New Roman" w:eastAsia="宋体" w:cs="Times New Roman"/>
          <w:b/>
          <w:bCs w:val="0"/>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原料洒水加湿后经颚式破碎机及圆锥破碎机进行破碎，类比同类型工程“营口中科国际科技有限公司低品位和废弃菱镁矿石综合利用项目”实际运行情况，该项目浮选生产线原矿处理规模</w:t>
      </w:r>
      <w:r>
        <w:rPr>
          <w:rFonts w:hint="default" w:ascii="Times New Roman" w:hAnsi="Times New Roman" w:eastAsia="宋体" w:cs="Times New Roman"/>
          <w:color w:val="000000"/>
          <w:kern w:val="0"/>
          <w:sz w:val="24"/>
          <w:szCs w:val="24"/>
          <w:lang w:val="en-US" w:eastAsia="zh-CN" w:bidi="ar"/>
        </w:rPr>
        <w:t>300</w:t>
      </w:r>
      <w:r>
        <w:rPr>
          <w:rFonts w:hint="eastAsia" w:ascii="Times New Roman" w:hAnsi="Times New Roman" w:eastAsia="宋体" w:cs="Times New Roman"/>
          <w:color w:val="000000"/>
          <w:kern w:val="0"/>
          <w:sz w:val="24"/>
          <w:szCs w:val="24"/>
          <w:lang w:val="en-US" w:eastAsia="zh-CN" w:bidi="ar"/>
        </w:rPr>
        <w:t>万吨</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，采用</w:t>
      </w:r>
      <w:r>
        <w:rPr>
          <w:rFonts w:hint="default" w:ascii="Times New Roman" w:hAnsi="Times New Roman" w:eastAsia="宋体" w:cs="Times New Roman"/>
          <w:color w:val="000000"/>
          <w:kern w:val="0"/>
          <w:sz w:val="24"/>
          <w:szCs w:val="24"/>
          <w:lang w:val="en-US" w:eastAsia="zh-CN" w:bidi="ar"/>
        </w:rPr>
        <w:t>850mm×1100mm</w:t>
      </w:r>
      <w:r>
        <w:rPr>
          <w:rFonts w:hint="eastAsia" w:ascii="Times New Roman" w:hAnsi="Times New Roman" w:eastAsia="宋体" w:cs="Times New Roman"/>
          <w:color w:val="000000"/>
          <w:kern w:val="0"/>
          <w:sz w:val="24"/>
          <w:szCs w:val="24"/>
          <w:lang w:val="en-US" w:eastAsia="zh-CN" w:bidi="ar"/>
        </w:rPr>
        <w:t>鄂式破碎机、圆锥破碎机，具有可类比性。经类比本项目破碎作业粉尘产生系数取</w:t>
      </w:r>
      <w:r>
        <w:rPr>
          <w:rFonts w:hint="default" w:ascii="Times New Roman" w:hAnsi="Times New Roman" w:eastAsia="宋体" w:cs="Times New Roman"/>
          <w:color w:val="000000"/>
          <w:kern w:val="0"/>
          <w:sz w:val="24"/>
          <w:szCs w:val="24"/>
          <w:lang w:val="en-US" w:eastAsia="zh-CN" w:bidi="ar"/>
        </w:rPr>
        <w:t>0.06kg/t</w:t>
      </w:r>
      <w:r>
        <w:rPr>
          <w:rFonts w:hint="eastAsia" w:ascii="Times New Roman" w:hAnsi="Times New Roman" w:eastAsia="宋体" w:cs="Times New Roman"/>
          <w:color w:val="000000"/>
          <w:kern w:val="0"/>
          <w:sz w:val="24"/>
          <w:szCs w:val="24"/>
          <w:lang w:val="en-US" w:eastAsia="zh-CN" w:bidi="ar"/>
        </w:rPr>
        <w:t>原料，</w:t>
      </w:r>
      <w:r>
        <w:rPr>
          <w:rFonts w:hint="eastAsia" w:ascii="宋体" w:hAnsi="宋体" w:eastAsia="宋体" w:cs="宋体"/>
          <w:color w:val="000000"/>
          <w:kern w:val="0"/>
          <w:sz w:val="24"/>
          <w:szCs w:val="24"/>
          <w:lang w:val="en-US" w:eastAsia="zh-CN" w:bidi="ar"/>
        </w:rPr>
        <w:t>本项目在粗破和中破颚式破碎机的给料点及下料点、圆锥破碎机的给料点及下料点分别设置集气罩，</w:t>
      </w:r>
      <w:r>
        <w:rPr>
          <w:rFonts w:hint="eastAsia" w:ascii="Times New Roman" w:hAnsi="Times New Roman" w:eastAsia="宋体" w:cs="Times New Roman"/>
          <w:color w:val="000000"/>
          <w:kern w:val="0"/>
          <w:sz w:val="24"/>
          <w:szCs w:val="24"/>
          <w:lang w:val="en-US" w:eastAsia="zh-CN" w:bidi="ar"/>
        </w:rPr>
        <w:t>捕集率约</w:t>
      </w:r>
      <w:r>
        <w:rPr>
          <w:rFonts w:hint="default" w:ascii="Times New Roman" w:hAnsi="Times New Roman" w:eastAsia="宋体" w:cs="Times New Roman"/>
          <w:color w:val="000000"/>
          <w:kern w:val="0"/>
          <w:sz w:val="24"/>
          <w:szCs w:val="24"/>
          <w:lang w:val="en-US" w:eastAsia="zh-CN" w:bidi="ar"/>
        </w:rPr>
        <w:t>95%</w:t>
      </w:r>
      <w:r>
        <w:rPr>
          <w:rFonts w:hint="eastAsia" w:ascii="Times New Roman" w:hAnsi="Times New Roman" w:eastAsia="宋体" w:cs="Times New Roman"/>
          <w:color w:val="000000"/>
          <w:kern w:val="0"/>
          <w:sz w:val="24"/>
          <w:szCs w:val="24"/>
          <w:lang w:val="en-US" w:eastAsia="zh-CN" w:bidi="ar"/>
        </w:rPr>
        <w:t>，被捕集的破碎粉尘总量为</w:t>
      </w:r>
      <w:r>
        <w:rPr>
          <w:rFonts w:hint="default" w:ascii="Times New Roman" w:hAnsi="Times New Roman" w:eastAsia="宋体" w:cs="Times New Roman"/>
          <w:color w:val="000000"/>
          <w:kern w:val="0"/>
          <w:sz w:val="24"/>
          <w:szCs w:val="24"/>
          <w:lang w:val="en-US" w:eastAsia="zh-CN" w:bidi="ar"/>
        </w:rPr>
        <w:t>71.25t/a</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9.9kg/h</w:t>
      </w:r>
      <w:r>
        <w:rPr>
          <w:rFonts w:hint="eastAsia" w:ascii="Times New Roman" w:hAnsi="Times New Roman" w:eastAsia="宋体" w:cs="Times New Roman"/>
          <w:color w:val="000000"/>
          <w:kern w:val="0"/>
          <w:sz w:val="24"/>
          <w:szCs w:val="24"/>
          <w:lang w:val="en-US" w:eastAsia="zh-CN" w:bidi="ar"/>
        </w:rPr>
        <w:t>）。捕集后通过引风机抽至布袋除尘器处理，除尘效率为</w:t>
      </w:r>
      <w:r>
        <w:rPr>
          <w:rFonts w:hint="default" w:ascii="Times New Roman" w:hAnsi="Times New Roman" w:eastAsia="宋体" w:cs="Times New Roman"/>
          <w:color w:val="000000"/>
          <w:kern w:val="0"/>
          <w:sz w:val="24"/>
          <w:szCs w:val="24"/>
          <w:lang w:val="en-US" w:eastAsia="zh-CN" w:bidi="ar"/>
        </w:rPr>
        <w:t>99.5%</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Times New Roman"/>
          <w:b/>
          <w:bCs w:val="0"/>
          <w:color w:val="000000"/>
          <w:kern w:val="0"/>
          <w:sz w:val="24"/>
          <w:szCs w:val="24"/>
          <w:lang w:val="en-US" w:eastAsia="zh-CN" w:bidi="ar"/>
        </w:rPr>
        <w:t>②</w:t>
      </w:r>
      <w:r>
        <w:rPr>
          <w:rFonts w:hint="eastAsia" w:ascii="Times New Roman" w:hAnsi="Times New Roman" w:eastAsia="宋体" w:cs="Times New Roman"/>
          <w:b/>
          <w:bCs w:val="0"/>
          <w:color w:val="000000"/>
          <w:kern w:val="0"/>
          <w:sz w:val="24"/>
          <w:szCs w:val="24"/>
          <w:lang w:val="en-US" w:eastAsia="zh-CN" w:bidi="ar"/>
        </w:rPr>
        <w:t>筛分粉尘（</w:t>
      </w:r>
      <w:r>
        <w:rPr>
          <w:rFonts w:hint="default" w:ascii="Times New Roman" w:hAnsi="Times New Roman" w:eastAsia="宋体" w:cs="Times New Roman"/>
          <w:b/>
          <w:bCs w:val="0"/>
          <w:color w:val="000000"/>
          <w:kern w:val="0"/>
          <w:sz w:val="24"/>
          <w:szCs w:val="24"/>
          <w:lang w:val="en-US" w:eastAsia="zh-CN" w:bidi="ar"/>
        </w:rPr>
        <w:t>G</w:t>
      </w:r>
      <w:r>
        <w:rPr>
          <w:rFonts w:hint="default" w:ascii="Times New Roman" w:hAnsi="Times New Roman" w:eastAsia="宋体" w:cs="Times New Roman"/>
          <w:b/>
          <w:bCs w:val="0"/>
          <w:color w:val="000000"/>
          <w:kern w:val="0"/>
          <w:sz w:val="24"/>
          <w:szCs w:val="24"/>
          <w:vertAlign w:val="subscript"/>
          <w:lang w:val="en-US" w:eastAsia="zh-CN" w:bidi="ar"/>
        </w:rPr>
        <w:t>2</w:t>
      </w:r>
      <w:r>
        <w:rPr>
          <w:rFonts w:hint="eastAsia" w:ascii="Times New Roman" w:hAnsi="Times New Roman" w:eastAsia="宋体" w:cs="Times New Roman"/>
          <w:b/>
          <w:bCs w:val="0"/>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破碎后粒度</w:t>
      </w:r>
      <w:r>
        <w:rPr>
          <w:rFonts w:hint="default" w:ascii="Times New Roman" w:hAnsi="Times New Roman" w:eastAsia="宋体" w:cs="Times New Roman"/>
          <w:color w:val="000000"/>
          <w:kern w:val="0"/>
          <w:sz w:val="24"/>
          <w:szCs w:val="24"/>
          <w:lang w:val="en-US" w:eastAsia="zh-CN" w:bidi="ar"/>
        </w:rPr>
        <w:t>~10mm</w:t>
      </w:r>
      <w:r>
        <w:rPr>
          <w:rFonts w:hint="eastAsia" w:ascii="Times New Roman" w:hAnsi="Times New Roman" w:eastAsia="宋体" w:cs="Times New Roman"/>
          <w:color w:val="000000"/>
          <w:kern w:val="0"/>
          <w:sz w:val="24"/>
          <w:szCs w:val="24"/>
          <w:lang w:val="en-US" w:eastAsia="zh-CN" w:bidi="ar"/>
        </w:rPr>
        <w:t>的原料利用封闭式振动筛分机进行筛分，类比同类型工程“营口中科国际科技有限公司低品位和废弃菱镁矿石综合利用项目”实际运行情况，该项目浮选生产线原矿处理规模</w:t>
      </w:r>
      <w:r>
        <w:rPr>
          <w:rFonts w:hint="default" w:ascii="Times New Roman" w:hAnsi="Times New Roman" w:eastAsia="宋体" w:cs="Times New Roman"/>
          <w:color w:val="000000"/>
          <w:kern w:val="0"/>
          <w:sz w:val="24"/>
          <w:szCs w:val="24"/>
          <w:lang w:val="en-US" w:eastAsia="zh-CN" w:bidi="ar"/>
        </w:rPr>
        <w:t>300</w:t>
      </w:r>
      <w:r>
        <w:rPr>
          <w:rFonts w:hint="eastAsia" w:ascii="Times New Roman" w:hAnsi="Times New Roman" w:eastAsia="宋体" w:cs="Times New Roman"/>
          <w:color w:val="000000"/>
          <w:kern w:val="0"/>
          <w:sz w:val="24"/>
          <w:szCs w:val="24"/>
          <w:lang w:val="en-US" w:eastAsia="zh-CN" w:bidi="ar"/>
        </w:rPr>
        <w:t>万吨</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，采用振动筛进行筛分，经类比本项目筛分作业粉尘产生系数取</w:t>
      </w:r>
      <w:r>
        <w:rPr>
          <w:rFonts w:hint="default" w:ascii="Times New Roman" w:hAnsi="Times New Roman" w:eastAsia="宋体" w:cs="Times New Roman"/>
          <w:color w:val="000000"/>
          <w:kern w:val="0"/>
          <w:sz w:val="24"/>
          <w:szCs w:val="24"/>
          <w:lang w:val="en-US" w:eastAsia="zh-CN" w:bidi="ar"/>
        </w:rPr>
        <w:t>0.3kg/t</w:t>
      </w:r>
      <w:r>
        <w:rPr>
          <w:rFonts w:hint="eastAsia" w:ascii="Times New Roman" w:hAnsi="Times New Roman" w:eastAsia="宋体" w:cs="Times New Roman"/>
          <w:color w:val="000000"/>
          <w:kern w:val="0"/>
          <w:sz w:val="24"/>
          <w:szCs w:val="24"/>
          <w:lang w:val="en-US" w:eastAsia="zh-CN" w:bidi="ar"/>
        </w:rPr>
        <w:t>原料，则筛分粉尘产生量</w:t>
      </w:r>
      <w:r>
        <w:rPr>
          <w:rFonts w:hint="default" w:ascii="Times New Roman" w:hAnsi="Times New Roman" w:eastAsia="宋体" w:cs="Times New Roman"/>
          <w:color w:val="000000"/>
          <w:kern w:val="0"/>
          <w:sz w:val="24"/>
          <w:szCs w:val="24"/>
          <w:lang w:val="en-US" w:eastAsia="zh-CN" w:bidi="ar"/>
        </w:rPr>
        <w:t>375t/a</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52.1kg/h</w:t>
      </w:r>
      <w:r>
        <w:rPr>
          <w:rFonts w:hint="eastAsia"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本项目振动筛为封闭式</w:t>
      </w:r>
      <w:r>
        <w:rPr>
          <w:rFonts w:hint="eastAsia" w:ascii="Times New Roman" w:hAnsi="Times New Roman" w:eastAsia="宋体" w:cs="Times New Roman"/>
          <w:color w:val="000000"/>
          <w:kern w:val="0"/>
          <w:sz w:val="24"/>
          <w:szCs w:val="24"/>
          <w:lang w:val="en-US" w:eastAsia="zh-CN" w:bidi="ar"/>
        </w:rPr>
        <w:t>，筛分粉尘通过引风机抽至布袋除尘器处理，除尘效率为</w:t>
      </w:r>
      <w:r>
        <w:rPr>
          <w:rFonts w:hint="default" w:ascii="Times New Roman" w:hAnsi="Times New Roman" w:eastAsia="宋体" w:cs="Times New Roman"/>
          <w:color w:val="000000"/>
          <w:kern w:val="0"/>
          <w:sz w:val="24"/>
          <w:szCs w:val="24"/>
          <w:lang w:val="en-US" w:eastAsia="zh-CN" w:bidi="ar"/>
        </w:rPr>
        <w:t>99.5%</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Times New Roman"/>
          <w:b/>
          <w:bCs w:val="0"/>
          <w:color w:val="000000"/>
          <w:kern w:val="0"/>
          <w:sz w:val="24"/>
          <w:szCs w:val="24"/>
          <w:lang w:val="en-US" w:eastAsia="zh-CN" w:bidi="ar"/>
        </w:rPr>
        <w:t>③</w:t>
      </w:r>
      <w:r>
        <w:rPr>
          <w:rFonts w:hint="eastAsia" w:ascii="Times New Roman" w:hAnsi="Times New Roman" w:eastAsia="宋体" w:cs="Times New Roman"/>
          <w:b/>
          <w:bCs w:val="0"/>
          <w:color w:val="000000"/>
          <w:kern w:val="0"/>
          <w:sz w:val="24"/>
          <w:szCs w:val="24"/>
          <w:lang w:val="en-US" w:eastAsia="zh-CN" w:bidi="ar"/>
        </w:rPr>
        <w:t>球磨供料仓（</w:t>
      </w:r>
      <w:r>
        <w:rPr>
          <w:rFonts w:hint="default" w:ascii="Times New Roman" w:hAnsi="Times New Roman" w:eastAsia="宋体" w:cs="Times New Roman"/>
          <w:b/>
          <w:bCs w:val="0"/>
          <w:color w:val="000000"/>
          <w:kern w:val="0"/>
          <w:sz w:val="24"/>
          <w:szCs w:val="24"/>
          <w:lang w:val="en-US" w:eastAsia="zh-CN" w:bidi="ar"/>
        </w:rPr>
        <w:t>G</w:t>
      </w:r>
      <w:r>
        <w:rPr>
          <w:rFonts w:hint="default" w:ascii="Times New Roman" w:hAnsi="Times New Roman" w:eastAsia="宋体" w:cs="Times New Roman"/>
          <w:b/>
          <w:bCs w:val="0"/>
          <w:color w:val="000000"/>
          <w:kern w:val="0"/>
          <w:sz w:val="24"/>
          <w:szCs w:val="24"/>
          <w:vertAlign w:val="subscript"/>
          <w:lang w:val="en-US" w:eastAsia="zh-CN" w:bidi="ar"/>
        </w:rPr>
        <w:t>3</w:t>
      </w:r>
      <w:r>
        <w:rPr>
          <w:rFonts w:hint="eastAsia" w:ascii="Times New Roman" w:hAnsi="Times New Roman" w:eastAsia="宋体" w:cs="Times New Roman"/>
          <w:b/>
          <w:bCs w:val="0"/>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破碎后的物料通过皮带送入球磨供料仓内，类比同类型工程“营口中科国际科技有限公司低品位和废弃菱镁矿石综合利用项目”实际运行情况，该项目浮选生产线原矿处理规模</w:t>
      </w:r>
      <w:r>
        <w:rPr>
          <w:rFonts w:hint="default" w:ascii="Times New Roman" w:hAnsi="Times New Roman" w:eastAsia="宋体" w:cs="Times New Roman"/>
          <w:color w:val="000000"/>
          <w:kern w:val="0"/>
          <w:sz w:val="24"/>
          <w:szCs w:val="24"/>
          <w:lang w:val="en-US" w:eastAsia="zh-CN" w:bidi="ar"/>
        </w:rPr>
        <w:t>300</w:t>
      </w:r>
      <w:r>
        <w:rPr>
          <w:rFonts w:hint="eastAsia" w:ascii="Times New Roman" w:hAnsi="Times New Roman" w:eastAsia="宋体" w:cs="Times New Roman"/>
          <w:color w:val="000000"/>
          <w:kern w:val="0"/>
          <w:sz w:val="24"/>
          <w:szCs w:val="24"/>
          <w:lang w:val="en-US" w:eastAsia="zh-CN" w:bidi="ar"/>
        </w:rPr>
        <w:t>万吨</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，采用</w:t>
      </w:r>
      <w:r>
        <w:rPr>
          <w:rFonts w:hint="default" w:ascii="Times New Roman" w:hAnsi="Times New Roman" w:eastAsia="宋体" w:cs="Times New Roman"/>
          <w:color w:val="000000"/>
          <w:kern w:val="0"/>
          <w:sz w:val="24"/>
          <w:szCs w:val="24"/>
          <w:lang w:val="en-US" w:eastAsia="zh-CN" w:bidi="ar"/>
        </w:rPr>
        <w:t>3.6m×6m</w:t>
      </w:r>
      <w:r>
        <w:rPr>
          <w:rFonts w:hint="eastAsia" w:ascii="Times New Roman" w:hAnsi="Times New Roman" w:eastAsia="宋体" w:cs="Times New Roman"/>
          <w:color w:val="000000"/>
          <w:kern w:val="0"/>
          <w:sz w:val="24"/>
          <w:szCs w:val="24"/>
          <w:lang w:val="en-US" w:eastAsia="zh-CN" w:bidi="ar"/>
        </w:rPr>
        <w:t>球磨机，配套球磨供料仓，具有可类比性。经类比本项目料仓转运作业粉尘产生系数取</w:t>
      </w:r>
      <w:r>
        <w:rPr>
          <w:rFonts w:hint="default" w:ascii="Times New Roman" w:hAnsi="Times New Roman" w:eastAsia="宋体" w:cs="Times New Roman"/>
          <w:color w:val="000000"/>
          <w:kern w:val="0"/>
          <w:sz w:val="24"/>
          <w:szCs w:val="24"/>
          <w:lang w:val="en-US" w:eastAsia="zh-CN" w:bidi="ar"/>
        </w:rPr>
        <w:t>0.005kg/t</w:t>
      </w:r>
      <w:r>
        <w:rPr>
          <w:rFonts w:hint="eastAsia" w:ascii="Times New Roman" w:hAnsi="Times New Roman" w:eastAsia="宋体" w:cs="Times New Roman"/>
          <w:color w:val="000000"/>
          <w:kern w:val="0"/>
          <w:sz w:val="24"/>
          <w:szCs w:val="24"/>
          <w:lang w:val="en-US" w:eastAsia="zh-CN" w:bidi="ar"/>
        </w:rPr>
        <w:t>原料，本工程在料仓仓顶设置捕集罩，捕集率约</w:t>
      </w:r>
      <w:r>
        <w:rPr>
          <w:rFonts w:hint="default" w:ascii="Times New Roman" w:hAnsi="Times New Roman" w:eastAsia="宋体" w:cs="Times New Roman"/>
          <w:color w:val="000000"/>
          <w:kern w:val="0"/>
          <w:sz w:val="24"/>
          <w:szCs w:val="24"/>
          <w:lang w:val="en-US" w:eastAsia="zh-CN" w:bidi="ar"/>
        </w:rPr>
        <w:t>95%</w:t>
      </w:r>
      <w:r>
        <w:rPr>
          <w:rFonts w:hint="eastAsia" w:ascii="Times New Roman" w:hAnsi="Times New Roman" w:eastAsia="宋体" w:cs="Times New Roman"/>
          <w:color w:val="000000"/>
          <w:kern w:val="0"/>
          <w:sz w:val="24"/>
          <w:szCs w:val="24"/>
          <w:lang w:val="en-US" w:eastAsia="zh-CN" w:bidi="ar"/>
        </w:rPr>
        <w:t>，被捕集的粉尘总量为</w:t>
      </w:r>
      <w:r>
        <w:rPr>
          <w:rFonts w:hint="default" w:ascii="Times New Roman" w:hAnsi="Times New Roman" w:eastAsia="宋体" w:cs="Times New Roman"/>
          <w:color w:val="000000"/>
          <w:kern w:val="0"/>
          <w:sz w:val="24"/>
          <w:szCs w:val="24"/>
          <w:lang w:val="en-US" w:eastAsia="zh-CN" w:bidi="ar"/>
        </w:rPr>
        <w:t>5.95t/a</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0.8kg/h</w:t>
      </w:r>
      <w:r>
        <w:rPr>
          <w:rFonts w:hint="eastAsia" w:ascii="Times New Roman" w:hAnsi="Times New Roman" w:eastAsia="宋体" w:cs="Times New Roman"/>
          <w:color w:val="000000"/>
          <w:kern w:val="0"/>
          <w:sz w:val="24"/>
          <w:szCs w:val="24"/>
          <w:lang w:val="en-US" w:eastAsia="zh-CN" w:bidi="ar"/>
        </w:rPr>
        <w:t>）。捕集后通过引风机抽至布袋除尘器处理，除尘效率为</w:t>
      </w:r>
      <w:r>
        <w:rPr>
          <w:rFonts w:hint="default" w:ascii="Times New Roman" w:hAnsi="Times New Roman" w:eastAsia="宋体" w:cs="Times New Roman"/>
          <w:color w:val="000000"/>
          <w:kern w:val="0"/>
          <w:sz w:val="24"/>
          <w:szCs w:val="24"/>
          <w:lang w:val="en-US" w:eastAsia="zh-CN" w:bidi="ar"/>
        </w:rPr>
        <w:t>99.5%</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本工程破碎、筛分及供料仓受料过程收集的粉尘合计</w:t>
      </w:r>
      <w:r>
        <w:rPr>
          <w:rFonts w:hint="default" w:ascii="Times New Roman" w:hAnsi="Times New Roman" w:eastAsia="宋体" w:cs="Times New Roman"/>
          <w:color w:val="000000"/>
          <w:kern w:val="0"/>
          <w:sz w:val="24"/>
          <w:szCs w:val="24"/>
          <w:lang w:val="en-US" w:eastAsia="zh-CN" w:bidi="ar"/>
        </w:rPr>
        <w:t>452.2t/a</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62.8kg/h</w:t>
      </w:r>
      <w:r>
        <w:rPr>
          <w:rFonts w:hint="eastAsia" w:ascii="Times New Roman" w:hAnsi="Times New Roman" w:eastAsia="宋体" w:cs="Times New Roman"/>
          <w:color w:val="000000"/>
          <w:kern w:val="0"/>
          <w:sz w:val="24"/>
          <w:szCs w:val="24"/>
          <w:lang w:val="en-US" w:eastAsia="zh-CN" w:bidi="ar"/>
        </w:rPr>
        <w:t>），经引风机抽至布袋除尘器除尘，除尘效率为</w:t>
      </w:r>
      <w:r>
        <w:rPr>
          <w:rFonts w:hint="default" w:ascii="Times New Roman" w:hAnsi="Times New Roman" w:eastAsia="宋体" w:cs="Times New Roman"/>
          <w:color w:val="000000"/>
          <w:kern w:val="0"/>
          <w:sz w:val="24"/>
          <w:szCs w:val="24"/>
          <w:lang w:val="en-US" w:eastAsia="zh-CN" w:bidi="ar"/>
        </w:rPr>
        <w:t>99.5%</w:t>
      </w:r>
      <w:r>
        <w:rPr>
          <w:rFonts w:hint="eastAsia" w:ascii="Times New Roman" w:hAnsi="Times New Roman" w:eastAsia="宋体" w:cs="Times New Roman"/>
          <w:color w:val="000000"/>
          <w:kern w:val="0"/>
          <w:sz w:val="24"/>
          <w:szCs w:val="24"/>
          <w:lang w:val="en-US" w:eastAsia="zh-CN" w:bidi="ar"/>
        </w:rPr>
        <w:t>，处理后颗粒物排放量</w:t>
      </w:r>
      <w:r>
        <w:rPr>
          <w:rFonts w:hint="default" w:ascii="Times New Roman" w:hAnsi="Times New Roman" w:eastAsia="宋体" w:cs="Times New Roman"/>
          <w:color w:val="000000"/>
          <w:kern w:val="0"/>
          <w:sz w:val="24"/>
          <w:szCs w:val="24"/>
          <w:lang w:val="en-US" w:eastAsia="zh-CN" w:bidi="ar"/>
        </w:rPr>
        <w:t>2.26t/a</w:t>
      </w:r>
      <w:r>
        <w:rPr>
          <w:rFonts w:hint="eastAsia" w:ascii="Times New Roman" w:hAnsi="Times New Roman" w:eastAsia="宋体" w:cs="Times New Roman"/>
          <w:color w:val="000000"/>
          <w:kern w:val="0"/>
          <w:sz w:val="24"/>
          <w:szCs w:val="24"/>
          <w:lang w:val="en-US" w:eastAsia="zh-CN" w:bidi="ar"/>
        </w:rPr>
        <w:t>，排放速率</w:t>
      </w:r>
      <w:r>
        <w:rPr>
          <w:rFonts w:hint="default" w:ascii="Times New Roman" w:hAnsi="Times New Roman" w:eastAsia="宋体" w:cs="Times New Roman"/>
          <w:color w:val="000000"/>
          <w:kern w:val="0"/>
          <w:sz w:val="24"/>
          <w:szCs w:val="24"/>
          <w:lang w:val="en-US" w:eastAsia="zh-CN" w:bidi="ar"/>
        </w:rPr>
        <w:t>0.32kg/h</w:t>
      </w:r>
      <w:r>
        <w:rPr>
          <w:rFonts w:hint="eastAsia" w:ascii="Times New Roman" w:hAnsi="Times New Roman" w:eastAsia="宋体" w:cs="Times New Roman"/>
          <w:color w:val="000000"/>
          <w:kern w:val="0"/>
          <w:sz w:val="24"/>
          <w:szCs w:val="24"/>
          <w:lang w:val="en-US" w:eastAsia="zh-CN" w:bidi="ar"/>
        </w:rPr>
        <w:t>，排放浓度</w:t>
      </w:r>
      <w:r>
        <w:rPr>
          <w:rFonts w:hint="default" w:ascii="Times New Roman" w:hAnsi="Times New Roman" w:eastAsia="宋体" w:cs="Times New Roman"/>
          <w:color w:val="000000"/>
          <w:kern w:val="0"/>
          <w:sz w:val="24"/>
          <w:szCs w:val="24"/>
          <w:lang w:val="en-US" w:eastAsia="zh-CN" w:bidi="ar"/>
        </w:rPr>
        <w:t>&lt;10mg/m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spacing w:val="-4"/>
          <w:kern w:val="0"/>
          <w:sz w:val="24"/>
          <w:szCs w:val="24"/>
          <w:lang w:val="en-US" w:eastAsia="zh-CN" w:bidi="ar"/>
        </w:rPr>
        <w:t>满足</w:t>
      </w:r>
      <w:r>
        <w:rPr>
          <w:rFonts w:hint="eastAsia" w:ascii="Times New Roman" w:hAnsi="Times New Roman" w:eastAsia="宋体" w:cs="Times New Roman"/>
          <w:color w:val="000000"/>
          <w:kern w:val="0"/>
          <w:sz w:val="24"/>
          <w:szCs w:val="24"/>
          <w:lang w:val="en-US" w:eastAsia="zh-CN" w:bidi="ar"/>
        </w:rPr>
        <w:t>辽宁省地方标准《镁质耐火材料工业大气污染物排放标准》（</w:t>
      </w:r>
      <w:r>
        <w:rPr>
          <w:rFonts w:hint="default" w:ascii="Times New Roman" w:hAnsi="Times New Roman" w:eastAsia="宋体" w:cs="Times New Roman"/>
          <w:color w:val="000000"/>
          <w:kern w:val="0"/>
          <w:sz w:val="24"/>
          <w:szCs w:val="24"/>
          <w:lang w:val="en-US" w:eastAsia="zh-CN" w:bidi="ar"/>
        </w:rPr>
        <w:t>DB21/3011-2018</w:t>
      </w:r>
      <w:r>
        <w:rPr>
          <w:rFonts w:hint="eastAsia" w:ascii="Times New Roman" w:hAnsi="Times New Roman" w:eastAsia="宋体" w:cs="Times New Roman"/>
          <w:color w:val="000000"/>
          <w:kern w:val="0"/>
          <w:sz w:val="24"/>
          <w:szCs w:val="24"/>
          <w:lang w:val="en-US" w:eastAsia="zh-CN" w:bidi="ar"/>
        </w:rPr>
        <w:t>）中表</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新建企业大气污染物排放浓度限值</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输送、筛分、破粉碎等其他生产设施</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要求</w:t>
      </w:r>
      <w:r>
        <w:rPr>
          <w:rFonts w:hint="eastAsia" w:ascii="Times New Roman" w:hAnsi="Times New Roman" w:eastAsia="宋体" w:cs="Times New Roman"/>
          <w:color w:val="000000"/>
          <w:kern w:val="0"/>
          <w:sz w:val="24"/>
          <w:szCs w:val="32"/>
          <w:lang w:val="en-US" w:eastAsia="zh-CN" w:bidi="ar"/>
        </w:rPr>
        <w:t>（颗粒物≤</w:t>
      </w:r>
      <w:r>
        <w:rPr>
          <w:rFonts w:hint="default" w:ascii="Times New Roman" w:hAnsi="Times New Roman" w:eastAsia="宋体" w:cs="Times New Roman"/>
          <w:color w:val="000000"/>
          <w:kern w:val="0"/>
          <w:sz w:val="24"/>
          <w:szCs w:val="32"/>
          <w:lang w:val="en-US" w:eastAsia="zh-CN" w:bidi="ar"/>
        </w:rPr>
        <w:t>30mg/m</w:t>
      </w:r>
      <w:r>
        <w:rPr>
          <w:rFonts w:hint="default" w:ascii="Times New Roman" w:hAnsi="Times New Roman" w:eastAsia="宋体" w:cs="Times New Roman"/>
          <w:color w:val="000000"/>
          <w:kern w:val="0"/>
          <w:sz w:val="24"/>
          <w:szCs w:val="32"/>
          <w:vertAlign w:val="superscript"/>
          <w:lang w:val="en-US" w:eastAsia="zh-CN" w:bidi="ar"/>
        </w:rPr>
        <w:t>3</w:t>
      </w:r>
      <w:r>
        <w:rPr>
          <w:rFonts w:hint="eastAsia" w:ascii="Times New Roman" w:hAnsi="Times New Roman" w:eastAsia="宋体" w:cs="Times New Roman"/>
          <w:color w:val="000000"/>
          <w:kern w:val="0"/>
          <w:sz w:val="24"/>
          <w:szCs w:val="32"/>
          <w:lang w:val="en-US" w:eastAsia="zh-CN" w:bidi="ar"/>
        </w:rPr>
        <w:t>）</w:t>
      </w:r>
      <w:r>
        <w:rPr>
          <w:rFonts w:hint="eastAsia" w:ascii="Times New Roman" w:hAnsi="Times New Roman" w:eastAsia="宋体" w:cs="Times New Roman"/>
          <w:color w:val="000000"/>
          <w:kern w:val="0"/>
          <w:sz w:val="24"/>
          <w:szCs w:val="24"/>
          <w:lang w:val="en-US" w:eastAsia="zh-CN" w:bidi="ar"/>
        </w:rPr>
        <w:t>，尾气由</w:t>
      </w:r>
      <w:r>
        <w:rPr>
          <w:rFonts w:hint="default" w:ascii="Times New Roman" w:hAnsi="Times New Roman" w:eastAsia="宋体" w:cs="Times New Roman"/>
          <w:color w:val="000000"/>
          <w:kern w:val="0"/>
          <w:sz w:val="24"/>
          <w:szCs w:val="24"/>
          <w:lang w:val="en-US" w:eastAsia="zh-CN" w:bidi="ar"/>
        </w:rPr>
        <w:t>15m</w:t>
      </w:r>
      <w:r>
        <w:rPr>
          <w:rFonts w:hint="eastAsia" w:ascii="Times New Roman" w:hAnsi="Times New Roman" w:eastAsia="宋体" w:cs="Times New Roman"/>
          <w:color w:val="000000"/>
          <w:kern w:val="0"/>
          <w:sz w:val="24"/>
          <w:szCs w:val="24"/>
          <w:lang w:val="en-US" w:eastAsia="zh-CN" w:bidi="ar"/>
        </w:rPr>
        <w:t>高排气筒有组织排放。</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b/>
          <w:color w:val="000000"/>
          <w:lang/>
        </w:rPr>
      </w:pPr>
      <w:r>
        <w:rPr>
          <w:rFonts w:hint="eastAsia" w:ascii="宋体" w:hAnsi="宋体" w:eastAsia="宋体" w:cs="宋体"/>
          <w:b/>
          <w:color w:val="000000"/>
          <w:kern w:val="0"/>
          <w:sz w:val="24"/>
          <w:szCs w:val="24"/>
          <w:lang w:val="en-US" w:eastAsia="zh-CN" w:bidi="ar"/>
        </w:rPr>
        <w:t>（</w:t>
      </w:r>
      <w:r>
        <w:rPr>
          <w:rFonts w:hint="eastAsia" w:ascii="宋体" w:hAnsi="宋体" w:eastAsia="宋体" w:cs="宋体"/>
          <w:b/>
          <w:color w:val="000000"/>
          <w:kern w:val="0"/>
          <w:sz w:val="24"/>
          <w:szCs w:val="24"/>
          <w:lang w:eastAsia="zh-CN" w:bidi="ar"/>
        </w:rPr>
        <w:t>2</w:t>
      </w:r>
      <w:r>
        <w:rPr>
          <w:rFonts w:hint="eastAsia" w:ascii="宋体" w:hAnsi="宋体" w:eastAsia="宋体" w:cs="宋体"/>
          <w:b/>
          <w:color w:val="000000"/>
          <w:kern w:val="0"/>
          <w:sz w:val="24"/>
          <w:szCs w:val="24"/>
          <w:lang w:val="en-US" w:eastAsia="zh-CN" w:bidi="ar"/>
        </w:rPr>
        <w:t>）无组织废气</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color w:val="000000"/>
          <w:kern w:val="0"/>
          <w:sz w:val="24"/>
          <w:szCs w:val="24"/>
          <w:lang w:val="en-US" w:eastAsia="zh-CN" w:bidi="ar"/>
        </w:rPr>
        <w:t>①</w:t>
      </w:r>
      <w:r>
        <w:rPr>
          <w:rFonts w:hint="eastAsia" w:ascii="Times New Roman" w:hAnsi="Times New Roman" w:eastAsia="宋体" w:cs="Times New Roman"/>
          <w:b/>
          <w:bCs w:val="0"/>
          <w:color w:val="000000"/>
          <w:kern w:val="0"/>
          <w:sz w:val="24"/>
          <w:szCs w:val="24"/>
          <w:lang w:val="en-US" w:eastAsia="zh-CN" w:bidi="ar"/>
        </w:rPr>
        <w:t>破碎车间（</w:t>
      </w:r>
      <w:r>
        <w:rPr>
          <w:rFonts w:hint="default" w:ascii="Times New Roman" w:hAnsi="Times New Roman" w:eastAsia="宋体" w:cs="Times New Roman"/>
          <w:b/>
          <w:bCs w:val="0"/>
          <w:color w:val="000000"/>
          <w:kern w:val="0"/>
          <w:sz w:val="24"/>
          <w:szCs w:val="24"/>
          <w:lang w:val="en-US" w:eastAsia="zh-CN" w:bidi="ar"/>
        </w:rPr>
        <w:t>G</w:t>
      </w:r>
      <w:r>
        <w:rPr>
          <w:rFonts w:hint="default" w:ascii="Times New Roman" w:hAnsi="Times New Roman" w:eastAsia="宋体" w:cs="Times New Roman"/>
          <w:b/>
          <w:bCs w:val="0"/>
          <w:color w:val="000000"/>
          <w:kern w:val="0"/>
          <w:sz w:val="24"/>
          <w:szCs w:val="24"/>
          <w:vertAlign w:val="subscript"/>
          <w:lang w:val="en-US" w:eastAsia="zh-CN" w:bidi="ar"/>
        </w:rPr>
        <w:t>1</w:t>
      </w:r>
      <w:r>
        <w:rPr>
          <w:rFonts w:hint="eastAsia" w:ascii="Times New Roman" w:hAnsi="Times New Roman" w:eastAsia="宋体" w:cs="Times New Roman"/>
          <w:b/>
          <w:bCs w:val="0"/>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b/>
          <w:bCs w:val="0"/>
          <w:color w:val="000000"/>
          <w:lang w:val="en-US"/>
        </w:rPr>
      </w:pPr>
      <w:r>
        <w:rPr>
          <w:rFonts w:hint="eastAsia" w:ascii="Times New Roman" w:hAnsi="Times New Roman" w:eastAsia="宋体" w:cs="Times New Roman"/>
          <w:color w:val="000000"/>
          <w:kern w:val="0"/>
          <w:sz w:val="24"/>
          <w:szCs w:val="24"/>
          <w:lang w:val="en-US" w:eastAsia="zh-CN" w:bidi="ar"/>
        </w:rPr>
        <w:t>本项目破碎筛分及球磨供料仓上料工序在封闭的破碎车间内进行。破碎及转运过程未被捕集的粉尘总量为</w:t>
      </w:r>
      <w:r>
        <w:rPr>
          <w:rFonts w:hint="default" w:ascii="Times New Roman" w:hAnsi="Times New Roman" w:eastAsia="宋体" w:cs="Times New Roman"/>
          <w:color w:val="000000"/>
          <w:kern w:val="0"/>
          <w:sz w:val="24"/>
          <w:szCs w:val="24"/>
          <w:lang w:val="en-US" w:eastAsia="zh-CN" w:bidi="ar"/>
        </w:rPr>
        <w:t>4.05t/a</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0.56kg/h</w:t>
      </w:r>
      <w:r>
        <w:rPr>
          <w:rFonts w:hint="eastAsia" w:ascii="Times New Roman" w:hAnsi="Times New Roman" w:eastAsia="宋体" w:cs="Times New Roman"/>
          <w:color w:val="000000"/>
          <w:kern w:val="0"/>
          <w:sz w:val="24"/>
          <w:szCs w:val="24"/>
          <w:lang w:val="en-US" w:eastAsia="zh-CN" w:bidi="ar"/>
        </w:rPr>
        <w:t>）。破碎车间为封闭厂房，其无组织排放的粉尘经厂房遮挡和沉降后（削减</w:t>
      </w:r>
      <w:r>
        <w:rPr>
          <w:rFonts w:hint="default" w:ascii="Times New Roman" w:hAnsi="Times New Roman" w:eastAsia="宋体" w:cs="Times New Roman"/>
          <w:color w:val="000000"/>
          <w:kern w:val="0"/>
          <w:sz w:val="24"/>
          <w:szCs w:val="24"/>
          <w:lang w:val="en-US" w:eastAsia="zh-CN" w:bidi="ar"/>
        </w:rPr>
        <w:t>80%</w:t>
      </w:r>
      <w:r>
        <w:rPr>
          <w:rFonts w:hint="eastAsia" w:ascii="Times New Roman" w:hAnsi="Times New Roman" w:eastAsia="宋体" w:cs="Times New Roman"/>
          <w:color w:val="000000"/>
          <w:kern w:val="0"/>
          <w:sz w:val="24"/>
          <w:szCs w:val="24"/>
          <w:lang w:val="en-US" w:eastAsia="zh-CN" w:bidi="ar"/>
        </w:rPr>
        <w:t>），经门、窗以无组织形式逸出厂房的粉尘为</w:t>
      </w:r>
      <w:r>
        <w:rPr>
          <w:rFonts w:hint="default" w:ascii="Times New Roman" w:hAnsi="Times New Roman" w:eastAsia="宋体" w:cs="Times New Roman"/>
          <w:color w:val="000000"/>
          <w:kern w:val="0"/>
          <w:sz w:val="24"/>
          <w:szCs w:val="24"/>
          <w:lang w:val="en-US" w:eastAsia="zh-CN" w:bidi="ar"/>
        </w:rPr>
        <w:t>0.81t/a</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0.11kg/h</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color w:val="000000"/>
          <w:kern w:val="0"/>
          <w:sz w:val="24"/>
          <w:szCs w:val="24"/>
          <w:lang w:val="en-US" w:eastAsia="zh-CN" w:bidi="ar"/>
        </w:rPr>
        <w:t>②</w:t>
      </w:r>
      <w:r>
        <w:rPr>
          <w:rFonts w:hint="eastAsia" w:ascii="Times New Roman" w:hAnsi="Times New Roman" w:eastAsia="宋体" w:cs="Times New Roman"/>
          <w:b/>
          <w:bCs w:val="0"/>
          <w:color w:val="000000"/>
          <w:kern w:val="0"/>
          <w:sz w:val="24"/>
          <w:szCs w:val="24"/>
          <w:lang w:val="en-US" w:eastAsia="zh-CN" w:bidi="ar"/>
        </w:rPr>
        <w:t>原料库（</w:t>
      </w:r>
      <w:r>
        <w:rPr>
          <w:rFonts w:hint="default" w:ascii="Times New Roman" w:hAnsi="Times New Roman" w:eastAsia="宋体" w:cs="Times New Roman"/>
          <w:b/>
          <w:bCs w:val="0"/>
          <w:color w:val="000000"/>
          <w:kern w:val="0"/>
          <w:sz w:val="24"/>
          <w:szCs w:val="24"/>
          <w:lang w:val="en-US" w:eastAsia="zh-CN" w:bidi="ar"/>
        </w:rPr>
        <w:t>G</w:t>
      </w:r>
      <w:r>
        <w:rPr>
          <w:rFonts w:hint="default" w:ascii="Times New Roman" w:hAnsi="Times New Roman" w:eastAsia="宋体" w:cs="Times New Roman"/>
          <w:b/>
          <w:bCs w:val="0"/>
          <w:color w:val="000000"/>
          <w:kern w:val="0"/>
          <w:sz w:val="24"/>
          <w:szCs w:val="24"/>
          <w:vertAlign w:val="subscript"/>
          <w:lang w:val="en-US" w:eastAsia="zh-CN" w:bidi="ar"/>
        </w:rPr>
        <w:t>2</w:t>
      </w:r>
      <w:r>
        <w:rPr>
          <w:rFonts w:hint="eastAsia" w:ascii="Times New Roman" w:hAnsi="Times New Roman" w:eastAsia="宋体" w:cs="Times New Roman"/>
          <w:b/>
          <w:bCs w:val="0"/>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本项目菱镁原矿粒度</w:t>
      </w:r>
      <w:r>
        <w:rPr>
          <w:rFonts w:hint="default" w:ascii="Times New Roman" w:hAnsi="Times New Roman" w:eastAsia="宋体" w:cs="Times New Roman"/>
          <w:color w:val="000000"/>
          <w:kern w:val="0"/>
          <w:sz w:val="24"/>
          <w:szCs w:val="24"/>
          <w:lang w:val="en-US" w:eastAsia="zh-CN" w:bidi="ar"/>
        </w:rPr>
        <w:t>~500mm</w:t>
      </w:r>
      <w:r>
        <w:rPr>
          <w:rFonts w:hint="eastAsia" w:ascii="Times New Roman" w:hAnsi="Times New Roman" w:eastAsia="宋体" w:cs="Times New Roman"/>
          <w:color w:val="000000"/>
          <w:kern w:val="0"/>
          <w:sz w:val="24"/>
          <w:szCs w:val="24"/>
          <w:lang w:val="en-US" w:eastAsia="zh-CN" w:bidi="ar"/>
        </w:rPr>
        <w:t>，采用自卸汽车卸于原料库中，定期洒水抑尘。生产时加湿的原料矿利用高差直接落入破碎车间内的鄂式破碎机进行粗破，无需铲车倒运。参照《逸散性工业粉尘控制技术》相关资料，原料库的粉尘产生系数为</w:t>
      </w:r>
      <w:r>
        <w:rPr>
          <w:rFonts w:hint="default" w:ascii="Times New Roman" w:hAnsi="Times New Roman" w:eastAsia="宋体" w:cs="Times New Roman"/>
          <w:color w:val="000000"/>
          <w:kern w:val="0"/>
          <w:sz w:val="24"/>
          <w:szCs w:val="24"/>
          <w:lang w:val="en-US" w:eastAsia="zh-CN" w:bidi="ar"/>
        </w:rPr>
        <w:t>0.02kg/t</w:t>
      </w:r>
      <w:r>
        <w:rPr>
          <w:rFonts w:hint="eastAsia" w:ascii="Times New Roman" w:hAnsi="Times New Roman" w:eastAsia="宋体" w:cs="Times New Roman"/>
          <w:color w:val="000000"/>
          <w:kern w:val="0"/>
          <w:sz w:val="24"/>
          <w:szCs w:val="24"/>
          <w:lang w:val="en-US" w:eastAsia="zh-CN" w:bidi="ar"/>
        </w:rPr>
        <w:t>原料，经计算，原料库的产尘量约为</w:t>
      </w:r>
      <w:r>
        <w:rPr>
          <w:rFonts w:hint="default" w:ascii="Times New Roman" w:hAnsi="Times New Roman" w:eastAsia="宋体" w:cs="Times New Roman"/>
          <w:color w:val="000000"/>
          <w:kern w:val="0"/>
          <w:sz w:val="24"/>
          <w:szCs w:val="24"/>
          <w:lang w:val="en-US" w:eastAsia="zh-CN" w:bidi="ar"/>
        </w:rPr>
        <w:t>25t/a</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3.5kg/h</w:t>
      </w:r>
      <w:r>
        <w:rPr>
          <w:rFonts w:hint="eastAsia" w:ascii="Times New Roman" w:hAnsi="Times New Roman" w:eastAsia="宋体" w:cs="Times New Roman"/>
          <w:color w:val="000000"/>
          <w:kern w:val="0"/>
          <w:sz w:val="24"/>
          <w:szCs w:val="24"/>
          <w:lang w:val="en-US" w:eastAsia="zh-CN" w:bidi="ar"/>
        </w:rPr>
        <w:t>）。原料库采用封闭结构，粉尘经厂房遮挡和沉降后（削减</w:t>
      </w:r>
      <w:r>
        <w:rPr>
          <w:rFonts w:hint="default" w:ascii="Times New Roman" w:hAnsi="Times New Roman" w:eastAsia="宋体" w:cs="Times New Roman"/>
          <w:color w:val="000000"/>
          <w:kern w:val="0"/>
          <w:sz w:val="24"/>
          <w:szCs w:val="24"/>
          <w:lang w:val="en-US" w:eastAsia="zh-CN" w:bidi="ar"/>
        </w:rPr>
        <w:t>80%</w:t>
      </w:r>
      <w:r>
        <w:rPr>
          <w:rFonts w:hint="eastAsia" w:ascii="Times New Roman" w:hAnsi="Times New Roman" w:eastAsia="宋体" w:cs="Times New Roman"/>
          <w:color w:val="000000"/>
          <w:kern w:val="0"/>
          <w:sz w:val="24"/>
          <w:szCs w:val="24"/>
          <w:lang w:val="en-US" w:eastAsia="zh-CN" w:bidi="ar"/>
        </w:rPr>
        <w:t>），其余约</w:t>
      </w:r>
      <w:r>
        <w:rPr>
          <w:rFonts w:hint="default" w:ascii="Times New Roman" w:hAnsi="Times New Roman" w:eastAsia="宋体" w:cs="Times New Roman"/>
          <w:color w:val="000000"/>
          <w:kern w:val="0"/>
          <w:sz w:val="24"/>
          <w:szCs w:val="24"/>
          <w:lang w:val="en-US" w:eastAsia="zh-CN" w:bidi="ar"/>
        </w:rPr>
        <w:t>20%</w:t>
      </w:r>
      <w:r>
        <w:rPr>
          <w:rFonts w:hint="eastAsia" w:ascii="Times New Roman" w:hAnsi="Times New Roman" w:eastAsia="宋体" w:cs="Times New Roman"/>
          <w:color w:val="000000"/>
          <w:kern w:val="0"/>
          <w:sz w:val="24"/>
          <w:szCs w:val="24"/>
          <w:lang w:val="en-US" w:eastAsia="zh-CN" w:bidi="ar"/>
        </w:rPr>
        <w:t>经门、窗以无组织形式逸出厂房的粉尘为</w:t>
      </w:r>
      <w:r>
        <w:rPr>
          <w:rFonts w:hint="default" w:ascii="Times New Roman" w:hAnsi="Times New Roman" w:eastAsia="宋体" w:cs="Times New Roman"/>
          <w:color w:val="000000"/>
          <w:kern w:val="0"/>
          <w:sz w:val="24"/>
          <w:szCs w:val="24"/>
          <w:lang w:val="en-US" w:eastAsia="zh-CN" w:bidi="ar"/>
        </w:rPr>
        <w:t>5t/a</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0. 7kg/h</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color w:val="000000"/>
          <w:kern w:val="0"/>
          <w:sz w:val="24"/>
          <w:szCs w:val="24"/>
          <w:lang w:val="en-US" w:eastAsia="zh-CN" w:bidi="ar"/>
        </w:rPr>
        <w:t>③</w:t>
      </w:r>
      <w:r>
        <w:rPr>
          <w:rFonts w:hint="eastAsia" w:ascii="Times New Roman" w:hAnsi="Times New Roman" w:eastAsia="宋体" w:cs="Times New Roman"/>
          <w:b/>
          <w:bCs w:val="0"/>
          <w:color w:val="000000"/>
          <w:kern w:val="0"/>
          <w:sz w:val="24"/>
          <w:szCs w:val="24"/>
          <w:lang w:val="en-US" w:eastAsia="zh-CN" w:bidi="ar"/>
        </w:rPr>
        <w:t>精矿库（</w:t>
      </w:r>
      <w:r>
        <w:rPr>
          <w:rFonts w:hint="default" w:ascii="Times New Roman" w:hAnsi="Times New Roman" w:eastAsia="宋体" w:cs="Times New Roman"/>
          <w:b/>
          <w:bCs w:val="0"/>
          <w:color w:val="000000"/>
          <w:kern w:val="0"/>
          <w:sz w:val="24"/>
          <w:szCs w:val="24"/>
          <w:lang w:val="en-US" w:eastAsia="zh-CN" w:bidi="ar"/>
        </w:rPr>
        <w:t>G</w:t>
      </w:r>
      <w:r>
        <w:rPr>
          <w:rFonts w:hint="default" w:ascii="Times New Roman" w:hAnsi="Times New Roman" w:eastAsia="宋体" w:cs="Times New Roman"/>
          <w:b/>
          <w:bCs w:val="0"/>
          <w:color w:val="000000"/>
          <w:kern w:val="0"/>
          <w:sz w:val="24"/>
          <w:szCs w:val="24"/>
          <w:vertAlign w:val="subscript"/>
          <w:lang w:val="en-US" w:eastAsia="zh-CN" w:bidi="ar"/>
        </w:rPr>
        <w:t>3</w:t>
      </w:r>
      <w:r>
        <w:rPr>
          <w:rFonts w:hint="eastAsia" w:ascii="Times New Roman" w:hAnsi="Times New Roman" w:eastAsia="宋体" w:cs="Times New Roman"/>
          <w:b/>
          <w:bCs w:val="0"/>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b/>
          <w:bCs w:val="0"/>
          <w:color w:val="000000"/>
          <w:lang w:val="en-US"/>
        </w:rPr>
      </w:pPr>
      <w:r>
        <w:rPr>
          <w:rFonts w:hint="eastAsia" w:ascii="Times New Roman" w:hAnsi="Times New Roman" w:eastAsia="宋体" w:cs="Times New Roman"/>
          <w:color w:val="000000"/>
          <w:kern w:val="0"/>
          <w:sz w:val="24"/>
          <w:szCs w:val="24"/>
          <w:lang w:val="en-US" w:eastAsia="zh-CN" w:bidi="ar"/>
        </w:rPr>
        <w:t>参照《逸散性工业粉尘控制技术》相关资料，菱镁精矿含水约</w:t>
      </w:r>
      <w:r>
        <w:rPr>
          <w:rFonts w:hint="default" w:ascii="Times New Roman" w:hAnsi="Times New Roman" w:eastAsia="宋体" w:cs="Times New Roman"/>
          <w:color w:val="000000"/>
          <w:kern w:val="0"/>
          <w:sz w:val="24"/>
          <w:szCs w:val="24"/>
          <w:lang w:val="en-US" w:eastAsia="zh-CN" w:bidi="ar"/>
        </w:rPr>
        <w:t>10%</w:t>
      </w:r>
      <w:r>
        <w:rPr>
          <w:rFonts w:hint="eastAsia" w:ascii="Times New Roman" w:hAnsi="Times New Roman" w:eastAsia="宋体" w:cs="Times New Roman"/>
          <w:color w:val="000000"/>
          <w:kern w:val="0"/>
          <w:sz w:val="24"/>
          <w:szCs w:val="24"/>
          <w:lang w:val="en-US" w:eastAsia="zh-CN" w:bidi="ar"/>
        </w:rPr>
        <w:t>，转运粉尘产生系数取</w:t>
      </w:r>
      <w:r>
        <w:rPr>
          <w:rFonts w:hint="default" w:ascii="Times New Roman" w:hAnsi="Times New Roman" w:eastAsia="宋体" w:cs="Times New Roman"/>
          <w:color w:val="000000"/>
          <w:kern w:val="0"/>
          <w:sz w:val="24"/>
          <w:szCs w:val="24"/>
          <w:lang w:val="en-US" w:eastAsia="zh-CN" w:bidi="ar"/>
        </w:rPr>
        <w:t>0.012kg/t</w:t>
      </w:r>
      <w:r>
        <w:rPr>
          <w:rFonts w:hint="eastAsia" w:ascii="Times New Roman" w:hAnsi="Times New Roman" w:eastAsia="宋体" w:cs="Times New Roman"/>
          <w:color w:val="000000"/>
          <w:kern w:val="0"/>
          <w:sz w:val="24"/>
          <w:szCs w:val="24"/>
          <w:lang w:val="en-US" w:eastAsia="zh-CN" w:bidi="ar"/>
        </w:rPr>
        <w:t>原料，经计算，精矿转运的产尘量约为</w:t>
      </w:r>
      <w:r>
        <w:rPr>
          <w:rFonts w:hint="default" w:ascii="Times New Roman" w:hAnsi="Times New Roman" w:eastAsia="宋体" w:cs="Times New Roman"/>
          <w:color w:val="000000"/>
          <w:kern w:val="0"/>
          <w:sz w:val="24"/>
          <w:szCs w:val="24"/>
          <w:lang w:val="en-US" w:eastAsia="zh-CN" w:bidi="ar"/>
        </w:rPr>
        <w:t>12t/a</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1.7kg/h</w:t>
      </w:r>
      <w:r>
        <w:rPr>
          <w:rFonts w:hint="eastAsia" w:ascii="Times New Roman" w:hAnsi="Times New Roman" w:eastAsia="宋体" w:cs="Times New Roman"/>
          <w:color w:val="000000"/>
          <w:kern w:val="0"/>
          <w:sz w:val="24"/>
          <w:szCs w:val="24"/>
          <w:lang w:val="en-US" w:eastAsia="zh-CN" w:bidi="ar"/>
        </w:rPr>
        <w:t>）。精矿库采用封闭结构，粉尘经厂房遮挡和沉降后（削减</w:t>
      </w:r>
      <w:r>
        <w:rPr>
          <w:rFonts w:hint="default" w:ascii="Times New Roman" w:hAnsi="Times New Roman" w:eastAsia="宋体" w:cs="Times New Roman"/>
          <w:color w:val="000000"/>
          <w:kern w:val="0"/>
          <w:sz w:val="24"/>
          <w:szCs w:val="24"/>
          <w:lang w:val="en-US" w:eastAsia="zh-CN" w:bidi="ar"/>
        </w:rPr>
        <w:t>80%</w:t>
      </w:r>
      <w:r>
        <w:rPr>
          <w:rFonts w:hint="eastAsia" w:ascii="Times New Roman" w:hAnsi="Times New Roman" w:eastAsia="宋体" w:cs="Times New Roman"/>
          <w:color w:val="000000"/>
          <w:kern w:val="0"/>
          <w:sz w:val="24"/>
          <w:szCs w:val="24"/>
          <w:lang w:val="en-US" w:eastAsia="zh-CN" w:bidi="ar"/>
        </w:rPr>
        <w:t>），其余约</w:t>
      </w:r>
      <w:r>
        <w:rPr>
          <w:rFonts w:hint="default" w:ascii="Times New Roman" w:hAnsi="Times New Roman" w:eastAsia="宋体" w:cs="Times New Roman"/>
          <w:color w:val="000000"/>
          <w:kern w:val="0"/>
          <w:sz w:val="24"/>
          <w:szCs w:val="24"/>
          <w:lang w:val="en-US" w:eastAsia="zh-CN" w:bidi="ar"/>
        </w:rPr>
        <w:t>20%</w:t>
      </w:r>
      <w:r>
        <w:rPr>
          <w:rFonts w:hint="eastAsia" w:ascii="Times New Roman" w:hAnsi="Times New Roman" w:eastAsia="宋体" w:cs="Times New Roman"/>
          <w:color w:val="000000"/>
          <w:kern w:val="0"/>
          <w:sz w:val="24"/>
          <w:szCs w:val="24"/>
          <w:lang w:val="en-US" w:eastAsia="zh-CN" w:bidi="ar"/>
        </w:rPr>
        <w:t>经门、窗以无组织形式逸出厂房的粉尘为</w:t>
      </w:r>
      <w:r>
        <w:rPr>
          <w:rFonts w:hint="default" w:ascii="Times New Roman" w:hAnsi="Times New Roman" w:eastAsia="宋体" w:cs="Times New Roman"/>
          <w:color w:val="000000"/>
          <w:kern w:val="0"/>
          <w:sz w:val="24"/>
          <w:szCs w:val="24"/>
          <w:lang w:val="en-US" w:eastAsia="zh-CN" w:bidi="ar"/>
        </w:rPr>
        <w:t>2.4t/a</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0.34kg/h</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color w:val="000000"/>
          <w:kern w:val="0"/>
          <w:sz w:val="24"/>
          <w:szCs w:val="24"/>
          <w:lang w:val="en-US" w:eastAsia="zh-CN" w:bidi="ar"/>
        </w:rPr>
        <w:t>④</w:t>
      </w:r>
      <w:r>
        <w:rPr>
          <w:rFonts w:hint="eastAsia" w:ascii="Times New Roman" w:hAnsi="Times New Roman" w:eastAsia="宋体" w:cs="Times New Roman"/>
          <w:b/>
          <w:bCs w:val="0"/>
          <w:color w:val="000000"/>
          <w:kern w:val="0"/>
          <w:sz w:val="24"/>
          <w:szCs w:val="24"/>
          <w:lang w:val="en-US" w:eastAsia="zh-CN" w:bidi="ar"/>
        </w:rPr>
        <w:t>尾矿库（</w:t>
      </w:r>
      <w:r>
        <w:rPr>
          <w:rFonts w:hint="default" w:ascii="Times New Roman" w:hAnsi="Times New Roman" w:eastAsia="宋体" w:cs="Times New Roman"/>
          <w:b/>
          <w:bCs w:val="0"/>
          <w:color w:val="000000"/>
          <w:kern w:val="0"/>
          <w:sz w:val="24"/>
          <w:szCs w:val="24"/>
          <w:lang w:val="en-US" w:eastAsia="zh-CN" w:bidi="ar"/>
        </w:rPr>
        <w:t>G</w:t>
      </w:r>
      <w:r>
        <w:rPr>
          <w:rFonts w:hint="default" w:ascii="Times New Roman" w:hAnsi="Times New Roman" w:eastAsia="宋体" w:cs="Times New Roman"/>
          <w:b/>
          <w:bCs w:val="0"/>
          <w:color w:val="000000"/>
          <w:kern w:val="0"/>
          <w:sz w:val="24"/>
          <w:szCs w:val="24"/>
          <w:vertAlign w:val="subscript"/>
          <w:lang w:val="en-US" w:eastAsia="zh-CN" w:bidi="ar"/>
        </w:rPr>
        <w:t>4</w:t>
      </w:r>
      <w:r>
        <w:rPr>
          <w:rFonts w:hint="eastAsia" w:ascii="Times New Roman" w:hAnsi="Times New Roman" w:eastAsia="宋体" w:cs="Times New Roman"/>
          <w:b/>
          <w:bCs w:val="0"/>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参照《逸散性工业粉尘控制技术》相关资料，菱镁尾矿含水约</w:t>
      </w:r>
      <w:r>
        <w:rPr>
          <w:rFonts w:hint="default" w:ascii="Times New Roman" w:hAnsi="Times New Roman" w:eastAsia="宋体" w:cs="Times New Roman"/>
          <w:color w:val="000000"/>
          <w:kern w:val="0"/>
          <w:sz w:val="24"/>
          <w:szCs w:val="24"/>
          <w:lang w:val="en-US" w:eastAsia="zh-CN" w:bidi="ar"/>
        </w:rPr>
        <w:t>12%</w:t>
      </w:r>
      <w:r>
        <w:rPr>
          <w:rFonts w:hint="eastAsia" w:ascii="Times New Roman" w:hAnsi="Times New Roman" w:eastAsia="宋体" w:cs="Times New Roman"/>
          <w:color w:val="000000"/>
          <w:kern w:val="0"/>
          <w:sz w:val="24"/>
          <w:szCs w:val="24"/>
          <w:lang w:val="en-US" w:eastAsia="zh-CN" w:bidi="ar"/>
        </w:rPr>
        <w:t>，转运粉尘产生系数取</w:t>
      </w:r>
      <w:r>
        <w:rPr>
          <w:rFonts w:hint="default" w:ascii="Times New Roman" w:hAnsi="Times New Roman" w:eastAsia="宋体" w:cs="Times New Roman"/>
          <w:color w:val="000000"/>
          <w:kern w:val="0"/>
          <w:sz w:val="24"/>
          <w:szCs w:val="24"/>
          <w:lang w:val="en-US" w:eastAsia="zh-CN" w:bidi="ar"/>
        </w:rPr>
        <w:t>0.01kg/t</w:t>
      </w:r>
      <w:r>
        <w:rPr>
          <w:rFonts w:hint="eastAsia" w:ascii="Times New Roman" w:hAnsi="Times New Roman" w:eastAsia="宋体" w:cs="Times New Roman"/>
          <w:color w:val="000000"/>
          <w:kern w:val="0"/>
          <w:sz w:val="24"/>
          <w:szCs w:val="24"/>
          <w:lang w:val="en-US" w:eastAsia="zh-CN" w:bidi="ar"/>
        </w:rPr>
        <w:t>原料，经计算，尾矿转运的产尘量约为</w:t>
      </w:r>
      <w:r>
        <w:rPr>
          <w:rFonts w:hint="default" w:ascii="Times New Roman" w:hAnsi="Times New Roman" w:eastAsia="宋体" w:cs="Times New Roman"/>
          <w:color w:val="000000"/>
          <w:kern w:val="0"/>
          <w:sz w:val="24"/>
          <w:szCs w:val="24"/>
          <w:lang w:val="en-US" w:eastAsia="zh-CN" w:bidi="ar"/>
        </w:rPr>
        <w:t>2.5t/a</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0.35kg/h</w:t>
      </w:r>
      <w:r>
        <w:rPr>
          <w:rFonts w:hint="eastAsia" w:ascii="Times New Roman" w:hAnsi="Times New Roman" w:eastAsia="宋体" w:cs="Times New Roman"/>
          <w:color w:val="000000"/>
          <w:kern w:val="0"/>
          <w:sz w:val="24"/>
          <w:szCs w:val="24"/>
          <w:lang w:val="en-US" w:eastAsia="zh-CN" w:bidi="ar"/>
        </w:rPr>
        <w:t>）。尾矿库采用封闭结构，粉尘经厂房遮挡和沉降后（削减</w:t>
      </w:r>
      <w:r>
        <w:rPr>
          <w:rFonts w:hint="default" w:ascii="Times New Roman" w:hAnsi="Times New Roman" w:eastAsia="宋体" w:cs="Times New Roman"/>
          <w:color w:val="000000"/>
          <w:kern w:val="0"/>
          <w:sz w:val="24"/>
          <w:szCs w:val="24"/>
          <w:lang w:val="en-US" w:eastAsia="zh-CN" w:bidi="ar"/>
        </w:rPr>
        <w:t>80%</w:t>
      </w:r>
      <w:r>
        <w:rPr>
          <w:rFonts w:hint="eastAsia" w:ascii="Times New Roman" w:hAnsi="Times New Roman" w:eastAsia="宋体" w:cs="Times New Roman"/>
          <w:color w:val="000000"/>
          <w:kern w:val="0"/>
          <w:sz w:val="24"/>
          <w:szCs w:val="24"/>
          <w:lang w:val="en-US" w:eastAsia="zh-CN" w:bidi="ar"/>
        </w:rPr>
        <w:t>），其余约</w:t>
      </w:r>
      <w:r>
        <w:rPr>
          <w:rFonts w:hint="default" w:ascii="Times New Roman" w:hAnsi="Times New Roman" w:eastAsia="宋体" w:cs="Times New Roman"/>
          <w:color w:val="000000"/>
          <w:kern w:val="0"/>
          <w:sz w:val="24"/>
          <w:szCs w:val="24"/>
          <w:lang w:val="en-US" w:eastAsia="zh-CN" w:bidi="ar"/>
        </w:rPr>
        <w:t>20%</w:t>
      </w:r>
      <w:r>
        <w:rPr>
          <w:rFonts w:hint="eastAsia" w:ascii="Times New Roman" w:hAnsi="Times New Roman" w:eastAsia="宋体" w:cs="Times New Roman"/>
          <w:color w:val="000000"/>
          <w:kern w:val="0"/>
          <w:sz w:val="24"/>
          <w:szCs w:val="24"/>
          <w:lang w:val="en-US" w:eastAsia="zh-CN" w:bidi="ar"/>
        </w:rPr>
        <w:t>经门、窗以无组织形式逸出厂房的粉尘为</w:t>
      </w:r>
      <w:r>
        <w:rPr>
          <w:rFonts w:hint="default" w:ascii="Times New Roman" w:hAnsi="Times New Roman" w:eastAsia="宋体" w:cs="Times New Roman"/>
          <w:color w:val="000000"/>
          <w:kern w:val="0"/>
          <w:sz w:val="24"/>
          <w:szCs w:val="24"/>
          <w:lang w:val="en-US" w:eastAsia="zh-CN" w:bidi="ar"/>
        </w:rPr>
        <w:t>0. 5t/a</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0.07kg/h</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color w:val="000000"/>
          <w:kern w:val="0"/>
          <w:sz w:val="24"/>
          <w:szCs w:val="24"/>
          <w:lang w:val="en-US" w:eastAsia="zh-CN" w:bidi="ar"/>
        </w:rPr>
        <w:t>⑤</w:t>
      </w:r>
      <w:r>
        <w:rPr>
          <w:rFonts w:hint="eastAsia" w:ascii="Times New Roman" w:hAnsi="Times New Roman" w:eastAsia="宋体" w:cs="Times New Roman"/>
          <w:b/>
          <w:bCs w:val="0"/>
          <w:color w:val="000000"/>
          <w:kern w:val="0"/>
          <w:sz w:val="24"/>
          <w:szCs w:val="24"/>
          <w:lang w:val="en-US" w:eastAsia="zh-CN" w:bidi="ar"/>
        </w:rPr>
        <w:t>道路运输扬尘（</w:t>
      </w:r>
      <w:r>
        <w:rPr>
          <w:rFonts w:hint="default" w:ascii="Times New Roman" w:hAnsi="Times New Roman" w:eastAsia="宋体" w:cs="Times New Roman"/>
          <w:b/>
          <w:bCs w:val="0"/>
          <w:color w:val="000000"/>
          <w:kern w:val="0"/>
          <w:sz w:val="24"/>
          <w:szCs w:val="24"/>
          <w:lang w:val="en-US" w:eastAsia="zh-CN" w:bidi="ar"/>
        </w:rPr>
        <w:t>G</w:t>
      </w:r>
      <w:r>
        <w:rPr>
          <w:rFonts w:hint="default" w:ascii="Times New Roman" w:hAnsi="Times New Roman" w:eastAsia="宋体" w:cs="Times New Roman"/>
          <w:b/>
          <w:bCs w:val="0"/>
          <w:color w:val="000000"/>
          <w:kern w:val="0"/>
          <w:sz w:val="24"/>
          <w:szCs w:val="24"/>
          <w:vertAlign w:val="subscript"/>
          <w:lang w:val="en-US" w:eastAsia="zh-CN" w:bidi="ar"/>
        </w:rPr>
        <w:t>5</w:t>
      </w:r>
      <w:r>
        <w:rPr>
          <w:rFonts w:hint="eastAsia" w:ascii="Times New Roman" w:hAnsi="Times New Roman" w:eastAsia="宋体" w:cs="Times New Roman"/>
          <w:b/>
          <w:bCs w:val="0"/>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本项目原矿和精矿运输均采用汽车运输，尾矿外运也采用汽车运输，运输量较大，本项目原矿、精矿、尾矿年运输量约</w:t>
      </w:r>
      <w:r>
        <w:rPr>
          <w:rFonts w:hint="default" w:ascii="Times New Roman" w:hAnsi="Times New Roman" w:eastAsia="宋体" w:cs="Times New Roman"/>
          <w:color w:val="000000"/>
          <w:kern w:val="0"/>
          <w:sz w:val="24"/>
          <w:szCs w:val="24"/>
          <w:lang w:val="en-US" w:eastAsia="zh-CN" w:bidi="ar"/>
        </w:rPr>
        <w:t>250</w:t>
      </w:r>
      <w:r>
        <w:rPr>
          <w:rFonts w:hint="eastAsia" w:ascii="Times New Roman" w:hAnsi="Times New Roman" w:eastAsia="宋体" w:cs="Times New Roman"/>
          <w:color w:val="000000"/>
          <w:kern w:val="0"/>
          <w:sz w:val="24"/>
          <w:szCs w:val="24"/>
          <w:lang w:val="en-US" w:eastAsia="zh-CN" w:bidi="ar"/>
        </w:rPr>
        <w:t>万</w:t>
      </w:r>
      <w:r>
        <w:rPr>
          <w:rFonts w:hint="default" w:ascii="Times New Roman" w:hAnsi="Times New Roman" w:eastAsia="宋体" w:cs="Times New Roman"/>
          <w:color w:val="000000"/>
          <w:kern w:val="0"/>
          <w:sz w:val="24"/>
          <w:szCs w:val="24"/>
          <w:lang w:val="en-US" w:eastAsia="zh-CN" w:bidi="ar"/>
        </w:rPr>
        <w:t>t/a</w:t>
      </w:r>
      <w:r>
        <w:rPr>
          <w:rFonts w:hint="eastAsia" w:ascii="Times New Roman" w:hAnsi="Times New Roman" w:eastAsia="宋体" w:cs="Times New Roman"/>
          <w:color w:val="000000"/>
          <w:kern w:val="0"/>
          <w:sz w:val="24"/>
          <w:szCs w:val="24"/>
          <w:lang w:val="en-US" w:eastAsia="zh-CN" w:bidi="ar"/>
        </w:rPr>
        <w:t>（原矿</w:t>
      </w:r>
      <w:r>
        <w:rPr>
          <w:rFonts w:hint="default" w:ascii="Times New Roman" w:hAnsi="Times New Roman" w:eastAsia="宋体" w:cs="Times New Roman"/>
          <w:color w:val="000000"/>
          <w:kern w:val="0"/>
          <w:sz w:val="24"/>
          <w:szCs w:val="24"/>
          <w:lang w:val="en-US" w:eastAsia="zh-CN" w:bidi="ar"/>
        </w:rPr>
        <w:t>125</w:t>
      </w:r>
      <w:r>
        <w:rPr>
          <w:rFonts w:hint="eastAsia" w:ascii="Times New Roman" w:hAnsi="Times New Roman" w:eastAsia="宋体" w:cs="Times New Roman"/>
          <w:color w:val="000000"/>
          <w:kern w:val="0"/>
          <w:sz w:val="24"/>
          <w:szCs w:val="24"/>
          <w:lang w:val="en-US" w:eastAsia="zh-CN" w:bidi="ar"/>
        </w:rPr>
        <w:t>万</w:t>
      </w:r>
      <w:r>
        <w:rPr>
          <w:rFonts w:hint="default" w:ascii="Times New Roman" w:hAnsi="Times New Roman" w:eastAsia="宋体" w:cs="Times New Roman"/>
          <w:color w:val="000000"/>
          <w:kern w:val="0"/>
          <w:sz w:val="24"/>
          <w:szCs w:val="24"/>
          <w:lang w:val="en-US" w:eastAsia="zh-CN" w:bidi="ar"/>
        </w:rPr>
        <w:t>t/a</w:t>
      </w:r>
      <w:r>
        <w:rPr>
          <w:rFonts w:hint="eastAsia" w:ascii="Times New Roman" w:hAnsi="Times New Roman" w:eastAsia="宋体" w:cs="Times New Roman"/>
          <w:color w:val="000000"/>
          <w:kern w:val="0"/>
          <w:sz w:val="24"/>
          <w:szCs w:val="24"/>
          <w:lang w:val="en-US" w:eastAsia="zh-CN" w:bidi="ar"/>
        </w:rPr>
        <w:t>；精矿</w:t>
      </w:r>
      <w:r>
        <w:rPr>
          <w:rFonts w:hint="default" w:ascii="Times New Roman" w:hAnsi="Times New Roman" w:eastAsia="宋体" w:cs="Times New Roman"/>
          <w:color w:val="000000"/>
          <w:kern w:val="0"/>
          <w:sz w:val="24"/>
          <w:szCs w:val="24"/>
          <w:lang w:val="en-US" w:eastAsia="zh-CN" w:bidi="ar"/>
        </w:rPr>
        <w:t>100</w:t>
      </w:r>
      <w:r>
        <w:rPr>
          <w:rFonts w:hint="eastAsia" w:ascii="Times New Roman" w:hAnsi="Times New Roman" w:eastAsia="宋体" w:cs="Times New Roman"/>
          <w:color w:val="000000"/>
          <w:kern w:val="0"/>
          <w:sz w:val="24"/>
          <w:szCs w:val="24"/>
          <w:lang w:val="en-US" w:eastAsia="zh-CN" w:bidi="ar"/>
        </w:rPr>
        <w:t>万</w:t>
      </w:r>
      <w:r>
        <w:rPr>
          <w:rFonts w:hint="default" w:ascii="Times New Roman" w:hAnsi="Times New Roman" w:eastAsia="宋体" w:cs="Times New Roman"/>
          <w:color w:val="000000"/>
          <w:kern w:val="0"/>
          <w:sz w:val="24"/>
          <w:szCs w:val="24"/>
          <w:lang w:val="en-US" w:eastAsia="zh-CN" w:bidi="ar"/>
        </w:rPr>
        <w:t>t/a</w:t>
      </w:r>
      <w:r>
        <w:rPr>
          <w:rFonts w:hint="eastAsia" w:ascii="Times New Roman" w:hAnsi="Times New Roman" w:eastAsia="宋体" w:cs="Times New Roman"/>
          <w:color w:val="000000"/>
          <w:kern w:val="0"/>
          <w:sz w:val="24"/>
          <w:szCs w:val="24"/>
          <w:lang w:val="en-US" w:eastAsia="zh-CN" w:bidi="ar"/>
        </w:rPr>
        <w:t>；尾矿</w:t>
      </w:r>
      <w:r>
        <w:rPr>
          <w:rFonts w:hint="default" w:ascii="Times New Roman" w:hAnsi="Times New Roman" w:eastAsia="宋体" w:cs="Times New Roman"/>
          <w:color w:val="000000"/>
          <w:kern w:val="0"/>
          <w:sz w:val="24"/>
          <w:szCs w:val="24"/>
          <w:lang w:val="en-US" w:eastAsia="zh-CN" w:bidi="ar"/>
        </w:rPr>
        <w:t>25</w:t>
      </w:r>
      <w:r>
        <w:rPr>
          <w:rFonts w:hint="eastAsia" w:ascii="Times New Roman" w:hAnsi="Times New Roman" w:eastAsia="宋体" w:cs="Times New Roman"/>
          <w:color w:val="000000"/>
          <w:kern w:val="0"/>
          <w:sz w:val="24"/>
          <w:szCs w:val="24"/>
          <w:lang w:val="en-US" w:eastAsia="zh-CN" w:bidi="ar"/>
        </w:rPr>
        <w:t>万</w:t>
      </w:r>
      <w:r>
        <w:rPr>
          <w:rFonts w:hint="default" w:ascii="Times New Roman" w:hAnsi="Times New Roman" w:eastAsia="宋体" w:cs="Times New Roman"/>
          <w:color w:val="000000"/>
          <w:kern w:val="0"/>
          <w:sz w:val="24"/>
          <w:szCs w:val="24"/>
          <w:lang w:val="en-US" w:eastAsia="zh-CN" w:bidi="ar"/>
        </w:rPr>
        <w:t>t/a</w:t>
      </w:r>
      <w:r>
        <w:rPr>
          <w:rFonts w:hint="eastAsia" w:ascii="Times New Roman" w:hAnsi="Times New Roman" w:eastAsia="宋体" w:cs="Times New Roman"/>
          <w:color w:val="000000"/>
          <w:kern w:val="0"/>
          <w:sz w:val="24"/>
          <w:szCs w:val="24"/>
          <w:lang w:val="en-US" w:eastAsia="zh-CN" w:bidi="ar"/>
        </w:rPr>
        <w:t>），汽车在运输过程中由于散落干态粉状物料和挟带地面干态粉料会产生粉尘污染，运输车辆排放源按连续污染线源无组织排放考虑。</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国内对运输汽车扬尘量测定数据表明，单台汽车的扬尘量在</w:t>
      </w:r>
      <w:r>
        <w:rPr>
          <w:rFonts w:hint="default" w:ascii="Times New Roman" w:hAnsi="Times New Roman" w:eastAsia="宋体" w:cs="Times New Roman"/>
          <w:color w:val="000000"/>
          <w:kern w:val="0"/>
          <w:sz w:val="24"/>
          <w:szCs w:val="24"/>
          <w:lang w:val="en-US" w:eastAsia="zh-CN" w:bidi="ar"/>
        </w:rPr>
        <w:t>0.2g/</w:t>
      </w:r>
      <w:r>
        <w:rPr>
          <w:rFonts w:hint="eastAsia" w:ascii="Times New Roman" w:hAnsi="Times New Roman" w:eastAsia="宋体" w:cs="Times New Roman"/>
          <w:color w:val="000000"/>
          <w:kern w:val="0"/>
          <w:sz w:val="24"/>
          <w:szCs w:val="24"/>
          <w:lang w:val="en-US" w:eastAsia="zh-CN" w:bidi="ar"/>
        </w:rPr>
        <w:t>辆</w:t>
      </w:r>
      <w:r>
        <w:rPr>
          <w:rFonts w:hint="default" w:ascii="Times New Roman" w:hAnsi="Times New Roman" w:eastAsia="宋体" w:cs="Times New Roman"/>
          <w:color w:val="000000"/>
          <w:kern w:val="0"/>
          <w:sz w:val="24"/>
          <w:szCs w:val="24"/>
          <w:lang w:val="en-US" w:eastAsia="zh-CN" w:bidi="ar"/>
        </w:rPr>
        <w:t>·m~41g/</w:t>
      </w:r>
      <w:r>
        <w:rPr>
          <w:rFonts w:hint="eastAsia" w:ascii="Times New Roman" w:hAnsi="Times New Roman" w:eastAsia="宋体" w:cs="Times New Roman"/>
          <w:color w:val="000000"/>
          <w:kern w:val="0"/>
          <w:sz w:val="24"/>
          <w:szCs w:val="24"/>
          <w:lang w:val="en-US" w:eastAsia="zh-CN" w:bidi="ar"/>
        </w:rPr>
        <w:t>辆</w:t>
      </w:r>
      <w:r>
        <w:rPr>
          <w:rFonts w:hint="default" w:ascii="Times New Roman" w:hAnsi="Times New Roman" w:eastAsia="宋体" w:cs="Times New Roman"/>
          <w:color w:val="000000"/>
          <w:kern w:val="0"/>
          <w:sz w:val="24"/>
          <w:szCs w:val="24"/>
          <w:lang w:val="en-US" w:eastAsia="zh-CN" w:bidi="ar"/>
        </w:rPr>
        <w:t>·m</w:t>
      </w:r>
      <w:r>
        <w:rPr>
          <w:rFonts w:hint="eastAsia" w:ascii="Times New Roman" w:hAnsi="Times New Roman" w:eastAsia="宋体" w:cs="Times New Roman"/>
          <w:color w:val="000000"/>
          <w:kern w:val="0"/>
          <w:sz w:val="24"/>
          <w:szCs w:val="24"/>
          <w:lang w:val="en-US" w:eastAsia="zh-CN" w:bidi="ar"/>
        </w:rPr>
        <w:t>之间，其扬尘量主要与路况、车况、运输的物料性质有较大关系。采取路面硬化及洒水等措施后，单台汽车的扬尘量平均为</w:t>
      </w:r>
      <w:r>
        <w:rPr>
          <w:rFonts w:hint="default" w:ascii="Times New Roman" w:hAnsi="Times New Roman" w:eastAsia="宋体" w:cs="Times New Roman"/>
          <w:color w:val="000000"/>
          <w:kern w:val="0"/>
          <w:sz w:val="24"/>
          <w:szCs w:val="24"/>
          <w:lang w:val="en-US" w:eastAsia="zh-CN" w:bidi="ar"/>
        </w:rPr>
        <w:t>10g/</w:t>
      </w:r>
      <w:r>
        <w:rPr>
          <w:rFonts w:hint="eastAsia" w:ascii="Times New Roman" w:hAnsi="Times New Roman" w:eastAsia="宋体" w:cs="Times New Roman"/>
          <w:color w:val="000000"/>
          <w:kern w:val="0"/>
          <w:sz w:val="24"/>
          <w:szCs w:val="24"/>
          <w:lang w:val="en-US" w:eastAsia="zh-CN" w:bidi="ar"/>
        </w:rPr>
        <w:t>辆</w:t>
      </w:r>
      <w:r>
        <w:rPr>
          <w:rFonts w:hint="default" w:ascii="Times New Roman" w:hAnsi="Times New Roman" w:eastAsia="宋体" w:cs="Times New Roman"/>
          <w:color w:val="000000"/>
          <w:kern w:val="0"/>
          <w:sz w:val="24"/>
          <w:szCs w:val="24"/>
          <w:lang w:val="en-US" w:eastAsia="zh-CN" w:bidi="ar"/>
        </w:rPr>
        <w:t>·m</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本项目采用汽车运输，场内路面均硬化，本项目与华宇集团自有矿山毗邻建设，原矿运输进场道路极短，约</w:t>
      </w:r>
      <w:r>
        <w:rPr>
          <w:rFonts w:hint="default" w:ascii="Times New Roman" w:hAnsi="Times New Roman" w:eastAsia="宋体" w:cs="Times New Roman"/>
          <w:color w:val="000000"/>
          <w:kern w:val="0"/>
          <w:sz w:val="24"/>
          <w:szCs w:val="24"/>
          <w:lang w:val="en-US" w:eastAsia="zh-CN" w:bidi="ar"/>
        </w:rPr>
        <w:t>150m</w:t>
      </w:r>
      <w:r>
        <w:rPr>
          <w:rFonts w:hint="eastAsia" w:ascii="Times New Roman" w:hAnsi="Times New Roman" w:eastAsia="宋体" w:cs="Times New Roman"/>
          <w:color w:val="000000"/>
          <w:kern w:val="0"/>
          <w:sz w:val="24"/>
          <w:szCs w:val="24"/>
          <w:lang w:val="en-US" w:eastAsia="zh-CN" w:bidi="ar"/>
        </w:rPr>
        <w:t>，成品运输车辆经</w:t>
      </w:r>
      <w:r>
        <w:rPr>
          <w:rFonts w:hint="default" w:ascii="Times New Roman" w:hAnsi="Times New Roman" w:eastAsia="宋体" w:cs="Times New Roman"/>
          <w:color w:val="000000"/>
          <w:kern w:val="0"/>
          <w:sz w:val="24"/>
          <w:szCs w:val="24"/>
          <w:lang w:val="en-US" w:eastAsia="zh-CN" w:bidi="ar"/>
        </w:rPr>
        <w:t>300m</w:t>
      </w:r>
      <w:r>
        <w:rPr>
          <w:rFonts w:hint="eastAsia" w:ascii="Times New Roman" w:hAnsi="Times New Roman" w:eastAsia="宋体" w:cs="Times New Roman"/>
          <w:color w:val="000000"/>
          <w:kern w:val="0"/>
          <w:sz w:val="24"/>
          <w:szCs w:val="24"/>
          <w:lang w:val="en-US" w:eastAsia="zh-CN" w:bidi="ar"/>
        </w:rPr>
        <w:t>道路运送到华宇集团厂区内下游厂家。本项目与下游厂家距离及位置关系见图</w:t>
      </w:r>
      <w:r>
        <w:rPr>
          <w:rFonts w:hint="default" w:ascii="Times New Roman" w:hAnsi="Times New Roman" w:eastAsia="宋体" w:cs="Times New Roman"/>
          <w:color w:val="000000"/>
          <w:kern w:val="0"/>
          <w:sz w:val="24"/>
          <w:szCs w:val="24"/>
          <w:lang w:val="en-US" w:eastAsia="zh-CN" w:bidi="ar"/>
        </w:rPr>
        <w:t>1-4</w:t>
      </w:r>
      <w:r>
        <w:rPr>
          <w:rFonts w:hint="eastAsia" w:ascii="Times New Roman" w:hAnsi="Times New Roman" w:eastAsia="宋体" w:cs="Times New Roman"/>
          <w:color w:val="000000"/>
          <w:kern w:val="0"/>
          <w:sz w:val="24"/>
          <w:szCs w:val="24"/>
          <w:lang w:val="en-US" w:eastAsia="zh-CN" w:bidi="ar"/>
        </w:rPr>
        <w:t>本项目周边关系图。本项目原矿及产品运输量为</w:t>
      </w:r>
      <w:r>
        <w:rPr>
          <w:rFonts w:hint="default" w:ascii="Times New Roman" w:hAnsi="Times New Roman" w:eastAsia="宋体" w:cs="Times New Roman"/>
          <w:color w:val="000000"/>
          <w:kern w:val="0"/>
          <w:sz w:val="24"/>
          <w:szCs w:val="24"/>
          <w:lang w:val="en-US" w:eastAsia="zh-CN" w:bidi="ar"/>
        </w:rPr>
        <w:t>250</w:t>
      </w:r>
      <w:r>
        <w:rPr>
          <w:rFonts w:hint="eastAsia" w:ascii="Times New Roman" w:hAnsi="Times New Roman" w:eastAsia="宋体" w:cs="Times New Roman"/>
          <w:color w:val="000000"/>
          <w:kern w:val="0"/>
          <w:sz w:val="24"/>
          <w:szCs w:val="24"/>
          <w:lang w:val="en-US" w:eastAsia="zh-CN" w:bidi="ar"/>
        </w:rPr>
        <w:t>万</w:t>
      </w:r>
      <w:r>
        <w:rPr>
          <w:rFonts w:hint="default" w:ascii="Times New Roman" w:hAnsi="Times New Roman" w:eastAsia="宋体" w:cs="Times New Roman"/>
          <w:color w:val="000000"/>
          <w:kern w:val="0"/>
          <w:sz w:val="24"/>
          <w:szCs w:val="24"/>
          <w:lang w:val="en-US" w:eastAsia="zh-CN" w:bidi="ar"/>
        </w:rPr>
        <w:t>t/a</w:t>
      </w:r>
      <w:r>
        <w:rPr>
          <w:rFonts w:hint="eastAsia" w:ascii="Times New Roman" w:hAnsi="Times New Roman" w:eastAsia="宋体" w:cs="Times New Roman"/>
          <w:color w:val="000000"/>
          <w:kern w:val="0"/>
          <w:sz w:val="24"/>
          <w:szCs w:val="24"/>
          <w:lang w:val="en-US" w:eastAsia="zh-CN" w:bidi="ar"/>
        </w:rPr>
        <w:t>，运输天数按</w:t>
      </w:r>
      <w:r>
        <w:rPr>
          <w:rFonts w:hint="default" w:ascii="Times New Roman" w:hAnsi="Times New Roman" w:eastAsia="宋体" w:cs="Times New Roman"/>
          <w:color w:val="000000"/>
          <w:kern w:val="0"/>
          <w:sz w:val="24"/>
          <w:szCs w:val="24"/>
          <w:lang w:val="en-US" w:eastAsia="zh-CN" w:bidi="ar"/>
        </w:rPr>
        <w:t>300</w:t>
      </w:r>
      <w:r>
        <w:rPr>
          <w:rFonts w:hint="eastAsia" w:ascii="Times New Roman" w:hAnsi="Times New Roman" w:eastAsia="宋体" w:cs="Times New Roman"/>
          <w:color w:val="000000"/>
          <w:kern w:val="0"/>
          <w:sz w:val="24"/>
          <w:szCs w:val="24"/>
          <w:lang w:val="en-US" w:eastAsia="zh-CN" w:bidi="ar"/>
        </w:rPr>
        <w:t>天计，则日运输量为</w:t>
      </w:r>
      <w:r>
        <w:rPr>
          <w:rFonts w:hint="default" w:ascii="Times New Roman" w:hAnsi="Times New Roman" w:eastAsia="宋体" w:cs="Times New Roman"/>
          <w:color w:val="000000"/>
          <w:kern w:val="0"/>
          <w:sz w:val="24"/>
          <w:szCs w:val="24"/>
          <w:lang w:val="en-US" w:eastAsia="zh-CN" w:bidi="ar"/>
        </w:rPr>
        <w:t>8334t/d</w:t>
      </w:r>
      <w:r>
        <w:rPr>
          <w:rFonts w:hint="eastAsia" w:ascii="Times New Roman" w:hAnsi="Times New Roman" w:eastAsia="宋体" w:cs="Times New Roman"/>
          <w:color w:val="000000"/>
          <w:kern w:val="0"/>
          <w:sz w:val="24"/>
          <w:szCs w:val="24"/>
          <w:lang w:val="en-US" w:eastAsia="zh-CN" w:bidi="ar"/>
        </w:rPr>
        <w:t>，其中原矿运输量为</w:t>
      </w:r>
      <w:r>
        <w:rPr>
          <w:rFonts w:hint="default" w:ascii="Times New Roman" w:hAnsi="Times New Roman" w:eastAsia="宋体" w:cs="Times New Roman"/>
          <w:color w:val="000000"/>
          <w:kern w:val="0"/>
          <w:sz w:val="24"/>
          <w:szCs w:val="24"/>
          <w:lang w:val="en-US" w:eastAsia="zh-CN" w:bidi="ar"/>
        </w:rPr>
        <w:t>4167t/d</w:t>
      </w:r>
      <w:r>
        <w:rPr>
          <w:rFonts w:hint="eastAsia" w:ascii="Times New Roman" w:hAnsi="Times New Roman" w:eastAsia="宋体" w:cs="Times New Roman"/>
          <w:color w:val="000000"/>
          <w:kern w:val="0"/>
          <w:sz w:val="24"/>
          <w:szCs w:val="24"/>
          <w:lang w:val="en-US" w:eastAsia="zh-CN" w:bidi="ar"/>
        </w:rPr>
        <w:t>，产品运输量为</w:t>
      </w:r>
      <w:r>
        <w:rPr>
          <w:rFonts w:hint="default" w:ascii="Times New Roman" w:hAnsi="Times New Roman" w:eastAsia="宋体" w:cs="Times New Roman"/>
          <w:color w:val="000000"/>
          <w:kern w:val="0"/>
          <w:sz w:val="24"/>
          <w:szCs w:val="24"/>
          <w:lang w:val="en-US" w:eastAsia="zh-CN" w:bidi="ar"/>
        </w:rPr>
        <w:t>4167t/d</w:t>
      </w:r>
      <w:r>
        <w:rPr>
          <w:rFonts w:hint="eastAsia" w:ascii="Times New Roman" w:hAnsi="Times New Roman" w:eastAsia="宋体" w:cs="Times New Roman"/>
          <w:color w:val="000000"/>
          <w:kern w:val="0"/>
          <w:sz w:val="24"/>
          <w:szCs w:val="24"/>
          <w:lang w:val="en-US" w:eastAsia="zh-CN" w:bidi="ar"/>
        </w:rPr>
        <w:t>，按最不利情况考虑，即运输汽车卸车后空车往返，按</w:t>
      </w:r>
      <w:r>
        <w:rPr>
          <w:rFonts w:hint="default" w:ascii="Times New Roman" w:hAnsi="Times New Roman" w:eastAsia="宋体" w:cs="Times New Roman"/>
          <w:color w:val="000000"/>
          <w:kern w:val="0"/>
          <w:sz w:val="24"/>
          <w:szCs w:val="24"/>
          <w:lang w:val="en-US" w:eastAsia="zh-CN" w:bidi="ar"/>
        </w:rPr>
        <w:t>60t</w:t>
      </w:r>
      <w:r>
        <w:rPr>
          <w:rFonts w:hint="eastAsia" w:ascii="Times New Roman" w:hAnsi="Times New Roman" w:eastAsia="宋体" w:cs="Times New Roman"/>
          <w:color w:val="000000"/>
          <w:kern w:val="0"/>
          <w:sz w:val="24"/>
          <w:szCs w:val="24"/>
          <w:lang w:val="en-US" w:eastAsia="zh-CN" w:bidi="ar"/>
        </w:rPr>
        <w:t>汽车计，每天运输原矿需</w:t>
      </w:r>
      <w:r>
        <w:rPr>
          <w:rFonts w:hint="default" w:ascii="Times New Roman" w:hAnsi="Times New Roman" w:eastAsia="宋体" w:cs="Times New Roman"/>
          <w:color w:val="000000"/>
          <w:kern w:val="0"/>
          <w:sz w:val="24"/>
          <w:szCs w:val="24"/>
          <w:lang w:val="en-US" w:eastAsia="zh-CN" w:bidi="ar"/>
        </w:rPr>
        <w:t>70</w:t>
      </w:r>
      <w:r>
        <w:rPr>
          <w:rFonts w:hint="eastAsia" w:ascii="Times New Roman" w:hAnsi="Times New Roman" w:eastAsia="宋体" w:cs="Times New Roman"/>
          <w:color w:val="000000"/>
          <w:kern w:val="0"/>
          <w:sz w:val="24"/>
          <w:szCs w:val="24"/>
          <w:lang w:val="en-US" w:eastAsia="zh-CN" w:bidi="ar"/>
        </w:rPr>
        <w:t>车次，运输距离约</w:t>
      </w:r>
      <w:r>
        <w:rPr>
          <w:rFonts w:hint="default" w:ascii="Times New Roman" w:hAnsi="Times New Roman" w:eastAsia="宋体" w:cs="Times New Roman"/>
          <w:color w:val="000000"/>
          <w:kern w:val="0"/>
          <w:sz w:val="24"/>
          <w:szCs w:val="24"/>
          <w:lang w:val="en-US" w:eastAsia="zh-CN" w:bidi="ar"/>
        </w:rPr>
        <w:t>150m</w:t>
      </w:r>
      <w:r>
        <w:rPr>
          <w:rFonts w:hint="eastAsia" w:ascii="Times New Roman" w:hAnsi="Times New Roman" w:eastAsia="宋体" w:cs="Times New Roman"/>
          <w:color w:val="000000"/>
          <w:kern w:val="0"/>
          <w:sz w:val="24"/>
          <w:szCs w:val="24"/>
          <w:lang w:val="en-US" w:eastAsia="zh-CN" w:bidi="ar"/>
        </w:rPr>
        <w:t>；每天运输产品需</w:t>
      </w:r>
      <w:r>
        <w:rPr>
          <w:rFonts w:hint="default" w:ascii="Times New Roman" w:hAnsi="Times New Roman" w:eastAsia="宋体" w:cs="Times New Roman"/>
          <w:color w:val="000000"/>
          <w:kern w:val="0"/>
          <w:sz w:val="24"/>
          <w:szCs w:val="24"/>
          <w:lang w:val="en-US" w:eastAsia="zh-CN" w:bidi="ar"/>
        </w:rPr>
        <w:t>70</w:t>
      </w:r>
      <w:r>
        <w:rPr>
          <w:rFonts w:hint="eastAsia" w:ascii="Times New Roman" w:hAnsi="Times New Roman" w:eastAsia="宋体" w:cs="Times New Roman"/>
          <w:color w:val="000000"/>
          <w:kern w:val="0"/>
          <w:sz w:val="24"/>
          <w:szCs w:val="24"/>
          <w:lang w:val="en-US" w:eastAsia="zh-CN" w:bidi="ar"/>
        </w:rPr>
        <w:t>车次，运输距离约</w:t>
      </w:r>
      <w:r>
        <w:rPr>
          <w:rFonts w:hint="default" w:ascii="Times New Roman" w:hAnsi="Times New Roman" w:eastAsia="宋体" w:cs="Times New Roman"/>
          <w:color w:val="000000"/>
          <w:kern w:val="0"/>
          <w:sz w:val="24"/>
          <w:szCs w:val="24"/>
          <w:lang w:val="en-US" w:eastAsia="zh-CN" w:bidi="ar"/>
        </w:rPr>
        <w:t>300m</w:t>
      </w:r>
      <w:r>
        <w:rPr>
          <w:rFonts w:hint="eastAsia" w:ascii="Times New Roman" w:hAnsi="Times New Roman" w:eastAsia="宋体" w:cs="Times New Roman"/>
          <w:color w:val="000000"/>
          <w:kern w:val="0"/>
          <w:sz w:val="24"/>
          <w:szCs w:val="24"/>
          <w:lang w:val="en-US" w:eastAsia="zh-CN" w:bidi="ar"/>
        </w:rPr>
        <w:t>。则经计算道路运输扬尘量约为</w:t>
      </w:r>
      <w:r>
        <w:rPr>
          <w:rFonts w:hint="default" w:ascii="Times New Roman" w:hAnsi="Times New Roman" w:eastAsia="宋体" w:cs="Times New Roman"/>
          <w:color w:val="000000"/>
          <w:kern w:val="0"/>
          <w:sz w:val="24"/>
          <w:szCs w:val="24"/>
          <w:lang w:val="en-US" w:eastAsia="zh-CN" w:bidi="ar"/>
        </w:rPr>
        <w:t>94.5t/a</w:t>
      </w:r>
      <w:r>
        <w:rPr>
          <w:rFonts w:hint="eastAsia" w:ascii="Times New Roman" w:hAnsi="Times New Roman" w:eastAsia="宋体" w:cs="Times New Roman"/>
          <w:color w:val="000000"/>
          <w:kern w:val="0"/>
          <w:sz w:val="24"/>
          <w:szCs w:val="24"/>
          <w:lang w:val="en-US" w:eastAsia="zh-CN" w:bidi="ar"/>
        </w:rPr>
        <w:t>。但其排放量与风速、湿度、路面等多种因素有关，排放量变化较大。</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宋体" w:hAnsi="宋体" w:eastAsia="宋体" w:cs="宋体"/>
          <w:color w:val="000000"/>
          <w:kern w:val="0"/>
          <w:sz w:val="24"/>
          <w:szCs w:val="24"/>
          <w:lang w:val="zh-CN" w:eastAsia="zh-CN" w:bidi="ar"/>
        </w:rPr>
        <w:t>本项目</w:t>
      </w:r>
      <w:r>
        <w:rPr>
          <w:rFonts w:hint="eastAsia" w:ascii="宋体" w:hAnsi="宋体" w:eastAsia="宋体" w:cs="宋体"/>
          <w:color w:val="000000"/>
          <w:kern w:val="0"/>
          <w:sz w:val="24"/>
          <w:szCs w:val="24"/>
          <w:lang w:val="en-US" w:eastAsia="zh-CN" w:bidi="ar"/>
        </w:rPr>
        <w:t>工艺废气污染物排放情况</w:t>
      </w:r>
      <w:r>
        <w:rPr>
          <w:rFonts w:hint="eastAsia" w:ascii="宋体" w:hAnsi="宋体" w:eastAsia="宋体" w:cs="宋体"/>
          <w:color w:val="000000"/>
          <w:kern w:val="0"/>
          <w:sz w:val="24"/>
          <w:szCs w:val="24"/>
          <w:lang w:val="zh-CN" w:eastAsia="zh-CN" w:bidi="ar"/>
        </w:rPr>
        <w:t>详见下表。</w:t>
      </w:r>
    </w:p>
    <w:p>
      <w:pPr>
        <w:spacing w:line="360" w:lineRule="auto"/>
        <w:rPr>
          <w:rFonts w:hint="default" w:ascii="Times New Roman" w:hAnsi="Times New Roman" w:eastAsia="宋体" w:cs="Times New Roman"/>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3.3-4    </w:t>
      </w:r>
      <w:r>
        <w:rPr>
          <w:rFonts w:hint="eastAsia" w:ascii="Times New Roman" w:hAnsi="Times New Roman" w:eastAsia="黑体" w:cs="Times New Roman"/>
          <w:color w:val="000000"/>
          <w:kern w:val="0"/>
          <w:sz w:val="24"/>
          <w:szCs w:val="24"/>
          <w:lang w:val="en-US" w:eastAsia="zh-CN" w:bidi="ar"/>
        </w:rPr>
        <w:t>本项目</w:t>
      </w:r>
      <w:r>
        <w:rPr>
          <w:rFonts w:hint="eastAsia" w:ascii="宋体" w:hAnsi="宋体" w:eastAsia="黑体" w:cs="黑体"/>
          <w:color w:val="000000"/>
          <w:kern w:val="0"/>
          <w:sz w:val="24"/>
          <w:szCs w:val="24"/>
          <w:lang w:val="en-US" w:eastAsia="zh-CN" w:bidi="ar"/>
        </w:rPr>
        <w:t>生产废气污染物排放情况统计表</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645"/>
        <w:gridCol w:w="1128"/>
        <w:gridCol w:w="889"/>
        <w:gridCol w:w="1010"/>
        <w:gridCol w:w="876"/>
        <w:gridCol w:w="1195"/>
        <w:gridCol w:w="889"/>
        <w:gridCol w:w="889"/>
        <w:gridCol w:w="908"/>
        <w:gridCol w:w="1093"/>
        <w:gridCol w:w="720"/>
        <w:gridCol w:w="737"/>
        <w:gridCol w:w="734"/>
        <w:gridCol w:w="1045"/>
        <w:gridCol w:w="792"/>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454" w:hRule="atLeast"/>
          <w:tblHeader/>
          <w:jc w:val="center"/>
        </w:trPr>
        <w:tc>
          <w:tcPr>
            <w:tcW w:w="243" w:type="pct"/>
            <w:vMerge w:val="restart"/>
            <w:tcBorders>
              <w:top w:val="thinThickSmallGap" w:color="auto" w:sz="12" w:space="0"/>
              <w:left w:val="nil"/>
              <w:bottom w:val="single" w:color="auto" w:sz="6" w:space="0"/>
              <w:right w:val="single" w:color="auto" w:sz="6" w:space="0"/>
            </w:tcBorders>
            <w:shd w:val="clear" w:color="auto" w:fill="D9D9D9"/>
            <w:tcMar>
              <w:left w:w="57" w:type="dxa"/>
              <w:right w:w="57" w:type="dxa"/>
            </w:tcM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废气编号</w:t>
            </w:r>
          </w:p>
        </w:tc>
        <w:tc>
          <w:tcPr>
            <w:tcW w:w="421" w:type="pct"/>
            <w:vMerge w:val="restart"/>
            <w:tcBorders>
              <w:top w:val="thinThickSmallGap" w:color="auto" w:sz="12" w:space="0"/>
              <w:left w:val="single" w:color="auto" w:sz="6" w:space="0"/>
              <w:bottom w:val="single" w:color="auto" w:sz="6" w:space="0"/>
              <w:right w:val="single" w:color="auto" w:sz="6" w:space="0"/>
            </w:tcBorders>
            <w:shd w:val="clear" w:color="auto" w:fill="D9D9D9"/>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污染源</w:t>
            </w:r>
          </w:p>
        </w:tc>
        <w:tc>
          <w:tcPr>
            <w:tcW w:w="333" w:type="pct"/>
            <w:vMerge w:val="restar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污染物</w:t>
            </w:r>
          </w:p>
        </w:tc>
        <w:tc>
          <w:tcPr>
            <w:tcW w:w="706" w:type="pct"/>
            <w:gridSpan w:val="2"/>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产生情况</w:t>
            </w:r>
          </w:p>
        </w:tc>
        <w:tc>
          <w:tcPr>
            <w:tcW w:w="446" w:type="pct"/>
            <w:vMerge w:val="restar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治理措施</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及净化效率</w:t>
            </w:r>
          </w:p>
        </w:tc>
        <w:tc>
          <w:tcPr>
            <w:tcW w:w="333" w:type="pct"/>
            <w:vMerge w:val="restart"/>
            <w:tcBorders>
              <w:top w:val="thinThickSmallGap" w:color="auto" w:sz="12" w:space="0"/>
              <w:left w:val="single" w:color="auto" w:sz="6" w:space="0"/>
              <w:bottom w:val="single" w:color="auto" w:sz="6" w:space="0"/>
              <w:right w:val="single" w:color="auto" w:sz="6" w:space="0"/>
            </w:tcBorders>
            <w:shd w:val="clear" w:color="auto" w:fill="D9D9D9"/>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排气筒编号</w:t>
            </w:r>
          </w:p>
        </w:tc>
        <w:tc>
          <w:tcPr>
            <w:tcW w:w="333" w:type="pct"/>
            <w:vMerge w:val="restart"/>
            <w:tcBorders>
              <w:top w:val="thinThickSmallGap" w:color="auto" w:sz="12" w:space="0"/>
              <w:left w:val="single" w:color="auto" w:sz="6" w:space="0"/>
              <w:bottom w:val="single" w:color="auto" w:sz="6" w:space="0"/>
              <w:right w:val="single" w:color="auto" w:sz="6" w:space="0"/>
            </w:tcBorders>
            <w:shd w:val="clear" w:color="auto" w:fill="D9D9D9"/>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排气量</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m</w:t>
            </w:r>
            <w:r>
              <w:rPr>
                <w:rFonts w:hint="default" w:ascii="Times New Roman" w:hAnsi="Times New Roman" w:cs="Times New Roman"/>
                <w:color w:val="000000"/>
                <w:sz w:val="21"/>
                <w:szCs w:val="21"/>
                <w:bdr w:val="none" w:color="auto" w:sz="0" w:space="0"/>
                <w:vertAlign w:val="superscript"/>
                <w:lang w:val="en-US"/>
              </w:rPr>
              <w:t>3</w:t>
            </w:r>
            <w:r>
              <w:rPr>
                <w:rFonts w:hint="default" w:ascii="Times New Roman" w:hAnsi="Times New Roman" w:cs="Times New Roman"/>
                <w:color w:val="000000"/>
                <w:sz w:val="21"/>
                <w:szCs w:val="21"/>
                <w:bdr w:val="none" w:color="auto" w:sz="0" w:space="0"/>
                <w:lang w:val="en-US"/>
              </w:rPr>
              <w:t>/h</w:t>
            </w:r>
          </w:p>
        </w:tc>
        <w:tc>
          <w:tcPr>
            <w:tcW w:w="1014" w:type="pct"/>
            <w:gridSpan w:val="3"/>
            <w:tcBorders>
              <w:top w:val="thinThickSmallGap" w:color="auto" w:sz="12" w:space="0"/>
              <w:left w:val="single" w:color="auto" w:sz="6" w:space="0"/>
              <w:bottom w:val="single" w:color="auto" w:sz="6" w:space="0"/>
              <w:right w:val="single" w:color="auto" w:sz="6" w:space="0"/>
            </w:tcBorders>
            <w:shd w:val="clear" w:color="auto" w:fill="D9D9D9"/>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排放情况</w:t>
            </w:r>
          </w:p>
        </w:tc>
        <w:tc>
          <w:tcPr>
            <w:tcW w:w="943" w:type="pct"/>
            <w:gridSpan w:val="3"/>
            <w:tcBorders>
              <w:top w:val="thinThickSmallGap" w:color="auto" w:sz="12" w:space="0"/>
              <w:left w:val="single" w:color="auto" w:sz="6" w:space="0"/>
              <w:bottom w:val="single" w:color="auto" w:sz="6" w:space="0"/>
              <w:right w:val="single" w:color="auto" w:sz="6" w:space="0"/>
            </w:tcBorders>
            <w:shd w:val="clear" w:color="auto" w:fill="D9D9D9"/>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排放参数</w:t>
            </w:r>
          </w:p>
        </w:tc>
        <w:tc>
          <w:tcPr>
            <w:tcW w:w="225" w:type="pct"/>
            <w:vMerge w:val="restart"/>
            <w:tcBorders>
              <w:top w:val="thinThickSmallGap" w:color="auto" w:sz="12" w:space="0"/>
              <w:left w:val="single" w:color="auto" w:sz="6" w:space="0"/>
              <w:bottom w:val="single" w:color="auto" w:sz="6" w:space="0"/>
              <w:right w:val="nil"/>
            </w:tcBorders>
            <w:shd w:val="clear" w:color="auto" w:fill="D9D9D9"/>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排放时数（</w:t>
            </w:r>
            <w:r>
              <w:rPr>
                <w:rFonts w:hint="default" w:ascii="Times New Roman" w:hAnsi="Times New Roman" w:cs="Times New Roman"/>
                <w:color w:val="000000"/>
                <w:sz w:val="21"/>
                <w:szCs w:val="21"/>
                <w:bdr w:val="none" w:color="auto" w:sz="0" w:space="0"/>
                <w:lang w:val="en-US"/>
              </w:rPr>
              <w:t>h/a</w:t>
            </w:r>
            <w:r>
              <w:rPr>
                <w:rFonts w:ascii="Times New Roman" w:hAnsi="Times New Roman" w:cs="Times New Roman"/>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243" w:type="pct"/>
            <w:vMerge w:val="continue"/>
            <w:tcBorders>
              <w:top w:val="thinThickSmallGap" w:color="auto" w:sz="12" w:space="0"/>
              <w:left w:val="nil"/>
              <w:bottom w:val="single" w:color="auto" w:sz="6" w:space="0"/>
              <w:right w:val="single" w:color="auto" w:sz="6" w:space="0"/>
            </w:tcBorders>
            <w:shd w:val="clear" w:color="auto" w:fill="D9D9D9"/>
            <w:tcMar>
              <w:left w:w="57" w:type="dxa"/>
              <w:right w:w="57" w:type="dxa"/>
            </w:tcMar>
            <w:vAlign w:val="center"/>
          </w:tcPr>
          <w:p>
            <w:pPr>
              <w:rPr>
                <w:rFonts w:hint="default" w:ascii="Times New Roman" w:hAnsi="Times New Roman" w:cs="Times New Roman"/>
                <w:sz w:val="20"/>
                <w:szCs w:val="20"/>
              </w:rPr>
            </w:pPr>
          </w:p>
        </w:tc>
        <w:tc>
          <w:tcPr>
            <w:tcW w:w="421" w:type="pct"/>
            <w:vMerge w:val="continue"/>
            <w:tcBorders>
              <w:top w:val="thinThickSmallGap" w:color="auto" w:sz="12" w:space="0"/>
              <w:left w:val="single" w:color="auto" w:sz="6" w:space="0"/>
              <w:bottom w:val="single" w:color="auto" w:sz="6" w:space="0"/>
              <w:right w:val="single" w:color="auto" w:sz="6" w:space="0"/>
            </w:tcBorders>
            <w:shd w:val="clear" w:color="auto" w:fill="D9D9D9"/>
            <w:tcMar>
              <w:left w:w="57" w:type="dxa"/>
              <w:right w:w="57" w:type="dxa"/>
            </w:tcMar>
            <w:vAlign w:val="center"/>
          </w:tcPr>
          <w:p>
            <w:pPr>
              <w:rPr>
                <w:rFonts w:hint="default" w:ascii="Times New Roman" w:hAnsi="Times New Roman" w:cs="Times New Roman"/>
                <w:sz w:val="20"/>
                <w:szCs w:val="20"/>
              </w:rPr>
            </w:pPr>
          </w:p>
        </w:tc>
        <w:tc>
          <w:tcPr>
            <w:tcW w:w="333" w:type="pct"/>
            <w:vMerge w:val="continue"/>
            <w:tcBorders>
              <w:top w:val="thinThickSmallGap" w:color="auto" w:sz="12" w:space="0"/>
              <w:left w:val="single" w:color="auto" w:sz="6" w:space="0"/>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373" w:type="pct"/>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速率</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kg/h</w:t>
            </w:r>
            <w:r>
              <w:rPr>
                <w:rFonts w:ascii="Times New Roman" w:hAnsi="Times New Roman" w:cs="Times New Roman"/>
                <w:color w:val="000000"/>
                <w:sz w:val="21"/>
                <w:szCs w:val="21"/>
                <w:bdr w:val="none" w:color="auto" w:sz="0" w:space="0"/>
              </w:rPr>
              <w:t>）</w:t>
            </w:r>
          </w:p>
        </w:tc>
        <w:tc>
          <w:tcPr>
            <w:tcW w:w="333" w:type="pct"/>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产生量</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446" w:type="pct"/>
            <w:vMerge w:val="continue"/>
            <w:tcBorders>
              <w:top w:val="thinThickSmallGap" w:color="auto" w:sz="12" w:space="0"/>
              <w:left w:val="single" w:color="auto" w:sz="6" w:space="0"/>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333" w:type="pct"/>
            <w:vMerge w:val="continue"/>
            <w:tcBorders>
              <w:top w:val="thinThickSmallGap" w:color="auto" w:sz="12" w:space="0"/>
              <w:left w:val="single" w:color="auto" w:sz="6" w:space="0"/>
              <w:bottom w:val="single" w:color="auto" w:sz="6" w:space="0"/>
              <w:right w:val="single" w:color="auto" w:sz="6" w:space="0"/>
            </w:tcBorders>
            <w:shd w:val="clear" w:color="auto" w:fill="D9D9D9"/>
            <w:tcMar>
              <w:left w:w="57" w:type="dxa"/>
              <w:right w:w="57" w:type="dxa"/>
            </w:tcMar>
            <w:vAlign w:val="center"/>
          </w:tcPr>
          <w:p>
            <w:pPr>
              <w:rPr>
                <w:rFonts w:hint="default" w:ascii="Times New Roman" w:hAnsi="Times New Roman" w:cs="Times New Roman"/>
                <w:sz w:val="20"/>
                <w:szCs w:val="20"/>
              </w:rPr>
            </w:pPr>
          </w:p>
        </w:tc>
        <w:tc>
          <w:tcPr>
            <w:tcW w:w="333" w:type="pct"/>
            <w:vMerge w:val="continue"/>
            <w:tcBorders>
              <w:top w:val="thinThickSmallGap" w:color="auto" w:sz="12" w:space="0"/>
              <w:left w:val="single" w:color="auto" w:sz="6" w:space="0"/>
              <w:bottom w:val="single" w:color="auto" w:sz="6" w:space="0"/>
              <w:right w:val="single" w:color="auto" w:sz="6" w:space="0"/>
            </w:tcBorders>
            <w:shd w:val="clear" w:color="auto" w:fill="D9D9D9"/>
            <w:tcMar>
              <w:left w:w="57" w:type="dxa"/>
              <w:right w:w="57" w:type="dxa"/>
            </w:tcMar>
            <w:vAlign w:val="center"/>
          </w:tcPr>
          <w:p>
            <w:pPr>
              <w:rPr>
                <w:rFonts w:hint="default" w:ascii="Times New Roman" w:hAnsi="Times New Roman" w:cs="Times New Roman"/>
                <w:sz w:val="20"/>
                <w:szCs w:val="20"/>
              </w:rPr>
            </w:pPr>
          </w:p>
        </w:tc>
        <w:tc>
          <w:tcPr>
            <w:tcW w:w="335" w:type="pct"/>
            <w:tcBorders>
              <w:top w:val="single" w:color="auto" w:sz="6" w:space="0"/>
              <w:left w:val="single" w:color="auto" w:sz="6" w:space="0"/>
              <w:bottom w:val="single" w:color="auto" w:sz="6" w:space="0"/>
              <w:right w:val="single" w:color="auto" w:sz="6" w:space="0"/>
            </w:tcBorders>
            <w:shd w:val="clear" w:color="auto" w:fill="D9D9D9"/>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速率</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kg/h</w:t>
            </w:r>
            <w:r>
              <w:rPr>
                <w:rFonts w:ascii="Times New Roman" w:hAnsi="Times New Roman" w:cs="Times New Roman"/>
                <w:color w:val="000000"/>
                <w:sz w:val="21"/>
                <w:szCs w:val="21"/>
                <w:bdr w:val="none" w:color="auto" w:sz="0" w:space="0"/>
              </w:rPr>
              <w:t>）</w:t>
            </w:r>
          </w:p>
        </w:tc>
        <w:tc>
          <w:tcPr>
            <w:tcW w:w="404" w:type="pct"/>
            <w:tcBorders>
              <w:top w:val="single" w:color="auto" w:sz="6" w:space="0"/>
              <w:left w:val="single" w:color="auto" w:sz="6" w:space="0"/>
              <w:bottom w:val="single" w:color="auto" w:sz="6" w:space="0"/>
              <w:right w:val="single" w:color="auto" w:sz="6" w:space="0"/>
            </w:tcBorders>
            <w:shd w:val="clear" w:color="auto" w:fill="D9D9D9"/>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浓度</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mg/m</w:t>
            </w:r>
            <w:r>
              <w:rPr>
                <w:rFonts w:hint="default" w:ascii="Times New Roman" w:hAnsi="Times New Roman" w:cs="Times New Roman"/>
                <w:color w:val="000000"/>
                <w:sz w:val="21"/>
                <w:szCs w:val="21"/>
                <w:bdr w:val="none" w:color="auto" w:sz="0" w:space="0"/>
                <w:vertAlign w:val="superscript"/>
                <w:lang w:val="en-US"/>
              </w:rPr>
              <w:t>3</w:t>
            </w:r>
            <w:r>
              <w:rPr>
                <w:rFonts w:ascii="Times New Roman" w:hAnsi="Times New Roman" w:cs="Times New Roman"/>
                <w:color w:val="000000"/>
                <w:sz w:val="21"/>
                <w:szCs w:val="21"/>
                <w:bdr w:val="none" w:color="auto" w:sz="0" w:space="0"/>
              </w:rPr>
              <w:t>）</w:t>
            </w:r>
          </w:p>
        </w:tc>
        <w:tc>
          <w:tcPr>
            <w:tcW w:w="275" w:type="pct"/>
            <w:tcBorders>
              <w:top w:val="single" w:color="auto" w:sz="6" w:space="0"/>
              <w:left w:val="single" w:color="auto" w:sz="6" w:space="0"/>
              <w:bottom w:val="single" w:color="auto" w:sz="6" w:space="0"/>
              <w:right w:val="single" w:color="auto" w:sz="6" w:space="0"/>
            </w:tcBorders>
            <w:shd w:val="clear" w:color="auto" w:fill="D9D9D9"/>
            <w:tcMar>
              <w:left w:w="28" w:type="dxa"/>
              <w:right w:w="28"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排放量</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277" w:type="pct"/>
            <w:tcBorders>
              <w:top w:val="single" w:color="auto" w:sz="6" w:space="0"/>
              <w:left w:val="single" w:color="auto" w:sz="6" w:space="0"/>
              <w:bottom w:val="single" w:color="auto" w:sz="6" w:space="0"/>
              <w:right w:val="single" w:color="auto" w:sz="6" w:space="0"/>
            </w:tcBorders>
            <w:shd w:val="clear" w:color="auto" w:fill="D9D9D9"/>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高度</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m</w:t>
            </w:r>
            <w:r>
              <w:rPr>
                <w:rFonts w:ascii="Times New Roman" w:hAnsi="Times New Roman" w:cs="Times New Roman"/>
                <w:color w:val="000000"/>
                <w:sz w:val="21"/>
                <w:szCs w:val="21"/>
                <w:bdr w:val="none" w:color="auto" w:sz="0" w:space="0"/>
              </w:rPr>
              <w:t>）</w:t>
            </w:r>
          </w:p>
        </w:tc>
        <w:tc>
          <w:tcPr>
            <w:tcW w:w="276" w:type="pct"/>
            <w:tcBorders>
              <w:top w:val="single" w:color="auto" w:sz="6" w:space="0"/>
              <w:left w:val="single" w:color="auto" w:sz="6" w:space="0"/>
              <w:bottom w:val="single" w:color="auto" w:sz="6" w:space="0"/>
              <w:right w:val="single" w:color="auto" w:sz="6" w:space="0"/>
            </w:tcBorders>
            <w:shd w:val="clear" w:color="auto" w:fill="D9D9D9"/>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内径</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m</w:t>
            </w:r>
            <w:r>
              <w:rPr>
                <w:rFonts w:ascii="Times New Roman" w:hAnsi="Times New Roman" w:cs="Times New Roman"/>
                <w:color w:val="000000"/>
                <w:sz w:val="21"/>
                <w:szCs w:val="21"/>
                <w:bdr w:val="none" w:color="auto" w:sz="0" w:space="0"/>
              </w:rPr>
              <w:t>）</w:t>
            </w:r>
          </w:p>
        </w:tc>
        <w:tc>
          <w:tcPr>
            <w:tcW w:w="390" w:type="pct"/>
            <w:tcBorders>
              <w:top w:val="single" w:color="auto" w:sz="6" w:space="0"/>
              <w:left w:val="single" w:color="auto" w:sz="6" w:space="0"/>
              <w:bottom w:val="single" w:color="auto" w:sz="6" w:space="0"/>
              <w:right w:val="single" w:color="auto" w:sz="6" w:space="0"/>
            </w:tcBorders>
            <w:shd w:val="clear" w:color="auto" w:fill="D9D9D9"/>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烟气温度</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w:t>
            </w:r>
          </w:p>
        </w:tc>
        <w:tc>
          <w:tcPr>
            <w:tcW w:w="225" w:type="pct"/>
            <w:vMerge w:val="continue"/>
            <w:tcBorders>
              <w:top w:val="thinThickSmallGap" w:color="auto" w:sz="12" w:space="0"/>
              <w:left w:val="single" w:color="auto" w:sz="6" w:space="0"/>
              <w:bottom w:val="single" w:color="auto" w:sz="6" w:space="0"/>
              <w:right w:val="nil"/>
            </w:tcBorders>
            <w:shd w:val="clear" w:color="auto" w:fill="D9D9D9"/>
            <w:tcMar>
              <w:left w:w="57" w:type="dxa"/>
              <w:right w:w="57" w:type="dxa"/>
            </w:tcM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3" w:type="pct"/>
            <w:tcBorders>
              <w:top w:val="single" w:color="auto" w:sz="6" w:space="0"/>
              <w:left w:val="nil"/>
              <w:bottom w:val="single" w:color="auto" w:sz="6" w:space="0"/>
              <w:right w:val="single" w:color="auto" w:sz="6" w:space="0"/>
            </w:tcBorders>
            <w:shd w:val="clear"/>
            <w:tcMar>
              <w:left w:w="57" w:type="dxa"/>
              <w:right w:w="57" w:type="dxa"/>
            </w:tcM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G</w:t>
            </w:r>
            <w:r>
              <w:rPr>
                <w:rFonts w:hint="default" w:ascii="Times New Roman" w:hAnsi="Times New Roman" w:cs="Times New Roman"/>
                <w:color w:val="000000"/>
                <w:sz w:val="21"/>
                <w:szCs w:val="21"/>
                <w:bdr w:val="none" w:color="auto" w:sz="0" w:space="0"/>
                <w:vertAlign w:val="subscript"/>
                <w:lang w:val="en-US"/>
              </w:rPr>
              <w:t>1</w:t>
            </w:r>
          </w:p>
        </w:tc>
        <w:tc>
          <w:tcPr>
            <w:tcW w:w="421"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破碎作业</w:t>
            </w:r>
          </w:p>
        </w:tc>
        <w:tc>
          <w:tcPr>
            <w:tcW w:w="33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3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9.9</w:t>
            </w:r>
          </w:p>
        </w:tc>
        <w:tc>
          <w:tcPr>
            <w:tcW w:w="33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71.25</w:t>
            </w:r>
          </w:p>
        </w:tc>
        <w:tc>
          <w:tcPr>
            <w:tcW w:w="446" w:type="pct"/>
            <w:vMerge w:val="restar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布袋除尘器，净化效率＞</w:t>
            </w:r>
            <w:r>
              <w:rPr>
                <w:rFonts w:hint="default" w:ascii="Times New Roman" w:hAnsi="Times New Roman" w:cs="Times New Roman"/>
                <w:color w:val="000000"/>
                <w:sz w:val="21"/>
                <w:szCs w:val="21"/>
                <w:bdr w:val="none" w:color="auto" w:sz="0" w:space="0"/>
                <w:lang w:val="en-US"/>
              </w:rPr>
              <w:t>99.5%</w:t>
            </w:r>
          </w:p>
        </w:tc>
        <w:tc>
          <w:tcPr>
            <w:tcW w:w="333" w:type="pct"/>
            <w:vMerge w:val="restar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P1</w:t>
            </w:r>
          </w:p>
        </w:tc>
        <w:tc>
          <w:tcPr>
            <w:tcW w:w="333" w:type="pct"/>
            <w:vMerge w:val="restar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40000</w:t>
            </w:r>
          </w:p>
        </w:tc>
        <w:tc>
          <w:tcPr>
            <w:tcW w:w="335" w:type="pct"/>
            <w:vMerge w:val="restar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0.32</w:t>
            </w:r>
          </w:p>
        </w:tc>
        <w:tc>
          <w:tcPr>
            <w:tcW w:w="404" w:type="pct"/>
            <w:vMerge w:val="restar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&lt;10</w:t>
            </w:r>
          </w:p>
        </w:tc>
        <w:tc>
          <w:tcPr>
            <w:tcW w:w="275" w:type="pct"/>
            <w:vMerge w:val="restar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2.26</w:t>
            </w:r>
          </w:p>
        </w:tc>
        <w:tc>
          <w:tcPr>
            <w:tcW w:w="277" w:type="pct"/>
            <w:vMerge w:val="restar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15</w:t>
            </w:r>
          </w:p>
        </w:tc>
        <w:tc>
          <w:tcPr>
            <w:tcW w:w="276" w:type="pct"/>
            <w:vMerge w:val="restar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0.8</w:t>
            </w:r>
          </w:p>
        </w:tc>
        <w:tc>
          <w:tcPr>
            <w:tcW w:w="390" w:type="pct"/>
            <w:vMerge w:val="restar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常温</w:t>
            </w:r>
          </w:p>
        </w:tc>
        <w:tc>
          <w:tcPr>
            <w:tcW w:w="225" w:type="pct"/>
            <w:vMerge w:val="restart"/>
            <w:tcBorders>
              <w:top w:val="single" w:color="auto" w:sz="6" w:space="0"/>
              <w:left w:val="single" w:color="auto" w:sz="6" w:space="0"/>
              <w:bottom w:val="single" w:color="auto" w:sz="6" w:space="0"/>
              <w:right w:val="nil"/>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7200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3" w:type="pct"/>
            <w:tcBorders>
              <w:top w:val="single" w:color="auto" w:sz="6" w:space="0"/>
              <w:left w:val="nil"/>
              <w:bottom w:val="single" w:color="auto" w:sz="6" w:space="0"/>
              <w:right w:val="single" w:color="auto" w:sz="6" w:space="0"/>
            </w:tcBorders>
            <w:shd w:val="clear"/>
            <w:tcMar>
              <w:left w:w="57" w:type="dxa"/>
              <w:right w:w="57" w:type="dxa"/>
            </w:tcM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G</w:t>
            </w:r>
            <w:r>
              <w:rPr>
                <w:rFonts w:hint="default" w:ascii="Times New Roman" w:hAnsi="Times New Roman" w:cs="Times New Roman"/>
                <w:color w:val="000000"/>
                <w:sz w:val="21"/>
                <w:szCs w:val="21"/>
                <w:bdr w:val="none" w:color="auto" w:sz="0" w:space="0"/>
                <w:vertAlign w:val="subscript"/>
                <w:lang w:val="en-US"/>
              </w:rPr>
              <w:t>2</w:t>
            </w:r>
          </w:p>
        </w:tc>
        <w:tc>
          <w:tcPr>
            <w:tcW w:w="421"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筛分作业</w:t>
            </w:r>
          </w:p>
        </w:tc>
        <w:tc>
          <w:tcPr>
            <w:tcW w:w="33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3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52.1</w:t>
            </w:r>
          </w:p>
        </w:tc>
        <w:tc>
          <w:tcPr>
            <w:tcW w:w="33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375</w:t>
            </w:r>
          </w:p>
        </w:tc>
        <w:tc>
          <w:tcPr>
            <w:tcW w:w="446" w:type="pct"/>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333" w:type="pct"/>
            <w:vMerge w:val="continue"/>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333" w:type="pct"/>
            <w:vMerge w:val="continue"/>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335" w:type="pct"/>
            <w:vMerge w:val="continue"/>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404" w:type="pct"/>
            <w:vMerge w:val="continue"/>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275" w:type="pct"/>
            <w:vMerge w:val="continue"/>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277" w:type="pct"/>
            <w:vMerge w:val="continue"/>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276" w:type="pct"/>
            <w:vMerge w:val="continue"/>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390" w:type="pct"/>
            <w:vMerge w:val="continue"/>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225" w:type="pct"/>
            <w:vMerge w:val="continue"/>
            <w:tcBorders>
              <w:top w:val="single" w:color="auto" w:sz="6" w:space="0"/>
              <w:left w:val="single" w:color="auto" w:sz="6" w:space="0"/>
              <w:bottom w:val="single" w:color="auto" w:sz="6" w:space="0"/>
              <w:right w:val="nil"/>
            </w:tcBorders>
            <w:shd w:val="clear"/>
            <w:tcMar>
              <w:left w:w="57" w:type="dxa"/>
              <w:right w:w="57" w:type="dxa"/>
            </w:tcM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3" w:type="pct"/>
            <w:tcBorders>
              <w:top w:val="single" w:color="auto" w:sz="6" w:space="0"/>
              <w:left w:val="nil"/>
              <w:bottom w:val="single" w:color="auto" w:sz="6" w:space="0"/>
              <w:right w:val="single" w:color="auto" w:sz="6" w:space="0"/>
            </w:tcBorders>
            <w:shd w:val="clear"/>
            <w:tcMar>
              <w:left w:w="57" w:type="dxa"/>
              <w:right w:w="57" w:type="dxa"/>
            </w:tcM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G</w:t>
            </w:r>
            <w:r>
              <w:rPr>
                <w:rFonts w:hint="default" w:ascii="Times New Roman" w:hAnsi="Times New Roman" w:cs="Times New Roman"/>
                <w:color w:val="000000"/>
                <w:sz w:val="21"/>
                <w:szCs w:val="21"/>
                <w:bdr w:val="none" w:color="auto" w:sz="0" w:space="0"/>
                <w:vertAlign w:val="subscript"/>
                <w:lang w:val="en-US"/>
              </w:rPr>
              <w:t>3</w:t>
            </w:r>
          </w:p>
        </w:tc>
        <w:tc>
          <w:tcPr>
            <w:tcW w:w="421"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供料仓</w:t>
            </w:r>
          </w:p>
        </w:tc>
        <w:tc>
          <w:tcPr>
            <w:tcW w:w="33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3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0.8</w:t>
            </w:r>
          </w:p>
        </w:tc>
        <w:tc>
          <w:tcPr>
            <w:tcW w:w="33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5.95</w:t>
            </w:r>
          </w:p>
        </w:tc>
        <w:tc>
          <w:tcPr>
            <w:tcW w:w="446" w:type="pct"/>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333" w:type="pct"/>
            <w:vMerge w:val="continue"/>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333" w:type="pct"/>
            <w:vMerge w:val="continue"/>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335" w:type="pct"/>
            <w:vMerge w:val="continue"/>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404" w:type="pct"/>
            <w:vMerge w:val="continue"/>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275" w:type="pct"/>
            <w:vMerge w:val="continue"/>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277" w:type="pct"/>
            <w:vMerge w:val="continue"/>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276" w:type="pct"/>
            <w:vMerge w:val="continue"/>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390" w:type="pct"/>
            <w:vMerge w:val="continue"/>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225" w:type="pct"/>
            <w:vMerge w:val="continue"/>
            <w:tcBorders>
              <w:top w:val="single" w:color="auto" w:sz="6" w:space="0"/>
              <w:left w:val="single" w:color="auto" w:sz="6" w:space="0"/>
              <w:bottom w:val="single" w:color="auto" w:sz="6" w:space="0"/>
              <w:right w:val="nil"/>
            </w:tcBorders>
            <w:shd w:val="clear"/>
            <w:tcMar>
              <w:left w:w="57" w:type="dxa"/>
              <w:right w:w="57" w:type="dxa"/>
            </w:tcM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3" w:type="pct"/>
            <w:tcBorders>
              <w:top w:val="single" w:color="auto" w:sz="6" w:space="0"/>
              <w:left w:val="nil"/>
              <w:bottom w:val="single" w:color="auto" w:sz="6" w:space="0"/>
              <w:right w:val="single" w:color="auto" w:sz="6" w:space="0"/>
            </w:tcBorders>
            <w:shd w:val="clear"/>
            <w:tcMar>
              <w:left w:w="57" w:type="dxa"/>
              <w:right w:w="57" w:type="dxa"/>
            </w:tcM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G</w:t>
            </w:r>
            <w:r>
              <w:rPr>
                <w:rFonts w:hint="default" w:ascii="Times New Roman" w:hAnsi="Times New Roman" w:cs="Times New Roman"/>
                <w:color w:val="000000"/>
                <w:sz w:val="21"/>
                <w:szCs w:val="21"/>
                <w:bdr w:val="none" w:color="auto" w:sz="0" w:space="0"/>
                <w:vertAlign w:val="subscript"/>
                <w:lang w:val="en-US"/>
              </w:rPr>
              <w:t>1</w:t>
            </w:r>
            <w:r>
              <w:rPr>
                <w:rFonts w:ascii="Times New Roman" w:hAnsi="Times New Roman" w:cs="Times New Roman"/>
                <w:color w:val="000000"/>
                <w:sz w:val="21"/>
                <w:szCs w:val="21"/>
                <w:bdr w:val="none" w:color="auto" w:sz="0" w:space="0"/>
              </w:rPr>
              <w:t>’</w:t>
            </w:r>
          </w:p>
        </w:tc>
        <w:tc>
          <w:tcPr>
            <w:tcW w:w="421"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破碎车间</w:t>
            </w:r>
          </w:p>
        </w:tc>
        <w:tc>
          <w:tcPr>
            <w:tcW w:w="33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3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0.56</w:t>
            </w:r>
          </w:p>
        </w:tc>
        <w:tc>
          <w:tcPr>
            <w:tcW w:w="33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4.05</w:t>
            </w:r>
          </w:p>
        </w:tc>
        <w:tc>
          <w:tcPr>
            <w:tcW w:w="446" w:type="pct"/>
            <w:vMerge w:val="restar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封闭厂房，遮挡沉降</w:t>
            </w:r>
            <w:r>
              <w:rPr>
                <w:rFonts w:hint="default" w:ascii="Times New Roman" w:hAnsi="Times New Roman" w:cs="Times New Roman"/>
                <w:color w:val="000000"/>
                <w:sz w:val="21"/>
                <w:szCs w:val="21"/>
                <w:bdr w:val="none" w:color="auto" w:sz="0" w:space="0"/>
                <w:lang w:val="en-US"/>
              </w:rPr>
              <w:t>80%</w:t>
            </w:r>
          </w:p>
        </w:tc>
        <w:tc>
          <w:tcPr>
            <w:tcW w:w="333" w:type="pct"/>
            <w:vMerge w:val="restart"/>
            <w:tcBorders>
              <w:top w:val="single" w:color="auto" w:sz="6" w:space="0"/>
              <w:left w:val="single" w:color="auto" w:sz="6" w:space="0"/>
              <w:bottom w:val="thickThinSmallGap" w:color="auto" w:sz="12"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无组织面源</w:t>
            </w:r>
          </w:p>
        </w:tc>
        <w:tc>
          <w:tcPr>
            <w:tcW w:w="333"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335"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0.11</w:t>
            </w:r>
          </w:p>
        </w:tc>
        <w:tc>
          <w:tcPr>
            <w:tcW w:w="404"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275"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0.81</w:t>
            </w:r>
          </w:p>
        </w:tc>
        <w:tc>
          <w:tcPr>
            <w:tcW w:w="943" w:type="pct"/>
            <w:gridSpan w:val="3"/>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70×20×14</w:t>
            </w:r>
          </w:p>
        </w:tc>
        <w:tc>
          <w:tcPr>
            <w:tcW w:w="225" w:type="pct"/>
            <w:tcBorders>
              <w:top w:val="single" w:color="auto" w:sz="6" w:space="0"/>
              <w:left w:val="single" w:color="auto" w:sz="6" w:space="0"/>
              <w:bottom w:val="single" w:color="auto" w:sz="6" w:space="0"/>
              <w:right w:val="nil"/>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7200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3" w:type="pct"/>
            <w:tcBorders>
              <w:top w:val="single" w:color="auto" w:sz="6" w:space="0"/>
              <w:left w:val="nil"/>
              <w:bottom w:val="single" w:color="auto" w:sz="6" w:space="0"/>
              <w:right w:val="single" w:color="auto" w:sz="6" w:space="0"/>
            </w:tcBorders>
            <w:shd w:val="clear"/>
            <w:tcMar>
              <w:left w:w="57" w:type="dxa"/>
              <w:right w:w="57" w:type="dxa"/>
            </w:tcM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G</w:t>
            </w:r>
            <w:r>
              <w:rPr>
                <w:rFonts w:hint="default" w:ascii="Times New Roman" w:hAnsi="Times New Roman" w:cs="Times New Roman"/>
                <w:color w:val="000000"/>
                <w:sz w:val="21"/>
                <w:szCs w:val="21"/>
                <w:bdr w:val="none" w:color="auto" w:sz="0" w:space="0"/>
                <w:vertAlign w:val="subscript"/>
                <w:lang w:val="en-US"/>
              </w:rPr>
              <w:t>2</w:t>
            </w:r>
            <w:r>
              <w:rPr>
                <w:rFonts w:ascii="Times New Roman" w:hAnsi="Times New Roman" w:cs="Times New Roman"/>
                <w:color w:val="000000"/>
                <w:sz w:val="21"/>
                <w:szCs w:val="21"/>
                <w:bdr w:val="none" w:color="auto" w:sz="0" w:space="0"/>
              </w:rPr>
              <w:t>’</w:t>
            </w:r>
          </w:p>
        </w:tc>
        <w:tc>
          <w:tcPr>
            <w:tcW w:w="421"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原料库</w:t>
            </w:r>
          </w:p>
        </w:tc>
        <w:tc>
          <w:tcPr>
            <w:tcW w:w="33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3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3.5</w:t>
            </w:r>
          </w:p>
        </w:tc>
        <w:tc>
          <w:tcPr>
            <w:tcW w:w="33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25</w:t>
            </w:r>
          </w:p>
        </w:tc>
        <w:tc>
          <w:tcPr>
            <w:tcW w:w="446" w:type="pct"/>
            <w:vMerge w:val="continue"/>
            <w:tcBorders>
              <w:top w:val="single" w:color="auto" w:sz="6" w:space="0"/>
              <w:left w:val="single" w:color="auto" w:sz="6" w:space="0"/>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333" w:type="pct"/>
            <w:vMerge w:val="continue"/>
            <w:tcBorders>
              <w:top w:val="single" w:color="auto" w:sz="6" w:space="0"/>
              <w:left w:val="single" w:color="auto" w:sz="6" w:space="0"/>
              <w:bottom w:val="thickThinSmallGap" w:color="auto" w:sz="12"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333"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335"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0.7</w:t>
            </w:r>
          </w:p>
        </w:tc>
        <w:tc>
          <w:tcPr>
            <w:tcW w:w="404"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275"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w:t>
            </w:r>
          </w:p>
        </w:tc>
        <w:tc>
          <w:tcPr>
            <w:tcW w:w="943" w:type="pct"/>
            <w:gridSpan w:val="3"/>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30×30×10</w:t>
            </w:r>
          </w:p>
        </w:tc>
        <w:tc>
          <w:tcPr>
            <w:tcW w:w="225" w:type="pct"/>
            <w:tcBorders>
              <w:top w:val="single" w:color="auto" w:sz="6" w:space="0"/>
              <w:left w:val="single" w:color="auto" w:sz="6" w:space="0"/>
              <w:bottom w:val="single" w:color="auto" w:sz="6" w:space="0"/>
              <w:right w:val="nil"/>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7200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3" w:type="pct"/>
            <w:tcBorders>
              <w:top w:val="single" w:color="auto" w:sz="6" w:space="0"/>
              <w:left w:val="nil"/>
              <w:bottom w:val="single" w:color="auto" w:sz="6" w:space="0"/>
              <w:right w:val="single" w:color="auto" w:sz="6" w:space="0"/>
            </w:tcBorders>
            <w:shd w:val="clear"/>
            <w:tcMar>
              <w:left w:w="57" w:type="dxa"/>
              <w:right w:w="57" w:type="dxa"/>
            </w:tcM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G</w:t>
            </w:r>
            <w:r>
              <w:rPr>
                <w:rFonts w:hint="default" w:ascii="Times New Roman" w:hAnsi="Times New Roman" w:cs="Times New Roman"/>
                <w:color w:val="000000"/>
                <w:sz w:val="21"/>
                <w:szCs w:val="21"/>
                <w:bdr w:val="none" w:color="auto" w:sz="0" w:space="0"/>
                <w:vertAlign w:val="subscript"/>
                <w:lang w:val="en-US"/>
              </w:rPr>
              <w:t>3</w:t>
            </w:r>
            <w:r>
              <w:rPr>
                <w:rFonts w:ascii="Times New Roman" w:hAnsi="Times New Roman" w:cs="Times New Roman"/>
                <w:color w:val="000000"/>
                <w:sz w:val="21"/>
                <w:szCs w:val="21"/>
                <w:bdr w:val="none" w:color="auto" w:sz="0" w:space="0"/>
              </w:rPr>
              <w:t>’</w:t>
            </w:r>
          </w:p>
        </w:tc>
        <w:tc>
          <w:tcPr>
            <w:tcW w:w="421"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精矿库</w:t>
            </w:r>
          </w:p>
        </w:tc>
        <w:tc>
          <w:tcPr>
            <w:tcW w:w="33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3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1.7</w:t>
            </w:r>
          </w:p>
        </w:tc>
        <w:tc>
          <w:tcPr>
            <w:tcW w:w="33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12</w:t>
            </w:r>
          </w:p>
        </w:tc>
        <w:tc>
          <w:tcPr>
            <w:tcW w:w="446" w:type="pct"/>
            <w:vMerge w:val="continue"/>
            <w:tcBorders>
              <w:top w:val="single" w:color="auto" w:sz="6" w:space="0"/>
              <w:left w:val="single" w:color="auto" w:sz="6" w:space="0"/>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333" w:type="pct"/>
            <w:vMerge w:val="continue"/>
            <w:tcBorders>
              <w:top w:val="single" w:color="auto" w:sz="6" w:space="0"/>
              <w:left w:val="single" w:color="auto" w:sz="6" w:space="0"/>
              <w:bottom w:val="thickThinSmallGap" w:color="auto" w:sz="12"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333"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335"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0.34</w:t>
            </w:r>
          </w:p>
        </w:tc>
        <w:tc>
          <w:tcPr>
            <w:tcW w:w="404"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275" w:type="pct"/>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2.4</w:t>
            </w:r>
          </w:p>
        </w:tc>
        <w:tc>
          <w:tcPr>
            <w:tcW w:w="943" w:type="pct"/>
            <w:gridSpan w:val="3"/>
            <w:tcBorders>
              <w:top w:val="single" w:color="auto" w:sz="6" w:space="0"/>
              <w:left w:val="single" w:color="auto" w:sz="6" w:space="0"/>
              <w:bottom w:val="single" w:color="auto" w:sz="6"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42×30×10</w:t>
            </w:r>
          </w:p>
        </w:tc>
        <w:tc>
          <w:tcPr>
            <w:tcW w:w="225" w:type="pct"/>
            <w:tcBorders>
              <w:top w:val="single" w:color="auto" w:sz="6" w:space="0"/>
              <w:left w:val="single" w:color="auto" w:sz="6" w:space="0"/>
              <w:bottom w:val="single" w:color="auto" w:sz="6" w:space="0"/>
              <w:right w:val="nil"/>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7200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3" w:type="pct"/>
            <w:tcBorders>
              <w:top w:val="single" w:color="auto" w:sz="6" w:space="0"/>
              <w:left w:val="nil"/>
              <w:bottom w:val="thickThinSmallGap" w:color="auto" w:sz="12" w:space="0"/>
              <w:right w:val="single" w:color="auto" w:sz="6" w:space="0"/>
            </w:tcBorders>
            <w:shd w:val="clear"/>
            <w:tcMar>
              <w:left w:w="57" w:type="dxa"/>
              <w:right w:w="57" w:type="dxa"/>
            </w:tcM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G</w:t>
            </w:r>
            <w:r>
              <w:rPr>
                <w:rFonts w:hint="default" w:ascii="Times New Roman" w:hAnsi="Times New Roman" w:cs="Times New Roman"/>
                <w:color w:val="000000"/>
                <w:sz w:val="21"/>
                <w:szCs w:val="21"/>
                <w:bdr w:val="none" w:color="auto" w:sz="0" w:space="0"/>
                <w:vertAlign w:val="subscript"/>
                <w:lang w:val="en-US"/>
              </w:rPr>
              <w:t>4</w:t>
            </w:r>
            <w:r>
              <w:rPr>
                <w:rFonts w:ascii="Times New Roman" w:hAnsi="Times New Roman" w:cs="Times New Roman"/>
                <w:color w:val="000000"/>
                <w:sz w:val="21"/>
                <w:szCs w:val="21"/>
                <w:bdr w:val="none" w:color="auto" w:sz="0" w:space="0"/>
              </w:rPr>
              <w:t>’</w:t>
            </w:r>
          </w:p>
        </w:tc>
        <w:tc>
          <w:tcPr>
            <w:tcW w:w="421" w:type="pct"/>
            <w:tcBorders>
              <w:top w:val="single" w:color="auto" w:sz="6" w:space="0"/>
              <w:left w:val="single" w:color="auto" w:sz="6" w:space="0"/>
              <w:bottom w:val="thickThinSmallGap" w:color="auto" w:sz="12" w:space="0"/>
              <w:right w:val="single" w:color="auto" w:sz="6" w:space="0"/>
            </w:tcBorders>
            <w:shd w:val="clear"/>
            <w:tcMar>
              <w:left w:w="57" w:type="dxa"/>
              <w:right w:w="57" w:type="dxa"/>
            </w:tcM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尾矿库</w:t>
            </w:r>
          </w:p>
        </w:tc>
        <w:tc>
          <w:tcPr>
            <w:tcW w:w="333"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373"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0.35</w:t>
            </w:r>
          </w:p>
        </w:tc>
        <w:tc>
          <w:tcPr>
            <w:tcW w:w="333"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2.5</w:t>
            </w:r>
          </w:p>
        </w:tc>
        <w:tc>
          <w:tcPr>
            <w:tcW w:w="446" w:type="pct"/>
            <w:vMerge w:val="continue"/>
            <w:tcBorders>
              <w:top w:val="single" w:color="auto" w:sz="6" w:space="0"/>
              <w:left w:val="single" w:color="auto" w:sz="6" w:space="0"/>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333" w:type="pct"/>
            <w:vMerge w:val="continue"/>
            <w:tcBorders>
              <w:top w:val="single" w:color="auto" w:sz="6" w:space="0"/>
              <w:left w:val="single" w:color="auto" w:sz="6" w:space="0"/>
              <w:bottom w:val="thickThinSmallGap" w:color="auto" w:sz="12" w:space="0"/>
              <w:right w:val="single" w:color="auto" w:sz="6" w:space="0"/>
            </w:tcBorders>
            <w:shd w:val="clear"/>
            <w:tcMar>
              <w:left w:w="57" w:type="dxa"/>
              <w:right w:w="57" w:type="dxa"/>
            </w:tcMar>
            <w:vAlign w:val="center"/>
          </w:tcPr>
          <w:p>
            <w:pPr>
              <w:rPr>
                <w:rFonts w:hint="default" w:ascii="Times New Roman" w:hAnsi="Times New Roman" w:cs="Times New Roman"/>
                <w:sz w:val="20"/>
                <w:szCs w:val="20"/>
              </w:rPr>
            </w:pPr>
          </w:p>
        </w:tc>
        <w:tc>
          <w:tcPr>
            <w:tcW w:w="333" w:type="pct"/>
            <w:tcBorders>
              <w:top w:val="single" w:color="auto" w:sz="6" w:space="0"/>
              <w:left w:val="single" w:color="auto" w:sz="6" w:space="0"/>
              <w:bottom w:val="thickThinSmallGap" w:color="auto" w:sz="12"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335" w:type="pct"/>
            <w:tcBorders>
              <w:top w:val="single" w:color="auto" w:sz="6" w:space="0"/>
              <w:left w:val="single" w:color="auto" w:sz="6" w:space="0"/>
              <w:bottom w:val="thickThinSmallGap" w:color="auto" w:sz="12" w:space="0"/>
              <w:right w:val="single" w:color="auto" w:sz="6" w:space="0"/>
            </w:tcBorders>
            <w:shd w:val="clear"/>
            <w:tcMar>
              <w:left w:w="57" w:type="dxa"/>
              <w:right w:w="57" w:type="dxa"/>
            </w:tcM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0.07</w:t>
            </w:r>
          </w:p>
        </w:tc>
        <w:tc>
          <w:tcPr>
            <w:tcW w:w="404" w:type="pct"/>
            <w:tcBorders>
              <w:top w:val="single" w:color="auto" w:sz="6" w:space="0"/>
              <w:left w:val="single" w:color="auto" w:sz="6" w:space="0"/>
              <w:bottom w:val="thickThinSmallGap" w:color="auto" w:sz="12"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275" w:type="pct"/>
            <w:tcBorders>
              <w:top w:val="single" w:color="auto" w:sz="6" w:space="0"/>
              <w:left w:val="single" w:color="auto" w:sz="6" w:space="0"/>
              <w:bottom w:val="thickThinSmallGap" w:color="auto" w:sz="12" w:space="0"/>
              <w:right w:val="single" w:color="auto" w:sz="6" w:space="0"/>
            </w:tcBorders>
            <w:shd w:val="clear"/>
            <w:tcMar>
              <w:left w:w="57" w:type="dxa"/>
              <w:right w:w="57" w:type="dxa"/>
            </w:tcM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0.5</w:t>
            </w:r>
          </w:p>
        </w:tc>
        <w:tc>
          <w:tcPr>
            <w:tcW w:w="943" w:type="pct"/>
            <w:gridSpan w:val="3"/>
            <w:tcBorders>
              <w:top w:val="single" w:color="auto" w:sz="6" w:space="0"/>
              <w:left w:val="single" w:color="auto" w:sz="6" w:space="0"/>
              <w:bottom w:val="thickThinSmallGap" w:color="auto" w:sz="12" w:space="0"/>
              <w:right w:val="single" w:color="auto" w:sz="6" w:space="0"/>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21×30×10</w:t>
            </w:r>
          </w:p>
        </w:tc>
        <w:tc>
          <w:tcPr>
            <w:tcW w:w="225" w:type="pct"/>
            <w:tcBorders>
              <w:top w:val="single" w:color="auto" w:sz="6" w:space="0"/>
              <w:left w:val="single" w:color="auto" w:sz="6" w:space="0"/>
              <w:bottom w:val="thickThinSmallGap" w:color="auto" w:sz="12" w:space="0"/>
              <w:right w:val="nil"/>
            </w:tcBorders>
            <w:shd w:val="clear"/>
            <w:tcMar>
              <w:left w:w="57" w:type="dxa"/>
              <w:right w:w="57"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7200</w:t>
            </w:r>
          </w:p>
        </w:tc>
      </w:tr>
    </w:tbl>
    <w:p>
      <w:pPr>
        <w:keepNext w:val="0"/>
        <w:keepLines w:val="0"/>
        <w:widowControl/>
        <w:suppressLineNumbers w:val="0"/>
        <w:adjustRightInd w:val="0"/>
        <w:snapToGrid w:val="0"/>
        <w:spacing w:before="0" w:beforeAutospacing="0" w:after="0" w:afterAutospacing="0" w:line="360" w:lineRule="auto"/>
        <w:ind w:left="0" w:right="0"/>
        <w:jc w:val="both"/>
        <w:rPr>
          <w:rFonts w:hint="default" w:ascii="Times New Roman" w:hAnsi="Times New Roman" w:cs="Times New Roman"/>
          <w:color w:val="000000"/>
          <w:lang w:val="en-US"/>
        </w:rPr>
      </w:pPr>
    </w:p>
    <w:p>
      <w:pPr>
        <w:keepNext w:val="0"/>
        <w:keepLines w:val="0"/>
        <w:widowControl/>
        <w:suppressLineNumbers w:val="0"/>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color w:val="000000"/>
          <w:lang w:val="en-US"/>
        </w:rPr>
      </w:pPr>
    </w:p>
    <w:p>
      <w:pPr>
        <w:spacing w:line="360" w:lineRule="auto"/>
        <w:rPr>
          <w:rFonts w:hint="default" w:ascii="Times New Roman" w:hAnsi="Times New Roman" w:eastAsia="宋体" w:cs="Times New Roman"/>
          <w:color w:val="000000"/>
          <w:sz w:val="24"/>
          <w:szCs w:val="24"/>
          <w:lang w:val="en-US" w:eastAsia="zh-CN" w:bidi="ar"/>
        </w:rPr>
        <w:sectPr>
          <w:pgSz w:w="16840" w:h="11915" w:orient="landscape"/>
          <w:pgMar w:top="1702" w:right="1702" w:bottom="1702" w:left="1702" w:header="851" w:footer="1077" w:gutter="0"/>
          <w:paperSrc/>
          <w:cols w:space="425" w:num="1"/>
          <w:docGrid w:type="lines" w:linePitch="479" w:charSpace="0"/>
        </w:sectPr>
      </w:pP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.2 </w:t>
      </w:r>
      <w:r>
        <w:rPr>
          <w:rFonts w:ascii="Times New Roman" w:hAnsi="Times New Roman" w:cs="Times New Roman"/>
          <w:color w:val="000000"/>
          <w:lang w:eastAsia="zh-CN"/>
        </w:rPr>
        <w:t>废水</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1</w:t>
      </w:r>
      <w:r>
        <w:rPr>
          <w:rFonts w:hint="eastAsia" w:ascii="Times New Roman" w:hAnsi="Times New Roman" w:eastAsia="宋体" w:cs="Times New Roman"/>
          <w:snapToGrid w:val="0"/>
          <w:color w:val="000000"/>
          <w:kern w:val="0"/>
          <w:sz w:val="24"/>
          <w:szCs w:val="24"/>
          <w:lang w:val="en-US" w:eastAsia="zh-CN" w:bidi="ar"/>
        </w:rPr>
        <w:t>）生产废水</w:t>
      </w:r>
    </w:p>
    <w:p>
      <w:pPr>
        <w:keepNext w:val="0"/>
        <w:keepLines w:val="0"/>
        <w:widowControl/>
        <w:suppressLineNumbers w:val="0"/>
        <w:spacing w:before="0" w:beforeAutospacing="0" w:after="0" w:afterAutospacing="0"/>
        <w:ind w:left="0" w:right="0" w:firstLine="465"/>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本项目生产工艺排水来自浓缩机、板框压滤机、带式真空过滤机以及设备和地坪冲洗，合计</w:t>
      </w:r>
      <w:r>
        <w:rPr>
          <w:rFonts w:hint="default" w:ascii="Times New Roman" w:hAnsi="Times New Roman" w:eastAsia="宋体" w:cs="Times New Roman"/>
          <w:color w:val="000000"/>
          <w:kern w:val="0"/>
          <w:sz w:val="24"/>
          <w:szCs w:val="24"/>
          <w:lang w:val="en-US" w:eastAsia="zh-CN" w:bidi="ar"/>
        </w:rPr>
        <w:t>2351230</w:t>
      </w:r>
      <w:r>
        <w:rPr>
          <w:rFonts w:hint="default" w:ascii="Times New Roman" w:hAnsi="Times New Roman" w:eastAsia="宋体" w:cs="Times New Roman"/>
          <w:snapToGrid w:val="0"/>
          <w:color w:val="000000"/>
          <w:kern w:val="0"/>
          <w:sz w:val="24"/>
          <w:szCs w:val="24"/>
          <w:lang w:val="en-US" w:eastAsia="zh-CN" w:bidi="ar"/>
        </w:rPr>
        <w:t>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/a</w:t>
      </w:r>
      <w:r>
        <w:rPr>
          <w:rFonts w:hint="eastAsia" w:ascii="Times New Roman" w:hAnsi="Times New Roman" w:eastAsia="宋体" w:cs="Times New Roman"/>
          <w:snapToGrid w:val="0"/>
          <w:color w:val="000000"/>
          <w:kern w:val="0"/>
          <w:sz w:val="24"/>
          <w:szCs w:val="24"/>
          <w:lang w:val="en-US" w:eastAsia="zh-CN" w:bidi="ar"/>
        </w:rPr>
        <w:t>。其中，尾矿浓缩机排水</w:t>
      </w:r>
      <w:r>
        <w:rPr>
          <w:rFonts w:hint="default" w:ascii="Times New Roman" w:hAnsi="Times New Roman" w:eastAsia="宋体" w:cs="Times New Roman"/>
          <w:snapToGrid w:val="0"/>
          <w:color w:val="000000"/>
          <w:kern w:val="0"/>
          <w:sz w:val="24"/>
          <w:szCs w:val="24"/>
          <w:lang w:val="en-US" w:eastAsia="zh-CN" w:bidi="ar"/>
        </w:rPr>
        <w:t>447570m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/a</w:t>
      </w:r>
      <w:r>
        <w:rPr>
          <w:rFonts w:hint="eastAsia" w:ascii="Times New Roman" w:hAnsi="Times New Roman" w:eastAsia="宋体" w:cs="Times New Roman"/>
          <w:snapToGrid w:val="0"/>
          <w:color w:val="000000"/>
          <w:kern w:val="0"/>
          <w:sz w:val="24"/>
          <w:szCs w:val="24"/>
          <w:lang w:val="en-US" w:eastAsia="zh-CN" w:bidi="ar"/>
        </w:rPr>
        <w:t>，尾矿板框压滤机排水</w:t>
      </w:r>
      <w:r>
        <w:rPr>
          <w:rFonts w:hint="default" w:ascii="Times New Roman" w:hAnsi="Times New Roman" w:eastAsia="宋体" w:cs="Times New Roman"/>
          <w:snapToGrid w:val="0"/>
          <w:color w:val="000000"/>
          <w:kern w:val="0"/>
          <w:sz w:val="24"/>
          <w:szCs w:val="24"/>
          <w:lang w:val="en-US" w:eastAsia="zh-CN" w:bidi="ar"/>
        </w:rPr>
        <w:t>112500m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/a</w:t>
      </w:r>
      <w:r>
        <w:rPr>
          <w:rFonts w:hint="eastAsia" w:ascii="Times New Roman" w:hAnsi="Times New Roman" w:eastAsia="宋体" w:cs="Times New Roman"/>
          <w:snapToGrid w:val="0"/>
          <w:color w:val="000000"/>
          <w:kern w:val="0"/>
          <w:sz w:val="24"/>
          <w:szCs w:val="24"/>
          <w:lang w:val="en-US" w:eastAsia="zh-CN" w:bidi="ar"/>
        </w:rPr>
        <w:t>，精矿带式真空过滤机排水</w:t>
      </w:r>
      <w:r>
        <w:rPr>
          <w:rFonts w:hint="default" w:ascii="Times New Roman" w:hAnsi="Times New Roman" w:eastAsia="宋体" w:cs="Times New Roman"/>
          <w:snapToGrid w:val="0"/>
          <w:color w:val="000000"/>
          <w:kern w:val="0"/>
          <w:sz w:val="24"/>
          <w:szCs w:val="24"/>
          <w:lang w:val="en-US" w:eastAsia="zh-CN" w:bidi="ar"/>
        </w:rPr>
        <w:t>1788460m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/a</w:t>
      </w:r>
      <w:r>
        <w:rPr>
          <w:rFonts w:hint="eastAsia" w:ascii="Times New Roman" w:hAnsi="Times New Roman" w:eastAsia="宋体" w:cs="Times New Roman"/>
          <w:snapToGrid w:val="0"/>
          <w:color w:val="000000"/>
          <w:kern w:val="0"/>
          <w:sz w:val="24"/>
          <w:szCs w:val="24"/>
          <w:lang w:val="en-US" w:eastAsia="zh-CN" w:bidi="ar"/>
        </w:rPr>
        <w:t>，设备和地坪冲洗废水</w:t>
      </w:r>
      <w:r>
        <w:rPr>
          <w:rFonts w:hint="default" w:ascii="Times New Roman" w:hAnsi="Times New Roman" w:eastAsia="宋体" w:cs="Times New Roman"/>
          <w:snapToGrid w:val="0"/>
          <w:color w:val="000000"/>
          <w:kern w:val="0"/>
          <w:sz w:val="24"/>
          <w:szCs w:val="24"/>
          <w:lang w:val="en-US" w:eastAsia="zh-CN" w:bidi="ar"/>
        </w:rPr>
        <w:t>2700m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/a</w:t>
      </w:r>
      <w:r>
        <w:rPr>
          <w:rFonts w:hint="eastAsia" w:ascii="Times New Roman" w:hAnsi="Times New Roman" w:eastAsia="宋体" w:cs="Times New Roman"/>
          <w:snapToGrid w:val="0"/>
          <w:color w:val="000000"/>
          <w:kern w:val="0"/>
          <w:sz w:val="24"/>
          <w:szCs w:val="24"/>
          <w:lang w:val="en-US" w:eastAsia="zh-CN" w:bidi="ar"/>
        </w:rPr>
        <w:t>，全部进入循环水池，经沉淀处理后回用于生产。</w:t>
      </w:r>
    </w:p>
    <w:p>
      <w:pPr>
        <w:keepNext w:val="0"/>
        <w:keepLines w:val="0"/>
        <w:widowControl/>
        <w:suppressLineNumbers w:val="0"/>
        <w:spacing w:before="0" w:beforeAutospacing="0" w:after="0" w:afterAutospacing="0"/>
        <w:ind w:left="0" w:right="0" w:firstLine="482"/>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2</w:t>
      </w:r>
      <w:r>
        <w:rPr>
          <w:rFonts w:hint="eastAsia" w:ascii="Times New Roman" w:hAnsi="Times New Roman" w:eastAsia="宋体" w:cs="Times New Roman"/>
          <w:snapToGrid w:val="0"/>
          <w:color w:val="000000"/>
          <w:kern w:val="0"/>
          <w:sz w:val="24"/>
          <w:szCs w:val="24"/>
          <w:lang w:val="en-US" w:eastAsia="zh-CN" w:bidi="ar"/>
        </w:rPr>
        <w:t>）生活污水</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本项目职工</w:t>
      </w:r>
      <w:r>
        <w:rPr>
          <w:rFonts w:hint="default" w:ascii="Times New Roman" w:hAnsi="Times New Roman" w:eastAsia="宋体" w:cs="Times New Roman"/>
          <w:snapToGrid w:val="0"/>
          <w:color w:val="000000"/>
          <w:kern w:val="0"/>
          <w:sz w:val="24"/>
          <w:szCs w:val="24"/>
          <w:lang w:val="en-US" w:eastAsia="zh-CN" w:bidi="ar"/>
        </w:rPr>
        <w:t>80</w:t>
      </w:r>
      <w:r>
        <w:rPr>
          <w:rFonts w:hint="eastAsia" w:ascii="Times New Roman" w:hAnsi="Times New Roman" w:eastAsia="宋体" w:cs="Times New Roman"/>
          <w:snapToGrid w:val="0"/>
          <w:color w:val="000000"/>
          <w:kern w:val="0"/>
          <w:sz w:val="24"/>
          <w:szCs w:val="24"/>
          <w:lang w:val="en-US" w:eastAsia="zh-CN" w:bidi="ar"/>
        </w:rPr>
        <w:t>人，</w:t>
      </w:r>
      <w:r>
        <w:rPr>
          <w:rFonts w:hint="eastAsia" w:ascii="Times New Roman" w:hAnsi="Times New Roman" w:eastAsia="宋体" w:cs="Times New Roman"/>
          <w:color w:val="000000"/>
          <w:kern w:val="0"/>
          <w:sz w:val="24"/>
          <w:szCs w:val="24"/>
          <w:lang w:val="en-US" w:eastAsia="zh-CN" w:bidi="ar"/>
        </w:rPr>
        <w:t>生活用水主要是职工饮用、卫生等用水，</w:t>
      </w:r>
      <w:r>
        <w:rPr>
          <w:rFonts w:hint="eastAsia" w:ascii="Times New Roman" w:hAnsi="Times New Roman" w:eastAsia="宋体" w:cs="Times New Roman"/>
          <w:snapToGrid w:val="0"/>
          <w:color w:val="000000"/>
          <w:kern w:val="0"/>
          <w:sz w:val="24"/>
          <w:szCs w:val="24"/>
          <w:lang w:val="en-US" w:eastAsia="zh-CN" w:bidi="ar"/>
        </w:rPr>
        <w:t>日常生活用水量按</w:t>
      </w:r>
      <w:r>
        <w:rPr>
          <w:rFonts w:hint="default" w:ascii="Times New Roman" w:hAnsi="Times New Roman" w:eastAsia="宋体" w:cs="Times New Roman"/>
          <w:snapToGrid w:val="0"/>
          <w:color w:val="000000"/>
          <w:kern w:val="0"/>
          <w:sz w:val="24"/>
          <w:szCs w:val="24"/>
          <w:lang w:val="en-US" w:eastAsia="zh-CN" w:bidi="ar"/>
        </w:rPr>
        <w:t>40L/</w:t>
      </w:r>
      <w:r>
        <w:rPr>
          <w:rFonts w:hint="eastAsia" w:ascii="Times New Roman" w:hAnsi="Times New Roman" w:eastAsia="宋体" w:cs="Times New Roman"/>
          <w:snapToGrid w:val="0"/>
          <w:color w:val="000000"/>
          <w:kern w:val="0"/>
          <w:sz w:val="24"/>
          <w:szCs w:val="24"/>
          <w:lang w:val="en-US" w:eastAsia="zh-CN" w:bidi="ar"/>
        </w:rPr>
        <w:t>人</w:t>
      </w:r>
      <w:r>
        <w:rPr>
          <w:rFonts w:hint="default" w:ascii="Times New Roman" w:hAnsi="Times New Roman" w:eastAsia="宋体" w:cs="Times New Roman"/>
          <w:snapToGrid w:val="0"/>
          <w:color w:val="000000"/>
          <w:kern w:val="0"/>
          <w:sz w:val="24"/>
          <w:szCs w:val="24"/>
          <w:lang w:val="en-US" w:eastAsia="zh-CN" w:bidi="ar"/>
        </w:rPr>
        <w:t>•d</w:t>
      </w:r>
      <w:r>
        <w:rPr>
          <w:rFonts w:hint="eastAsia" w:ascii="Times New Roman" w:hAnsi="Times New Roman" w:eastAsia="宋体" w:cs="Times New Roman"/>
          <w:snapToGrid w:val="0"/>
          <w:color w:val="000000"/>
          <w:kern w:val="0"/>
          <w:sz w:val="24"/>
          <w:szCs w:val="24"/>
          <w:lang w:val="en-US" w:eastAsia="zh-CN" w:bidi="ar"/>
        </w:rPr>
        <w:t>计，则本项目新增生活用水量为</w:t>
      </w:r>
      <w:r>
        <w:rPr>
          <w:rFonts w:hint="default" w:ascii="Times New Roman" w:hAnsi="Times New Roman" w:eastAsia="宋体" w:cs="Times New Roman"/>
          <w:snapToGrid w:val="0"/>
          <w:color w:val="000000"/>
          <w:kern w:val="0"/>
          <w:sz w:val="24"/>
          <w:szCs w:val="24"/>
          <w:lang w:val="en-US" w:eastAsia="zh-CN" w:bidi="ar"/>
        </w:rPr>
        <w:t>3.2m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/d</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960m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/a</w:t>
      </w:r>
      <w:r>
        <w:rPr>
          <w:rFonts w:hint="eastAsia" w:ascii="Times New Roman" w:hAnsi="Times New Roman" w:eastAsia="宋体" w:cs="Times New Roman"/>
          <w:snapToGrid w:val="0"/>
          <w:color w:val="000000"/>
          <w:kern w:val="0"/>
          <w:sz w:val="24"/>
          <w:szCs w:val="24"/>
          <w:lang w:val="en-US" w:eastAsia="zh-CN" w:bidi="ar"/>
        </w:rPr>
        <w:t>，排污系数按</w:t>
      </w:r>
      <w:r>
        <w:rPr>
          <w:rFonts w:hint="default" w:ascii="Times New Roman" w:hAnsi="Times New Roman" w:eastAsia="宋体" w:cs="Times New Roman"/>
          <w:snapToGrid w:val="0"/>
          <w:color w:val="000000"/>
          <w:kern w:val="0"/>
          <w:sz w:val="24"/>
          <w:szCs w:val="24"/>
          <w:lang w:val="en-US" w:eastAsia="zh-CN" w:bidi="ar"/>
        </w:rPr>
        <w:t>0.85</w:t>
      </w:r>
      <w:r>
        <w:rPr>
          <w:rFonts w:hint="eastAsia" w:ascii="Times New Roman" w:hAnsi="Times New Roman" w:eastAsia="宋体" w:cs="Times New Roman"/>
          <w:snapToGrid w:val="0"/>
          <w:color w:val="000000"/>
          <w:kern w:val="0"/>
          <w:sz w:val="24"/>
          <w:szCs w:val="24"/>
          <w:lang w:val="en-US" w:eastAsia="zh-CN" w:bidi="ar"/>
        </w:rPr>
        <w:t>计算，生活污水的产生量约为</w:t>
      </w:r>
      <w:r>
        <w:rPr>
          <w:rFonts w:hint="default" w:ascii="Times New Roman" w:hAnsi="Times New Roman" w:eastAsia="宋体" w:cs="Times New Roman"/>
          <w:snapToGrid w:val="0"/>
          <w:color w:val="000000"/>
          <w:kern w:val="0"/>
          <w:sz w:val="24"/>
          <w:szCs w:val="24"/>
          <w:lang w:val="en-US" w:eastAsia="zh-CN" w:bidi="ar"/>
        </w:rPr>
        <w:t>2.72m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/d</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816m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/a</w:t>
      </w:r>
      <w:r>
        <w:rPr>
          <w:rFonts w:hint="eastAsia" w:ascii="Times New Roman" w:hAnsi="Times New Roman" w:eastAsia="宋体" w:cs="Times New Roman"/>
          <w:snapToGrid w:val="0"/>
          <w:color w:val="000000"/>
          <w:kern w:val="0"/>
          <w:sz w:val="24"/>
          <w:szCs w:val="24"/>
          <w:lang w:val="en-US" w:eastAsia="zh-CN" w:bidi="ar"/>
        </w:rPr>
        <w:t>，生活污水水质为</w:t>
      </w:r>
      <w:r>
        <w:rPr>
          <w:rFonts w:hint="default" w:ascii="Times New Roman" w:hAnsi="Times New Roman" w:eastAsia="宋体" w:cs="Times New Roman"/>
          <w:color w:val="000000"/>
          <w:kern w:val="0"/>
          <w:sz w:val="24"/>
          <w:szCs w:val="24"/>
          <w:lang w:val="en-US" w:eastAsia="zh-CN" w:bidi="ar"/>
        </w:rPr>
        <w:t>CODcr</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300mg/L</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SS</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300mg/L</w:t>
      </w:r>
      <w:r>
        <w:rPr>
          <w:rFonts w:hint="eastAsia" w:ascii="Times New Roman" w:hAnsi="Times New Roman" w:eastAsia="宋体" w:cs="Times New Roman"/>
          <w:snapToGrid w:val="0"/>
          <w:color w:val="000000"/>
          <w:kern w:val="0"/>
          <w:sz w:val="24"/>
          <w:szCs w:val="24"/>
          <w:lang w:val="en-US" w:eastAsia="zh-CN" w:bidi="ar"/>
        </w:rPr>
        <w:t>、氨氮</w:t>
      </w:r>
      <w:r>
        <w:rPr>
          <w:rFonts w:hint="default" w:ascii="Times New Roman" w:hAnsi="Times New Roman" w:eastAsia="宋体" w:cs="Times New Roman"/>
          <w:snapToGrid w:val="0"/>
          <w:color w:val="000000"/>
          <w:kern w:val="0"/>
          <w:sz w:val="24"/>
          <w:szCs w:val="24"/>
          <w:lang w:val="en-US" w:eastAsia="zh-CN" w:bidi="ar"/>
        </w:rPr>
        <w:t>25 mg/L</w:t>
      </w:r>
      <w:r>
        <w:rPr>
          <w:rFonts w:hint="eastAsia" w:ascii="Times New Roman" w:hAnsi="Times New Roman" w:eastAsia="宋体" w:cs="Times New Roman"/>
          <w:snapToGrid w:val="0"/>
          <w:color w:val="000000"/>
          <w:kern w:val="0"/>
          <w:sz w:val="24"/>
          <w:szCs w:val="24"/>
          <w:lang w:val="en-US" w:eastAsia="zh-CN" w:bidi="ar"/>
        </w:rPr>
        <w:t>，则污染物量为</w:t>
      </w:r>
      <w:r>
        <w:rPr>
          <w:rFonts w:hint="default" w:ascii="Times New Roman" w:hAnsi="Times New Roman" w:eastAsia="宋体" w:cs="Times New Roman"/>
          <w:color w:val="000000"/>
          <w:kern w:val="0"/>
          <w:sz w:val="24"/>
          <w:szCs w:val="24"/>
          <w:lang w:val="en-US" w:eastAsia="zh-CN" w:bidi="ar"/>
        </w:rPr>
        <w:t>CODcr</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0.245 t/a</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SS</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0.245 t/a</w:t>
      </w:r>
      <w:r>
        <w:rPr>
          <w:rFonts w:hint="eastAsia" w:ascii="Times New Roman" w:hAnsi="Times New Roman" w:eastAsia="宋体" w:cs="Times New Roman"/>
          <w:snapToGrid w:val="0"/>
          <w:color w:val="000000"/>
          <w:kern w:val="0"/>
          <w:sz w:val="24"/>
          <w:szCs w:val="24"/>
          <w:lang w:val="en-US" w:eastAsia="zh-CN" w:bidi="ar"/>
        </w:rPr>
        <w:t>、氨氮</w:t>
      </w:r>
      <w:r>
        <w:rPr>
          <w:rFonts w:hint="default" w:ascii="Times New Roman" w:hAnsi="Times New Roman" w:eastAsia="宋体" w:cs="Times New Roman"/>
          <w:snapToGrid w:val="0"/>
          <w:color w:val="000000"/>
          <w:kern w:val="0"/>
          <w:sz w:val="24"/>
          <w:szCs w:val="24"/>
          <w:lang w:val="en-US" w:eastAsia="zh-CN" w:bidi="ar"/>
        </w:rPr>
        <w:t>0.02 t/a</w:t>
      </w:r>
      <w:r>
        <w:rPr>
          <w:rFonts w:hint="eastAsia" w:ascii="Times New Roman" w:hAnsi="Times New Roman" w:eastAsia="宋体" w:cs="Times New Roman"/>
          <w:snapToGrid w:val="0"/>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生活污水排入约</w:t>
      </w:r>
      <w:r>
        <w:rPr>
          <w:rFonts w:hint="default" w:ascii="Times New Roman" w:hAnsi="Times New Roman" w:eastAsia="宋体" w:cs="Times New Roman"/>
          <w:color w:val="000000"/>
          <w:kern w:val="0"/>
          <w:sz w:val="24"/>
          <w:szCs w:val="24"/>
          <w:lang w:val="en-US" w:eastAsia="zh-CN" w:bidi="ar"/>
        </w:rPr>
        <w:t>40m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化粪池，</w:t>
      </w:r>
      <w:r>
        <w:rPr>
          <w:rFonts w:hint="eastAsia" w:ascii="宋体" w:hAnsi="宋体" w:eastAsia="宋体" w:cs="宋体"/>
          <w:color w:val="000000"/>
          <w:kern w:val="0"/>
          <w:sz w:val="24"/>
          <w:szCs w:val="24"/>
          <w:lang w:val="en-US" w:eastAsia="zh-CN" w:bidi="ar"/>
        </w:rPr>
        <w:t>定期清掏，堆沤腐熟、就地就近就农利用</w:t>
      </w:r>
      <w:r>
        <w:rPr>
          <w:rFonts w:hint="eastAsia" w:ascii="Times New Roman" w:hAnsi="Times New Roman" w:eastAsia="宋体" w:cs="Times New Roman"/>
          <w:color w:val="000000"/>
          <w:kern w:val="0"/>
          <w:sz w:val="24"/>
          <w:szCs w:val="24"/>
          <w:lang w:val="en-US" w:eastAsia="zh-CN" w:bidi="ar"/>
        </w:rPr>
        <w:t>。</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 xml:space="preserve"> </w:t>
      </w:r>
      <w:r>
        <w:rPr>
          <w:rFonts w:ascii="Times New Roman" w:hAnsi="Times New Roman" w:cs="Times New Roman"/>
          <w:color w:val="000000"/>
          <w:lang w:eastAsia="zh-CN"/>
        </w:rPr>
        <w:t>噪声</w:t>
      </w:r>
    </w:p>
    <w:p>
      <w:pPr>
        <w:keepNext w:val="0"/>
        <w:keepLines w:val="0"/>
        <w:widowControl/>
        <w:suppressLineNumbers w:val="0"/>
        <w:adjustRightInd w:val="0"/>
        <w:snapToGrid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本工程产生的噪声来源于生产设备产生的噪声以及道路运输噪声。</w:t>
      </w:r>
    </w:p>
    <w:p>
      <w:pPr>
        <w:keepNext w:val="0"/>
        <w:keepLines w:val="0"/>
        <w:widowControl/>
        <w:suppressLineNumbers w:val="0"/>
        <w:adjustRightInd w:val="0"/>
        <w:snapToGrid w:val="0"/>
        <w:spacing w:before="0" w:beforeAutospacing="0" w:after="0" w:afterAutospacing="0" w:line="500" w:lineRule="exact"/>
        <w:ind w:left="0" w:right="0" w:firstLine="480" w:firstLineChars="200"/>
        <w:jc w:val="both"/>
        <w:rPr>
          <w:color w:val="000000"/>
          <w:lang w:val="en-US"/>
        </w:rPr>
      </w:pPr>
      <w:r>
        <w:rPr>
          <w:rFonts w:hint="eastAsia" w:ascii="宋体" w:hAnsi="宋体" w:eastAsia="宋体" w:cs="宋体"/>
          <w:color w:val="000000"/>
          <w:kern w:val="0"/>
          <w:sz w:val="24"/>
          <w:szCs w:val="24"/>
          <w:lang w:val="en-US" w:eastAsia="zh-CN" w:bidi="ar"/>
        </w:rPr>
        <w:t>本项目的运输主要是菱镁矿石运入及产品的运出，本项目运输情况见下表。</w:t>
      </w:r>
    </w:p>
    <w:p>
      <w:pPr>
        <w:keepNext w:val="0"/>
        <w:keepLines w:val="0"/>
        <w:widowControl/>
        <w:suppressLineNumbers w:val="0"/>
        <w:spacing w:before="0" w:beforeAutospacing="0" w:after="0" w:afterAutospacing="0" w:line="400" w:lineRule="exact"/>
        <w:ind w:left="0" w:right="0"/>
        <w:jc w:val="center"/>
        <w:rPr>
          <w:color w:val="000000"/>
          <w:lang w:val="en-US"/>
        </w:rPr>
      </w:pPr>
      <w:r>
        <w:rPr>
          <w:rFonts w:hint="eastAsia" w:ascii="Times New Roman" w:hAnsi="Times New Roman" w:eastAsia="黑体" w:cs="Times New Roman"/>
          <w:color w:val="000000"/>
          <w:kern w:val="2"/>
          <w:sz w:val="24"/>
          <w:szCs w:val="24"/>
          <w:lang w:val="en-US" w:eastAsia="zh-CN" w:bidi="ar"/>
        </w:rPr>
        <w:t>表</w:t>
      </w:r>
      <w:r>
        <w:rPr>
          <w:rFonts w:hint="default" w:ascii="Times New Roman" w:hAnsi="Times New Roman" w:eastAsia="黑体" w:cs="Times New Roman"/>
          <w:color w:val="000000"/>
          <w:kern w:val="2"/>
          <w:sz w:val="24"/>
          <w:szCs w:val="24"/>
          <w:lang w:val="en-US" w:eastAsia="zh-CN" w:bidi="ar"/>
        </w:rPr>
        <w:t xml:space="preserve">3.3-5  </w:t>
      </w:r>
      <w:r>
        <w:rPr>
          <w:rFonts w:hint="eastAsia" w:ascii="宋体" w:hAnsi="宋体" w:eastAsia="黑体" w:cs="黑体"/>
          <w:color w:val="000000"/>
          <w:kern w:val="2"/>
          <w:sz w:val="24"/>
          <w:szCs w:val="24"/>
          <w:lang w:val="en-US" w:eastAsia="zh-CN" w:bidi="ar"/>
        </w:rPr>
        <w:t>本项目主要运输情况表</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126"/>
        <w:gridCol w:w="1887"/>
        <w:gridCol w:w="1885"/>
        <w:gridCol w:w="1740"/>
        <w:gridCol w:w="2089"/>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c>
          <w:tcPr>
            <w:tcW w:w="645" w:type="pc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项目</w:t>
            </w:r>
          </w:p>
        </w:tc>
        <w:tc>
          <w:tcPr>
            <w:tcW w:w="1081"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运输对象</w:t>
            </w:r>
          </w:p>
        </w:tc>
        <w:tc>
          <w:tcPr>
            <w:tcW w:w="1080"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年运输量（</w:t>
            </w:r>
            <w:r>
              <w:rPr>
                <w:rFonts w:hint="default" w:ascii="Times New Roman" w:hAnsi="Times New Roman" w:cs="Times New Roman"/>
                <w:color w:val="000000"/>
                <w:sz w:val="21"/>
                <w:szCs w:val="21"/>
                <w:bdr w:val="none" w:color="auto" w:sz="0" w:space="0"/>
                <w:lang w:val="en-US"/>
              </w:rPr>
              <w:t>t</w:t>
            </w:r>
            <w:r>
              <w:rPr>
                <w:rFonts w:ascii="Times New Roman" w:hAnsi="Times New Roman" w:cs="Times New Roman"/>
                <w:color w:val="000000"/>
                <w:sz w:val="21"/>
                <w:szCs w:val="21"/>
                <w:bdr w:val="none" w:color="auto" w:sz="0" w:space="0"/>
              </w:rPr>
              <w:t>）</w:t>
            </w:r>
          </w:p>
        </w:tc>
        <w:tc>
          <w:tcPr>
            <w:tcW w:w="997"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日运输量（</w:t>
            </w:r>
            <w:r>
              <w:rPr>
                <w:rFonts w:hint="default" w:ascii="Times New Roman" w:hAnsi="Times New Roman" w:cs="Times New Roman"/>
                <w:color w:val="000000"/>
                <w:sz w:val="21"/>
                <w:szCs w:val="21"/>
                <w:bdr w:val="none" w:color="auto" w:sz="0" w:space="0"/>
                <w:lang w:val="en-US"/>
              </w:rPr>
              <w:t>t</w:t>
            </w:r>
            <w:r>
              <w:rPr>
                <w:rFonts w:ascii="Times New Roman" w:hAnsi="Times New Roman" w:cs="Times New Roman"/>
                <w:color w:val="000000"/>
                <w:sz w:val="21"/>
                <w:szCs w:val="21"/>
                <w:bdr w:val="none" w:color="auto" w:sz="0" w:space="0"/>
              </w:rPr>
              <w:t>）</w:t>
            </w:r>
          </w:p>
        </w:tc>
        <w:tc>
          <w:tcPr>
            <w:tcW w:w="1197"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运输车辆</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01" w:hRule="atLeast"/>
        </w:trPr>
        <w:tc>
          <w:tcPr>
            <w:tcW w:w="645"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进厂</w:t>
            </w:r>
          </w:p>
        </w:tc>
        <w:tc>
          <w:tcPr>
            <w:tcW w:w="108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菱镁矿石</w:t>
            </w:r>
          </w:p>
        </w:tc>
        <w:tc>
          <w:tcPr>
            <w:tcW w:w="108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1250000</w:t>
            </w:r>
          </w:p>
        </w:tc>
        <w:tc>
          <w:tcPr>
            <w:tcW w:w="99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4166.7</w:t>
            </w:r>
          </w:p>
        </w:tc>
        <w:tc>
          <w:tcPr>
            <w:tcW w:w="119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60t</w:t>
            </w:r>
            <w:r>
              <w:rPr>
                <w:rFonts w:ascii="Times New Roman" w:hAnsi="Times New Roman" w:cs="Times New Roman"/>
                <w:color w:val="000000"/>
                <w:sz w:val="21"/>
                <w:szCs w:val="21"/>
                <w:bdr w:val="none" w:color="auto" w:sz="0" w:space="0"/>
              </w:rPr>
              <w:t>自卸汽车</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645" w:type="pct"/>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出厂</w:t>
            </w:r>
          </w:p>
        </w:tc>
        <w:tc>
          <w:tcPr>
            <w:tcW w:w="108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精矿粉</w:t>
            </w:r>
          </w:p>
        </w:tc>
        <w:tc>
          <w:tcPr>
            <w:tcW w:w="108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1000000</w:t>
            </w:r>
          </w:p>
        </w:tc>
        <w:tc>
          <w:tcPr>
            <w:tcW w:w="99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 xml:space="preserve">3333.3 </w:t>
            </w:r>
          </w:p>
        </w:tc>
        <w:tc>
          <w:tcPr>
            <w:tcW w:w="119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60t</w:t>
            </w:r>
            <w:r>
              <w:rPr>
                <w:rFonts w:ascii="Times New Roman" w:hAnsi="Times New Roman" w:cs="Times New Roman"/>
                <w:color w:val="000000"/>
                <w:sz w:val="21"/>
                <w:szCs w:val="21"/>
                <w:bdr w:val="none" w:color="auto" w:sz="0" w:space="0"/>
              </w:rPr>
              <w:t>自卸汽车</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645"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08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尾矿粉</w:t>
            </w:r>
          </w:p>
        </w:tc>
        <w:tc>
          <w:tcPr>
            <w:tcW w:w="108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250000</w:t>
            </w:r>
          </w:p>
        </w:tc>
        <w:tc>
          <w:tcPr>
            <w:tcW w:w="99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833.3</w:t>
            </w:r>
          </w:p>
        </w:tc>
        <w:tc>
          <w:tcPr>
            <w:tcW w:w="1197"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60t</w:t>
            </w:r>
            <w:r>
              <w:rPr>
                <w:rFonts w:ascii="Times New Roman" w:hAnsi="Times New Roman" w:cs="Times New Roman"/>
                <w:color w:val="000000"/>
                <w:sz w:val="21"/>
                <w:szCs w:val="21"/>
                <w:bdr w:val="none" w:color="auto" w:sz="0" w:space="0"/>
              </w:rPr>
              <w:t>自卸汽车</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c>
          <w:tcPr>
            <w:tcW w:w="1726" w:type="pct"/>
            <w:gridSpan w:val="2"/>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合计</w:t>
            </w:r>
          </w:p>
        </w:tc>
        <w:tc>
          <w:tcPr>
            <w:tcW w:w="1080"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2500000</w:t>
            </w:r>
          </w:p>
        </w:tc>
        <w:tc>
          <w:tcPr>
            <w:tcW w:w="997"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8333.3</w:t>
            </w:r>
          </w:p>
        </w:tc>
        <w:tc>
          <w:tcPr>
            <w:tcW w:w="1197"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bl>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由上表可知，本项目进场原料主要为菱镁矿石，年运输量为</w:t>
      </w:r>
      <w:r>
        <w:rPr>
          <w:rFonts w:hint="default" w:ascii="Times New Roman" w:hAnsi="Times New Roman" w:eastAsia="宋体" w:cs="Times New Roman"/>
          <w:color w:val="000000"/>
          <w:kern w:val="0"/>
          <w:sz w:val="24"/>
          <w:szCs w:val="24"/>
          <w:lang w:val="en-US" w:eastAsia="zh-CN" w:bidi="ar"/>
        </w:rPr>
        <w:t>125</w:t>
      </w:r>
      <w:r>
        <w:rPr>
          <w:rFonts w:hint="eastAsia" w:ascii="Times New Roman" w:hAnsi="Times New Roman" w:eastAsia="宋体" w:cs="Times New Roman"/>
          <w:color w:val="000000"/>
          <w:kern w:val="0"/>
          <w:sz w:val="24"/>
          <w:szCs w:val="24"/>
          <w:lang w:val="en-US" w:eastAsia="zh-CN" w:bidi="ar"/>
        </w:rPr>
        <w:t>万吨，出场产品为菱镁精矿粉、尾矿粉。由于菱镁矿石来自华宇集团自有菱镁矿山，产品精矿粉主要供华宇集团旗下海城华宇镁砂有限公司使用，运输道路为华宇集团内部运矿道路，不途径村庄等敏感点，因此本项目厂区外部运输只考虑出厂菱镁尾矿粉，总量为</w:t>
      </w:r>
      <w:r>
        <w:rPr>
          <w:rFonts w:hint="default" w:ascii="Times New Roman" w:hAnsi="Times New Roman" w:eastAsia="宋体" w:cs="Times New Roman"/>
          <w:color w:val="000000"/>
          <w:kern w:val="0"/>
          <w:sz w:val="24"/>
          <w:szCs w:val="24"/>
          <w:lang w:val="en-US" w:eastAsia="zh-CN" w:bidi="ar"/>
        </w:rPr>
        <w:t>25</w:t>
      </w:r>
      <w:r>
        <w:rPr>
          <w:rFonts w:hint="eastAsia" w:ascii="Times New Roman" w:hAnsi="Times New Roman" w:eastAsia="宋体" w:cs="Times New Roman"/>
          <w:color w:val="000000"/>
          <w:kern w:val="0"/>
          <w:sz w:val="24"/>
          <w:szCs w:val="24"/>
          <w:lang w:val="en-US" w:eastAsia="zh-CN" w:bidi="ar"/>
        </w:rPr>
        <w:t>万吨</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年，平均日运输量为</w:t>
      </w:r>
      <w:r>
        <w:rPr>
          <w:rFonts w:hint="default" w:ascii="Times New Roman" w:hAnsi="Times New Roman" w:eastAsia="宋体" w:cs="Times New Roman"/>
          <w:color w:val="000000"/>
          <w:kern w:val="0"/>
          <w:sz w:val="24"/>
          <w:szCs w:val="24"/>
          <w:lang w:val="en-US" w:eastAsia="zh-CN" w:bidi="ar"/>
        </w:rPr>
        <w:t>833.3t/d</w:t>
      </w:r>
      <w:r>
        <w:rPr>
          <w:rFonts w:hint="eastAsia" w:ascii="Times New Roman" w:hAnsi="Times New Roman" w:eastAsia="宋体" w:cs="Times New Roman"/>
          <w:color w:val="000000"/>
          <w:kern w:val="0"/>
          <w:sz w:val="24"/>
          <w:szCs w:val="24"/>
          <w:lang w:val="en-US" w:eastAsia="zh-CN" w:bidi="ar"/>
        </w:rPr>
        <w:t>，运输车辆为自卸汽车（按</w:t>
      </w:r>
      <w:r>
        <w:rPr>
          <w:rFonts w:hint="default" w:ascii="Times New Roman" w:hAnsi="Times New Roman" w:eastAsia="宋体" w:cs="Times New Roman"/>
          <w:color w:val="000000"/>
          <w:kern w:val="0"/>
          <w:sz w:val="24"/>
          <w:szCs w:val="24"/>
          <w:lang w:val="en-US" w:eastAsia="zh-CN" w:bidi="ar"/>
        </w:rPr>
        <w:t>60t</w:t>
      </w:r>
      <w:r>
        <w:rPr>
          <w:rFonts w:hint="eastAsia" w:ascii="Times New Roman" w:hAnsi="Times New Roman" w:eastAsia="宋体" w:cs="Times New Roman"/>
          <w:color w:val="000000"/>
          <w:kern w:val="0"/>
          <w:sz w:val="24"/>
          <w:szCs w:val="24"/>
          <w:lang w:val="en-US" w:eastAsia="zh-CN" w:bidi="ar"/>
        </w:rPr>
        <w:t>计算），每天按</w:t>
      </w:r>
      <w:r>
        <w:rPr>
          <w:rFonts w:hint="default" w:ascii="Times New Roman" w:hAnsi="Times New Roman" w:eastAsia="宋体" w:cs="Times New Roman"/>
          <w:color w:val="000000"/>
          <w:kern w:val="0"/>
          <w:sz w:val="24"/>
          <w:szCs w:val="24"/>
          <w:lang w:val="en-US" w:eastAsia="zh-CN" w:bidi="ar"/>
        </w:rPr>
        <w:t>7h</w:t>
      </w:r>
      <w:r>
        <w:rPr>
          <w:rFonts w:hint="eastAsia" w:ascii="Times New Roman" w:hAnsi="Times New Roman" w:eastAsia="宋体" w:cs="Times New Roman"/>
          <w:color w:val="000000"/>
          <w:kern w:val="0"/>
          <w:sz w:val="24"/>
          <w:szCs w:val="24"/>
          <w:lang w:val="en-US" w:eastAsia="zh-CN" w:bidi="ar"/>
        </w:rPr>
        <w:t>运输时间考虑，道路平均车流量为每小时</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辆（往返</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辆），考虑到各时段运输量不均匀性，按最不利情况考虑，运输车最大流量以</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车次</w:t>
      </w:r>
      <w:r>
        <w:rPr>
          <w:rFonts w:hint="default" w:ascii="Times New Roman" w:hAnsi="Times New Roman" w:eastAsia="宋体" w:cs="Times New Roman"/>
          <w:color w:val="000000"/>
          <w:kern w:val="0"/>
          <w:sz w:val="24"/>
          <w:szCs w:val="24"/>
          <w:lang w:val="en-US" w:eastAsia="zh-CN" w:bidi="ar"/>
        </w:rPr>
        <w:t>/h</w:t>
      </w:r>
      <w:r>
        <w:rPr>
          <w:rFonts w:hint="eastAsia" w:ascii="Times New Roman" w:hAnsi="Times New Roman" w:eastAsia="宋体" w:cs="Times New Roman"/>
          <w:color w:val="000000"/>
          <w:kern w:val="0"/>
          <w:sz w:val="24"/>
          <w:szCs w:val="24"/>
          <w:lang w:val="en-US" w:eastAsia="zh-CN" w:bidi="ar"/>
        </w:rPr>
        <w:t>计，且均为一个运输方向。</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本项目产品运输均采用汽车道路运输，主要利用农村道路和其他等级公路，厂内道路进行硬化处理，厂外通过厂区北侧道路与</w:t>
      </w:r>
      <w:r>
        <w:rPr>
          <w:rFonts w:hint="default" w:ascii="Times New Roman" w:hAnsi="Times New Roman" w:eastAsia="宋体" w:cs="Times New Roman"/>
          <w:color w:val="000000"/>
          <w:kern w:val="0"/>
          <w:sz w:val="24"/>
          <w:szCs w:val="24"/>
          <w:lang w:val="en-US" w:eastAsia="zh-CN" w:bidi="ar"/>
        </w:rPr>
        <w:t>G16</w:t>
      </w:r>
      <w:r>
        <w:rPr>
          <w:rFonts w:hint="eastAsia" w:ascii="Times New Roman" w:hAnsi="Times New Roman" w:eastAsia="宋体" w:cs="Times New Roman"/>
          <w:color w:val="000000"/>
          <w:kern w:val="0"/>
          <w:sz w:val="24"/>
          <w:szCs w:val="24"/>
          <w:lang w:val="en-US" w:eastAsia="zh-CN" w:bidi="ar"/>
        </w:rPr>
        <w:t>等道路相连。运输过程道路两侧村庄主要有南二道村、南三道村、高家峪村等村庄，村庄道路两侧居民为声环境主要保护目标，主要为距离道路中心线</w:t>
      </w:r>
      <w:r>
        <w:rPr>
          <w:rFonts w:hint="default" w:ascii="Times New Roman" w:hAnsi="Times New Roman" w:eastAsia="宋体" w:cs="Times New Roman"/>
          <w:color w:val="000000"/>
          <w:kern w:val="0"/>
          <w:sz w:val="24"/>
          <w:szCs w:val="24"/>
          <w:lang w:val="en-US" w:eastAsia="zh-CN" w:bidi="ar"/>
        </w:rPr>
        <w:t>20m</w:t>
      </w:r>
      <w:r>
        <w:rPr>
          <w:rFonts w:hint="eastAsia" w:ascii="Times New Roman" w:hAnsi="Times New Roman" w:eastAsia="宋体" w:cs="Times New Roman"/>
          <w:color w:val="000000"/>
          <w:kern w:val="0"/>
          <w:sz w:val="24"/>
          <w:szCs w:val="24"/>
          <w:lang w:val="en-US" w:eastAsia="zh-CN" w:bidi="ar"/>
        </w:rPr>
        <w:t>范围内的居民。</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60t</w:t>
      </w:r>
      <w:r>
        <w:rPr>
          <w:rFonts w:hint="eastAsia" w:ascii="Times New Roman" w:hAnsi="Times New Roman" w:eastAsia="宋体" w:cs="Times New Roman"/>
          <w:color w:val="000000"/>
          <w:kern w:val="0"/>
          <w:sz w:val="24"/>
          <w:szCs w:val="24"/>
          <w:lang w:val="en-US" w:eastAsia="zh-CN" w:bidi="ar"/>
        </w:rPr>
        <w:t>重型（大型车）在参照点（</w:t>
      </w:r>
      <w:r>
        <w:rPr>
          <w:rFonts w:hint="default" w:ascii="Times New Roman" w:hAnsi="Times New Roman" w:eastAsia="宋体" w:cs="Times New Roman"/>
          <w:color w:val="000000"/>
          <w:kern w:val="0"/>
          <w:sz w:val="24"/>
          <w:szCs w:val="24"/>
          <w:lang w:val="en-US" w:eastAsia="zh-CN" w:bidi="ar"/>
        </w:rPr>
        <w:t>7.5m</w:t>
      </w:r>
      <w:r>
        <w:rPr>
          <w:rFonts w:hint="eastAsia" w:ascii="Times New Roman" w:hAnsi="Times New Roman" w:eastAsia="宋体" w:cs="Times New Roman"/>
          <w:color w:val="000000"/>
          <w:kern w:val="0"/>
          <w:sz w:val="24"/>
          <w:szCs w:val="24"/>
          <w:lang w:val="en-US" w:eastAsia="zh-CN" w:bidi="ar"/>
        </w:rPr>
        <w:t>处）的平均辐射噪声级按下式计算：</w:t>
      </w:r>
    </w:p>
    <w:p>
      <w:pPr>
        <w:keepNext w:val="0"/>
        <w:keepLines w:val="0"/>
        <w:widowControl/>
        <w:suppressLineNumbers w:val="0"/>
        <w:spacing w:before="0" w:beforeAutospacing="0" w:after="0" w:afterAutospacing="0" w:line="500" w:lineRule="exact"/>
        <w:ind w:left="0" w:right="0" w:firstLine="480" w:firstLineChars="200"/>
        <w:jc w:val="center"/>
        <w:rPr>
          <w:rFonts w:hint="default" w:ascii="Times New Roman" w:hAnsi="Times New Roman" w:cs="Times New Roman"/>
          <w:color w:val="000000"/>
          <w:lang w:val="en-US"/>
        </w:rPr>
      </w:pPr>
      <w:r>
        <w:rPr>
          <w:rFonts w:hint="default" w:ascii="Times New Roman" w:hAnsi="Times New Roman" w:eastAsia="宋体" w:cs="Times New Roman"/>
          <w:i/>
          <w:color w:val="000000"/>
          <w:kern w:val="0"/>
          <w:sz w:val="24"/>
          <w:szCs w:val="24"/>
          <w:lang w:val="en-US" w:eastAsia="zh-CN" w:bidi="ar"/>
        </w:rPr>
        <w:t>L</w:t>
      </w:r>
      <w:r>
        <w:rPr>
          <w:rFonts w:hint="default" w:ascii="Times New Roman" w:hAnsi="Times New Roman" w:eastAsia="宋体" w:cs="Times New Roman"/>
          <w:i/>
          <w:color w:val="000000"/>
          <w:kern w:val="0"/>
          <w:sz w:val="24"/>
          <w:szCs w:val="24"/>
          <w:vertAlign w:val="subscript"/>
          <w:lang w:val="en-US" w:eastAsia="zh-CN" w:bidi="ar"/>
        </w:rPr>
        <w:t>w</w:t>
      </w:r>
      <w:r>
        <w:rPr>
          <w:rFonts w:hint="default" w:ascii="Times New Roman" w:hAnsi="Times New Roman" w:eastAsia="宋体" w:cs="Times New Roman"/>
          <w:color w:val="000000"/>
          <w:kern w:val="0"/>
          <w:sz w:val="24"/>
          <w:szCs w:val="24"/>
          <w:lang w:val="en-US" w:eastAsia="zh-CN" w:bidi="ar"/>
        </w:rPr>
        <w:t>=22.0+36.32 lg S</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式中：</w:t>
      </w:r>
      <w:r>
        <w:rPr>
          <w:rFonts w:hint="default" w:ascii="Times New Roman" w:hAnsi="Times New Roman" w:eastAsia="宋体" w:cs="Times New Roman"/>
          <w:i/>
          <w:color w:val="000000"/>
          <w:kern w:val="0"/>
          <w:sz w:val="24"/>
          <w:szCs w:val="24"/>
          <w:lang w:val="en-US" w:eastAsia="zh-CN" w:bidi="ar"/>
        </w:rPr>
        <w:t>L</w:t>
      </w:r>
      <w:r>
        <w:rPr>
          <w:rFonts w:hint="default" w:ascii="Times New Roman" w:hAnsi="Times New Roman" w:eastAsia="宋体" w:cs="Times New Roman"/>
          <w:i/>
          <w:color w:val="000000"/>
          <w:kern w:val="0"/>
          <w:sz w:val="24"/>
          <w:szCs w:val="24"/>
          <w:vertAlign w:val="subscript"/>
          <w:lang w:val="en-US" w:eastAsia="zh-CN" w:bidi="ar"/>
        </w:rPr>
        <w:t>w</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平均辐射噪声级，</w:t>
      </w:r>
      <w:r>
        <w:rPr>
          <w:rFonts w:hint="default" w:ascii="Times New Roman" w:hAnsi="Times New Roman" w:eastAsia="宋体" w:cs="Times New Roman"/>
          <w:color w:val="000000"/>
          <w:kern w:val="0"/>
          <w:sz w:val="24"/>
          <w:szCs w:val="24"/>
          <w:lang w:val="en-US" w:eastAsia="zh-CN" w:bidi="ar"/>
        </w:rPr>
        <w:t>dB</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 xml:space="preserve">      S—</w:t>
      </w:r>
      <w:r>
        <w:rPr>
          <w:rFonts w:hint="eastAsia" w:ascii="Times New Roman" w:hAnsi="Times New Roman" w:eastAsia="宋体" w:cs="Times New Roman"/>
          <w:color w:val="000000"/>
          <w:kern w:val="0"/>
          <w:sz w:val="24"/>
          <w:szCs w:val="24"/>
          <w:lang w:val="en-US" w:eastAsia="zh-CN" w:bidi="ar"/>
        </w:rPr>
        <w:t>平均车速，</w:t>
      </w:r>
      <w:r>
        <w:rPr>
          <w:rFonts w:hint="default" w:ascii="Times New Roman" w:hAnsi="Times New Roman" w:eastAsia="宋体" w:cs="Times New Roman"/>
          <w:color w:val="000000"/>
          <w:kern w:val="0"/>
          <w:sz w:val="24"/>
          <w:szCs w:val="24"/>
          <w:lang w:val="en-US" w:eastAsia="zh-CN" w:bidi="ar"/>
        </w:rPr>
        <w:t>km/h</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60t</w:t>
      </w:r>
      <w:r>
        <w:rPr>
          <w:rFonts w:hint="eastAsia" w:ascii="Times New Roman" w:hAnsi="Times New Roman" w:eastAsia="宋体" w:cs="Times New Roman"/>
          <w:color w:val="000000"/>
          <w:kern w:val="0"/>
          <w:sz w:val="24"/>
          <w:szCs w:val="24"/>
          <w:lang w:val="en-US" w:eastAsia="zh-CN" w:bidi="ar"/>
        </w:rPr>
        <w:t>重型车（大型车）不同车速在参照点（</w:t>
      </w:r>
      <w:r>
        <w:rPr>
          <w:rFonts w:hint="default" w:ascii="Times New Roman" w:hAnsi="Times New Roman" w:eastAsia="宋体" w:cs="Times New Roman"/>
          <w:color w:val="000000"/>
          <w:kern w:val="0"/>
          <w:sz w:val="24"/>
          <w:szCs w:val="24"/>
          <w:lang w:val="en-US" w:eastAsia="zh-CN" w:bidi="ar"/>
        </w:rPr>
        <w:t>7.5m</w:t>
      </w:r>
      <w:r>
        <w:rPr>
          <w:rFonts w:hint="eastAsia" w:ascii="Times New Roman" w:hAnsi="Times New Roman" w:eastAsia="宋体" w:cs="Times New Roman"/>
          <w:color w:val="000000"/>
          <w:kern w:val="0"/>
          <w:sz w:val="24"/>
          <w:szCs w:val="24"/>
          <w:lang w:val="en-US" w:eastAsia="zh-CN" w:bidi="ar"/>
        </w:rPr>
        <w:t>）处的平均辐射噪声级计算结果见下表。</w:t>
      </w:r>
    </w:p>
    <w:p>
      <w:pPr>
        <w:keepNext w:val="0"/>
        <w:keepLines w:val="0"/>
        <w:widowControl/>
        <w:suppressLineNumbers w:val="0"/>
        <w:spacing w:before="0" w:beforeAutospacing="0" w:after="0" w:afterAutospacing="0" w:line="400" w:lineRule="exact"/>
        <w:ind w:left="0" w:right="0"/>
        <w:jc w:val="center"/>
        <w:rPr>
          <w:rFonts w:hint="default" w:ascii="Times New Roman" w:hAnsi="Times New Roman" w:eastAsia="黑体" w:cs="Times New Roman"/>
          <w:color w:val="000000"/>
          <w:kern w:val="2"/>
          <w:lang w:val="en-US"/>
        </w:rPr>
      </w:pPr>
      <w:r>
        <w:rPr>
          <w:rFonts w:hint="eastAsia" w:ascii="Times New Roman" w:hAnsi="Times New Roman" w:eastAsia="黑体" w:cs="Times New Roman"/>
          <w:color w:val="000000"/>
          <w:kern w:val="2"/>
          <w:sz w:val="24"/>
          <w:szCs w:val="24"/>
          <w:lang w:val="en-US" w:eastAsia="zh-CN" w:bidi="ar"/>
        </w:rPr>
        <w:t>表</w:t>
      </w:r>
      <w:r>
        <w:rPr>
          <w:rFonts w:hint="default" w:ascii="Times New Roman" w:hAnsi="Times New Roman" w:eastAsia="黑体" w:cs="Times New Roman"/>
          <w:color w:val="000000"/>
          <w:kern w:val="2"/>
          <w:sz w:val="24"/>
          <w:szCs w:val="24"/>
          <w:lang w:val="en-US" w:eastAsia="zh-CN" w:bidi="ar"/>
        </w:rPr>
        <w:t xml:space="preserve">5.3-5  </w:t>
      </w:r>
      <w:r>
        <w:rPr>
          <w:rFonts w:hint="eastAsia" w:ascii="Times New Roman" w:hAnsi="Times New Roman" w:eastAsia="黑体" w:cs="Times New Roman"/>
          <w:color w:val="000000"/>
          <w:kern w:val="2"/>
          <w:sz w:val="24"/>
          <w:szCs w:val="24"/>
          <w:lang w:val="en-US" w:eastAsia="zh-CN" w:bidi="ar"/>
        </w:rPr>
        <w:t>不同车速在参照点处的平均辐射噪声级计算结果</w:t>
      </w:r>
    </w:p>
    <w:tbl>
      <w:tblPr>
        <w:tblStyle w:val="32"/>
        <w:tblW w:w="5000" w:type="pct"/>
        <w:tblInd w:w="0" w:type="dxa"/>
        <w:tblBorders>
          <w:top w:val="thinThickMediumGap" w:color="auto" w:sz="12" w:space="0"/>
          <w:left w:val="none" w:color="auto" w:sz="6" w:space="0"/>
          <w:bottom w:val="thickThinMedium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2142"/>
        <w:gridCol w:w="1740"/>
        <w:gridCol w:w="1595"/>
        <w:gridCol w:w="1595"/>
        <w:gridCol w:w="1655"/>
      </w:tblGrid>
      <w:tr>
        <w:tblPrEx>
          <w:tblBorders>
            <w:top w:val="thinThickMediumGap" w:color="auto" w:sz="12" w:space="0"/>
            <w:left w:val="none" w:color="auto" w:sz="6" w:space="0"/>
            <w:bottom w:val="thickThinMedium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rPr>
        <w:tc>
          <w:tcPr>
            <w:tcW w:w="1227" w:type="pct"/>
            <w:tcBorders>
              <w:top w:val="thinThickMedium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车速（</w:t>
            </w:r>
            <w:r>
              <w:rPr>
                <w:rFonts w:hint="default" w:ascii="Times New Roman" w:hAnsi="Times New Roman" w:cs="Times New Roman"/>
                <w:color w:val="000000"/>
                <w:sz w:val="21"/>
                <w:szCs w:val="21"/>
                <w:bdr w:val="none" w:color="auto" w:sz="0" w:space="0"/>
                <w:lang w:val="en-US"/>
              </w:rPr>
              <w:t>km/h</w:t>
            </w:r>
            <w:r>
              <w:rPr>
                <w:rFonts w:ascii="Times New Roman" w:hAnsi="Times New Roman" w:cs="Times New Roman"/>
                <w:color w:val="000000"/>
                <w:sz w:val="21"/>
                <w:szCs w:val="21"/>
                <w:bdr w:val="none" w:color="auto" w:sz="0" w:space="0"/>
              </w:rPr>
              <w:t>）</w:t>
            </w:r>
          </w:p>
        </w:tc>
        <w:tc>
          <w:tcPr>
            <w:tcW w:w="997" w:type="pct"/>
            <w:tcBorders>
              <w:top w:val="thinThickMedium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w:t>
            </w:r>
          </w:p>
        </w:tc>
        <w:tc>
          <w:tcPr>
            <w:tcW w:w="914" w:type="pct"/>
            <w:tcBorders>
              <w:top w:val="thinThickMedium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w:t>
            </w:r>
          </w:p>
        </w:tc>
        <w:tc>
          <w:tcPr>
            <w:tcW w:w="914" w:type="pct"/>
            <w:tcBorders>
              <w:top w:val="thinThickMedium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40</w:t>
            </w:r>
          </w:p>
        </w:tc>
        <w:tc>
          <w:tcPr>
            <w:tcW w:w="948" w:type="pct"/>
            <w:tcBorders>
              <w:top w:val="thinThickMedium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50</w:t>
            </w:r>
          </w:p>
        </w:tc>
      </w:tr>
      <w:tr>
        <w:tblPrEx>
          <w:tblBorders>
            <w:top w:val="thinThickMediumGap" w:color="auto" w:sz="12" w:space="0"/>
            <w:left w:val="none" w:color="auto" w:sz="6" w:space="0"/>
            <w:bottom w:val="thickThinMedium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27" w:type="pct"/>
            <w:tcBorders>
              <w:top w:val="single" w:color="auto" w:sz="6" w:space="0"/>
              <w:left w:val="nil"/>
              <w:bottom w:val="thickThinMedium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汽车噪声值（</w:t>
            </w:r>
            <w:r>
              <w:rPr>
                <w:rFonts w:hint="default" w:ascii="Times New Roman" w:hAnsi="Times New Roman" w:cs="Times New Roman"/>
                <w:color w:val="000000"/>
                <w:sz w:val="21"/>
                <w:szCs w:val="21"/>
                <w:bdr w:val="none" w:color="auto" w:sz="0" w:space="0"/>
                <w:lang w:val="en-US"/>
              </w:rPr>
              <w:t>dB</w:t>
            </w:r>
            <w:r>
              <w:rPr>
                <w:rFonts w:ascii="Times New Roman" w:hAnsi="Times New Roman" w:cs="Times New Roman"/>
                <w:color w:val="000000"/>
                <w:sz w:val="21"/>
                <w:szCs w:val="21"/>
                <w:bdr w:val="none" w:color="auto" w:sz="0" w:space="0"/>
              </w:rPr>
              <w:t>）</w:t>
            </w:r>
          </w:p>
        </w:tc>
        <w:tc>
          <w:tcPr>
            <w:tcW w:w="997" w:type="pct"/>
            <w:tcBorders>
              <w:top w:val="single" w:color="auto" w:sz="6" w:space="0"/>
              <w:left w:val="single" w:color="auto" w:sz="6" w:space="0"/>
              <w:bottom w:val="thickThinMedium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69.5</w:t>
            </w:r>
          </w:p>
        </w:tc>
        <w:tc>
          <w:tcPr>
            <w:tcW w:w="914" w:type="pct"/>
            <w:tcBorders>
              <w:top w:val="single" w:color="auto" w:sz="6" w:space="0"/>
              <w:left w:val="single" w:color="auto" w:sz="6" w:space="0"/>
              <w:bottom w:val="thickThinMedium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75.8</w:t>
            </w:r>
          </w:p>
        </w:tc>
        <w:tc>
          <w:tcPr>
            <w:tcW w:w="914" w:type="pct"/>
            <w:tcBorders>
              <w:top w:val="single" w:color="auto" w:sz="6" w:space="0"/>
              <w:left w:val="single" w:color="auto" w:sz="6" w:space="0"/>
              <w:bottom w:val="thickThinMedium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80.4</w:t>
            </w:r>
          </w:p>
        </w:tc>
        <w:tc>
          <w:tcPr>
            <w:tcW w:w="948" w:type="pct"/>
            <w:tcBorders>
              <w:top w:val="single" w:color="auto" w:sz="6" w:space="0"/>
              <w:left w:val="single" w:color="auto" w:sz="6" w:space="0"/>
              <w:bottom w:val="thickThinMedium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83.9</w:t>
            </w:r>
          </w:p>
        </w:tc>
      </w:tr>
    </w:tbl>
    <w:p>
      <w:pPr>
        <w:keepNext w:val="0"/>
        <w:keepLines w:val="0"/>
        <w:widowControl/>
        <w:suppressLineNumbers w:val="0"/>
        <w:spacing w:before="0" w:beforeAutospacing="0" w:after="0" w:afterAutospacing="0"/>
        <w:ind w:left="0" w:right="0" w:firstLine="420" w:firstLineChars="200"/>
        <w:jc w:val="left"/>
        <w:rPr>
          <w:rFonts w:hint="default" w:ascii="Times New Roman" w:hAnsi="Times New Roman" w:cs="Times New Roman"/>
          <w:snapToGrid w:val="0"/>
          <w:color w:val="000000"/>
          <w:lang w:val="en-US"/>
        </w:rPr>
      </w:pP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生产设备产生的噪声为由于机械的撞击、磨擦、转动等运动而引起的机械噪声，主要噪声源有破碎机、筛分机、球磨机、搅拌槽、泵类、风机等。在采取噪声控制措施前，各主要噪声源在</w:t>
      </w:r>
      <w:r>
        <w:rPr>
          <w:rFonts w:hint="default" w:ascii="Times New Roman" w:hAnsi="Times New Roman" w:eastAsia="宋体" w:cs="Times New Roman"/>
          <w:snapToGrid w:val="0"/>
          <w:color w:val="000000"/>
          <w:kern w:val="0"/>
          <w:sz w:val="24"/>
          <w:szCs w:val="24"/>
          <w:lang w:val="en-US" w:eastAsia="zh-CN" w:bidi="ar"/>
        </w:rPr>
        <w:t>75~105dB</w:t>
      </w:r>
      <w:r>
        <w:rPr>
          <w:rFonts w:hint="eastAsia" w:ascii="Times New Roman" w:hAnsi="Times New Roman" w:eastAsia="宋体" w:cs="Times New Roman"/>
          <w:snapToGrid w:val="0"/>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各种噪声源强统计见下表。</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3.3-6    </w:t>
      </w:r>
      <w:r>
        <w:rPr>
          <w:rFonts w:hint="eastAsia" w:ascii="Times New Roman" w:hAnsi="Times New Roman" w:eastAsia="黑体" w:cs="Times New Roman"/>
          <w:color w:val="000000"/>
          <w:kern w:val="0"/>
          <w:sz w:val="24"/>
          <w:szCs w:val="24"/>
          <w:lang w:val="en-US" w:eastAsia="zh-CN" w:bidi="ar"/>
        </w:rPr>
        <w:t>本项目</w:t>
      </w:r>
      <w:r>
        <w:rPr>
          <w:rFonts w:hint="eastAsia" w:ascii="宋体" w:hAnsi="宋体" w:eastAsia="黑体" w:cs="黑体"/>
          <w:color w:val="000000"/>
          <w:kern w:val="0"/>
          <w:sz w:val="24"/>
          <w:szCs w:val="24"/>
          <w:lang w:val="en-US" w:eastAsia="zh-CN" w:bidi="ar"/>
        </w:rPr>
        <w:t>噪声源强统计表</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708"/>
        <w:gridCol w:w="1559"/>
        <w:gridCol w:w="945"/>
        <w:gridCol w:w="1607"/>
        <w:gridCol w:w="1559"/>
        <w:gridCol w:w="2124"/>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blHeader/>
          <w:jc w:val="center"/>
        </w:trPr>
        <w:tc>
          <w:tcPr>
            <w:tcW w:w="708" w:type="dxa"/>
            <w:tcBorders>
              <w:top w:val="thinThickSmallGap" w:color="auto" w:sz="12" w:space="0"/>
              <w:left w:val="nil"/>
              <w:bottom w:val="single" w:color="auto" w:sz="6" w:space="0"/>
              <w:right w:val="single" w:color="auto" w:sz="6" w:space="0"/>
            </w:tcBorders>
            <w:shd w:val="clear" w:color="auto" w:fill="D9D9D9"/>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序号</w:t>
            </w:r>
          </w:p>
        </w:tc>
        <w:tc>
          <w:tcPr>
            <w:tcW w:w="1559"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噪声源</w:t>
            </w:r>
          </w:p>
        </w:tc>
        <w:tc>
          <w:tcPr>
            <w:tcW w:w="945"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数量</w:t>
            </w:r>
          </w:p>
        </w:tc>
        <w:tc>
          <w:tcPr>
            <w:tcW w:w="1607"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噪声级</w:t>
            </w:r>
            <w:r>
              <w:rPr>
                <w:rFonts w:hint="default" w:ascii="Times New Roman" w:hAnsi="Times New Roman" w:cs="Times New Roman"/>
                <w:color w:val="000000"/>
                <w:szCs w:val="21"/>
                <w:bdr w:val="none" w:color="auto" w:sz="0" w:space="0"/>
                <w:lang w:val="en-US"/>
              </w:rPr>
              <w:t>/dB(A)</w:t>
            </w:r>
          </w:p>
        </w:tc>
        <w:tc>
          <w:tcPr>
            <w:tcW w:w="1559"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位置</w:t>
            </w:r>
          </w:p>
        </w:tc>
        <w:tc>
          <w:tcPr>
            <w:tcW w:w="2124" w:type="dxa"/>
            <w:tcBorders>
              <w:top w:val="thinThickSmallGap" w:color="auto" w:sz="12" w:space="0"/>
              <w:left w:val="single" w:color="auto" w:sz="6" w:space="0"/>
              <w:bottom w:val="single" w:color="auto" w:sz="6" w:space="0"/>
              <w:right w:val="nil"/>
            </w:tcBorders>
            <w:shd w:val="clear" w:color="auto" w:fill="D9D9D9"/>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治理措施</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bCs/>
                <w:color w:val="000000"/>
                <w:szCs w:val="21"/>
                <w:bdr w:val="none" w:color="auto" w:sz="0" w:space="0"/>
                <w:lang w:val="en-US"/>
              </w:rPr>
              <w:t>N</w:t>
            </w:r>
            <w:r>
              <w:rPr>
                <w:rFonts w:hint="default" w:ascii="Times New Roman" w:hAnsi="Times New Roman" w:cs="Times New Roman"/>
                <w:bCs/>
                <w:color w:val="000000"/>
                <w:szCs w:val="21"/>
                <w:bdr w:val="none" w:color="auto" w:sz="0" w:space="0"/>
                <w:vertAlign w:val="subscript"/>
                <w:lang w:val="en-US"/>
              </w:rPr>
              <w:t>1</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颚式破碎机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1</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95~105</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破碎车间内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bCs/>
                <w:color w:val="000000"/>
                <w:szCs w:val="21"/>
                <w:bdr w:val="none" w:color="auto" w:sz="0" w:space="0"/>
                <w:lang w:val="en-US"/>
              </w:rPr>
            </w:pPr>
            <w:r>
              <w:rPr>
                <w:rFonts w:hint="default" w:ascii="Times New Roman" w:hAnsi="Times New Roman" w:cs="Times New Roman"/>
                <w:bCs/>
                <w:color w:val="000000"/>
                <w:szCs w:val="21"/>
                <w:bdr w:val="none" w:color="auto" w:sz="0" w:space="0"/>
                <w:lang w:val="en-US"/>
              </w:rPr>
              <w:t>N</w:t>
            </w:r>
            <w:r>
              <w:rPr>
                <w:rFonts w:hint="default" w:ascii="Times New Roman" w:hAnsi="Times New Roman" w:cs="Times New Roman"/>
                <w:bCs/>
                <w:color w:val="000000"/>
                <w:szCs w:val="21"/>
                <w:bdr w:val="none" w:color="auto" w:sz="0" w:space="0"/>
                <w:vertAlign w:val="subscript"/>
                <w:lang w:val="en-US"/>
              </w:rPr>
              <w:t>2</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颚式破碎机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2</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95~105</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破碎车间内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bCs/>
                <w:color w:val="000000"/>
                <w:szCs w:val="21"/>
                <w:bdr w:val="none" w:color="auto" w:sz="0" w:space="0"/>
                <w:lang w:val="en-US"/>
              </w:rPr>
            </w:pPr>
            <w:r>
              <w:rPr>
                <w:rFonts w:hint="default" w:ascii="Times New Roman" w:hAnsi="Times New Roman" w:cs="Times New Roman"/>
                <w:bCs/>
                <w:color w:val="000000"/>
                <w:szCs w:val="21"/>
                <w:bdr w:val="none" w:color="auto" w:sz="0" w:space="0"/>
                <w:lang w:val="en-US"/>
              </w:rPr>
              <w:t>N</w:t>
            </w:r>
            <w:r>
              <w:rPr>
                <w:rFonts w:hint="default" w:ascii="Times New Roman" w:hAnsi="Times New Roman" w:cs="Times New Roman"/>
                <w:bCs/>
                <w:color w:val="000000"/>
                <w:szCs w:val="21"/>
                <w:bdr w:val="none" w:color="auto" w:sz="0" w:space="0"/>
                <w:vertAlign w:val="subscript"/>
                <w:lang w:val="en-US"/>
              </w:rPr>
              <w:t>3</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振动筛分机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1</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90~100</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破碎车间内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bCs/>
                <w:color w:val="000000"/>
                <w:szCs w:val="21"/>
                <w:bdr w:val="none" w:color="auto" w:sz="0" w:space="0"/>
                <w:lang w:val="en-US"/>
              </w:rPr>
            </w:pPr>
            <w:r>
              <w:rPr>
                <w:rFonts w:hint="default" w:ascii="Times New Roman" w:hAnsi="Times New Roman" w:cs="Times New Roman"/>
                <w:color w:val="000000"/>
                <w:szCs w:val="21"/>
                <w:bdr w:val="none" w:color="auto" w:sz="0" w:space="0"/>
                <w:lang w:val="en-US"/>
              </w:rPr>
              <w:t>N</w:t>
            </w:r>
            <w:r>
              <w:rPr>
                <w:rFonts w:hint="default" w:ascii="Times New Roman" w:hAnsi="Times New Roman" w:cs="Times New Roman"/>
                <w:color w:val="000000"/>
                <w:szCs w:val="21"/>
                <w:bdr w:val="none" w:color="auto" w:sz="0" w:space="0"/>
                <w:vertAlign w:val="subscript"/>
                <w:lang w:val="en-US"/>
              </w:rPr>
              <w:t>4</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圆锥破碎机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1</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95~105</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破碎车间内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bCs/>
                <w:color w:val="000000"/>
                <w:szCs w:val="21"/>
                <w:bdr w:val="none" w:color="auto" w:sz="0" w:space="0"/>
                <w:lang w:val="en-US"/>
              </w:rPr>
            </w:pPr>
            <w:r>
              <w:rPr>
                <w:rFonts w:hint="default" w:ascii="Times New Roman" w:hAnsi="Times New Roman" w:cs="Times New Roman"/>
                <w:bCs/>
                <w:color w:val="000000"/>
                <w:szCs w:val="21"/>
                <w:bdr w:val="none" w:color="auto" w:sz="0" w:space="0"/>
                <w:lang w:val="en-US"/>
              </w:rPr>
              <w:t>N</w:t>
            </w:r>
            <w:r>
              <w:rPr>
                <w:rFonts w:hint="default" w:ascii="Times New Roman" w:hAnsi="Times New Roman" w:cs="Times New Roman"/>
                <w:bCs/>
                <w:color w:val="000000"/>
                <w:szCs w:val="21"/>
                <w:bdr w:val="none" w:color="auto" w:sz="0" w:space="0"/>
                <w:vertAlign w:val="subscript"/>
                <w:lang w:val="en-US"/>
              </w:rPr>
              <w:t>5</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风机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1</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85~95</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破碎车间内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弹性接头和消声器</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r>
              <w:rPr>
                <w:rFonts w:hint="default" w:ascii="Times New Roman" w:hAnsi="Times New Roman" w:cs="Times New Roman"/>
                <w:color w:val="000000"/>
                <w:sz w:val="21"/>
                <w:szCs w:val="21"/>
                <w:bdr w:val="none" w:color="auto" w:sz="0" w:space="0"/>
                <w:vertAlign w:val="subscript"/>
                <w:lang w:val="en-US"/>
              </w:rPr>
              <w:t>6</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球磨机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1</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90~100</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磨矿车间内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bCs/>
                <w:color w:val="000000"/>
                <w:szCs w:val="21"/>
                <w:bdr w:val="none" w:color="auto" w:sz="0" w:space="0"/>
                <w:lang w:val="en-US"/>
              </w:rPr>
            </w:pPr>
            <w:r>
              <w:rPr>
                <w:rFonts w:hint="default" w:ascii="Times New Roman" w:hAnsi="Times New Roman" w:cs="Times New Roman"/>
                <w:bCs/>
                <w:color w:val="000000"/>
                <w:szCs w:val="21"/>
                <w:bdr w:val="none" w:color="auto" w:sz="0" w:space="0"/>
                <w:lang w:val="en-US"/>
              </w:rPr>
              <w:t>N</w:t>
            </w:r>
            <w:r>
              <w:rPr>
                <w:rFonts w:hint="default" w:ascii="Times New Roman" w:hAnsi="Times New Roman" w:cs="Times New Roman"/>
                <w:bCs/>
                <w:color w:val="000000"/>
                <w:szCs w:val="21"/>
                <w:bdr w:val="none" w:color="auto" w:sz="0" w:space="0"/>
                <w:vertAlign w:val="subscript"/>
                <w:lang w:val="en-US"/>
              </w:rPr>
              <w:t>7</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搅拌槽</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2</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85</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浮选车间内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r>
              <w:rPr>
                <w:rFonts w:hint="default" w:ascii="Times New Roman" w:hAnsi="Times New Roman" w:cs="Times New Roman"/>
                <w:color w:val="000000"/>
                <w:sz w:val="21"/>
                <w:szCs w:val="21"/>
                <w:bdr w:val="none" w:color="auto" w:sz="0" w:space="0"/>
                <w:vertAlign w:val="subscript"/>
                <w:lang w:val="en-US"/>
              </w:rPr>
              <w:t>8</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反浮选机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16</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75</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浮选车间内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r>
              <w:rPr>
                <w:rFonts w:hint="default" w:ascii="Times New Roman" w:hAnsi="Times New Roman" w:cs="Times New Roman"/>
                <w:color w:val="000000"/>
                <w:sz w:val="21"/>
                <w:szCs w:val="21"/>
                <w:bdr w:val="none" w:color="auto" w:sz="0" w:space="0"/>
                <w:vertAlign w:val="subscript"/>
                <w:lang w:val="en-US"/>
              </w:rPr>
              <w:t>9</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带式过滤机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2</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80</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过滤车间内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r>
              <w:rPr>
                <w:rFonts w:hint="default" w:ascii="Times New Roman" w:hAnsi="Times New Roman" w:cs="Times New Roman"/>
                <w:color w:val="000000"/>
                <w:sz w:val="21"/>
                <w:szCs w:val="21"/>
                <w:bdr w:val="none" w:color="auto" w:sz="0" w:space="0"/>
                <w:vertAlign w:val="subscript"/>
                <w:lang w:val="en-US"/>
              </w:rPr>
              <w:t>10</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板框压滤机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2</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80</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过滤车间内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r>
              <w:rPr>
                <w:rFonts w:hint="default" w:ascii="Times New Roman" w:hAnsi="Times New Roman" w:cs="Times New Roman"/>
                <w:color w:val="000000"/>
                <w:sz w:val="21"/>
                <w:szCs w:val="21"/>
                <w:bdr w:val="none" w:color="auto" w:sz="0" w:space="0"/>
                <w:vertAlign w:val="subscript"/>
                <w:lang w:val="en-US"/>
              </w:rPr>
              <w:t>11</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泵类</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1</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75~85</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泵房</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室内布置，房屋隔声</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559"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铲车</w:t>
            </w:r>
          </w:p>
        </w:tc>
        <w:tc>
          <w:tcPr>
            <w:tcW w:w="945" w:type="dxa"/>
            <w:tcBorders>
              <w:top w:val="single" w:color="auto" w:sz="6" w:space="0"/>
              <w:left w:val="single" w:color="auto" w:sz="6" w:space="0"/>
              <w:bottom w:val="thickThinSmallGap" w:color="auto" w:sz="12"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1</w:t>
            </w:r>
          </w:p>
        </w:tc>
        <w:tc>
          <w:tcPr>
            <w:tcW w:w="1607" w:type="dxa"/>
            <w:tcBorders>
              <w:top w:val="single" w:color="auto" w:sz="6" w:space="0"/>
              <w:left w:val="single" w:color="auto" w:sz="6" w:space="0"/>
              <w:bottom w:val="thickThinSmallGap" w:color="auto" w:sz="12"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75~85</w:t>
            </w:r>
          </w:p>
        </w:tc>
        <w:tc>
          <w:tcPr>
            <w:tcW w:w="1559" w:type="dxa"/>
            <w:tcBorders>
              <w:top w:val="single" w:color="auto" w:sz="6" w:space="0"/>
              <w:left w:val="single" w:color="auto" w:sz="6" w:space="0"/>
              <w:bottom w:val="thickThinSmallGap" w:color="auto" w:sz="12"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原料库</w:t>
            </w:r>
          </w:p>
        </w:tc>
        <w:tc>
          <w:tcPr>
            <w:tcW w:w="2124" w:type="dxa"/>
            <w:tcBorders>
              <w:top w:val="single" w:color="auto" w:sz="6" w:space="0"/>
              <w:left w:val="single" w:color="auto" w:sz="6" w:space="0"/>
              <w:bottom w:val="thickThinSmallGap" w:color="auto" w:sz="12"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w:t>
            </w:r>
          </w:p>
        </w:tc>
      </w:tr>
    </w:tbl>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对噪声主要采取控制噪声源与隔断噪声传播途径相结合的办法，以控制噪声对厂界四邻的影响。采取的噪声控制措施如下：</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1</w:t>
      </w:r>
      <w:r>
        <w:rPr>
          <w:rFonts w:hint="eastAsia" w:ascii="Times New Roman" w:hAnsi="Times New Roman" w:eastAsia="宋体" w:cs="Times New Roman"/>
          <w:snapToGrid w:val="0"/>
          <w:color w:val="000000"/>
          <w:kern w:val="0"/>
          <w:sz w:val="24"/>
          <w:szCs w:val="24"/>
          <w:lang w:val="en-US" w:eastAsia="zh-CN" w:bidi="ar"/>
        </w:rPr>
        <w:t>）声源治理</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在满足工艺设计的前提下，选用低噪声的设备：风机采用低噪声型号，各种泵类采用低噪声产品。</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2</w:t>
      </w:r>
      <w:r>
        <w:rPr>
          <w:rFonts w:hint="eastAsia" w:ascii="Times New Roman" w:hAnsi="Times New Roman" w:eastAsia="宋体" w:cs="Times New Roman"/>
          <w:snapToGrid w:val="0"/>
          <w:color w:val="000000"/>
          <w:kern w:val="0"/>
          <w:sz w:val="24"/>
          <w:szCs w:val="24"/>
          <w:lang w:val="en-US" w:eastAsia="zh-CN" w:bidi="ar"/>
        </w:rPr>
        <w:t>）减振与隔振</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机械设备产生的噪声不仅能以空气为媒介向外传播，还能直接激发固体构件振动以弹性波的形式在基础、地板、墙壁、管道中传播，并在传播过程中内外辐射噪声。为了防止振动产生的噪声污染，颚式破碎机、圆锥破碎机、振动筛等振动较大的设备均采取相应的减振措施。振动较大的设备设置单独基础，并在强振设备与管道间采取柔性连接方式，以防止振动产生噪声。</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3</w:t>
      </w:r>
      <w:r>
        <w:rPr>
          <w:rFonts w:hint="eastAsia" w:ascii="Times New Roman" w:hAnsi="Times New Roman" w:eastAsia="宋体" w:cs="Times New Roman"/>
          <w:snapToGrid w:val="0"/>
          <w:color w:val="000000"/>
          <w:kern w:val="0"/>
          <w:sz w:val="24"/>
          <w:szCs w:val="24"/>
          <w:lang w:val="en-US" w:eastAsia="zh-CN" w:bidi="ar"/>
        </w:rPr>
        <w:t>）隔声</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球磨机、搅拌槽、浮选机等均设置于建筑厂房中，</w:t>
      </w:r>
      <w:r>
        <w:rPr>
          <w:rFonts w:hint="eastAsia" w:ascii="Times New Roman" w:hAnsi="Times New Roman" w:eastAsia="宋体" w:cs="Times New Roman"/>
          <w:color w:val="000000"/>
          <w:kern w:val="0"/>
          <w:sz w:val="24"/>
          <w:szCs w:val="24"/>
          <w:lang w:val="en-US" w:eastAsia="zh-CN" w:bidi="ar"/>
        </w:rPr>
        <w:t>厂房采用隔声、吸声材料制作门窗、砌体等。本项目生产主厂房为框架结构，内夹</w:t>
      </w:r>
      <w:r>
        <w:rPr>
          <w:rFonts w:hint="default" w:ascii="Times New Roman" w:hAnsi="Times New Roman" w:eastAsia="宋体" w:cs="Times New Roman"/>
          <w:color w:val="000000"/>
          <w:kern w:val="0"/>
          <w:sz w:val="24"/>
          <w:szCs w:val="24"/>
          <w:lang w:val="en-US" w:eastAsia="zh-CN" w:bidi="ar"/>
        </w:rPr>
        <w:t>100mm</w:t>
      </w:r>
      <w:r>
        <w:rPr>
          <w:rFonts w:hint="eastAsia" w:ascii="Times New Roman" w:hAnsi="Times New Roman" w:eastAsia="宋体" w:cs="Times New Roman"/>
          <w:color w:val="000000"/>
          <w:kern w:val="0"/>
          <w:sz w:val="24"/>
          <w:szCs w:val="24"/>
          <w:lang w:val="en-US" w:eastAsia="zh-CN" w:bidi="ar"/>
        </w:rPr>
        <w:t>厚</w:t>
      </w:r>
      <w:r>
        <w:rPr>
          <w:rFonts w:hint="eastAsia" w:ascii="宋体" w:hAnsi="宋体" w:eastAsia="宋体" w:cs="宋体"/>
          <w:color w:val="000000"/>
          <w:kern w:val="0"/>
          <w:sz w:val="24"/>
          <w:szCs w:val="24"/>
          <w:lang w:val="en-US" w:eastAsia="zh-CN" w:bidi="ar"/>
        </w:rPr>
        <w:t>岩棉层进行保温及隔音，厂房窗户为双层密闭隔声窗，</w:t>
      </w:r>
      <w:r>
        <w:rPr>
          <w:rFonts w:hint="eastAsia" w:ascii="Times New Roman" w:hAnsi="Times New Roman" w:eastAsia="宋体" w:cs="Times New Roman"/>
          <w:snapToGrid w:val="0"/>
          <w:color w:val="000000"/>
          <w:kern w:val="0"/>
          <w:sz w:val="24"/>
          <w:szCs w:val="24"/>
          <w:lang w:val="en-US" w:eastAsia="zh-CN" w:bidi="ar"/>
        </w:rPr>
        <w:t>可防止噪声的扩散与传播。</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4</w:t>
      </w:r>
      <w:r>
        <w:rPr>
          <w:rFonts w:hint="eastAsia" w:ascii="Times New Roman" w:hAnsi="Times New Roman" w:eastAsia="宋体" w:cs="Times New Roman"/>
          <w:snapToGrid w:val="0"/>
          <w:color w:val="000000"/>
          <w:kern w:val="0"/>
          <w:sz w:val="24"/>
          <w:szCs w:val="24"/>
          <w:lang w:val="en-US" w:eastAsia="zh-CN" w:bidi="ar"/>
        </w:rPr>
        <w:t>）其它</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总平面设计中，充分考虑地形、声源方向性及车间噪声强弱，利用建构筑物、绿化植物等对噪声的屏蔽、吸纳作用，进行合理布局，以起到降低噪声影响的作用。</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经采取上述措施后，本工程环境噪声强度将大为降低，各噪声设备产生的噪声得到控制，预计厂区厂界四周昼夜噪声可分别低于</w:t>
      </w:r>
      <w:r>
        <w:rPr>
          <w:rFonts w:hint="default" w:ascii="Times New Roman" w:hAnsi="Times New Roman" w:eastAsia="宋体" w:cs="Times New Roman"/>
          <w:snapToGrid w:val="0"/>
          <w:color w:val="000000"/>
          <w:kern w:val="0"/>
          <w:sz w:val="24"/>
          <w:szCs w:val="24"/>
          <w:lang w:val="en-US" w:eastAsia="zh-CN" w:bidi="ar"/>
        </w:rPr>
        <w:t>60dB(A)</w:t>
      </w:r>
      <w:r>
        <w:rPr>
          <w:rFonts w:hint="eastAsia" w:ascii="Times New Roman" w:hAnsi="Times New Roman" w:eastAsia="宋体" w:cs="Times New Roman"/>
          <w:snapToGrid w:val="0"/>
          <w:color w:val="000000"/>
          <w:kern w:val="0"/>
          <w:sz w:val="24"/>
          <w:szCs w:val="24"/>
          <w:lang w:val="en-US" w:eastAsia="zh-CN" w:bidi="ar"/>
        </w:rPr>
        <w:t>和</w:t>
      </w:r>
      <w:r>
        <w:rPr>
          <w:rFonts w:hint="default" w:ascii="Times New Roman" w:hAnsi="Times New Roman" w:eastAsia="宋体" w:cs="Times New Roman"/>
          <w:snapToGrid w:val="0"/>
          <w:color w:val="000000"/>
          <w:kern w:val="0"/>
          <w:sz w:val="24"/>
          <w:szCs w:val="24"/>
          <w:lang w:val="en-US" w:eastAsia="zh-CN" w:bidi="ar"/>
        </w:rPr>
        <w:t>50dB(A)</w:t>
      </w:r>
      <w:r>
        <w:rPr>
          <w:rFonts w:hint="eastAsia" w:ascii="Times New Roman" w:hAnsi="Times New Roman" w:eastAsia="宋体" w:cs="Times New Roman"/>
          <w:snapToGrid w:val="0"/>
          <w:color w:val="000000"/>
          <w:kern w:val="0"/>
          <w:sz w:val="24"/>
          <w:szCs w:val="24"/>
          <w:lang w:val="en-US" w:eastAsia="zh-CN" w:bidi="ar"/>
        </w:rPr>
        <w:t>，符合《工业企业厂界环境噪声排放标准》（</w:t>
      </w:r>
      <w:r>
        <w:rPr>
          <w:rFonts w:hint="default" w:ascii="Times New Roman" w:hAnsi="Times New Roman" w:eastAsia="宋体" w:cs="Times New Roman"/>
          <w:snapToGrid w:val="0"/>
          <w:color w:val="000000"/>
          <w:kern w:val="0"/>
          <w:sz w:val="24"/>
          <w:szCs w:val="24"/>
          <w:lang w:val="en-US" w:eastAsia="zh-CN" w:bidi="ar"/>
        </w:rPr>
        <w:t>GB12348-2008</w:t>
      </w:r>
      <w:r>
        <w:rPr>
          <w:rFonts w:hint="eastAsia" w:ascii="Times New Roman" w:hAnsi="Times New Roman" w:eastAsia="宋体" w:cs="Times New Roman"/>
          <w:snapToGrid w:val="0"/>
          <w:color w:val="000000"/>
          <w:kern w:val="0"/>
          <w:sz w:val="24"/>
          <w:szCs w:val="24"/>
          <w:lang w:val="en-US" w:eastAsia="zh-CN" w:bidi="ar"/>
        </w:rPr>
        <w:t>）中</w:t>
      </w:r>
      <w:r>
        <w:rPr>
          <w:rFonts w:hint="default" w:ascii="Times New Roman" w:hAnsi="Times New Roman" w:eastAsia="宋体" w:cs="Times New Roman"/>
          <w:snapToGrid w:val="0"/>
          <w:color w:val="000000"/>
          <w:kern w:val="0"/>
          <w:sz w:val="24"/>
          <w:szCs w:val="24"/>
          <w:lang w:val="en-US" w:eastAsia="zh-CN" w:bidi="ar"/>
        </w:rPr>
        <w:t>2</w:t>
      </w:r>
      <w:r>
        <w:rPr>
          <w:rFonts w:hint="eastAsia" w:ascii="Times New Roman" w:hAnsi="Times New Roman" w:eastAsia="宋体" w:cs="Times New Roman"/>
          <w:snapToGrid w:val="0"/>
          <w:color w:val="000000"/>
          <w:kern w:val="0"/>
          <w:sz w:val="24"/>
          <w:szCs w:val="24"/>
          <w:lang w:val="en-US" w:eastAsia="zh-CN" w:bidi="ar"/>
        </w:rPr>
        <w:t>类要求。</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w:t>
      </w: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 </w:t>
      </w:r>
      <w:r>
        <w:rPr>
          <w:rFonts w:ascii="Times New Roman" w:hAnsi="Times New Roman" w:cs="Times New Roman"/>
          <w:color w:val="000000"/>
          <w:lang w:eastAsia="zh-CN"/>
        </w:rPr>
        <w:t>固体废物</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1</w:t>
      </w:r>
      <w:r>
        <w:rPr>
          <w:rFonts w:hint="eastAsia" w:ascii="Times New Roman" w:hAnsi="Times New Roman" w:eastAsia="宋体" w:cs="Times New Roman"/>
          <w:snapToGrid w:val="0"/>
          <w:color w:val="000000"/>
          <w:kern w:val="0"/>
          <w:sz w:val="24"/>
          <w:szCs w:val="24"/>
          <w:lang w:val="en-US" w:eastAsia="zh-CN" w:bidi="ar"/>
        </w:rPr>
        <w:t>）一般固废</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①振动筛废筛网</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本项目振动筛筛网需定期更换，废筛网产生量为</w:t>
      </w:r>
      <w:r>
        <w:rPr>
          <w:rFonts w:hint="default" w:ascii="Times New Roman" w:hAnsi="Times New Roman" w:eastAsia="宋体" w:cs="Times New Roman"/>
          <w:snapToGrid w:val="0"/>
          <w:color w:val="000000"/>
          <w:kern w:val="0"/>
          <w:sz w:val="24"/>
          <w:szCs w:val="24"/>
          <w:lang w:val="en-US" w:eastAsia="zh-CN" w:bidi="ar"/>
        </w:rPr>
        <w:t>60t/a</w:t>
      </w:r>
      <w:r>
        <w:rPr>
          <w:rFonts w:hint="eastAsia" w:ascii="Times New Roman" w:hAnsi="Times New Roman" w:eastAsia="宋体" w:cs="Times New Roman"/>
          <w:snapToGrid w:val="0"/>
          <w:color w:val="000000"/>
          <w:kern w:val="0"/>
          <w:sz w:val="24"/>
          <w:szCs w:val="24"/>
          <w:lang w:val="en-US" w:eastAsia="zh-CN" w:bidi="ar"/>
        </w:rPr>
        <w:t>，定期由厂家回收，不外排。</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宋体" w:hAnsi="宋体" w:eastAsia="宋体" w:cs="Times New Roman"/>
          <w:snapToGrid w:val="0"/>
          <w:color w:val="000000"/>
          <w:kern w:val="0"/>
          <w:sz w:val="24"/>
          <w:szCs w:val="24"/>
          <w:lang w:val="en-US" w:eastAsia="zh-CN" w:bidi="ar"/>
        </w:rPr>
        <w:t>②</w:t>
      </w:r>
      <w:r>
        <w:rPr>
          <w:rFonts w:hint="eastAsia" w:ascii="Times New Roman" w:hAnsi="Times New Roman" w:eastAsia="宋体" w:cs="Times New Roman"/>
          <w:snapToGrid w:val="0"/>
          <w:color w:val="000000"/>
          <w:kern w:val="0"/>
          <w:sz w:val="24"/>
          <w:szCs w:val="24"/>
          <w:lang w:val="en-US" w:eastAsia="zh-CN" w:bidi="ar"/>
        </w:rPr>
        <w:t>布袋除尘器收尘灰</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本项目原矿破碎、筛分、转运过程除尘器收集的除尘灰合计约</w:t>
      </w:r>
      <w:r>
        <w:rPr>
          <w:rFonts w:hint="default" w:ascii="Times New Roman" w:hAnsi="Times New Roman" w:eastAsia="宋体" w:cs="Times New Roman"/>
          <w:snapToGrid w:val="0"/>
          <w:color w:val="000000"/>
          <w:kern w:val="0"/>
          <w:sz w:val="24"/>
          <w:szCs w:val="24"/>
          <w:lang w:val="en-US" w:eastAsia="zh-CN" w:bidi="ar"/>
        </w:rPr>
        <w:t>449.94t/a</w:t>
      </w:r>
      <w:r>
        <w:rPr>
          <w:rFonts w:hint="eastAsia" w:ascii="Times New Roman" w:hAnsi="Times New Roman" w:eastAsia="宋体" w:cs="Times New Roman"/>
          <w:snapToGrid w:val="0"/>
          <w:color w:val="000000"/>
          <w:kern w:val="0"/>
          <w:sz w:val="24"/>
          <w:szCs w:val="24"/>
          <w:lang w:val="en-US" w:eastAsia="zh-CN" w:bidi="ar"/>
        </w:rPr>
        <w:t>，定期收集后，可直接回用于生产。</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③球磨机废钢球</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本项目球磨机钢球需定期更换，废钢球产生量为</w:t>
      </w:r>
      <w:r>
        <w:rPr>
          <w:rFonts w:hint="default" w:ascii="Times New Roman" w:hAnsi="Times New Roman" w:eastAsia="宋体" w:cs="Times New Roman"/>
          <w:snapToGrid w:val="0"/>
          <w:color w:val="000000"/>
          <w:kern w:val="0"/>
          <w:sz w:val="24"/>
          <w:szCs w:val="24"/>
          <w:lang w:val="en-US" w:eastAsia="zh-CN" w:bidi="ar"/>
        </w:rPr>
        <w:t>600t/a</w:t>
      </w:r>
      <w:r>
        <w:rPr>
          <w:rFonts w:hint="eastAsia" w:ascii="Times New Roman" w:hAnsi="Times New Roman" w:eastAsia="宋体" w:cs="Times New Roman"/>
          <w:snapToGrid w:val="0"/>
          <w:color w:val="000000"/>
          <w:kern w:val="0"/>
          <w:sz w:val="24"/>
          <w:szCs w:val="24"/>
          <w:lang w:val="en-US" w:eastAsia="zh-CN" w:bidi="ar"/>
        </w:rPr>
        <w:t>，定期由厂家回收，不外排。</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④循环水池矿泥</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本项目循环水池的矿泥年产生量约</w:t>
      </w:r>
      <w:r>
        <w:rPr>
          <w:rFonts w:hint="default" w:ascii="Times New Roman" w:hAnsi="Times New Roman" w:eastAsia="宋体" w:cs="Times New Roman"/>
          <w:snapToGrid w:val="0"/>
          <w:color w:val="000000"/>
          <w:kern w:val="0"/>
          <w:sz w:val="24"/>
          <w:szCs w:val="24"/>
          <w:lang w:val="en-US" w:eastAsia="zh-CN" w:bidi="ar"/>
        </w:rPr>
        <w:t>24000t/a</w:t>
      </w:r>
      <w:r>
        <w:rPr>
          <w:rFonts w:hint="eastAsia" w:ascii="Times New Roman" w:hAnsi="Times New Roman" w:eastAsia="宋体" w:cs="Times New Roman"/>
          <w:snapToGrid w:val="0"/>
          <w:color w:val="000000"/>
          <w:kern w:val="0"/>
          <w:sz w:val="24"/>
          <w:szCs w:val="24"/>
          <w:lang w:val="en-US" w:eastAsia="zh-CN" w:bidi="ar"/>
        </w:rPr>
        <w:t>，主要成分为</w:t>
      </w:r>
      <w:r>
        <w:rPr>
          <w:rFonts w:hint="default" w:ascii="Times New Roman" w:hAnsi="Times New Roman" w:eastAsia="宋体" w:cs="Times New Roman"/>
          <w:snapToGrid w:val="0"/>
          <w:color w:val="000000"/>
          <w:kern w:val="0"/>
          <w:sz w:val="24"/>
          <w:szCs w:val="24"/>
          <w:lang w:val="en-US" w:eastAsia="zh-CN" w:bidi="ar"/>
        </w:rPr>
        <w:t>MgO</w:t>
      </w:r>
      <w:r>
        <w:rPr>
          <w:rFonts w:hint="eastAsia" w:ascii="Times New Roman" w:hAnsi="Times New Roman" w:eastAsia="宋体" w:cs="Times New Roman"/>
          <w:snapToGrid w:val="0"/>
          <w:color w:val="000000"/>
          <w:kern w:val="0"/>
          <w:sz w:val="24"/>
          <w:szCs w:val="24"/>
          <w:lang w:val="en-US" w:eastAsia="zh-CN" w:bidi="ar"/>
        </w:rPr>
        <w:t>，定期清掏后送尾矿库。</w:t>
      </w:r>
    </w:p>
    <w:p>
      <w:pPr>
        <w:keepNext w:val="0"/>
        <w:keepLines w:val="0"/>
        <w:widowControl/>
        <w:suppressLineNumbers w:val="0"/>
        <w:spacing w:before="0" w:beforeAutospacing="0" w:after="0" w:afterAutospacing="0"/>
        <w:ind w:left="0" w:right="0" w:firstLine="480" w:firstLineChars="200"/>
        <w:jc w:val="left"/>
        <w:rPr>
          <w:rFonts w:cs="Times New Roman"/>
          <w:color w:val="000000"/>
          <w:lang w:val="en-US"/>
        </w:rPr>
      </w:pPr>
      <w:r>
        <w:rPr>
          <w:rFonts w:hint="eastAsia" w:ascii="Times New Roman" w:hAnsi="Times New Roman" w:eastAsia="宋体" w:cs="Times New Roman"/>
          <w:snapToGrid w:val="0"/>
          <w:color w:val="000000"/>
          <w:kern w:val="0"/>
          <w:sz w:val="24"/>
          <w:szCs w:val="24"/>
          <w:lang w:val="en-US" w:eastAsia="zh-CN" w:bidi="ar"/>
        </w:rPr>
        <w:t>⑤</w:t>
      </w:r>
      <w:r>
        <w:rPr>
          <w:rFonts w:hint="eastAsia" w:ascii="宋体" w:hAnsi="宋体" w:eastAsia="宋体" w:cs="Times New Roman"/>
          <w:snapToGrid w:val="0"/>
          <w:color w:val="000000"/>
          <w:kern w:val="0"/>
          <w:sz w:val="24"/>
          <w:szCs w:val="24"/>
          <w:lang w:val="en-US" w:eastAsia="zh-CN" w:bidi="ar"/>
        </w:rPr>
        <w:t>厂房遮挡粉尘</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本项目原料库、破碎车间、精矿库、尾矿库地面厂房遮挡沉降的粉尘约</w:t>
      </w:r>
      <w:r>
        <w:rPr>
          <w:rFonts w:hint="default" w:ascii="Times New Roman" w:hAnsi="Times New Roman" w:eastAsia="宋体" w:cs="Times New Roman"/>
          <w:snapToGrid w:val="0"/>
          <w:color w:val="000000"/>
          <w:kern w:val="0"/>
          <w:sz w:val="24"/>
          <w:szCs w:val="24"/>
          <w:lang w:val="en-US" w:eastAsia="zh-CN" w:bidi="ar"/>
        </w:rPr>
        <w:t>34.84t/a</w:t>
      </w:r>
      <w:r>
        <w:rPr>
          <w:rFonts w:hint="eastAsia" w:ascii="Times New Roman" w:hAnsi="Times New Roman" w:eastAsia="宋体" w:cs="Times New Roman"/>
          <w:snapToGrid w:val="0"/>
          <w:color w:val="000000"/>
          <w:kern w:val="0"/>
          <w:sz w:val="24"/>
          <w:szCs w:val="24"/>
          <w:lang w:val="en-US" w:eastAsia="zh-CN" w:bidi="ar"/>
        </w:rPr>
        <w:t>，定期清扫收集后，可直接回用于生产。</w:t>
      </w:r>
    </w:p>
    <w:p>
      <w:pPr>
        <w:keepNext w:val="0"/>
        <w:keepLines w:val="0"/>
        <w:widowControl/>
        <w:suppressLineNumbers w:val="0"/>
        <w:spacing w:before="0" w:beforeAutospacing="0" w:after="0" w:afterAutospacing="0"/>
        <w:ind w:left="0" w:right="0" w:firstLine="480" w:firstLineChars="200"/>
        <w:jc w:val="left"/>
        <w:rPr>
          <w:rFonts w:cs="Times New Roman"/>
          <w:color w:val="000000"/>
          <w:lang w:val="en-US"/>
        </w:rPr>
      </w:pPr>
      <w:r>
        <w:rPr>
          <w:rFonts w:hint="eastAsia" w:ascii="宋体" w:hAnsi="宋体" w:eastAsia="宋体" w:cs="Times New Roman"/>
          <w:snapToGrid w:val="0"/>
          <w:color w:val="000000"/>
          <w:kern w:val="0"/>
          <w:sz w:val="24"/>
          <w:szCs w:val="24"/>
          <w:lang w:val="en-US" w:eastAsia="zh-CN" w:bidi="ar"/>
        </w:rPr>
        <w:t>⑥废含油抹布</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本项目设备检修保养过程中</w:t>
      </w:r>
      <w:r>
        <w:rPr>
          <w:rFonts w:hint="eastAsia" w:ascii="宋体" w:hAnsi="宋体" w:eastAsia="宋体" w:cs="Times New Roman"/>
          <w:snapToGrid w:val="0"/>
          <w:color w:val="000000"/>
          <w:kern w:val="0"/>
          <w:sz w:val="24"/>
          <w:szCs w:val="24"/>
          <w:lang w:val="en-US" w:eastAsia="zh-CN" w:bidi="ar"/>
        </w:rPr>
        <w:t>废含油抹布</w:t>
      </w:r>
      <w:r>
        <w:rPr>
          <w:rFonts w:hint="eastAsia" w:ascii="Times New Roman" w:hAnsi="Times New Roman" w:eastAsia="宋体" w:cs="Times New Roman"/>
          <w:snapToGrid w:val="0"/>
          <w:color w:val="000000"/>
          <w:kern w:val="0"/>
          <w:sz w:val="24"/>
          <w:szCs w:val="24"/>
          <w:lang w:val="en-US" w:eastAsia="zh-CN" w:bidi="ar"/>
        </w:rPr>
        <w:t>产生量</w:t>
      </w:r>
      <w:r>
        <w:rPr>
          <w:rFonts w:hint="default" w:ascii="Times New Roman" w:hAnsi="Times New Roman" w:eastAsia="宋体" w:cs="Times New Roman"/>
          <w:snapToGrid w:val="0"/>
          <w:color w:val="000000"/>
          <w:kern w:val="0"/>
          <w:sz w:val="24"/>
          <w:szCs w:val="24"/>
          <w:lang w:val="en-US" w:eastAsia="zh-CN" w:bidi="ar"/>
        </w:rPr>
        <w:t>0.002 t/a</w:t>
      </w:r>
      <w:r>
        <w:rPr>
          <w:rFonts w:hint="eastAsia" w:ascii="Times New Roman" w:hAnsi="Times New Roman" w:eastAsia="宋体" w:cs="Times New Roman"/>
          <w:snapToGrid w:val="0"/>
          <w:color w:val="000000"/>
          <w:kern w:val="0"/>
          <w:sz w:val="24"/>
          <w:szCs w:val="24"/>
          <w:lang w:val="en-US" w:eastAsia="zh-CN" w:bidi="ar"/>
        </w:rPr>
        <w:t>，根据《危险废物豁免管理清单》</w:t>
      </w:r>
      <w:r>
        <w:rPr>
          <w:rFonts w:hint="eastAsia" w:ascii="宋体" w:hAnsi="宋体" w:eastAsia="宋体" w:cs="Times New Roman"/>
          <w:snapToGrid w:val="0"/>
          <w:color w:val="000000"/>
          <w:kern w:val="0"/>
          <w:sz w:val="24"/>
          <w:szCs w:val="24"/>
          <w:lang w:val="en-US" w:eastAsia="zh-CN" w:bidi="ar"/>
        </w:rPr>
        <w:t>废含油抹布可混入生活垃圾处理，全过程不按危险废物管理。</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宋体" w:hAnsi="宋体" w:eastAsia="宋体" w:cs="Times New Roman"/>
          <w:snapToGrid w:val="0"/>
          <w:color w:val="000000"/>
          <w:kern w:val="0"/>
          <w:sz w:val="24"/>
          <w:szCs w:val="24"/>
          <w:lang w:val="en-US" w:eastAsia="zh-CN" w:bidi="ar"/>
        </w:rPr>
        <w:t>⑦</w:t>
      </w:r>
      <w:r>
        <w:rPr>
          <w:rFonts w:hint="eastAsia" w:ascii="Times New Roman" w:hAnsi="Times New Roman" w:eastAsia="宋体" w:cs="Times New Roman"/>
          <w:snapToGrid w:val="0"/>
          <w:color w:val="000000"/>
          <w:kern w:val="0"/>
          <w:sz w:val="24"/>
          <w:szCs w:val="24"/>
          <w:lang w:val="en-US" w:eastAsia="zh-CN" w:bidi="ar"/>
        </w:rPr>
        <w:t>生活垃圾</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本项目生活垃圾产生量按照</w:t>
      </w:r>
      <w:r>
        <w:rPr>
          <w:rFonts w:hint="default" w:ascii="Times New Roman" w:hAnsi="Times New Roman" w:eastAsia="宋体" w:cs="Times New Roman"/>
          <w:snapToGrid w:val="0"/>
          <w:color w:val="000000"/>
          <w:kern w:val="0"/>
          <w:sz w:val="24"/>
          <w:szCs w:val="24"/>
          <w:lang w:val="en-US" w:eastAsia="zh-CN" w:bidi="ar"/>
        </w:rPr>
        <w:t>0.5kg/</w:t>
      </w:r>
      <w:r>
        <w:rPr>
          <w:rFonts w:hint="eastAsia" w:ascii="Times New Roman" w:hAnsi="Times New Roman" w:eastAsia="宋体" w:cs="Times New Roman"/>
          <w:snapToGrid w:val="0"/>
          <w:color w:val="000000"/>
          <w:kern w:val="0"/>
          <w:sz w:val="24"/>
          <w:szCs w:val="24"/>
          <w:lang w:val="en-US" w:eastAsia="zh-CN" w:bidi="ar"/>
        </w:rPr>
        <w:t>人·</w:t>
      </w:r>
      <w:r>
        <w:rPr>
          <w:rFonts w:hint="default" w:ascii="Times New Roman" w:hAnsi="Times New Roman" w:eastAsia="宋体" w:cs="Times New Roman"/>
          <w:snapToGrid w:val="0"/>
          <w:color w:val="000000"/>
          <w:kern w:val="0"/>
          <w:sz w:val="24"/>
          <w:szCs w:val="24"/>
          <w:lang w:val="en-US" w:eastAsia="zh-CN" w:bidi="ar"/>
        </w:rPr>
        <w:t>d</w:t>
      </w:r>
      <w:r>
        <w:rPr>
          <w:rFonts w:hint="eastAsia" w:ascii="Times New Roman" w:hAnsi="Times New Roman" w:eastAsia="宋体" w:cs="Times New Roman"/>
          <w:snapToGrid w:val="0"/>
          <w:color w:val="000000"/>
          <w:kern w:val="0"/>
          <w:sz w:val="24"/>
          <w:szCs w:val="24"/>
          <w:lang w:val="en-US" w:eastAsia="zh-CN" w:bidi="ar"/>
        </w:rPr>
        <w:t>计算。本项目共有员工</w:t>
      </w:r>
      <w:r>
        <w:rPr>
          <w:rFonts w:hint="default" w:ascii="Times New Roman" w:hAnsi="Times New Roman" w:eastAsia="宋体" w:cs="Times New Roman"/>
          <w:snapToGrid w:val="0"/>
          <w:color w:val="000000"/>
          <w:kern w:val="0"/>
          <w:sz w:val="24"/>
          <w:szCs w:val="24"/>
          <w:lang w:val="en-US" w:eastAsia="zh-CN" w:bidi="ar"/>
        </w:rPr>
        <w:t>80</w:t>
      </w:r>
      <w:r>
        <w:rPr>
          <w:rFonts w:hint="eastAsia" w:ascii="Times New Roman" w:hAnsi="Times New Roman" w:eastAsia="宋体" w:cs="Times New Roman"/>
          <w:snapToGrid w:val="0"/>
          <w:color w:val="000000"/>
          <w:kern w:val="0"/>
          <w:sz w:val="24"/>
          <w:szCs w:val="24"/>
          <w:lang w:val="en-US" w:eastAsia="zh-CN" w:bidi="ar"/>
        </w:rPr>
        <w:t>人，年生产天数为</w:t>
      </w:r>
      <w:r>
        <w:rPr>
          <w:rFonts w:hint="default" w:ascii="Times New Roman" w:hAnsi="Times New Roman" w:eastAsia="宋体" w:cs="Times New Roman"/>
          <w:snapToGrid w:val="0"/>
          <w:color w:val="000000"/>
          <w:kern w:val="0"/>
          <w:sz w:val="24"/>
          <w:szCs w:val="24"/>
          <w:lang w:val="en-US" w:eastAsia="zh-CN" w:bidi="ar"/>
        </w:rPr>
        <w:t>300</w:t>
      </w:r>
      <w:r>
        <w:rPr>
          <w:rFonts w:hint="eastAsia" w:ascii="Times New Roman" w:hAnsi="Times New Roman" w:eastAsia="宋体" w:cs="Times New Roman"/>
          <w:snapToGrid w:val="0"/>
          <w:color w:val="000000"/>
          <w:kern w:val="0"/>
          <w:sz w:val="24"/>
          <w:szCs w:val="24"/>
          <w:lang w:val="en-US" w:eastAsia="zh-CN" w:bidi="ar"/>
        </w:rPr>
        <w:t>天，则生活垃圾产生量约为</w:t>
      </w:r>
      <w:r>
        <w:rPr>
          <w:rFonts w:hint="default" w:ascii="Times New Roman" w:hAnsi="Times New Roman" w:eastAsia="宋体" w:cs="Times New Roman"/>
          <w:snapToGrid w:val="0"/>
          <w:color w:val="000000"/>
          <w:kern w:val="0"/>
          <w:sz w:val="24"/>
          <w:szCs w:val="24"/>
          <w:lang w:val="en-US" w:eastAsia="zh-CN" w:bidi="ar"/>
        </w:rPr>
        <w:t>12t/a</w:t>
      </w:r>
      <w:r>
        <w:rPr>
          <w:rFonts w:hint="eastAsia" w:ascii="Times New Roman" w:hAnsi="Times New Roman" w:eastAsia="宋体" w:cs="Times New Roman"/>
          <w:snapToGrid w:val="0"/>
          <w:color w:val="000000"/>
          <w:kern w:val="0"/>
          <w:sz w:val="24"/>
          <w:szCs w:val="24"/>
          <w:lang w:val="en-US" w:eastAsia="zh-CN" w:bidi="ar"/>
        </w:rPr>
        <w:t>。生活垃圾倒至指定的垃圾箱，并由环卫部门定期清运到指定地点统一处理。</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2</w:t>
      </w:r>
      <w:r>
        <w:rPr>
          <w:rFonts w:hint="eastAsia" w:ascii="Times New Roman" w:hAnsi="Times New Roman" w:eastAsia="宋体" w:cs="Times New Roman"/>
          <w:snapToGrid w:val="0"/>
          <w:color w:val="000000"/>
          <w:kern w:val="0"/>
          <w:sz w:val="24"/>
          <w:szCs w:val="24"/>
          <w:lang w:val="en-US" w:eastAsia="zh-CN" w:bidi="ar"/>
        </w:rPr>
        <w:t>）危险废物</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本项目危险废物的产生与处置措施见表</w:t>
      </w:r>
      <w:r>
        <w:rPr>
          <w:rFonts w:hint="default" w:ascii="Times New Roman" w:hAnsi="Times New Roman" w:eastAsia="宋体" w:cs="Times New Roman"/>
          <w:snapToGrid w:val="0"/>
          <w:color w:val="000000"/>
          <w:kern w:val="0"/>
          <w:sz w:val="24"/>
          <w:szCs w:val="24"/>
          <w:lang w:val="en-US" w:eastAsia="zh-CN" w:bidi="ar"/>
        </w:rPr>
        <w:t>3.3-7</w:t>
      </w:r>
      <w:r>
        <w:rPr>
          <w:rFonts w:hint="eastAsia" w:ascii="Times New Roman" w:hAnsi="Times New Roman" w:eastAsia="宋体" w:cs="Times New Roman"/>
          <w:snapToGrid w:val="0"/>
          <w:color w:val="000000"/>
          <w:kern w:val="0"/>
          <w:sz w:val="24"/>
          <w:szCs w:val="24"/>
          <w:lang w:val="en-US" w:eastAsia="zh-CN" w:bidi="ar"/>
        </w:rPr>
        <w:t>。</w:t>
      </w:r>
    </w:p>
    <w:p>
      <w:pPr>
        <w:keepNext w:val="0"/>
        <w:keepLines w:val="0"/>
        <w:widowControl/>
        <w:suppressLineNumbers w:val="0"/>
        <w:spacing w:before="0" w:beforeAutospacing="0" w:after="0" w:afterAutospacing="0"/>
        <w:ind w:left="0" w:right="0" w:firstLine="420" w:firstLineChars="200"/>
        <w:jc w:val="left"/>
        <w:rPr>
          <w:rFonts w:hint="default" w:ascii="Times New Roman" w:hAnsi="Times New Roman" w:cs="Times New Roman"/>
          <w:snapToGrid w:val="0"/>
          <w:color w:val="000000"/>
          <w:lang w:val="en-US"/>
        </w:rPr>
      </w:pPr>
    </w:p>
    <w:p>
      <w:pPr>
        <w:keepNext w:val="0"/>
        <w:keepLines w:val="0"/>
        <w:widowControl/>
        <w:suppressLineNumbers w:val="0"/>
        <w:spacing w:before="0" w:beforeAutospacing="0" w:after="0" w:afterAutospacing="0"/>
        <w:ind w:left="0" w:right="0" w:firstLine="420" w:firstLineChars="200"/>
        <w:jc w:val="left"/>
        <w:rPr>
          <w:rFonts w:hint="default" w:ascii="Times New Roman" w:hAnsi="Times New Roman" w:cs="Times New Roman"/>
          <w:snapToGrid w:val="0"/>
          <w:color w:val="000000"/>
          <w:lang w:val="en-US"/>
        </w:rPr>
      </w:pPr>
    </w:p>
    <w:p>
      <w:pPr>
        <w:keepNext w:val="0"/>
        <w:keepLines w:val="0"/>
        <w:widowControl/>
        <w:suppressLineNumbers w:val="0"/>
        <w:spacing w:before="0" w:beforeAutospacing="0" w:after="0" w:afterAutospacing="0"/>
        <w:ind w:left="0" w:right="0" w:firstLine="420" w:firstLineChars="200"/>
        <w:jc w:val="left"/>
        <w:rPr>
          <w:rFonts w:hint="default" w:ascii="Times New Roman" w:hAnsi="Times New Roman" w:cs="Times New Roman"/>
          <w:snapToGrid w:val="0"/>
          <w:color w:val="000000"/>
          <w:lang w:val="en-US"/>
        </w:rPr>
      </w:pPr>
    </w:p>
    <w:p>
      <w:pPr>
        <w:keepNext w:val="0"/>
        <w:keepLines w:val="0"/>
        <w:widowControl/>
        <w:suppressLineNumbers w:val="0"/>
        <w:spacing w:before="0" w:beforeAutospacing="0" w:after="0" w:afterAutospacing="0"/>
        <w:ind w:left="0" w:right="0" w:firstLine="420" w:firstLineChars="200"/>
        <w:jc w:val="left"/>
        <w:rPr>
          <w:rFonts w:hint="default" w:ascii="Times New Roman" w:hAnsi="Times New Roman" w:cs="Times New Roman"/>
          <w:snapToGrid w:val="0"/>
          <w:color w:val="000000"/>
          <w:lang w:val="en-US"/>
        </w:rPr>
      </w:pP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bCs/>
          <w:color w:val="000000"/>
          <w:spacing w:val="4"/>
          <w:lang w:val="en-US"/>
        </w:rPr>
      </w:pPr>
      <w:r>
        <w:rPr>
          <w:rFonts w:hint="eastAsia" w:ascii="Times New Roman" w:hAnsi="Times New Roman" w:eastAsia="黑体" w:cs="Times New Roman"/>
          <w:bCs/>
          <w:color w:val="000000"/>
          <w:spacing w:val="4"/>
          <w:kern w:val="0"/>
          <w:sz w:val="24"/>
          <w:szCs w:val="24"/>
          <w:lang w:val="en-US" w:eastAsia="zh-CN" w:bidi="ar"/>
        </w:rPr>
        <w:t>表</w:t>
      </w:r>
      <w:r>
        <w:rPr>
          <w:rFonts w:hint="default" w:ascii="Times New Roman" w:hAnsi="Times New Roman" w:eastAsia="黑体" w:cs="Times New Roman"/>
          <w:bCs/>
          <w:color w:val="000000"/>
          <w:spacing w:val="4"/>
          <w:kern w:val="0"/>
          <w:sz w:val="24"/>
          <w:szCs w:val="24"/>
          <w:lang w:val="en-US" w:eastAsia="zh-CN" w:bidi="ar"/>
        </w:rPr>
        <w:t xml:space="preserve">3.3-7    </w:t>
      </w:r>
      <w:r>
        <w:rPr>
          <w:rFonts w:hint="eastAsia" w:ascii="Times New Roman" w:hAnsi="Times New Roman" w:eastAsia="黑体" w:cs="Times New Roman"/>
          <w:bCs/>
          <w:color w:val="000000"/>
          <w:spacing w:val="4"/>
          <w:kern w:val="0"/>
          <w:sz w:val="24"/>
          <w:szCs w:val="24"/>
          <w:lang w:val="en-US" w:eastAsia="zh-CN" w:bidi="ar"/>
        </w:rPr>
        <w:t>危险废物的产生与处置措施一览表</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776"/>
        <w:gridCol w:w="815"/>
        <w:gridCol w:w="1006"/>
        <w:gridCol w:w="828"/>
        <w:gridCol w:w="694"/>
        <w:gridCol w:w="687"/>
        <w:gridCol w:w="694"/>
        <w:gridCol w:w="692"/>
        <w:gridCol w:w="692"/>
        <w:gridCol w:w="691"/>
        <w:gridCol w:w="931"/>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rPr>
        <w:tc>
          <w:tcPr>
            <w:tcW w:w="455" w:type="pc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危险废物名称</w:t>
            </w:r>
          </w:p>
        </w:tc>
        <w:tc>
          <w:tcPr>
            <w:tcW w:w="479"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危险废物类别</w:t>
            </w:r>
          </w:p>
        </w:tc>
        <w:tc>
          <w:tcPr>
            <w:tcW w:w="591"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危险废物代码</w:t>
            </w:r>
          </w:p>
        </w:tc>
        <w:tc>
          <w:tcPr>
            <w:tcW w:w="487"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产生量（</w:t>
            </w:r>
            <w:r>
              <w:rPr>
                <w:rFonts w:hint="default" w:ascii="Times New Roman" w:hAnsi="Times New Roman" w:cs="Times New Roman"/>
                <w:color w:val="000000"/>
                <w:sz w:val="21"/>
                <w:szCs w:val="24"/>
                <w:bdr w:val="none" w:color="auto" w:sz="0" w:space="0"/>
                <w:lang w:val="en-US"/>
              </w:rPr>
              <w:t>t/a</w:t>
            </w:r>
            <w:r>
              <w:rPr>
                <w:rFonts w:ascii="Times New Roman" w:hAnsi="Times New Roman" w:cs="Times New Roman"/>
                <w:color w:val="000000"/>
                <w:sz w:val="21"/>
                <w:szCs w:val="24"/>
                <w:bdr w:val="none" w:color="auto" w:sz="0" w:space="0"/>
              </w:rPr>
              <w:t>）</w:t>
            </w:r>
          </w:p>
        </w:tc>
        <w:tc>
          <w:tcPr>
            <w:tcW w:w="408"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产生工序</w:t>
            </w:r>
          </w:p>
        </w:tc>
        <w:tc>
          <w:tcPr>
            <w:tcW w:w="404"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形态</w:t>
            </w:r>
          </w:p>
        </w:tc>
        <w:tc>
          <w:tcPr>
            <w:tcW w:w="408"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主要成分</w:t>
            </w:r>
          </w:p>
        </w:tc>
        <w:tc>
          <w:tcPr>
            <w:tcW w:w="407"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有害成分</w:t>
            </w:r>
          </w:p>
        </w:tc>
        <w:tc>
          <w:tcPr>
            <w:tcW w:w="407"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产废周期</w:t>
            </w:r>
          </w:p>
        </w:tc>
        <w:tc>
          <w:tcPr>
            <w:tcW w:w="406"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危险特性</w:t>
            </w:r>
          </w:p>
        </w:tc>
        <w:tc>
          <w:tcPr>
            <w:tcW w:w="547"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处置措施</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5"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废润滑油桶</w:t>
            </w:r>
          </w:p>
        </w:tc>
        <w:tc>
          <w:tcPr>
            <w:tcW w:w="47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HW08</w:t>
            </w:r>
          </w:p>
        </w:tc>
        <w:tc>
          <w:tcPr>
            <w:tcW w:w="59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900-214-08</w:t>
            </w:r>
          </w:p>
        </w:tc>
        <w:tc>
          <w:tcPr>
            <w:tcW w:w="48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0.1</w:t>
            </w:r>
          </w:p>
        </w:tc>
        <w:tc>
          <w:tcPr>
            <w:tcW w:w="4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设备维修保养</w:t>
            </w:r>
          </w:p>
        </w:tc>
        <w:tc>
          <w:tcPr>
            <w:tcW w:w="404"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固体</w:t>
            </w:r>
          </w:p>
        </w:tc>
        <w:tc>
          <w:tcPr>
            <w:tcW w:w="4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润滑油</w:t>
            </w:r>
          </w:p>
        </w:tc>
        <w:tc>
          <w:tcPr>
            <w:tcW w:w="40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润滑油</w:t>
            </w:r>
          </w:p>
        </w:tc>
        <w:tc>
          <w:tcPr>
            <w:tcW w:w="40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3</w:t>
            </w:r>
            <w:r>
              <w:rPr>
                <w:rFonts w:ascii="Times New Roman" w:hAnsi="Times New Roman" w:cs="Times New Roman"/>
                <w:color w:val="000000"/>
                <w:sz w:val="21"/>
                <w:szCs w:val="24"/>
                <w:bdr w:val="none" w:color="auto" w:sz="0" w:space="0"/>
              </w:rPr>
              <w:t>个月</w:t>
            </w:r>
          </w:p>
        </w:tc>
        <w:tc>
          <w:tcPr>
            <w:tcW w:w="40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T</w:t>
            </w:r>
          </w:p>
        </w:tc>
        <w:tc>
          <w:tcPr>
            <w:tcW w:w="547" w:type="pct"/>
            <w:vMerge w:val="restar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委托有资质单位进行无害化处理</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5"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color w:val="000000"/>
                <w:sz w:val="21"/>
                <w:szCs w:val="24"/>
                <w:bdr w:val="none" w:color="auto" w:sz="0" w:space="0"/>
              </w:rPr>
              <w:t>浮选药剂包装桶</w:t>
            </w:r>
          </w:p>
        </w:tc>
        <w:tc>
          <w:tcPr>
            <w:tcW w:w="479"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HW49</w:t>
            </w:r>
          </w:p>
        </w:tc>
        <w:tc>
          <w:tcPr>
            <w:tcW w:w="591"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900-041-49</w:t>
            </w:r>
          </w:p>
        </w:tc>
        <w:tc>
          <w:tcPr>
            <w:tcW w:w="487"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0.8</w:t>
            </w:r>
          </w:p>
        </w:tc>
        <w:tc>
          <w:tcPr>
            <w:tcW w:w="408"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浮选过程</w:t>
            </w:r>
          </w:p>
        </w:tc>
        <w:tc>
          <w:tcPr>
            <w:tcW w:w="404"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固体</w:t>
            </w:r>
          </w:p>
        </w:tc>
        <w:tc>
          <w:tcPr>
            <w:tcW w:w="408"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浮选药剂</w:t>
            </w:r>
          </w:p>
        </w:tc>
        <w:tc>
          <w:tcPr>
            <w:tcW w:w="407"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浮选药剂</w:t>
            </w:r>
          </w:p>
        </w:tc>
        <w:tc>
          <w:tcPr>
            <w:tcW w:w="407"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w:t>
            </w:r>
            <w:r>
              <w:rPr>
                <w:rFonts w:ascii="Times New Roman" w:hAnsi="Times New Roman" w:cs="Times New Roman"/>
                <w:color w:val="000000"/>
                <w:sz w:val="21"/>
                <w:szCs w:val="24"/>
                <w:bdr w:val="none" w:color="auto" w:sz="0" w:space="0"/>
              </w:rPr>
              <w:t>个月</w:t>
            </w:r>
          </w:p>
        </w:tc>
        <w:tc>
          <w:tcPr>
            <w:tcW w:w="406"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T/In</w:t>
            </w:r>
          </w:p>
        </w:tc>
        <w:tc>
          <w:tcPr>
            <w:tcW w:w="547" w:type="pct"/>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bl>
    <w:p>
      <w:pPr>
        <w:keepNext w:val="0"/>
        <w:keepLines w:val="0"/>
        <w:widowControl/>
        <w:suppressLineNumbers w:val="0"/>
        <w:spacing w:before="0" w:beforeAutospacing="0" w:after="0" w:afterAutospacing="0"/>
        <w:ind w:left="0" w:right="0" w:firstLine="480" w:firstLineChars="200"/>
        <w:jc w:val="left"/>
        <w:rPr>
          <w:rFonts w:cs="Times New Roman"/>
          <w:color w:val="000000"/>
          <w:lang w:val="en-US"/>
        </w:rPr>
      </w:pPr>
      <w:r>
        <w:rPr>
          <w:rFonts w:hint="eastAsia" w:ascii="Times New Roman" w:hAnsi="Times New Roman" w:eastAsia="宋体" w:cs="Times New Roman"/>
          <w:snapToGrid w:val="0"/>
          <w:color w:val="000000"/>
          <w:kern w:val="0"/>
          <w:sz w:val="24"/>
          <w:szCs w:val="24"/>
          <w:lang w:val="en-US" w:eastAsia="zh-CN" w:bidi="ar"/>
        </w:rPr>
        <w:t>①</w:t>
      </w:r>
      <w:r>
        <w:rPr>
          <w:rFonts w:hint="eastAsia" w:ascii="宋体" w:hAnsi="宋体" w:eastAsia="宋体" w:cs="Times New Roman"/>
          <w:snapToGrid w:val="0"/>
          <w:color w:val="000000"/>
          <w:kern w:val="0"/>
          <w:sz w:val="24"/>
          <w:szCs w:val="24"/>
          <w:lang w:val="en-US" w:eastAsia="zh-CN" w:bidi="ar"/>
        </w:rPr>
        <w:t>废润滑油桶</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根据《国家危险废物名录（</w:t>
      </w:r>
      <w:r>
        <w:rPr>
          <w:rFonts w:hint="default" w:ascii="Times New Roman" w:hAnsi="Times New Roman" w:eastAsia="宋体" w:cs="Times New Roman"/>
          <w:snapToGrid w:val="0"/>
          <w:color w:val="000000"/>
          <w:kern w:val="0"/>
          <w:sz w:val="24"/>
          <w:szCs w:val="24"/>
          <w:lang w:val="en-US" w:eastAsia="zh-CN" w:bidi="ar"/>
        </w:rPr>
        <w:t>2016</w:t>
      </w:r>
      <w:r>
        <w:rPr>
          <w:rFonts w:hint="eastAsia" w:ascii="Times New Roman" w:hAnsi="Times New Roman" w:eastAsia="宋体" w:cs="Times New Roman"/>
          <w:snapToGrid w:val="0"/>
          <w:color w:val="000000"/>
          <w:kern w:val="0"/>
          <w:sz w:val="24"/>
          <w:szCs w:val="24"/>
          <w:lang w:val="en-US" w:eastAsia="zh-CN" w:bidi="ar"/>
        </w:rPr>
        <w:t>年）》废润滑油桶属</w:t>
      </w:r>
      <w:r>
        <w:rPr>
          <w:rFonts w:hint="default" w:ascii="Times New Roman" w:hAnsi="Times New Roman" w:eastAsia="宋体" w:cs="Times New Roman"/>
          <w:snapToGrid w:val="0"/>
          <w:color w:val="000000"/>
          <w:kern w:val="0"/>
          <w:sz w:val="24"/>
          <w:szCs w:val="24"/>
          <w:lang w:val="en-US" w:eastAsia="zh-CN" w:bidi="ar"/>
        </w:rPr>
        <w:t>HW08</w:t>
      </w:r>
      <w:r>
        <w:rPr>
          <w:rFonts w:hint="eastAsia" w:ascii="Times New Roman" w:hAnsi="Times New Roman" w:eastAsia="宋体" w:cs="Times New Roman"/>
          <w:snapToGrid w:val="0"/>
          <w:color w:val="000000"/>
          <w:kern w:val="0"/>
          <w:sz w:val="24"/>
          <w:szCs w:val="24"/>
          <w:lang w:val="en-US" w:eastAsia="zh-CN" w:bidi="ar"/>
        </w:rPr>
        <w:t>废矿物油与含矿物油废物，危险代码为</w:t>
      </w:r>
      <w:r>
        <w:rPr>
          <w:rFonts w:hint="default" w:ascii="Times New Roman" w:hAnsi="Times New Roman" w:eastAsia="宋体" w:cs="Times New Roman"/>
          <w:snapToGrid w:val="0"/>
          <w:color w:val="000000"/>
          <w:kern w:val="0"/>
          <w:sz w:val="24"/>
          <w:szCs w:val="24"/>
          <w:lang w:val="en-US" w:eastAsia="zh-CN" w:bidi="ar"/>
        </w:rPr>
        <w:t>900-214-08</w:t>
      </w:r>
      <w:r>
        <w:rPr>
          <w:rFonts w:hint="eastAsia" w:ascii="Times New Roman" w:hAnsi="Times New Roman" w:eastAsia="宋体" w:cs="Times New Roman"/>
          <w:snapToGrid w:val="0"/>
          <w:color w:val="000000"/>
          <w:kern w:val="0"/>
          <w:sz w:val="24"/>
          <w:szCs w:val="24"/>
          <w:lang w:val="en-US" w:eastAsia="zh-CN" w:bidi="ar"/>
        </w:rPr>
        <w:t>，本项目废润滑油桶产生量约为</w:t>
      </w:r>
      <w:r>
        <w:rPr>
          <w:rFonts w:hint="default" w:ascii="Times New Roman" w:hAnsi="Times New Roman" w:eastAsia="宋体" w:cs="Times New Roman"/>
          <w:snapToGrid w:val="0"/>
          <w:color w:val="000000"/>
          <w:kern w:val="0"/>
          <w:sz w:val="24"/>
          <w:szCs w:val="24"/>
          <w:lang w:val="en-US" w:eastAsia="zh-CN" w:bidi="ar"/>
        </w:rPr>
        <w:t>0.1t/a</w:t>
      </w:r>
      <w:r>
        <w:rPr>
          <w:rFonts w:hint="eastAsia" w:ascii="Times New Roman" w:hAnsi="Times New Roman" w:eastAsia="宋体" w:cs="Times New Roman"/>
          <w:snapToGrid w:val="0"/>
          <w:color w:val="000000"/>
          <w:kern w:val="0"/>
          <w:sz w:val="24"/>
          <w:szCs w:val="24"/>
          <w:lang w:val="en-US" w:eastAsia="zh-CN" w:bidi="ar"/>
        </w:rPr>
        <w:t>，暂存于厂内危废暂存间，定期送有资质单位进行无害化处理。</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宋体" w:hAnsi="宋体" w:eastAsia="宋体" w:cs="Times New Roman"/>
          <w:snapToGrid w:val="0"/>
          <w:color w:val="000000"/>
          <w:kern w:val="0"/>
          <w:sz w:val="24"/>
          <w:szCs w:val="24"/>
          <w:lang w:val="en-US" w:eastAsia="zh-CN" w:bidi="ar"/>
        </w:rPr>
        <w:t>②</w:t>
      </w:r>
      <w:r>
        <w:rPr>
          <w:rFonts w:hint="eastAsia" w:ascii="Times New Roman" w:hAnsi="Times New Roman" w:eastAsia="宋体" w:cs="Times New Roman"/>
          <w:snapToGrid w:val="0"/>
          <w:color w:val="000000"/>
          <w:kern w:val="0"/>
          <w:sz w:val="24"/>
          <w:szCs w:val="24"/>
          <w:lang w:val="en-US" w:eastAsia="zh-CN" w:bidi="ar"/>
        </w:rPr>
        <w:t>浮选药剂包装桶</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本项目反浮选药剂由包装桶承装，使用过程中产生废包装桶，废包装桶沾染浮选药剂，根据《国家危险废物名录》（</w:t>
      </w:r>
      <w:r>
        <w:rPr>
          <w:rFonts w:hint="default" w:ascii="Times New Roman" w:hAnsi="Times New Roman" w:eastAsia="宋体" w:cs="Times New Roman"/>
          <w:snapToGrid w:val="0"/>
          <w:color w:val="000000"/>
          <w:kern w:val="0"/>
          <w:sz w:val="24"/>
          <w:szCs w:val="24"/>
          <w:lang w:val="en-US" w:eastAsia="zh-CN" w:bidi="ar"/>
        </w:rPr>
        <w:t>2016</w:t>
      </w:r>
      <w:r>
        <w:rPr>
          <w:rFonts w:hint="eastAsia" w:ascii="Times New Roman" w:hAnsi="Times New Roman" w:eastAsia="宋体" w:cs="Times New Roman"/>
          <w:snapToGrid w:val="0"/>
          <w:color w:val="000000"/>
          <w:kern w:val="0"/>
          <w:sz w:val="24"/>
          <w:szCs w:val="24"/>
          <w:lang w:val="en-US" w:eastAsia="zh-CN" w:bidi="ar"/>
        </w:rPr>
        <w:t>年）浮选药剂废包装桶属</w:t>
      </w:r>
      <w:r>
        <w:rPr>
          <w:rFonts w:hint="default" w:ascii="Times New Roman" w:hAnsi="Times New Roman" w:eastAsia="宋体" w:cs="Times New Roman"/>
          <w:snapToGrid w:val="0"/>
          <w:color w:val="000000"/>
          <w:kern w:val="0"/>
          <w:sz w:val="24"/>
          <w:szCs w:val="24"/>
          <w:lang w:val="en-US" w:eastAsia="zh-CN" w:bidi="ar"/>
        </w:rPr>
        <w:t>HW49</w:t>
      </w:r>
      <w:r>
        <w:rPr>
          <w:rFonts w:hint="eastAsia" w:ascii="Times New Roman" w:hAnsi="Times New Roman" w:eastAsia="宋体" w:cs="Times New Roman"/>
          <w:snapToGrid w:val="0"/>
          <w:color w:val="000000"/>
          <w:kern w:val="0"/>
          <w:sz w:val="24"/>
          <w:szCs w:val="24"/>
          <w:lang w:val="en-US" w:eastAsia="zh-CN" w:bidi="ar"/>
        </w:rPr>
        <w:t>其他废物，危险代码为</w:t>
      </w:r>
      <w:r>
        <w:rPr>
          <w:rFonts w:hint="default" w:ascii="Times New Roman" w:hAnsi="Times New Roman" w:eastAsia="宋体" w:cs="Times New Roman"/>
          <w:snapToGrid w:val="0"/>
          <w:color w:val="000000"/>
          <w:kern w:val="0"/>
          <w:sz w:val="24"/>
          <w:szCs w:val="24"/>
          <w:lang w:val="en-US" w:eastAsia="zh-CN" w:bidi="ar"/>
        </w:rPr>
        <w:t>900-041-49</w:t>
      </w:r>
      <w:r>
        <w:rPr>
          <w:rFonts w:hint="eastAsia" w:ascii="Times New Roman" w:hAnsi="Times New Roman" w:eastAsia="宋体" w:cs="Times New Roman"/>
          <w:snapToGrid w:val="0"/>
          <w:color w:val="000000"/>
          <w:kern w:val="0"/>
          <w:sz w:val="24"/>
          <w:szCs w:val="24"/>
          <w:lang w:val="en-US" w:eastAsia="zh-CN" w:bidi="ar"/>
        </w:rPr>
        <w:t>，本项目废润滑油桶产生量约为</w:t>
      </w:r>
      <w:r>
        <w:rPr>
          <w:rFonts w:hint="default" w:ascii="Times New Roman" w:hAnsi="Times New Roman" w:eastAsia="宋体" w:cs="Times New Roman"/>
          <w:snapToGrid w:val="0"/>
          <w:color w:val="000000"/>
          <w:kern w:val="0"/>
          <w:sz w:val="24"/>
          <w:szCs w:val="24"/>
          <w:lang w:val="en-US" w:eastAsia="zh-CN" w:bidi="ar"/>
        </w:rPr>
        <w:t>0.8t/a</w:t>
      </w:r>
      <w:r>
        <w:rPr>
          <w:rFonts w:hint="eastAsia" w:ascii="Times New Roman" w:hAnsi="Times New Roman" w:eastAsia="宋体" w:cs="Times New Roman"/>
          <w:snapToGrid w:val="0"/>
          <w:color w:val="000000"/>
          <w:kern w:val="0"/>
          <w:sz w:val="24"/>
          <w:szCs w:val="24"/>
          <w:lang w:val="en-US" w:eastAsia="zh-CN" w:bidi="ar"/>
        </w:rPr>
        <w:t>，暂存于厂内危废暂存间，定期送有资质单位进行无害化处理。</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本项目固体废物的数量及种类详见表</w:t>
      </w:r>
      <w:r>
        <w:rPr>
          <w:rFonts w:hint="default" w:ascii="Times New Roman" w:hAnsi="Times New Roman" w:eastAsia="宋体" w:cs="Times New Roman"/>
          <w:snapToGrid w:val="0"/>
          <w:color w:val="000000"/>
          <w:kern w:val="0"/>
          <w:sz w:val="24"/>
          <w:szCs w:val="24"/>
          <w:lang w:val="en-US" w:eastAsia="zh-CN" w:bidi="ar"/>
        </w:rPr>
        <w:t>3.3-8</w:t>
      </w:r>
      <w:r>
        <w:rPr>
          <w:rFonts w:hint="eastAsia" w:ascii="Times New Roman" w:hAnsi="Times New Roman" w:eastAsia="宋体" w:cs="Times New Roman"/>
          <w:snapToGrid w:val="0"/>
          <w:color w:val="000000"/>
          <w:kern w:val="0"/>
          <w:sz w:val="24"/>
          <w:szCs w:val="24"/>
          <w:lang w:val="en-US" w:eastAsia="zh-CN" w:bidi="ar"/>
        </w:rPr>
        <w:t>。</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bCs/>
          <w:color w:val="000000"/>
          <w:spacing w:val="4"/>
          <w:lang w:val="en-US"/>
        </w:rPr>
      </w:pPr>
      <w:r>
        <w:rPr>
          <w:rFonts w:hint="eastAsia" w:ascii="Times New Roman" w:hAnsi="Times New Roman" w:eastAsia="黑体" w:cs="Times New Roman"/>
          <w:bCs/>
          <w:color w:val="000000"/>
          <w:spacing w:val="4"/>
          <w:kern w:val="0"/>
          <w:sz w:val="24"/>
          <w:szCs w:val="24"/>
          <w:lang w:val="en-US" w:eastAsia="zh-CN" w:bidi="ar"/>
        </w:rPr>
        <w:t>表</w:t>
      </w:r>
      <w:r>
        <w:rPr>
          <w:rFonts w:hint="default" w:ascii="Times New Roman" w:hAnsi="Times New Roman" w:eastAsia="黑体" w:cs="Times New Roman"/>
          <w:bCs/>
          <w:color w:val="000000"/>
          <w:spacing w:val="4"/>
          <w:kern w:val="0"/>
          <w:sz w:val="24"/>
          <w:szCs w:val="24"/>
          <w:lang w:val="en-US" w:eastAsia="zh-CN" w:bidi="ar"/>
        </w:rPr>
        <w:t xml:space="preserve">3.3-8    </w:t>
      </w:r>
      <w:r>
        <w:rPr>
          <w:rFonts w:hint="eastAsia" w:ascii="Times New Roman" w:hAnsi="Times New Roman" w:eastAsia="黑体" w:cs="Times New Roman"/>
          <w:bCs/>
          <w:color w:val="000000"/>
          <w:spacing w:val="4"/>
          <w:kern w:val="0"/>
          <w:sz w:val="24"/>
          <w:szCs w:val="24"/>
          <w:lang w:val="en-US" w:eastAsia="zh-CN" w:bidi="ar"/>
        </w:rPr>
        <w:t>固体废物的数量及种类</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815"/>
        <w:gridCol w:w="1990"/>
        <w:gridCol w:w="992"/>
        <w:gridCol w:w="1278"/>
        <w:gridCol w:w="1983"/>
        <w:gridCol w:w="1669"/>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rPr>
        <w:tc>
          <w:tcPr>
            <w:tcW w:w="467" w:type="pc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编号</w:t>
            </w:r>
          </w:p>
        </w:tc>
        <w:tc>
          <w:tcPr>
            <w:tcW w:w="1140"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污染源及污染物</w:t>
            </w:r>
          </w:p>
        </w:tc>
        <w:tc>
          <w:tcPr>
            <w:tcW w:w="568"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产生量（</w:t>
            </w:r>
            <w:r>
              <w:rPr>
                <w:rFonts w:hint="default" w:ascii="Times New Roman" w:hAnsi="Times New Roman" w:cs="Times New Roman"/>
                <w:color w:val="000000"/>
                <w:sz w:val="21"/>
                <w:szCs w:val="24"/>
                <w:bdr w:val="none" w:color="auto" w:sz="0" w:space="0"/>
                <w:lang w:val="en-US"/>
              </w:rPr>
              <w:t>t/a</w:t>
            </w:r>
            <w:r>
              <w:rPr>
                <w:rFonts w:ascii="Times New Roman" w:hAnsi="Times New Roman" w:cs="Times New Roman"/>
                <w:color w:val="000000"/>
                <w:sz w:val="21"/>
                <w:szCs w:val="24"/>
                <w:bdr w:val="none" w:color="auto" w:sz="0" w:space="0"/>
              </w:rPr>
              <w:t>）</w:t>
            </w:r>
          </w:p>
        </w:tc>
        <w:tc>
          <w:tcPr>
            <w:tcW w:w="732"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排放规律</w:t>
            </w:r>
          </w:p>
        </w:tc>
        <w:tc>
          <w:tcPr>
            <w:tcW w:w="1136"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分类</w:t>
            </w:r>
          </w:p>
        </w:tc>
        <w:tc>
          <w:tcPr>
            <w:tcW w:w="956"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治理措施</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67"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1"/>
                <w:bdr w:val="none" w:color="auto" w:sz="0" w:space="0"/>
                <w:lang w:val="en-US"/>
              </w:rPr>
              <w:t>S</w:t>
            </w:r>
            <w:r>
              <w:rPr>
                <w:rFonts w:hint="default" w:ascii="Times New Roman" w:hAnsi="Times New Roman" w:cs="Times New Roman"/>
                <w:color w:val="000000"/>
                <w:sz w:val="21"/>
                <w:szCs w:val="21"/>
                <w:bdr w:val="none" w:color="auto" w:sz="0" w:space="0"/>
                <w:vertAlign w:val="subscript"/>
                <w:lang w:val="en-US"/>
              </w:rPr>
              <w:t>1</w:t>
            </w:r>
          </w:p>
        </w:tc>
        <w:tc>
          <w:tcPr>
            <w:tcW w:w="114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振动筛废筛网</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60</w:t>
            </w:r>
          </w:p>
        </w:tc>
        <w:tc>
          <w:tcPr>
            <w:tcW w:w="732"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间断</w:t>
            </w:r>
          </w:p>
        </w:tc>
        <w:tc>
          <w:tcPr>
            <w:tcW w:w="113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一般固废</w:t>
            </w:r>
          </w:p>
        </w:tc>
        <w:tc>
          <w:tcPr>
            <w:tcW w:w="95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1"/>
                <w:bdr w:val="none" w:color="auto" w:sz="0" w:space="0"/>
              </w:rPr>
              <w:t>厂家回收</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67"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1"/>
                <w:bdr w:val="none" w:color="auto" w:sz="0" w:space="0"/>
                <w:lang w:val="en-US"/>
              </w:rPr>
              <w:t>S</w:t>
            </w:r>
            <w:r>
              <w:rPr>
                <w:rFonts w:hint="default" w:ascii="Times New Roman" w:hAnsi="Times New Roman" w:cs="Times New Roman"/>
                <w:color w:val="000000"/>
                <w:sz w:val="21"/>
                <w:szCs w:val="21"/>
                <w:bdr w:val="none" w:color="auto" w:sz="0" w:space="0"/>
                <w:vertAlign w:val="subscript"/>
                <w:lang w:val="en-US"/>
              </w:rPr>
              <w:t>2</w:t>
            </w:r>
          </w:p>
        </w:tc>
        <w:tc>
          <w:tcPr>
            <w:tcW w:w="114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布袋除尘器收尘灰</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449.94</w:t>
            </w:r>
          </w:p>
        </w:tc>
        <w:tc>
          <w:tcPr>
            <w:tcW w:w="732"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间断</w:t>
            </w:r>
          </w:p>
        </w:tc>
        <w:tc>
          <w:tcPr>
            <w:tcW w:w="113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一般固废</w:t>
            </w:r>
          </w:p>
        </w:tc>
        <w:tc>
          <w:tcPr>
            <w:tcW w:w="95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1"/>
                <w:bdr w:val="none" w:color="auto" w:sz="0" w:space="0"/>
              </w:rPr>
              <w:t>回用于生产</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67"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1"/>
                <w:bdr w:val="none" w:color="auto" w:sz="0" w:space="0"/>
                <w:lang w:val="en-US"/>
              </w:rPr>
              <w:t>S</w:t>
            </w:r>
            <w:r>
              <w:rPr>
                <w:rFonts w:hint="default" w:ascii="Times New Roman" w:hAnsi="Times New Roman" w:cs="Times New Roman"/>
                <w:color w:val="000000"/>
                <w:sz w:val="21"/>
                <w:szCs w:val="21"/>
                <w:bdr w:val="none" w:color="auto" w:sz="0" w:space="0"/>
                <w:vertAlign w:val="subscript"/>
                <w:lang w:val="en-US"/>
              </w:rPr>
              <w:t>3</w:t>
            </w:r>
          </w:p>
        </w:tc>
        <w:tc>
          <w:tcPr>
            <w:tcW w:w="114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球磨机废钢球</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600</w:t>
            </w:r>
          </w:p>
        </w:tc>
        <w:tc>
          <w:tcPr>
            <w:tcW w:w="732"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间断</w:t>
            </w:r>
          </w:p>
        </w:tc>
        <w:tc>
          <w:tcPr>
            <w:tcW w:w="113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一般固废</w:t>
            </w:r>
          </w:p>
        </w:tc>
        <w:tc>
          <w:tcPr>
            <w:tcW w:w="95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1"/>
                <w:bdr w:val="none" w:color="auto" w:sz="0" w:space="0"/>
              </w:rPr>
              <w:t>厂家回收</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67"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1"/>
                <w:bdr w:val="none" w:color="auto" w:sz="0" w:space="0"/>
                <w:lang w:val="en-US"/>
              </w:rPr>
              <w:t>S</w:t>
            </w:r>
            <w:r>
              <w:rPr>
                <w:rFonts w:hint="default" w:ascii="Times New Roman" w:hAnsi="Times New Roman" w:cs="Times New Roman"/>
                <w:color w:val="000000"/>
                <w:sz w:val="21"/>
                <w:szCs w:val="21"/>
                <w:bdr w:val="none" w:color="auto" w:sz="0" w:space="0"/>
                <w:vertAlign w:val="subscript"/>
                <w:lang w:val="en-US"/>
              </w:rPr>
              <w:t>4</w:t>
            </w:r>
          </w:p>
        </w:tc>
        <w:tc>
          <w:tcPr>
            <w:tcW w:w="114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循环水池矿泥</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24000</w:t>
            </w:r>
          </w:p>
        </w:tc>
        <w:tc>
          <w:tcPr>
            <w:tcW w:w="732"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间断</w:t>
            </w:r>
          </w:p>
        </w:tc>
        <w:tc>
          <w:tcPr>
            <w:tcW w:w="113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一般固废</w:t>
            </w:r>
          </w:p>
        </w:tc>
        <w:tc>
          <w:tcPr>
            <w:tcW w:w="95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1"/>
                <w:bdr w:val="none" w:color="auto" w:sz="0" w:space="0"/>
              </w:rPr>
              <w:t>作为尾矿外售</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67"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w:t>
            </w:r>
          </w:p>
        </w:tc>
        <w:tc>
          <w:tcPr>
            <w:tcW w:w="114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厂房遮挡粉尘</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34.84</w:t>
            </w:r>
          </w:p>
        </w:tc>
        <w:tc>
          <w:tcPr>
            <w:tcW w:w="732"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间断</w:t>
            </w:r>
          </w:p>
        </w:tc>
        <w:tc>
          <w:tcPr>
            <w:tcW w:w="113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一般固废</w:t>
            </w:r>
          </w:p>
        </w:tc>
        <w:tc>
          <w:tcPr>
            <w:tcW w:w="95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1"/>
                <w:bdr w:val="none" w:color="auto" w:sz="0" w:space="0"/>
              </w:rPr>
              <w:t>回用于生产</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67"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14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color w:val="000000"/>
                <w:sz w:val="21"/>
                <w:szCs w:val="24"/>
                <w:bdr w:val="none" w:color="auto" w:sz="0" w:space="0"/>
              </w:rPr>
              <w:t>浮选药剂包装桶</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0.8</w:t>
            </w:r>
          </w:p>
        </w:tc>
        <w:tc>
          <w:tcPr>
            <w:tcW w:w="732"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间断</w:t>
            </w:r>
          </w:p>
        </w:tc>
        <w:tc>
          <w:tcPr>
            <w:tcW w:w="113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危险废物（</w:t>
            </w:r>
            <w:r>
              <w:rPr>
                <w:rFonts w:hint="default" w:ascii="Times New Roman" w:hAnsi="Times New Roman" w:cs="Times New Roman"/>
                <w:color w:val="000000"/>
                <w:sz w:val="21"/>
                <w:szCs w:val="24"/>
                <w:bdr w:val="none" w:color="auto" w:sz="0" w:space="0"/>
                <w:lang w:val="en-US"/>
              </w:rPr>
              <w:t>HW49</w:t>
            </w:r>
            <w:r>
              <w:rPr>
                <w:rFonts w:ascii="Times New Roman" w:hAnsi="Times New Roman" w:cs="Times New Roman"/>
                <w:color w:val="000000"/>
                <w:sz w:val="21"/>
                <w:szCs w:val="24"/>
                <w:bdr w:val="none" w:color="auto" w:sz="0" w:space="0"/>
              </w:rPr>
              <w:t>，</w:t>
            </w:r>
            <w:r>
              <w:rPr>
                <w:rFonts w:hint="default" w:ascii="Times New Roman" w:hAnsi="Times New Roman" w:cs="Times New Roman"/>
                <w:color w:val="000000"/>
                <w:sz w:val="21"/>
                <w:szCs w:val="24"/>
                <w:bdr w:val="none" w:color="auto" w:sz="0" w:space="0"/>
                <w:lang w:val="en-US"/>
              </w:rPr>
              <w:t>900-041-49</w:t>
            </w:r>
            <w:r>
              <w:rPr>
                <w:rFonts w:ascii="Times New Roman" w:hAnsi="Times New Roman" w:cs="Times New Roman"/>
                <w:color w:val="000000"/>
                <w:sz w:val="21"/>
                <w:szCs w:val="24"/>
                <w:bdr w:val="none" w:color="auto" w:sz="0" w:space="0"/>
              </w:rPr>
              <w:t>）</w:t>
            </w:r>
          </w:p>
        </w:tc>
        <w:tc>
          <w:tcPr>
            <w:tcW w:w="95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bCs/>
                <w:color w:val="000000"/>
                <w:sz w:val="21"/>
                <w:szCs w:val="21"/>
                <w:bdr w:val="none" w:color="auto" w:sz="0" w:space="0"/>
              </w:rPr>
              <w:t>委托资质单位处理</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67"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w:t>
            </w:r>
          </w:p>
        </w:tc>
        <w:tc>
          <w:tcPr>
            <w:tcW w:w="114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废润滑油桶</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0.1</w:t>
            </w:r>
          </w:p>
        </w:tc>
        <w:tc>
          <w:tcPr>
            <w:tcW w:w="732"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间断</w:t>
            </w:r>
          </w:p>
        </w:tc>
        <w:tc>
          <w:tcPr>
            <w:tcW w:w="113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危险废物（</w:t>
            </w:r>
            <w:r>
              <w:rPr>
                <w:rFonts w:hint="default" w:ascii="Times New Roman" w:hAnsi="Times New Roman" w:cs="Times New Roman"/>
                <w:color w:val="000000"/>
                <w:sz w:val="21"/>
                <w:szCs w:val="24"/>
                <w:bdr w:val="none" w:color="auto" w:sz="0" w:space="0"/>
                <w:lang w:val="en-US"/>
              </w:rPr>
              <w:t>HW08</w:t>
            </w:r>
            <w:r>
              <w:rPr>
                <w:rFonts w:ascii="Times New Roman" w:hAnsi="Times New Roman" w:cs="Times New Roman"/>
                <w:color w:val="000000"/>
                <w:sz w:val="21"/>
                <w:szCs w:val="24"/>
                <w:bdr w:val="none" w:color="auto" w:sz="0" w:space="0"/>
              </w:rPr>
              <w:t>，</w:t>
            </w:r>
            <w:r>
              <w:rPr>
                <w:rFonts w:hint="default" w:ascii="Times New Roman" w:hAnsi="Times New Roman" w:cs="Times New Roman"/>
                <w:color w:val="000000"/>
                <w:sz w:val="21"/>
                <w:szCs w:val="24"/>
                <w:bdr w:val="none" w:color="auto" w:sz="0" w:space="0"/>
                <w:lang w:val="en-US"/>
              </w:rPr>
              <w:t>900-214-08</w:t>
            </w:r>
            <w:r>
              <w:rPr>
                <w:rFonts w:ascii="Times New Roman" w:hAnsi="Times New Roman" w:cs="Times New Roman"/>
                <w:color w:val="000000"/>
                <w:sz w:val="21"/>
                <w:szCs w:val="24"/>
                <w:bdr w:val="none" w:color="auto" w:sz="0" w:space="0"/>
              </w:rPr>
              <w:t>）</w:t>
            </w:r>
          </w:p>
        </w:tc>
        <w:tc>
          <w:tcPr>
            <w:tcW w:w="95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bCs/>
                <w:color w:val="000000"/>
                <w:sz w:val="21"/>
                <w:szCs w:val="21"/>
                <w:bdr w:val="none" w:color="auto" w:sz="0" w:space="0"/>
              </w:rPr>
              <w:t>委托资质单位处理</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67"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14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color w:val="000000"/>
                <w:sz w:val="21"/>
                <w:szCs w:val="24"/>
                <w:bdr w:val="none" w:color="auto" w:sz="0" w:space="0"/>
                <w:lang w:val="en-US"/>
              </w:rPr>
            </w:pPr>
            <w:r>
              <w:rPr>
                <w:color w:val="000000"/>
                <w:sz w:val="21"/>
                <w:szCs w:val="24"/>
                <w:bdr w:val="none" w:color="auto" w:sz="0" w:space="0"/>
              </w:rPr>
              <w:t>废含油抹布</w:t>
            </w:r>
          </w:p>
        </w:tc>
        <w:tc>
          <w:tcPr>
            <w:tcW w:w="5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0.002</w:t>
            </w:r>
          </w:p>
        </w:tc>
        <w:tc>
          <w:tcPr>
            <w:tcW w:w="732"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间断</w:t>
            </w:r>
          </w:p>
        </w:tc>
        <w:tc>
          <w:tcPr>
            <w:tcW w:w="113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豁免管理危险废物</w:t>
            </w:r>
          </w:p>
        </w:tc>
        <w:tc>
          <w:tcPr>
            <w:tcW w:w="956"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color w:val="000000"/>
                <w:sz w:val="21"/>
                <w:szCs w:val="21"/>
                <w:bdr w:val="none" w:color="auto" w:sz="0" w:space="0"/>
              </w:rPr>
              <w:t>环卫清运</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67"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w:t>
            </w:r>
          </w:p>
        </w:tc>
        <w:tc>
          <w:tcPr>
            <w:tcW w:w="1140"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生活垃圾</w:t>
            </w:r>
          </w:p>
        </w:tc>
        <w:tc>
          <w:tcPr>
            <w:tcW w:w="568"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12</w:t>
            </w:r>
          </w:p>
        </w:tc>
        <w:tc>
          <w:tcPr>
            <w:tcW w:w="732"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间断</w:t>
            </w:r>
          </w:p>
        </w:tc>
        <w:tc>
          <w:tcPr>
            <w:tcW w:w="1136"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一般固废</w:t>
            </w:r>
          </w:p>
        </w:tc>
        <w:tc>
          <w:tcPr>
            <w:tcW w:w="956"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color w:val="000000"/>
                <w:sz w:val="21"/>
                <w:szCs w:val="21"/>
                <w:bdr w:val="none" w:color="auto" w:sz="0" w:space="0"/>
              </w:rPr>
              <w:t>环卫清运</w:t>
            </w:r>
          </w:p>
        </w:tc>
      </w:tr>
    </w:tbl>
    <w:p>
      <w:pPr>
        <w:keepNext w:val="0"/>
        <w:keepLines w:val="0"/>
        <w:widowControl/>
        <w:suppressLineNumbers w:val="0"/>
        <w:spacing w:before="0" w:beforeAutospacing="0" w:after="0" w:afterAutospacing="0"/>
        <w:ind w:left="0" w:right="0" w:firstLine="420" w:firstLineChars="200"/>
        <w:jc w:val="left"/>
        <w:rPr>
          <w:rFonts w:hint="default" w:ascii="Times New Roman" w:hAnsi="Times New Roman" w:cs="Times New Roman"/>
          <w:snapToGrid w:val="0"/>
          <w:color w:val="000000"/>
          <w:lang w:val="en-US"/>
        </w:rPr>
      </w:pP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 xml:space="preserve"> </w:t>
      </w:r>
      <w:r>
        <w:rPr>
          <w:rFonts w:ascii="Times New Roman" w:hAnsi="Times New Roman" w:cs="Times New Roman"/>
          <w:color w:val="000000"/>
          <w:lang w:eastAsia="zh-CN"/>
        </w:rPr>
        <w:t>非正常工况污染分析</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 xml:space="preserve">.1 </w:t>
      </w:r>
      <w:r>
        <w:rPr>
          <w:rFonts w:ascii="Times New Roman" w:hAnsi="Times New Roman" w:cs="Times New Roman"/>
          <w:color w:val="000000"/>
          <w:lang w:eastAsia="zh-CN"/>
        </w:rPr>
        <w:t>非正常工况废气</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本项目环保设备故障非正常工况主要考虑破碎车间布袋除尘器故障的情况，废气未经有效处理排入大气，按除尘效率</w:t>
      </w:r>
      <w:r>
        <w:rPr>
          <w:rFonts w:hint="default" w:ascii="Times New Roman" w:hAnsi="Times New Roman" w:eastAsia="宋体" w:cs="Times New Roman"/>
          <w:color w:val="000000"/>
          <w:kern w:val="0"/>
          <w:sz w:val="24"/>
          <w:szCs w:val="24"/>
          <w:lang w:val="en-US" w:eastAsia="zh-CN" w:bidi="ar"/>
        </w:rPr>
        <w:t>40%</w:t>
      </w:r>
      <w:r>
        <w:rPr>
          <w:rFonts w:hint="eastAsia" w:ascii="Times New Roman" w:hAnsi="Times New Roman" w:eastAsia="宋体" w:cs="Times New Roman"/>
          <w:color w:val="000000"/>
          <w:kern w:val="0"/>
          <w:sz w:val="24"/>
          <w:szCs w:val="24"/>
          <w:lang w:val="en-US" w:eastAsia="zh-CN" w:bidi="ar"/>
        </w:rPr>
        <w:t>考虑，废气非正常排放源强见下表。</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bCs/>
          <w:color w:val="000000"/>
          <w:spacing w:val="4"/>
          <w:lang w:val="en-US"/>
        </w:rPr>
      </w:pPr>
      <w:r>
        <w:rPr>
          <w:rFonts w:hint="eastAsia" w:ascii="Times New Roman" w:hAnsi="Times New Roman" w:eastAsia="黑体" w:cs="Times New Roman"/>
          <w:bCs/>
          <w:color w:val="000000"/>
          <w:spacing w:val="4"/>
          <w:kern w:val="0"/>
          <w:sz w:val="24"/>
          <w:szCs w:val="24"/>
          <w:lang w:val="en-US" w:eastAsia="zh-CN" w:bidi="ar"/>
        </w:rPr>
        <w:t>表</w:t>
      </w:r>
      <w:r>
        <w:rPr>
          <w:rFonts w:hint="default" w:ascii="Times New Roman" w:hAnsi="Times New Roman" w:eastAsia="黑体" w:cs="Times New Roman"/>
          <w:bCs/>
          <w:color w:val="000000"/>
          <w:spacing w:val="4"/>
          <w:kern w:val="0"/>
          <w:sz w:val="24"/>
          <w:szCs w:val="24"/>
          <w:lang w:val="en-US" w:eastAsia="zh-CN" w:bidi="ar"/>
        </w:rPr>
        <w:t xml:space="preserve">3.3-9    </w:t>
      </w:r>
      <w:r>
        <w:rPr>
          <w:rFonts w:hint="eastAsia" w:ascii="Times New Roman" w:hAnsi="Times New Roman" w:eastAsia="黑体" w:cs="Times New Roman"/>
          <w:bCs/>
          <w:color w:val="000000"/>
          <w:spacing w:val="4"/>
          <w:kern w:val="0"/>
          <w:sz w:val="24"/>
          <w:szCs w:val="24"/>
          <w:lang w:val="en-US" w:eastAsia="zh-CN" w:bidi="ar"/>
        </w:rPr>
        <w:t>本项目废气非正常排放源强</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2093"/>
        <w:gridCol w:w="1135"/>
        <w:gridCol w:w="2126"/>
        <w:gridCol w:w="2126"/>
        <w:gridCol w:w="1151"/>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40" w:hRule="atLeast"/>
        </w:trPr>
        <w:tc>
          <w:tcPr>
            <w:tcW w:w="2093" w:type="dxa"/>
            <w:tcBorders>
              <w:top w:val="thinThickSmallGap" w:color="auto" w:sz="12" w:space="0"/>
              <w:left w:val="nil"/>
              <w:bottom w:val="single" w:color="auto" w:sz="4" w:space="0"/>
              <w:right w:val="single" w:color="auto" w:sz="4" w:space="0"/>
            </w:tcBorders>
            <w:shd w:val="clear" w:color="auto" w:fill="D9D9D9"/>
            <w:vAlign w:val="center"/>
          </w:tcPr>
          <w:p>
            <w:pPr>
              <w:pStyle w:val="21"/>
              <w:keepNext w:val="0"/>
              <w:keepLines w:val="0"/>
              <w:widowControl w:val="0"/>
              <w:suppressLineNumbers w:val="0"/>
              <w:adjustRightInd w:val="0"/>
              <w:snapToGrid w:val="0"/>
              <w:ind w:left="0" w:firstLine="0" w:firstLineChars="0"/>
              <w:jc w:val="center"/>
              <w:textAlignment w:val="baseline"/>
              <w:rPr>
                <w:rFonts w:hint="default" w:ascii="Times New Roman" w:hAnsi="Times New Roman" w:cs="Times New Roman"/>
                <w:bCs/>
                <w:color w:val="000000"/>
                <w:bdr w:val="none" w:color="auto" w:sz="0" w:space="0"/>
                <w:vertAlign w:val="baseline"/>
                <w:lang w:val="en-US"/>
              </w:rPr>
            </w:pPr>
            <w:r>
              <w:rPr>
                <w:rFonts w:ascii="Times New Roman" w:hAnsi="Times New Roman" w:cs="Times New Roman"/>
                <w:bCs/>
                <w:color w:val="000000"/>
                <w:bdr w:val="none" w:color="auto" w:sz="0" w:space="0"/>
                <w:vertAlign w:val="baseline"/>
              </w:rPr>
              <w:t>污染源排放口</w:t>
            </w:r>
          </w:p>
        </w:tc>
        <w:tc>
          <w:tcPr>
            <w:tcW w:w="1135" w:type="dxa"/>
            <w:tcBorders>
              <w:top w:val="thinThickSmallGap" w:color="auto" w:sz="12" w:space="0"/>
              <w:left w:val="single" w:color="auto" w:sz="4" w:space="0"/>
              <w:bottom w:val="single" w:color="auto" w:sz="4" w:space="0"/>
              <w:right w:val="single" w:color="auto" w:sz="4" w:space="0"/>
            </w:tcBorders>
            <w:shd w:val="clear" w:color="auto" w:fill="D9D9D9"/>
            <w:vAlign w:val="center"/>
          </w:tcPr>
          <w:p>
            <w:pPr>
              <w:pStyle w:val="21"/>
              <w:keepNext w:val="0"/>
              <w:keepLines w:val="0"/>
              <w:widowControl w:val="0"/>
              <w:suppressLineNumbers w:val="0"/>
              <w:adjustRightInd w:val="0"/>
              <w:snapToGrid w:val="0"/>
              <w:ind w:left="0" w:firstLine="0" w:firstLineChars="0"/>
              <w:jc w:val="center"/>
              <w:textAlignment w:val="baseline"/>
              <w:rPr>
                <w:rFonts w:hint="default" w:ascii="Times New Roman" w:hAnsi="Times New Roman" w:cs="Times New Roman"/>
                <w:bCs/>
                <w:color w:val="000000"/>
                <w:bdr w:val="none" w:color="auto" w:sz="0" w:space="0"/>
                <w:vertAlign w:val="baseline"/>
                <w:lang w:val="en-US"/>
              </w:rPr>
            </w:pPr>
            <w:r>
              <w:rPr>
                <w:rFonts w:ascii="Times New Roman" w:hAnsi="Times New Roman" w:cs="Times New Roman"/>
                <w:bCs/>
                <w:color w:val="000000"/>
                <w:bdr w:val="none" w:color="auto" w:sz="0" w:space="0"/>
                <w:vertAlign w:val="baseline"/>
              </w:rPr>
              <w:t>污染物</w:t>
            </w:r>
          </w:p>
        </w:tc>
        <w:tc>
          <w:tcPr>
            <w:tcW w:w="2126" w:type="dxa"/>
            <w:tcBorders>
              <w:top w:val="thinThickSmallGap" w:color="auto" w:sz="12" w:space="0"/>
              <w:left w:val="single" w:color="auto" w:sz="4" w:space="0"/>
              <w:bottom w:val="single" w:color="auto" w:sz="4" w:space="0"/>
              <w:right w:val="single" w:color="auto" w:sz="4" w:space="0"/>
            </w:tcBorders>
            <w:shd w:val="clear" w:color="auto" w:fill="D9D9D9"/>
            <w:vAlign w:val="center"/>
          </w:tcPr>
          <w:p>
            <w:pPr>
              <w:pStyle w:val="21"/>
              <w:keepNext w:val="0"/>
              <w:keepLines w:val="0"/>
              <w:widowControl w:val="0"/>
              <w:suppressLineNumbers w:val="0"/>
              <w:adjustRightInd w:val="0"/>
              <w:snapToGrid w:val="0"/>
              <w:ind w:left="0" w:firstLine="0" w:firstLineChars="0"/>
              <w:jc w:val="center"/>
              <w:textAlignment w:val="baseline"/>
              <w:rPr>
                <w:rFonts w:hint="default" w:ascii="Times New Roman" w:hAnsi="Times New Roman" w:cs="Times New Roman"/>
                <w:bCs/>
                <w:color w:val="000000"/>
                <w:bdr w:val="none" w:color="auto" w:sz="0" w:space="0"/>
                <w:vertAlign w:val="baseline"/>
                <w:lang w:val="en-US"/>
              </w:rPr>
            </w:pPr>
            <w:r>
              <w:rPr>
                <w:rFonts w:ascii="Times New Roman" w:hAnsi="Times New Roman" w:cs="Times New Roman"/>
                <w:bCs/>
                <w:color w:val="000000"/>
                <w:bdr w:val="none" w:color="auto" w:sz="0" w:space="0"/>
                <w:vertAlign w:val="baseline"/>
              </w:rPr>
              <w:t>非正常工况排放速率（</w:t>
            </w:r>
            <w:r>
              <w:rPr>
                <w:rFonts w:hint="default" w:ascii="Times New Roman" w:hAnsi="Times New Roman" w:cs="Times New Roman"/>
                <w:bCs/>
                <w:color w:val="000000"/>
                <w:bdr w:val="none" w:color="auto" w:sz="0" w:space="0"/>
                <w:vertAlign w:val="baseline"/>
                <w:lang w:val="en-US"/>
              </w:rPr>
              <w:t>kg/h</w:t>
            </w:r>
            <w:r>
              <w:rPr>
                <w:rFonts w:ascii="Times New Roman" w:hAnsi="Times New Roman" w:cs="Times New Roman"/>
                <w:bCs/>
                <w:color w:val="000000"/>
                <w:bdr w:val="none" w:color="auto" w:sz="0" w:space="0"/>
                <w:vertAlign w:val="baseline"/>
              </w:rPr>
              <w:t>）</w:t>
            </w:r>
          </w:p>
        </w:tc>
        <w:tc>
          <w:tcPr>
            <w:tcW w:w="2126" w:type="dxa"/>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bCs/>
                <w:color w:val="000000"/>
                <w:sz w:val="21"/>
                <w:szCs w:val="24"/>
                <w:bdr w:val="none" w:color="auto" w:sz="0" w:space="0"/>
                <w:vertAlign w:val="baseline"/>
                <w:lang w:val="en-US"/>
              </w:rPr>
            </w:pPr>
            <w:r>
              <w:rPr>
                <w:rFonts w:ascii="Times New Roman" w:hAnsi="Times New Roman" w:cs="Times New Roman"/>
                <w:bCs/>
                <w:color w:val="000000"/>
                <w:sz w:val="21"/>
                <w:szCs w:val="24"/>
                <w:bdr w:val="none" w:color="auto" w:sz="0" w:space="0"/>
                <w:vertAlign w:val="baseline"/>
              </w:rPr>
              <w:t>非正常工况排放浓度</w:t>
            </w:r>
            <w:r>
              <w:rPr>
                <w:rFonts w:hint="default" w:ascii="Times New Roman" w:hAnsi="Times New Roman" w:cs="Times New Roman"/>
                <w:bCs/>
                <w:color w:val="000000"/>
                <w:sz w:val="21"/>
                <w:szCs w:val="24"/>
                <w:bdr w:val="none" w:color="auto" w:sz="0" w:space="0"/>
                <w:vertAlign w:val="baseline"/>
                <w:lang w:val="en-US"/>
              </w:rPr>
              <w:t>mg/m</w:t>
            </w:r>
            <w:r>
              <w:rPr>
                <w:rFonts w:hint="default" w:ascii="Times New Roman" w:hAnsi="Times New Roman" w:cs="Times New Roman"/>
                <w:bCs/>
                <w:color w:val="000000"/>
                <w:sz w:val="21"/>
                <w:szCs w:val="24"/>
                <w:bdr w:val="none" w:color="auto" w:sz="0" w:space="0"/>
                <w:vertAlign w:val="superscript"/>
                <w:lang w:val="en-US"/>
              </w:rPr>
              <w:t>3</w:t>
            </w:r>
          </w:p>
        </w:tc>
        <w:tc>
          <w:tcPr>
            <w:tcW w:w="1151" w:type="dxa"/>
            <w:tcBorders>
              <w:top w:val="thinThickSmallGap" w:color="auto" w:sz="12" w:space="0"/>
              <w:left w:val="single" w:color="auto" w:sz="4" w:space="0"/>
              <w:bottom w:val="single" w:color="auto" w:sz="4" w:space="0"/>
              <w:right w:val="nil"/>
            </w:tcBorders>
            <w:shd w:val="clear" w:color="auto" w:fill="D9D9D9"/>
            <w:vAlign w:val="center"/>
          </w:tcPr>
          <w:p>
            <w:pPr>
              <w:pStyle w:val="21"/>
              <w:keepNext w:val="0"/>
              <w:keepLines w:val="0"/>
              <w:widowControl w:val="0"/>
              <w:suppressLineNumbers w:val="0"/>
              <w:adjustRightInd w:val="0"/>
              <w:snapToGrid w:val="0"/>
              <w:ind w:left="0" w:firstLine="0" w:firstLineChars="0"/>
              <w:jc w:val="center"/>
              <w:textAlignment w:val="baseline"/>
              <w:rPr>
                <w:rFonts w:hint="default" w:ascii="Times New Roman" w:hAnsi="Times New Roman" w:cs="Times New Roman"/>
                <w:bCs/>
                <w:color w:val="000000"/>
                <w:bdr w:val="none" w:color="auto" w:sz="0" w:space="0"/>
                <w:vertAlign w:val="baseline"/>
                <w:lang w:val="en-US"/>
              </w:rPr>
            </w:pPr>
            <w:r>
              <w:rPr>
                <w:rFonts w:ascii="Times New Roman" w:hAnsi="Times New Roman" w:cs="Times New Roman"/>
                <w:bCs/>
                <w:color w:val="000000"/>
                <w:bdr w:val="none" w:color="auto" w:sz="0" w:space="0"/>
                <w:vertAlign w:val="baseline"/>
              </w:rPr>
              <w:t>备注</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2093" w:type="dxa"/>
            <w:tcBorders>
              <w:top w:val="single" w:color="auto" w:sz="4" w:space="0"/>
              <w:left w:val="nil"/>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bCs/>
                <w:color w:val="000000"/>
                <w:sz w:val="21"/>
                <w:szCs w:val="24"/>
                <w:bdr w:val="none" w:color="auto" w:sz="0" w:space="0"/>
                <w:vertAlign w:val="baseline"/>
                <w:lang w:val="en-US"/>
              </w:rPr>
            </w:pPr>
            <w:r>
              <w:rPr>
                <w:rFonts w:ascii="Times New Roman" w:hAnsi="Times New Roman" w:cs="Times New Roman"/>
                <w:bCs/>
                <w:color w:val="000000"/>
                <w:sz w:val="21"/>
                <w:szCs w:val="24"/>
                <w:bdr w:val="none" w:color="auto" w:sz="0" w:space="0"/>
                <w:vertAlign w:val="baseline"/>
              </w:rPr>
              <w:t>破碎筛分排气筒</w:t>
            </w:r>
            <w:r>
              <w:rPr>
                <w:rFonts w:hint="default" w:ascii="Times New Roman" w:hAnsi="Times New Roman" w:cs="Times New Roman"/>
                <w:bCs/>
                <w:snapToGrid w:val="0"/>
                <w:color w:val="000000"/>
                <w:sz w:val="21"/>
                <w:szCs w:val="24"/>
                <w:bdr w:val="none" w:color="auto" w:sz="0" w:space="0"/>
                <w:vertAlign w:val="baseline"/>
                <w:lang w:val="en-US"/>
              </w:rPr>
              <w:t>P1</w:t>
            </w:r>
          </w:p>
        </w:tc>
        <w:tc>
          <w:tcPr>
            <w:tcW w:w="1135"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bCs/>
                <w:color w:val="000000"/>
                <w:sz w:val="21"/>
                <w:szCs w:val="24"/>
                <w:bdr w:val="none" w:color="auto" w:sz="0" w:space="0"/>
                <w:vertAlign w:val="baseline"/>
                <w:lang w:val="en-US"/>
              </w:rPr>
            </w:pPr>
            <w:r>
              <w:rPr>
                <w:rFonts w:ascii="Times New Roman" w:hAnsi="Times New Roman" w:cs="Times New Roman"/>
                <w:bCs/>
                <w:color w:val="000000"/>
                <w:sz w:val="21"/>
                <w:szCs w:val="24"/>
                <w:bdr w:val="none" w:color="auto" w:sz="0" w:space="0"/>
                <w:vertAlign w:val="baseline"/>
              </w:rPr>
              <w:t>颗粒物</w:t>
            </w:r>
          </w:p>
        </w:tc>
        <w:tc>
          <w:tcPr>
            <w:tcW w:w="2126"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bCs/>
                <w:color w:val="000000"/>
                <w:sz w:val="21"/>
                <w:szCs w:val="24"/>
                <w:bdr w:val="none" w:color="auto" w:sz="0" w:space="0"/>
                <w:vertAlign w:val="baseline"/>
                <w:lang w:val="en-US"/>
              </w:rPr>
            </w:pPr>
            <w:r>
              <w:rPr>
                <w:rFonts w:hint="default" w:ascii="Times New Roman" w:hAnsi="Times New Roman" w:cs="Times New Roman"/>
                <w:bCs/>
                <w:color w:val="000000"/>
                <w:sz w:val="21"/>
                <w:szCs w:val="24"/>
                <w:bdr w:val="none" w:color="auto" w:sz="0" w:space="0"/>
                <w:vertAlign w:val="baseline"/>
                <w:lang w:val="en-US"/>
              </w:rPr>
              <w:t>38.4</w:t>
            </w:r>
          </w:p>
        </w:tc>
        <w:tc>
          <w:tcPr>
            <w:tcW w:w="2126"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bCs/>
                <w:color w:val="000000"/>
                <w:sz w:val="21"/>
                <w:szCs w:val="24"/>
                <w:bdr w:val="none" w:color="auto" w:sz="0" w:space="0"/>
                <w:vertAlign w:val="baseline"/>
                <w:lang w:val="en-US"/>
              </w:rPr>
            </w:pPr>
            <w:r>
              <w:rPr>
                <w:rFonts w:hint="default" w:ascii="Times New Roman" w:hAnsi="Times New Roman" w:cs="Times New Roman"/>
                <w:bCs/>
                <w:color w:val="000000"/>
                <w:sz w:val="21"/>
                <w:szCs w:val="24"/>
                <w:bdr w:val="none" w:color="auto" w:sz="0" w:space="0"/>
                <w:vertAlign w:val="baseline"/>
                <w:lang w:val="en-US"/>
              </w:rPr>
              <w:t>960</w:t>
            </w:r>
          </w:p>
        </w:tc>
        <w:tc>
          <w:tcPr>
            <w:tcW w:w="1151" w:type="dxa"/>
            <w:tcBorders>
              <w:top w:val="single" w:color="auto" w:sz="4" w:space="0"/>
              <w:left w:val="single" w:color="auto" w:sz="4" w:space="0"/>
              <w:bottom w:val="thickThinSmallGap" w:color="auto" w:sz="12"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bCs/>
                <w:color w:val="000000"/>
                <w:sz w:val="21"/>
                <w:szCs w:val="24"/>
                <w:bdr w:val="none" w:color="auto" w:sz="0" w:space="0"/>
                <w:vertAlign w:val="baseline"/>
                <w:lang w:val="en-US"/>
              </w:rPr>
            </w:pPr>
            <w:r>
              <w:rPr>
                <w:rFonts w:ascii="Times New Roman" w:hAnsi="Times New Roman" w:cs="Times New Roman"/>
                <w:bCs/>
                <w:color w:val="000000"/>
                <w:sz w:val="21"/>
                <w:szCs w:val="24"/>
                <w:bdr w:val="none" w:color="auto" w:sz="0" w:space="0"/>
                <w:vertAlign w:val="baseline"/>
              </w:rPr>
              <w:t>直接排放</w:t>
            </w:r>
          </w:p>
        </w:tc>
      </w:tr>
    </w:tbl>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当出现非正常工况时，有组织废气污染源颗粒物浓度已无法满足《镁质耐火材料工业大气污染物排放标准》（</w:t>
      </w:r>
      <w:r>
        <w:rPr>
          <w:rFonts w:hint="default" w:ascii="Times New Roman" w:hAnsi="Times New Roman" w:eastAsia="宋体" w:cs="Times New Roman"/>
          <w:color w:val="000000"/>
          <w:kern w:val="0"/>
          <w:sz w:val="24"/>
          <w:szCs w:val="24"/>
          <w:lang w:val="en-US" w:eastAsia="zh-CN" w:bidi="ar"/>
        </w:rPr>
        <w:t>DB21/3011-2018</w:t>
      </w:r>
      <w:r>
        <w:rPr>
          <w:rFonts w:hint="eastAsia" w:ascii="Times New Roman" w:hAnsi="Times New Roman" w:eastAsia="宋体" w:cs="Times New Roman"/>
          <w:color w:val="000000"/>
          <w:kern w:val="0"/>
          <w:sz w:val="24"/>
          <w:szCs w:val="24"/>
          <w:lang w:val="en-US" w:eastAsia="zh-CN" w:bidi="ar"/>
        </w:rPr>
        <w:t>）中的表</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标准。此时应及时停机检修，维修完成后方可正常生产。本项目应强化运行过程环保设备管理，降低非正常工况的频次。</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 </w:t>
      </w:r>
      <w:r>
        <w:rPr>
          <w:rFonts w:ascii="Times New Roman" w:hAnsi="Times New Roman" w:cs="Times New Roman"/>
          <w:color w:val="000000"/>
          <w:lang w:eastAsia="zh-CN"/>
        </w:rPr>
        <w:t>非正常工况废水</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本项目废水事故排放主要为浮选设备运转不正常，导致矿浆排到车间或厂区的情况。该情况常见于磨机“胀肚”</w:t>
      </w:r>
      <w:r>
        <w:rPr>
          <w:rFonts w:hint="eastAsia" w:ascii="楷体" w:hAnsi="楷体" w:eastAsia="楷体" w:cs="Times New Roman"/>
          <w:color w:val="000000"/>
          <w:kern w:val="0"/>
          <w:sz w:val="24"/>
          <w:szCs w:val="24"/>
          <w:lang w:val="en-US" w:eastAsia="zh-CN" w:bidi="ar"/>
        </w:rPr>
        <w:t>(当给矿能力超过磨机的通过能力，或磨矿浓度不合理及磨矿介质不合理时发生的不正常现象)</w:t>
      </w:r>
      <w:r>
        <w:rPr>
          <w:rFonts w:hint="eastAsia" w:ascii="Times New Roman" w:hAnsi="Times New Roman" w:eastAsia="宋体" w:cs="Times New Roman"/>
          <w:color w:val="000000"/>
          <w:kern w:val="0"/>
          <w:sz w:val="24"/>
          <w:szCs w:val="24"/>
          <w:lang w:val="en-US" w:eastAsia="zh-CN" w:bidi="ar"/>
        </w:rPr>
        <w:t>以及浓缩机发生故障时。从浮选厂的实际运行看，这些情况较易判断，如磨机发生“胀肚”时，主电机电流表指示下降；分级机溢流“跑粗”现象严重，返砂量明显增大，有经验或受过培训的工人很容易判断。</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因此，发生上述事故可及时发现，流失的矿浆量较少，可通过冲洗地坪使其进入车间内的事故池中不外排。本项目矿浆输送量约</w:t>
      </w:r>
      <w:r>
        <w:rPr>
          <w:rFonts w:hint="default" w:ascii="Times New Roman" w:hAnsi="Times New Roman" w:eastAsia="宋体" w:cs="Times New Roman"/>
          <w:color w:val="000000"/>
          <w:kern w:val="0"/>
          <w:sz w:val="24"/>
          <w:szCs w:val="24"/>
          <w:lang w:val="en-US" w:eastAsia="zh-CN" w:bidi="ar"/>
        </w:rPr>
        <w:t>500m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/h</w:t>
      </w:r>
      <w:r>
        <w:rPr>
          <w:rFonts w:hint="eastAsia" w:ascii="Times New Roman" w:hAnsi="Times New Roman" w:eastAsia="宋体" w:cs="Times New Roman"/>
          <w:color w:val="000000"/>
          <w:kern w:val="0"/>
          <w:sz w:val="24"/>
          <w:szCs w:val="24"/>
          <w:lang w:val="en-US" w:eastAsia="zh-CN" w:bidi="ar"/>
        </w:rPr>
        <w:t>，假设事故发生</w:t>
      </w:r>
      <w:r>
        <w:rPr>
          <w:rFonts w:hint="default" w:ascii="Times New Roman" w:hAnsi="Times New Roman" w:eastAsia="宋体" w:cs="Times New Roman"/>
          <w:color w:val="000000"/>
          <w:kern w:val="0"/>
          <w:sz w:val="24"/>
          <w:szCs w:val="24"/>
          <w:lang w:val="en-US" w:eastAsia="zh-CN" w:bidi="ar"/>
        </w:rPr>
        <w:t>30</w:t>
      </w:r>
      <w:r>
        <w:rPr>
          <w:rFonts w:hint="eastAsia" w:ascii="Times New Roman" w:hAnsi="Times New Roman" w:eastAsia="宋体" w:cs="Times New Roman"/>
          <w:color w:val="000000"/>
          <w:kern w:val="0"/>
          <w:sz w:val="24"/>
          <w:szCs w:val="24"/>
          <w:lang w:val="en-US" w:eastAsia="zh-CN" w:bidi="ar"/>
        </w:rPr>
        <w:t>分钟，则估算出矿浆事故排放量约</w:t>
      </w:r>
      <w:r>
        <w:rPr>
          <w:rFonts w:hint="default" w:ascii="Times New Roman" w:hAnsi="Times New Roman" w:eastAsia="宋体" w:cs="Times New Roman"/>
          <w:color w:val="000000"/>
          <w:kern w:val="0"/>
          <w:sz w:val="24"/>
          <w:szCs w:val="24"/>
          <w:lang w:val="en-US" w:eastAsia="zh-CN" w:bidi="ar"/>
        </w:rPr>
        <w:t>250m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。本项目事故池总容积为</w:t>
      </w:r>
      <w:r>
        <w:rPr>
          <w:rFonts w:hint="default" w:ascii="Times New Roman" w:hAnsi="Times New Roman" w:eastAsia="宋体" w:cs="Times New Roman"/>
          <w:color w:val="000000"/>
          <w:kern w:val="0"/>
          <w:sz w:val="24"/>
          <w:szCs w:val="24"/>
          <w:lang w:val="en-US" w:eastAsia="zh-CN" w:bidi="ar"/>
        </w:rPr>
        <w:t>1000m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，事故矿浆待故障排除后由泵送回生产系统中。</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 </w:t>
      </w:r>
      <w:r>
        <w:rPr>
          <w:rFonts w:ascii="Times New Roman" w:hAnsi="Times New Roman" w:cs="Times New Roman"/>
          <w:color w:val="000000"/>
          <w:lang/>
        </w:rPr>
        <w:t>平衡分析</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.1 </w:t>
      </w:r>
      <w:r>
        <w:rPr>
          <w:rFonts w:ascii="Times New Roman" w:hAnsi="Times New Roman" w:cs="Times New Roman"/>
          <w:color w:val="000000"/>
          <w:lang/>
        </w:rPr>
        <w:t>物料平衡</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本浮选项目物料平衡情况见</w:t>
      </w:r>
      <w:r>
        <w:rPr>
          <w:rFonts w:hint="eastAsia" w:ascii="Times New Roman" w:hAnsi="Times New Roman" w:eastAsia="宋体" w:cs="Times New Roman"/>
          <w:color w:val="000000"/>
          <w:kern w:val="0"/>
          <w:sz w:val="24"/>
          <w:szCs w:val="24"/>
          <w:lang w:val="en-US" w:eastAsia="zh-CN" w:bidi="ar"/>
        </w:rPr>
        <w:t>表</w:t>
      </w:r>
      <w:r>
        <w:rPr>
          <w:rFonts w:hint="default" w:ascii="Times New Roman" w:hAnsi="Times New Roman" w:eastAsia="宋体" w:cs="Times New Roman"/>
          <w:color w:val="000000"/>
          <w:kern w:val="0"/>
          <w:sz w:val="24"/>
          <w:szCs w:val="24"/>
          <w:lang w:val="en-US" w:eastAsia="zh-CN" w:bidi="ar"/>
        </w:rPr>
        <w:t>3.3-10</w:t>
      </w:r>
      <w:r>
        <w:rPr>
          <w:rFonts w:hint="eastAsia"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物料平衡图见</w:t>
      </w:r>
      <w:r>
        <w:rPr>
          <w:rFonts w:hint="eastAsia" w:ascii="Times New Roman" w:hAnsi="Times New Roman" w:eastAsia="宋体" w:cs="Times New Roman"/>
          <w:color w:val="000000"/>
          <w:kern w:val="0"/>
          <w:sz w:val="24"/>
          <w:szCs w:val="24"/>
          <w:lang w:val="en-US" w:eastAsia="zh-CN" w:bidi="ar"/>
        </w:rPr>
        <w:t>图</w:t>
      </w:r>
      <w:r>
        <w:rPr>
          <w:rFonts w:hint="default" w:ascii="Times New Roman" w:hAnsi="Times New Roman" w:eastAsia="宋体" w:cs="Times New Roman"/>
          <w:color w:val="000000"/>
          <w:kern w:val="0"/>
          <w:sz w:val="24"/>
          <w:szCs w:val="24"/>
          <w:lang w:val="en-US" w:eastAsia="zh-CN" w:bidi="ar"/>
        </w:rPr>
        <w:t>3-5</w:t>
      </w:r>
      <w:r>
        <w:rPr>
          <w:rFonts w:hint="eastAsia" w:ascii="Times New Roman" w:hAnsi="Times New Roman" w:eastAsia="宋体" w:cs="Times New Roman"/>
          <w:color w:val="000000"/>
          <w:kern w:val="0"/>
          <w:sz w:val="24"/>
          <w:szCs w:val="24"/>
          <w:lang w:val="en-US" w:eastAsia="zh-CN" w:bidi="ar"/>
        </w:rPr>
        <w:t>。扩建后全厂</w:t>
      </w:r>
      <w:r>
        <w:rPr>
          <w:rFonts w:hint="eastAsia" w:ascii="宋体" w:hAnsi="宋体" w:eastAsia="宋体" w:cs="宋体"/>
          <w:color w:val="000000"/>
          <w:kern w:val="0"/>
          <w:sz w:val="24"/>
          <w:szCs w:val="24"/>
          <w:lang w:val="en-US" w:eastAsia="zh-CN" w:bidi="ar"/>
        </w:rPr>
        <w:t>物料平衡情况见</w:t>
      </w:r>
      <w:r>
        <w:rPr>
          <w:rFonts w:hint="eastAsia" w:ascii="Times New Roman" w:hAnsi="Times New Roman" w:eastAsia="宋体" w:cs="Times New Roman"/>
          <w:color w:val="000000"/>
          <w:kern w:val="0"/>
          <w:sz w:val="24"/>
          <w:szCs w:val="24"/>
          <w:lang w:val="en-US" w:eastAsia="zh-CN" w:bidi="ar"/>
        </w:rPr>
        <w:t>表</w:t>
      </w:r>
      <w:r>
        <w:rPr>
          <w:rFonts w:hint="default" w:ascii="Times New Roman" w:hAnsi="Times New Roman" w:eastAsia="宋体" w:cs="Times New Roman"/>
          <w:color w:val="000000"/>
          <w:kern w:val="0"/>
          <w:sz w:val="24"/>
          <w:szCs w:val="24"/>
          <w:lang w:val="en-US" w:eastAsia="zh-CN" w:bidi="ar"/>
        </w:rPr>
        <w:t>3.3-11</w:t>
      </w:r>
      <w:r>
        <w:rPr>
          <w:rFonts w:hint="eastAsia" w:ascii="Times New Roman" w:hAnsi="Times New Roman" w:eastAsia="宋体" w:cs="Times New Roman"/>
          <w:color w:val="000000"/>
          <w:kern w:val="0"/>
          <w:sz w:val="24"/>
          <w:szCs w:val="24"/>
          <w:lang w:val="en-US" w:eastAsia="zh-CN" w:bidi="ar"/>
        </w:rPr>
        <w:t>和图</w:t>
      </w:r>
      <w:r>
        <w:rPr>
          <w:rFonts w:hint="default" w:ascii="Times New Roman" w:hAnsi="Times New Roman" w:eastAsia="宋体" w:cs="Times New Roman"/>
          <w:color w:val="000000"/>
          <w:kern w:val="0"/>
          <w:sz w:val="24"/>
          <w:szCs w:val="24"/>
          <w:lang w:val="en-US" w:eastAsia="zh-CN" w:bidi="ar"/>
        </w:rPr>
        <w:t>3-6</w:t>
      </w:r>
      <w:r>
        <w:rPr>
          <w:rFonts w:hint="eastAsia" w:ascii="Times New Roman" w:hAnsi="Times New Roman" w:eastAsia="宋体" w:cs="Times New Roman"/>
          <w:color w:val="000000"/>
          <w:kern w:val="0"/>
          <w:sz w:val="24"/>
          <w:szCs w:val="24"/>
          <w:lang w:val="en-US" w:eastAsia="zh-CN" w:bidi="ar"/>
        </w:rPr>
        <w:t>。</w:t>
      </w:r>
    </w:p>
    <w:p>
      <w:pPr>
        <w:pStyle w:val="56"/>
        <w:widowControl/>
        <w:snapToGrid/>
        <w:rPr>
          <w:color w:val="000000"/>
          <w:lang w:val="en-US"/>
        </w:rPr>
      </w:pPr>
      <w:r>
        <w:rPr>
          <w:rFonts w:hint="eastAsia" w:ascii="Times New Roman" w:hAnsi="Times New Roman" w:eastAsia="黑体" w:cs="黑体"/>
          <w:color w:val="000000"/>
          <w:lang w:eastAsia="zh-CN"/>
        </w:rPr>
        <w:t>表</w:t>
      </w:r>
      <w:r>
        <w:rPr>
          <w:color w:val="000000"/>
          <w:lang w:val="en-US"/>
        </w:rPr>
        <w:t xml:space="preserve">3.3-10  </w:t>
      </w:r>
      <w:r>
        <w:rPr>
          <w:rFonts w:hint="eastAsia" w:ascii="Times New Roman" w:hAnsi="Times New Roman" w:eastAsia="黑体" w:cs="黑体"/>
          <w:color w:val="000000"/>
          <w:lang w:eastAsia="zh-CN"/>
        </w:rPr>
        <w:t>本项目物料平衡分析表</w:t>
      </w:r>
    </w:p>
    <w:tbl>
      <w:tblPr>
        <w:tblStyle w:val="32"/>
        <w:tblW w:w="8629" w:type="dxa"/>
        <w:tblInd w:w="108"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417"/>
        <w:gridCol w:w="1559"/>
        <w:gridCol w:w="1277"/>
        <w:gridCol w:w="1559"/>
        <w:gridCol w:w="1559"/>
        <w:gridCol w:w="1258"/>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97" w:hRule="atLeast"/>
        </w:trPr>
        <w:tc>
          <w:tcPr>
            <w:tcW w:w="2976" w:type="dxa"/>
            <w:gridSpan w:val="2"/>
            <w:tcBorders>
              <w:top w:val="thinThickSmallGap" w:color="auto" w:sz="12" w:space="0"/>
              <w:left w:val="nil"/>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投入量（</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5653" w:type="dxa"/>
            <w:gridSpan w:val="4"/>
            <w:tcBorders>
              <w:top w:val="thinThickSmallGap" w:color="auto" w:sz="12" w:space="0"/>
              <w:left w:val="single" w:color="auto" w:sz="6" w:space="0"/>
              <w:bottom w:val="single" w:color="auto" w:sz="6" w:space="0"/>
              <w:right w:val="nil"/>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产出量（</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17" w:type="dxa"/>
            <w:tcBorders>
              <w:top w:val="single" w:color="auto" w:sz="6" w:space="0"/>
              <w:left w:val="nil"/>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进料名称</w:t>
            </w:r>
          </w:p>
        </w:tc>
        <w:tc>
          <w:tcPr>
            <w:tcW w:w="1559"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进料量</w:t>
            </w:r>
          </w:p>
        </w:tc>
        <w:tc>
          <w:tcPr>
            <w:tcW w:w="1277"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类别</w:t>
            </w:r>
          </w:p>
        </w:tc>
        <w:tc>
          <w:tcPr>
            <w:tcW w:w="1559"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出料名称</w:t>
            </w:r>
          </w:p>
        </w:tc>
        <w:tc>
          <w:tcPr>
            <w:tcW w:w="1559"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出料量</w:t>
            </w:r>
          </w:p>
        </w:tc>
        <w:tc>
          <w:tcPr>
            <w:tcW w:w="1258" w:type="dxa"/>
            <w:tcBorders>
              <w:top w:val="single" w:color="auto" w:sz="6" w:space="0"/>
              <w:left w:val="single" w:color="auto" w:sz="6" w:space="0"/>
              <w:bottom w:val="single" w:color="auto" w:sz="6" w:space="0"/>
              <w:right w:val="nil"/>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去向</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17"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菱镁原矿</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1250000</w:t>
            </w:r>
          </w:p>
        </w:tc>
        <w:tc>
          <w:tcPr>
            <w:tcW w:w="1277" w:type="dxa"/>
            <w:vMerge w:val="restar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产品</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菱镁精矿</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1000000</w:t>
            </w:r>
          </w:p>
        </w:tc>
        <w:tc>
          <w:tcPr>
            <w:tcW w:w="125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精矿库</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2" w:hRule="atLeast"/>
        </w:trPr>
        <w:tc>
          <w:tcPr>
            <w:tcW w:w="1417"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反浮选药剂</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1500</w:t>
            </w:r>
          </w:p>
        </w:tc>
        <w:tc>
          <w:tcPr>
            <w:tcW w:w="1277"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菱镁尾矿</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227489.03</w:t>
            </w:r>
          </w:p>
        </w:tc>
        <w:tc>
          <w:tcPr>
            <w:tcW w:w="125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尾矿库</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17"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除尘灰</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449.94</w:t>
            </w:r>
          </w:p>
        </w:tc>
        <w:tc>
          <w:tcPr>
            <w:tcW w:w="1277" w:type="dxa"/>
            <w:vMerge w:val="restar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废气</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有组织颗粒物</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2.26</w:t>
            </w:r>
          </w:p>
        </w:tc>
        <w:tc>
          <w:tcPr>
            <w:tcW w:w="1258" w:type="dxa"/>
            <w:vMerge w:val="restar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排入大气</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17"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落地粉尘</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34.84</w:t>
            </w:r>
          </w:p>
        </w:tc>
        <w:tc>
          <w:tcPr>
            <w:tcW w:w="1277"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无组织颗粒物</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8.71</w:t>
            </w:r>
          </w:p>
        </w:tc>
        <w:tc>
          <w:tcPr>
            <w:tcW w:w="1258" w:type="dxa"/>
            <w:vMerge w:val="continue"/>
            <w:tcBorders>
              <w:top w:val="single" w:color="auto" w:sz="6" w:space="0"/>
              <w:left w:val="single" w:color="auto" w:sz="6" w:space="0"/>
              <w:bottom w:val="single" w:color="auto" w:sz="6"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17"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277" w:type="dxa"/>
            <w:vMerge w:val="restar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固废</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除尘灰</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449.94</w:t>
            </w:r>
          </w:p>
        </w:tc>
        <w:tc>
          <w:tcPr>
            <w:tcW w:w="1258" w:type="dxa"/>
            <w:vMerge w:val="restar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回用于</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生产</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17"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277"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落地粉尘</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34.84</w:t>
            </w:r>
          </w:p>
        </w:tc>
        <w:tc>
          <w:tcPr>
            <w:tcW w:w="1258" w:type="dxa"/>
            <w:vMerge w:val="continue"/>
            <w:tcBorders>
              <w:top w:val="single" w:color="auto" w:sz="6" w:space="0"/>
              <w:left w:val="single" w:color="auto" w:sz="6" w:space="0"/>
              <w:bottom w:val="single" w:color="auto" w:sz="6"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17"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277"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循环水池矿泥</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24000</w:t>
            </w:r>
          </w:p>
        </w:tc>
        <w:tc>
          <w:tcPr>
            <w:tcW w:w="125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尾矿库</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17" w:type="dxa"/>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2"/>
                <w:szCs w:val="22"/>
                <w:bdr w:val="none" w:color="auto" w:sz="0" w:space="0"/>
                <w:lang w:val="en-US"/>
              </w:rPr>
            </w:pPr>
            <w:r>
              <w:rPr>
                <w:rFonts w:ascii="Times New Roman" w:hAnsi="Times New Roman" w:cs="Times New Roman"/>
                <w:b/>
                <w:bCs w:val="0"/>
                <w:color w:val="000000"/>
                <w:sz w:val="22"/>
                <w:szCs w:val="22"/>
                <w:bdr w:val="none" w:color="auto" w:sz="0" w:space="0"/>
              </w:rPr>
              <w:t>合计</w:t>
            </w:r>
          </w:p>
        </w:tc>
        <w:tc>
          <w:tcPr>
            <w:tcW w:w="1559"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1251984.78</w:t>
            </w:r>
          </w:p>
        </w:tc>
        <w:tc>
          <w:tcPr>
            <w:tcW w:w="1277"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w:t>
            </w:r>
          </w:p>
        </w:tc>
        <w:tc>
          <w:tcPr>
            <w:tcW w:w="1559" w:type="dxa"/>
            <w:tcBorders>
              <w:top w:val="single" w:color="auto" w:sz="6" w:space="0"/>
              <w:left w:val="single" w:color="auto" w:sz="6" w:space="0"/>
              <w:bottom w:val="thickThinSmallGap" w:color="auto" w:sz="12" w:space="0"/>
              <w:right w:val="single" w:color="auto" w:sz="6" w:space="0"/>
            </w:tcBorders>
            <w:shd w:val="clear"/>
            <w:noWrap/>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合计</w:t>
            </w:r>
          </w:p>
        </w:tc>
        <w:tc>
          <w:tcPr>
            <w:tcW w:w="1559"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1251984.78</w:t>
            </w:r>
          </w:p>
        </w:tc>
        <w:tc>
          <w:tcPr>
            <w:tcW w:w="1258" w:type="dxa"/>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w:t>
            </w:r>
          </w:p>
        </w:tc>
      </w:tr>
    </w:tbl>
    <w:p>
      <w:pPr>
        <w:keepNext w:val="0"/>
        <w:keepLines w:val="0"/>
        <w:widowControl/>
        <w:suppressLineNumbers w:val="0"/>
        <w:spacing w:before="0" w:beforeAutospacing="0" w:after="0" w:afterAutospacing="0"/>
        <w:ind w:left="0" w:right="0"/>
        <w:jc w:val="center"/>
        <w:rPr>
          <w:color w:val="000000"/>
          <w:lang w:val="en-US"/>
        </w:rPr>
      </w:pPr>
    </w:p>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lang w:val="en-US"/>
        </w:rPr>
      </w:pPr>
      <w:r>
        <w:rPr>
          <w:rFonts w:hint="eastAsia" w:ascii="宋体" w:hAnsi="宋体" w:eastAsia="宋体" w:cs="宋体"/>
          <w:color w:val="000000"/>
          <w:kern w:val="0"/>
          <w:sz w:val="24"/>
          <w:szCs w:val="24"/>
          <w:lang w:val="en-US" w:eastAsia="zh-CN" w:bidi="ar"/>
        </w:rPr>
        <w:object>
          <v:shape id="_x0000_i1031" o:spt="75" type="#_x0000_t75" style="height:539.25pt;width:440.25pt;" o:ole="t" filled="f" o:preferrelative="t" stroked="f" coordsize="21600,21600">
            <v:path/>
            <v:fill on="f" focussize="0,0"/>
            <v:stroke on="f" joinstyle="miter"/>
            <v:imagedata r:id="rId23" o:title=""/>
            <o:lock v:ext="edit" aspectratio="t"/>
            <w10:wrap type="none"/>
            <w10:anchorlock/>
          </v:shape>
          <o:OLEObject Type="Embed" ProgID="" ShapeID="_x0000_i1031" DrawAspect="Content" ObjectID="_1468075728" r:id="rId22">
            <o:LockedField>false</o:LockedField>
          </o:OLEObject>
        </w:object>
      </w: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3-5  </w:t>
      </w:r>
      <w:r>
        <w:rPr>
          <w:rFonts w:hint="eastAsia" w:ascii="Times New Roman" w:hAnsi="Times New Roman" w:eastAsia="黑体" w:cs="Times New Roman"/>
          <w:color w:val="000000"/>
          <w:kern w:val="0"/>
          <w:sz w:val="24"/>
          <w:szCs w:val="24"/>
          <w:lang w:val="en-US" w:eastAsia="zh-CN" w:bidi="ar"/>
        </w:rPr>
        <w:t>本项目物料平衡图（单位：</w:t>
      </w:r>
      <w:r>
        <w:rPr>
          <w:rFonts w:hint="default" w:ascii="Times New Roman" w:hAnsi="Times New Roman" w:eastAsia="黑体" w:cs="Times New Roman"/>
          <w:color w:val="000000"/>
          <w:kern w:val="0"/>
          <w:sz w:val="24"/>
          <w:szCs w:val="24"/>
          <w:lang w:val="en-US" w:eastAsia="zh-CN" w:bidi="ar"/>
        </w:rPr>
        <w:t>t/a</w:t>
      </w:r>
      <w:r>
        <w:rPr>
          <w:rFonts w:hint="eastAsia" w:ascii="Times New Roman" w:hAnsi="Times New Roman" w:eastAsia="黑体" w:cs="Times New Roman"/>
          <w:color w:val="000000"/>
          <w:kern w:val="0"/>
          <w:sz w:val="24"/>
          <w:szCs w:val="24"/>
          <w:lang w:val="en-US" w:eastAsia="zh-CN" w:bidi="ar"/>
        </w:rPr>
        <w:t>）</w:t>
      </w:r>
    </w:p>
    <w:p>
      <w:pPr>
        <w:pStyle w:val="56"/>
        <w:widowControl/>
        <w:snapToGrid/>
        <w:rPr>
          <w:color w:val="000000"/>
          <w:lang w:val="en-US"/>
        </w:rPr>
      </w:pPr>
      <w:r>
        <w:rPr>
          <w:rFonts w:hint="default" w:ascii="Times New Roman" w:hAnsi="Times New Roman" w:eastAsia="黑体" w:cs="Times New Roman"/>
          <w:color w:val="000000"/>
          <w:kern w:val="2"/>
          <w:sz w:val="24"/>
          <w:szCs w:val="20"/>
          <w:lang w:val="en-US" w:eastAsia="zh-CN" w:bidi="ar"/>
        </w:rPr>
        <w:br w:type="page"/>
      </w:r>
      <w:r>
        <w:rPr>
          <w:rFonts w:hint="eastAsia" w:ascii="Times New Roman" w:hAnsi="Times New Roman" w:eastAsia="黑体" w:cs="黑体"/>
          <w:color w:val="000000"/>
          <w:lang w:eastAsia="zh-CN"/>
        </w:rPr>
        <w:t>表</w:t>
      </w:r>
      <w:r>
        <w:rPr>
          <w:color w:val="000000"/>
          <w:lang w:val="en-US"/>
        </w:rPr>
        <w:t xml:space="preserve">3.3-11  </w:t>
      </w:r>
      <w:r>
        <w:rPr>
          <w:rFonts w:hint="eastAsia" w:ascii="Times New Roman" w:hAnsi="Times New Roman" w:eastAsia="黑体" w:cs="黑体"/>
          <w:color w:val="000000"/>
          <w:lang w:eastAsia="zh-CN"/>
        </w:rPr>
        <w:t>全厂物料平衡一览表</w:t>
      </w:r>
    </w:p>
    <w:tbl>
      <w:tblPr>
        <w:tblStyle w:val="32"/>
        <w:tblW w:w="8629" w:type="dxa"/>
        <w:tblInd w:w="108"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417"/>
        <w:gridCol w:w="1559"/>
        <w:gridCol w:w="1277"/>
        <w:gridCol w:w="1559"/>
        <w:gridCol w:w="1559"/>
        <w:gridCol w:w="1258"/>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97" w:hRule="atLeast"/>
        </w:trPr>
        <w:tc>
          <w:tcPr>
            <w:tcW w:w="2976" w:type="dxa"/>
            <w:gridSpan w:val="2"/>
            <w:tcBorders>
              <w:top w:val="thinThickSmallGap" w:color="auto" w:sz="12" w:space="0"/>
              <w:left w:val="nil"/>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投入量（</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5653" w:type="dxa"/>
            <w:gridSpan w:val="4"/>
            <w:tcBorders>
              <w:top w:val="thinThickSmallGap" w:color="auto" w:sz="12" w:space="0"/>
              <w:left w:val="single" w:color="auto" w:sz="6" w:space="0"/>
              <w:bottom w:val="single" w:color="auto" w:sz="6" w:space="0"/>
              <w:right w:val="nil"/>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产出量（</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17" w:type="dxa"/>
            <w:tcBorders>
              <w:top w:val="single" w:color="auto" w:sz="6" w:space="0"/>
              <w:left w:val="nil"/>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进料名称</w:t>
            </w:r>
          </w:p>
        </w:tc>
        <w:tc>
          <w:tcPr>
            <w:tcW w:w="1559"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进料量</w:t>
            </w:r>
          </w:p>
        </w:tc>
        <w:tc>
          <w:tcPr>
            <w:tcW w:w="1277"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类别</w:t>
            </w:r>
          </w:p>
        </w:tc>
        <w:tc>
          <w:tcPr>
            <w:tcW w:w="1559"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出料名称</w:t>
            </w:r>
          </w:p>
        </w:tc>
        <w:tc>
          <w:tcPr>
            <w:tcW w:w="1559"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出料量</w:t>
            </w:r>
          </w:p>
        </w:tc>
        <w:tc>
          <w:tcPr>
            <w:tcW w:w="1258" w:type="dxa"/>
            <w:tcBorders>
              <w:top w:val="single" w:color="auto" w:sz="6" w:space="0"/>
              <w:left w:val="single" w:color="auto" w:sz="6" w:space="0"/>
              <w:bottom w:val="single" w:color="auto" w:sz="6" w:space="0"/>
              <w:right w:val="nil"/>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去向</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PrEx>
        <w:trPr>
          <w:trHeight w:val="397" w:hRule="atLeast"/>
        </w:trPr>
        <w:tc>
          <w:tcPr>
            <w:tcW w:w="1417"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菱镁原矿</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1450000</w:t>
            </w:r>
          </w:p>
        </w:tc>
        <w:tc>
          <w:tcPr>
            <w:tcW w:w="1277" w:type="dxa"/>
            <w:vMerge w:val="restar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产品</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菱镁精矿</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1155000</w:t>
            </w:r>
          </w:p>
        </w:tc>
        <w:tc>
          <w:tcPr>
            <w:tcW w:w="125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精矿库</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PrEx>
        <w:trPr>
          <w:trHeight w:val="392" w:hRule="atLeast"/>
        </w:trPr>
        <w:tc>
          <w:tcPr>
            <w:tcW w:w="1417"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反浮选药剂</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1700</w:t>
            </w:r>
          </w:p>
        </w:tc>
        <w:tc>
          <w:tcPr>
            <w:tcW w:w="1277"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菱镁尾矿</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268686.69</w:t>
            </w:r>
          </w:p>
        </w:tc>
        <w:tc>
          <w:tcPr>
            <w:tcW w:w="125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尾矿库</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PrEx>
        <w:trPr>
          <w:trHeight w:val="397" w:hRule="atLeast"/>
        </w:trPr>
        <w:tc>
          <w:tcPr>
            <w:tcW w:w="1417"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除尘灰</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449.94</w:t>
            </w:r>
          </w:p>
        </w:tc>
        <w:tc>
          <w:tcPr>
            <w:tcW w:w="1277" w:type="dxa"/>
            <w:vMerge w:val="restar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废气</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有组织颗粒物</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2.26</w:t>
            </w:r>
          </w:p>
        </w:tc>
        <w:tc>
          <w:tcPr>
            <w:tcW w:w="1258" w:type="dxa"/>
            <w:vMerge w:val="restar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排入大气</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PrEx>
        <w:trPr>
          <w:trHeight w:val="397" w:hRule="atLeast"/>
        </w:trPr>
        <w:tc>
          <w:tcPr>
            <w:tcW w:w="1417"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落地粉尘</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41.86</w:t>
            </w:r>
          </w:p>
        </w:tc>
        <w:tc>
          <w:tcPr>
            <w:tcW w:w="1277"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无组织颗粒物</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11.05</w:t>
            </w:r>
          </w:p>
        </w:tc>
        <w:tc>
          <w:tcPr>
            <w:tcW w:w="1258" w:type="dxa"/>
            <w:vMerge w:val="continue"/>
            <w:tcBorders>
              <w:top w:val="single" w:color="auto" w:sz="6" w:space="0"/>
              <w:left w:val="single" w:color="auto" w:sz="6" w:space="0"/>
              <w:bottom w:val="single" w:color="auto" w:sz="6"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PrEx>
        <w:trPr>
          <w:trHeight w:val="397" w:hRule="atLeast"/>
        </w:trPr>
        <w:tc>
          <w:tcPr>
            <w:tcW w:w="1417"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277" w:type="dxa"/>
            <w:vMerge w:val="restar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固废</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除尘灰</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449.94</w:t>
            </w:r>
          </w:p>
        </w:tc>
        <w:tc>
          <w:tcPr>
            <w:tcW w:w="1258" w:type="dxa"/>
            <w:vMerge w:val="restar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回用于</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生产</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PrEx>
        <w:trPr>
          <w:trHeight w:val="397" w:hRule="atLeast"/>
        </w:trPr>
        <w:tc>
          <w:tcPr>
            <w:tcW w:w="1417"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277"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落地粉尘</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41.86</w:t>
            </w:r>
          </w:p>
        </w:tc>
        <w:tc>
          <w:tcPr>
            <w:tcW w:w="1258" w:type="dxa"/>
            <w:vMerge w:val="continue"/>
            <w:tcBorders>
              <w:top w:val="single" w:color="auto" w:sz="6" w:space="0"/>
              <w:left w:val="single" w:color="auto" w:sz="6" w:space="0"/>
              <w:bottom w:val="single" w:color="auto" w:sz="6"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PrEx>
        <w:trPr>
          <w:trHeight w:val="397" w:hRule="atLeast"/>
        </w:trPr>
        <w:tc>
          <w:tcPr>
            <w:tcW w:w="1417"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277"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循环水池矿泥</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28000</w:t>
            </w:r>
          </w:p>
        </w:tc>
        <w:tc>
          <w:tcPr>
            <w:tcW w:w="125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尾矿库</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PrEx>
        <w:trPr>
          <w:trHeight w:val="397" w:hRule="atLeast"/>
        </w:trPr>
        <w:tc>
          <w:tcPr>
            <w:tcW w:w="1417" w:type="dxa"/>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2"/>
                <w:szCs w:val="22"/>
                <w:bdr w:val="none" w:color="auto" w:sz="0" w:space="0"/>
                <w:lang w:val="en-US"/>
              </w:rPr>
            </w:pPr>
            <w:r>
              <w:rPr>
                <w:rFonts w:ascii="Times New Roman" w:hAnsi="Times New Roman" w:cs="Times New Roman"/>
                <w:b/>
                <w:bCs w:val="0"/>
                <w:color w:val="000000"/>
                <w:sz w:val="22"/>
                <w:szCs w:val="22"/>
                <w:bdr w:val="none" w:color="auto" w:sz="0" w:space="0"/>
              </w:rPr>
              <w:t>合计</w:t>
            </w:r>
          </w:p>
        </w:tc>
        <w:tc>
          <w:tcPr>
            <w:tcW w:w="1559"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1452191.8</w:t>
            </w:r>
          </w:p>
        </w:tc>
        <w:tc>
          <w:tcPr>
            <w:tcW w:w="1277"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w:t>
            </w:r>
          </w:p>
        </w:tc>
        <w:tc>
          <w:tcPr>
            <w:tcW w:w="1559" w:type="dxa"/>
            <w:tcBorders>
              <w:top w:val="single" w:color="auto" w:sz="6" w:space="0"/>
              <w:left w:val="single" w:color="auto" w:sz="6" w:space="0"/>
              <w:bottom w:val="thickThinSmallGap" w:color="auto" w:sz="12" w:space="0"/>
              <w:right w:val="single" w:color="auto" w:sz="6" w:space="0"/>
            </w:tcBorders>
            <w:shd w:val="clear"/>
            <w:noWrap/>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合计</w:t>
            </w:r>
          </w:p>
        </w:tc>
        <w:tc>
          <w:tcPr>
            <w:tcW w:w="1559"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1452191.8</w:t>
            </w:r>
          </w:p>
        </w:tc>
        <w:tc>
          <w:tcPr>
            <w:tcW w:w="1258" w:type="dxa"/>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w:t>
            </w:r>
          </w:p>
        </w:tc>
      </w:tr>
    </w:tbl>
    <w:p>
      <w:pPr>
        <w:pStyle w:val="56"/>
        <w:widowControl/>
        <w:snapToGrid/>
        <w:rPr>
          <w:color w:val="000000"/>
          <w:lang w:val="en-US"/>
        </w:rPr>
      </w:pPr>
    </w:p>
    <w:p>
      <w:pPr>
        <w:pStyle w:val="56"/>
        <w:widowControl/>
        <w:snapToGrid/>
        <w:rPr>
          <w:color w:val="000000"/>
          <w:lang w:val="en-US"/>
        </w:rPr>
      </w:pPr>
      <w:r>
        <w:rPr>
          <w:color w:val="000000"/>
          <w:lang w:eastAsia="zh-CN"/>
        </w:rPr>
        <w:object>
          <v:shape id="_x0000_i1032" o:spt="75" type="#_x0000_t75" style="height:273pt;width:403.5pt;" o:ole="t" filled="f" o:preferrelative="t" stroked="f" coordsize="21600,21600">
            <v:path/>
            <v:fill on="f" focussize="0,0"/>
            <v:stroke on="f" joinstyle="miter"/>
            <v:imagedata r:id="rId25" o:title=""/>
            <o:lock v:ext="edit" aspectratio="t"/>
            <w10:wrap type="none"/>
            <w10:anchorlock/>
          </v:shape>
          <o:OLEObject Type="Embed" ProgID="" ShapeID="_x0000_i1032" DrawAspect="Content" ObjectID="_1468075729" r:id="rId24">
            <o:LockedField>false</o:LockedField>
          </o:OLEObject>
        </w:object>
      </w:r>
    </w:p>
    <w:p>
      <w:pPr>
        <w:pStyle w:val="56"/>
        <w:widowControl/>
        <w:snapToGrid/>
        <w:rPr>
          <w:color w:val="000000"/>
          <w:lang w:val="en-US"/>
        </w:rPr>
      </w:pPr>
      <w:r>
        <w:rPr>
          <w:rFonts w:hint="eastAsia" w:ascii="Times New Roman" w:hAnsi="Times New Roman" w:eastAsia="黑体" w:cs="黑体"/>
          <w:color w:val="000000"/>
          <w:lang w:eastAsia="zh-CN"/>
        </w:rPr>
        <w:t>图</w:t>
      </w:r>
      <w:r>
        <w:rPr>
          <w:color w:val="000000"/>
          <w:lang w:val="en-US"/>
        </w:rPr>
        <w:t xml:space="preserve">3-6  </w:t>
      </w:r>
      <w:r>
        <w:rPr>
          <w:rFonts w:hint="eastAsia" w:ascii="Times New Roman" w:hAnsi="Times New Roman" w:eastAsia="黑体" w:cs="黑体"/>
          <w:color w:val="000000"/>
          <w:lang w:eastAsia="zh-CN"/>
        </w:rPr>
        <w:t>本项目扩建后全厂物料平衡图（单位：</w:t>
      </w:r>
      <w:r>
        <w:rPr>
          <w:color w:val="000000"/>
          <w:lang w:val="en-US"/>
        </w:rPr>
        <w:t>t/a</w:t>
      </w:r>
      <w:r>
        <w:rPr>
          <w:rFonts w:hint="eastAsia" w:ascii="Times New Roman" w:hAnsi="Times New Roman" w:eastAsia="黑体" w:cs="黑体"/>
          <w:color w:val="000000"/>
          <w:lang w:eastAsia="zh-CN"/>
        </w:rPr>
        <w:t>）</w:t>
      </w:r>
    </w:p>
    <w:p>
      <w:pPr>
        <w:pStyle w:val="56"/>
        <w:widowControl/>
        <w:snapToGrid/>
        <w:rPr>
          <w:color w:val="000000"/>
          <w:lang w:val="en-US"/>
        </w:rPr>
      </w:pPr>
    </w:p>
    <w:p>
      <w:pPr>
        <w:pStyle w:val="113"/>
        <w:widowControl/>
        <w:rPr>
          <w:rFonts w:hint="default" w:ascii="Times New Roman" w:hAnsi="Times New Roman" w:cs="Times New Roman"/>
          <w:color w:val="000000"/>
          <w:lang/>
        </w:rPr>
      </w:pPr>
      <w:r>
        <w:rPr>
          <w:rFonts w:hint="default" w:ascii="Times New Roman" w:hAnsi="Times New Roman" w:eastAsia="宋体" w:cs="Times New Roman"/>
          <w:b/>
          <w:bCs w:val="0"/>
          <w:color w:val="000000"/>
          <w:sz w:val="24"/>
          <w:szCs w:val="28"/>
          <w:lang w:eastAsia="zh-CN" w:bidi="ar"/>
        </w:rPr>
        <w:br w:type="page"/>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.2 </w:t>
      </w:r>
      <w:r>
        <w:rPr>
          <w:rFonts w:ascii="Times New Roman" w:hAnsi="Times New Roman" w:cs="Times New Roman"/>
          <w:color w:val="000000"/>
          <w:lang w:eastAsia="zh-CN"/>
        </w:rPr>
        <w:t>氧化镁</w:t>
      </w:r>
      <w:r>
        <w:rPr>
          <w:rFonts w:ascii="Times New Roman" w:hAnsi="Times New Roman" w:cs="Times New Roman"/>
          <w:color w:val="000000"/>
          <w:lang/>
        </w:rPr>
        <w:t>平衡</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本项目</w:t>
      </w:r>
      <w:r>
        <w:rPr>
          <w:rFonts w:hint="default" w:ascii="Times New Roman" w:hAnsi="Times New Roman" w:eastAsia="宋体" w:cs="Times New Roman"/>
          <w:color w:val="000000"/>
          <w:kern w:val="0"/>
          <w:sz w:val="24"/>
          <w:szCs w:val="24"/>
          <w:lang w:val="en-US" w:eastAsia="zh-CN" w:bidi="ar"/>
        </w:rPr>
        <w:t>MgO</w:t>
      </w:r>
      <w:r>
        <w:rPr>
          <w:rFonts w:hint="eastAsia" w:ascii="宋体" w:hAnsi="宋体" w:eastAsia="宋体" w:cs="宋体"/>
          <w:color w:val="000000"/>
          <w:kern w:val="0"/>
          <w:sz w:val="24"/>
          <w:szCs w:val="24"/>
          <w:lang w:val="en-US" w:eastAsia="zh-CN" w:bidi="ar"/>
        </w:rPr>
        <w:t>平衡情况见下表和</w:t>
      </w:r>
      <w:r>
        <w:rPr>
          <w:rFonts w:hint="eastAsia" w:ascii="Times New Roman" w:hAnsi="Times New Roman" w:eastAsia="宋体" w:cs="Times New Roman"/>
          <w:color w:val="000000"/>
          <w:kern w:val="0"/>
          <w:sz w:val="24"/>
          <w:szCs w:val="24"/>
          <w:lang w:val="en-US" w:eastAsia="zh-CN" w:bidi="ar"/>
        </w:rPr>
        <w:t>图</w:t>
      </w:r>
      <w:r>
        <w:rPr>
          <w:rFonts w:hint="default" w:ascii="Times New Roman" w:hAnsi="Times New Roman" w:eastAsia="宋体" w:cs="Times New Roman"/>
          <w:color w:val="000000"/>
          <w:kern w:val="0"/>
          <w:sz w:val="24"/>
          <w:szCs w:val="24"/>
          <w:lang w:val="en-US" w:eastAsia="zh-CN" w:bidi="ar"/>
        </w:rPr>
        <w:t>3-7</w:t>
      </w:r>
      <w:r>
        <w:rPr>
          <w:rFonts w:hint="eastAsia" w:ascii="Times New Roman" w:hAnsi="Times New Roman" w:eastAsia="宋体" w:cs="Times New Roman"/>
          <w:color w:val="000000"/>
          <w:kern w:val="0"/>
          <w:sz w:val="24"/>
          <w:szCs w:val="24"/>
          <w:lang w:val="en-US" w:eastAsia="zh-CN" w:bidi="ar"/>
        </w:rPr>
        <w:t>。</w:t>
      </w:r>
    </w:p>
    <w:p>
      <w:pPr>
        <w:pStyle w:val="56"/>
        <w:widowControl/>
        <w:snapToGrid/>
        <w:rPr>
          <w:color w:val="000000"/>
          <w:lang w:val="en-US"/>
        </w:rPr>
      </w:pPr>
      <w:r>
        <w:rPr>
          <w:rFonts w:hint="eastAsia" w:ascii="Times New Roman" w:hAnsi="Times New Roman" w:eastAsia="黑体" w:cs="黑体"/>
          <w:color w:val="000000"/>
          <w:lang w:eastAsia="zh-CN"/>
        </w:rPr>
        <w:t>表</w:t>
      </w:r>
      <w:r>
        <w:rPr>
          <w:color w:val="000000"/>
          <w:lang w:val="en-US"/>
        </w:rPr>
        <w:t>3.3-12  MgO</w:t>
      </w:r>
      <w:r>
        <w:rPr>
          <w:rFonts w:hint="eastAsia" w:ascii="Times New Roman" w:hAnsi="Times New Roman" w:eastAsia="黑体" w:cs="黑体"/>
          <w:color w:val="000000"/>
          <w:lang w:eastAsia="zh-CN"/>
        </w:rPr>
        <w:t>平衡分析表</w:t>
      </w:r>
    </w:p>
    <w:tbl>
      <w:tblPr>
        <w:tblStyle w:val="32"/>
        <w:tblW w:w="8629" w:type="dxa"/>
        <w:tblInd w:w="108"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060"/>
        <w:gridCol w:w="951"/>
        <w:gridCol w:w="971"/>
        <w:gridCol w:w="1172"/>
        <w:gridCol w:w="1094"/>
        <w:gridCol w:w="1109"/>
        <w:gridCol w:w="1094"/>
        <w:gridCol w:w="1178"/>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blHeader/>
        </w:trPr>
        <w:tc>
          <w:tcPr>
            <w:tcW w:w="4154" w:type="dxa"/>
            <w:gridSpan w:val="4"/>
            <w:tcBorders>
              <w:top w:val="thinThickSmallGap" w:color="auto" w:sz="12" w:space="0"/>
              <w:left w:val="nil"/>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投入量</w:t>
            </w:r>
          </w:p>
        </w:tc>
        <w:tc>
          <w:tcPr>
            <w:tcW w:w="4475" w:type="dxa"/>
            <w:gridSpan w:val="4"/>
            <w:tcBorders>
              <w:top w:val="thinThickSmallGap" w:color="auto" w:sz="12" w:space="0"/>
              <w:left w:val="single" w:color="auto" w:sz="6" w:space="0"/>
              <w:bottom w:val="single" w:color="auto" w:sz="6" w:space="0"/>
              <w:right w:val="nil"/>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产出量</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060" w:type="dxa"/>
            <w:tcBorders>
              <w:top w:val="single" w:color="auto" w:sz="6" w:space="0"/>
              <w:left w:val="nil"/>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进料名称</w:t>
            </w:r>
          </w:p>
        </w:tc>
        <w:tc>
          <w:tcPr>
            <w:tcW w:w="951"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进料量</w:t>
            </w:r>
          </w:p>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971"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氧化镁含量（</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w:t>
            </w:r>
          </w:p>
        </w:tc>
        <w:tc>
          <w:tcPr>
            <w:tcW w:w="1172"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氧化镁</w:t>
            </w:r>
          </w:p>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进量</w:t>
            </w:r>
          </w:p>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1094"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出料名称</w:t>
            </w:r>
          </w:p>
        </w:tc>
        <w:tc>
          <w:tcPr>
            <w:tcW w:w="1109"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出料量</w:t>
            </w:r>
          </w:p>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1094"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氧化镁</w:t>
            </w:r>
          </w:p>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含量</w:t>
            </w:r>
          </w:p>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w:t>
            </w:r>
          </w:p>
        </w:tc>
        <w:tc>
          <w:tcPr>
            <w:tcW w:w="1178" w:type="dxa"/>
            <w:tcBorders>
              <w:top w:val="single" w:color="auto" w:sz="6" w:space="0"/>
              <w:left w:val="single" w:color="auto" w:sz="6" w:space="0"/>
              <w:bottom w:val="single" w:color="auto" w:sz="6" w:space="0"/>
              <w:right w:val="nil"/>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氧化镁</w:t>
            </w:r>
          </w:p>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出量</w:t>
            </w:r>
          </w:p>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60"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菱镁原矿</w:t>
            </w:r>
          </w:p>
        </w:tc>
        <w:tc>
          <w:tcPr>
            <w:tcW w:w="95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1250000</w:t>
            </w:r>
          </w:p>
        </w:tc>
        <w:tc>
          <w:tcPr>
            <w:tcW w:w="9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45</w:t>
            </w:r>
          </w:p>
        </w:tc>
        <w:tc>
          <w:tcPr>
            <w:tcW w:w="117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562500</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菱镁精矿</w:t>
            </w:r>
          </w:p>
        </w:tc>
        <w:tc>
          <w:tcPr>
            <w:tcW w:w="11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1000000</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47</w:t>
            </w:r>
          </w:p>
        </w:tc>
        <w:tc>
          <w:tcPr>
            <w:tcW w:w="117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470000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60"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除尘灰</w:t>
            </w:r>
          </w:p>
        </w:tc>
        <w:tc>
          <w:tcPr>
            <w:tcW w:w="95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449.94</w:t>
            </w:r>
          </w:p>
        </w:tc>
        <w:tc>
          <w:tcPr>
            <w:tcW w:w="9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45</w:t>
            </w:r>
          </w:p>
        </w:tc>
        <w:tc>
          <w:tcPr>
            <w:tcW w:w="117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202.5</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菱镁尾矿</w:t>
            </w:r>
          </w:p>
        </w:tc>
        <w:tc>
          <w:tcPr>
            <w:tcW w:w="11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227489.03</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37</w:t>
            </w:r>
          </w:p>
        </w:tc>
        <w:tc>
          <w:tcPr>
            <w:tcW w:w="117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83671.5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60"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落地粉尘</w:t>
            </w:r>
          </w:p>
        </w:tc>
        <w:tc>
          <w:tcPr>
            <w:tcW w:w="95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34.84</w:t>
            </w:r>
          </w:p>
        </w:tc>
        <w:tc>
          <w:tcPr>
            <w:tcW w:w="9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45</w:t>
            </w:r>
          </w:p>
        </w:tc>
        <w:tc>
          <w:tcPr>
            <w:tcW w:w="117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15.7</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有组织颗粒物</w:t>
            </w:r>
          </w:p>
        </w:tc>
        <w:tc>
          <w:tcPr>
            <w:tcW w:w="11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2.26</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45</w:t>
            </w:r>
          </w:p>
        </w:tc>
        <w:tc>
          <w:tcPr>
            <w:tcW w:w="117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60"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95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9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17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无组织颗粒物</w:t>
            </w:r>
          </w:p>
        </w:tc>
        <w:tc>
          <w:tcPr>
            <w:tcW w:w="11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8.71</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45</w:t>
            </w:r>
          </w:p>
        </w:tc>
        <w:tc>
          <w:tcPr>
            <w:tcW w:w="117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3.9</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60"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95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9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17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除尘灰</w:t>
            </w:r>
          </w:p>
        </w:tc>
        <w:tc>
          <w:tcPr>
            <w:tcW w:w="11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449.94</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45</w:t>
            </w:r>
          </w:p>
        </w:tc>
        <w:tc>
          <w:tcPr>
            <w:tcW w:w="117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202.5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60"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95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9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17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落地粉尘</w:t>
            </w:r>
          </w:p>
        </w:tc>
        <w:tc>
          <w:tcPr>
            <w:tcW w:w="11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34.84</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45</w:t>
            </w:r>
          </w:p>
        </w:tc>
        <w:tc>
          <w:tcPr>
            <w:tcW w:w="117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15.7</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60"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95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97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17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循环水池矿泥</w:t>
            </w:r>
          </w:p>
        </w:tc>
        <w:tc>
          <w:tcPr>
            <w:tcW w:w="11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24000</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37</w:t>
            </w:r>
          </w:p>
        </w:tc>
        <w:tc>
          <w:tcPr>
            <w:tcW w:w="117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8823.6</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82" w:type="dxa"/>
            <w:gridSpan w:val="3"/>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2"/>
                <w:szCs w:val="22"/>
                <w:bdr w:val="none" w:color="auto" w:sz="0" w:space="0"/>
              </w:rPr>
              <w:t>合计</w:t>
            </w:r>
          </w:p>
        </w:tc>
        <w:tc>
          <w:tcPr>
            <w:tcW w:w="1172"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562718.2</w:t>
            </w:r>
          </w:p>
        </w:tc>
        <w:tc>
          <w:tcPr>
            <w:tcW w:w="3297" w:type="dxa"/>
            <w:gridSpan w:val="3"/>
            <w:tcBorders>
              <w:top w:val="single" w:color="auto" w:sz="6" w:space="0"/>
              <w:left w:val="single" w:color="auto" w:sz="6" w:space="0"/>
              <w:bottom w:val="thickThinSmallGap" w:color="auto" w:sz="12" w:space="0"/>
              <w:right w:val="single" w:color="auto" w:sz="6" w:space="0"/>
            </w:tcBorders>
            <w:shd w:val="clear"/>
            <w:noWrap/>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合计</w:t>
            </w:r>
          </w:p>
        </w:tc>
        <w:tc>
          <w:tcPr>
            <w:tcW w:w="1178" w:type="dxa"/>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562718.2</w:t>
            </w:r>
          </w:p>
        </w:tc>
      </w:tr>
    </w:tbl>
    <w:p>
      <w:pPr>
        <w:pStyle w:val="56"/>
        <w:widowControl/>
        <w:snapToGrid/>
        <w:rPr>
          <w:color w:val="000000"/>
          <w:lang w:val="en-US"/>
        </w:rPr>
      </w:pPr>
    </w:p>
    <w:p>
      <w:pPr>
        <w:pStyle w:val="56"/>
        <w:widowControl/>
        <w:snapToGrid/>
        <w:rPr>
          <w:color w:val="000000"/>
          <w:lang w:val="en-US"/>
        </w:rPr>
      </w:pPr>
      <w:r>
        <w:rPr>
          <w:color w:val="000000"/>
          <w:lang w:eastAsia="zh-CN"/>
        </w:rPr>
        <w:object>
          <v:shape id="_x0000_i1033" o:spt="75" type="#_x0000_t75" style="height:262.5pt;width:386.25pt;" o:ole="t" filled="f" o:preferrelative="t" stroked="f" coordsize="21600,21600">
            <v:path/>
            <v:fill on="f" focussize="0,0"/>
            <v:stroke on="f" joinstyle="miter"/>
            <v:imagedata r:id="rId27" o:title=""/>
            <o:lock v:ext="edit" aspectratio="t"/>
            <w10:wrap type="none"/>
            <w10:anchorlock/>
          </v:shape>
          <o:OLEObject Type="Embed" ProgID="" ShapeID="_x0000_i1033" DrawAspect="Content" ObjectID="_1468075730" r:id="rId26">
            <o:LockedField>false</o:LockedField>
          </o:OLEObject>
        </w:object>
      </w:r>
    </w:p>
    <w:p>
      <w:pPr>
        <w:pStyle w:val="56"/>
        <w:widowControl/>
        <w:snapToGrid/>
        <w:rPr>
          <w:color w:val="000000"/>
          <w:lang w:val="en-US"/>
        </w:rPr>
      </w:pPr>
      <w:r>
        <w:rPr>
          <w:rFonts w:hint="eastAsia" w:ascii="Times New Roman" w:hAnsi="Times New Roman" w:eastAsia="黑体" w:cs="黑体"/>
          <w:color w:val="000000"/>
          <w:lang w:eastAsia="zh-CN"/>
        </w:rPr>
        <w:t>图</w:t>
      </w:r>
      <w:r>
        <w:rPr>
          <w:color w:val="000000"/>
          <w:lang w:val="en-US"/>
        </w:rPr>
        <w:t xml:space="preserve">3-7  </w:t>
      </w:r>
      <w:r>
        <w:rPr>
          <w:rFonts w:hint="eastAsia" w:ascii="Times New Roman" w:hAnsi="Times New Roman" w:eastAsia="黑体" w:cs="黑体"/>
          <w:color w:val="000000"/>
          <w:lang w:eastAsia="zh-CN"/>
        </w:rPr>
        <w:t>本项目</w:t>
      </w:r>
      <w:r>
        <w:rPr>
          <w:color w:val="000000"/>
          <w:lang w:val="en-US"/>
        </w:rPr>
        <w:t>MgO</w:t>
      </w:r>
      <w:r>
        <w:rPr>
          <w:rFonts w:hint="eastAsia" w:ascii="Times New Roman" w:hAnsi="Times New Roman" w:eastAsia="黑体" w:cs="黑体"/>
          <w:color w:val="000000"/>
          <w:lang w:eastAsia="zh-CN"/>
        </w:rPr>
        <w:t>平衡图（单位：</w:t>
      </w:r>
      <w:r>
        <w:rPr>
          <w:color w:val="000000"/>
          <w:lang w:val="en-US"/>
        </w:rPr>
        <w:t>t/a</w:t>
      </w:r>
      <w:r>
        <w:rPr>
          <w:rFonts w:hint="eastAsia" w:ascii="Times New Roman" w:hAnsi="Times New Roman" w:eastAsia="黑体" w:cs="黑体"/>
          <w:color w:val="000000"/>
          <w:lang w:eastAsia="zh-CN"/>
        </w:rPr>
        <w:t>）</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.3 </w:t>
      </w:r>
      <w:r>
        <w:rPr>
          <w:rFonts w:ascii="Times New Roman" w:hAnsi="Times New Roman" w:cs="Times New Roman"/>
          <w:color w:val="000000"/>
          <w:lang w:eastAsia="zh-CN"/>
        </w:rPr>
        <w:t>硅</w:t>
      </w:r>
      <w:r>
        <w:rPr>
          <w:rFonts w:ascii="Times New Roman" w:hAnsi="Times New Roman" w:cs="Times New Roman"/>
          <w:color w:val="000000"/>
          <w:lang/>
        </w:rPr>
        <w:t>平衡</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本项目</w:t>
      </w:r>
      <w:r>
        <w:rPr>
          <w:rFonts w:hint="default" w:ascii="Times New Roman" w:hAnsi="Times New Roman" w:eastAsia="宋体" w:cs="Times New Roman"/>
          <w:color w:val="000000"/>
          <w:kern w:val="0"/>
          <w:sz w:val="24"/>
          <w:szCs w:val="24"/>
          <w:lang w:val="en-US" w:eastAsia="zh-CN" w:bidi="ar"/>
        </w:rPr>
        <w:t>SiO</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宋体" w:hAnsi="宋体" w:eastAsia="宋体" w:cs="宋体"/>
          <w:color w:val="000000"/>
          <w:kern w:val="0"/>
          <w:sz w:val="24"/>
          <w:szCs w:val="24"/>
          <w:lang w:val="en-US" w:eastAsia="zh-CN" w:bidi="ar"/>
        </w:rPr>
        <w:t>平衡情况见下表和</w:t>
      </w:r>
      <w:r>
        <w:rPr>
          <w:rFonts w:hint="eastAsia" w:ascii="Times New Roman" w:hAnsi="Times New Roman" w:eastAsia="宋体" w:cs="Times New Roman"/>
          <w:color w:val="000000"/>
          <w:kern w:val="0"/>
          <w:sz w:val="24"/>
          <w:szCs w:val="24"/>
          <w:lang w:val="en-US" w:eastAsia="zh-CN" w:bidi="ar"/>
        </w:rPr>
        <w:t>图</w:t>
      </w:r>
      <w:r>
        <w:rPr>
          <w:rFonts w:hint="default" w:ascii="Times New Roman" w:hAnsi="Times New Roman" w:eastAsia="宋体" w:cs="Times New Roman"/>
          <w:color w:val="000000"/>
          <w:kern w:val="0"/>
          <w:sz w:val="24"/>
          <w:szCs w:val="24"/>
          <w:lang w:val="en-US" w:eastAsia="zh-CN" w:bidi="ar"/>
        </w:rPr>
        <w:t>3-8</w:t>
      </w:r>
      <w:r>
        <w:rPr>
          <w:rFonts w:hint="eastAsia" w:ascii="Times New Roman" w:hAnsi="Times New Roman" w:eastAsia="宋体" w:cs="Times New Roman"/>
          <w:color w:val="000000"/>
          <w:kern w:val="0"/>
          <w:sz w:val="24"/>
          <w:szCs w:val="24"/>
          <w:lang w:val="en-US" w:eastAsia="zh-CN" w:bidi="ar"/>
        </w:rPr>
        <w:t>。</w:t>
      </w:r>
    </w:p>
    <w:p>
      <w:pPr>
        <w:pStyle w:val="56"/>
        <w:widowControl/>
        <w:snapToGrid/>
        <w:rPr>
          <w:color w:val="000000"/>
          <w:lang w:val="en-US"/>
        </w:rPr>
      </w:pPr>
      <w:r>
        <w:rPr>
          <w:rFonts w:hint="eastAsia" w:ascii="Times New Roman" w:hAnsi="Times New Roman" w:eastAsia="黑体" w:cs="黑体"/>
          <w:color w:val="000000"/>
          <w:lang w:eastAsia="zh-CN"/>
        </w:rPr>
        <w:t>表</w:t>
      </w:r>
      <w:r>
        <w:rPr>
          <w:color w:val="000000"/>
          <w:lang w:val="en-US"/>
        </w:rPr>
        <w:t xml:space="preserve">3.3-13  </w:t>
      </w:r>
      <w:r>
        <w:rPr>
          <w:rFonts w:hint="eastAsia" w:ascii="Times New Roman" w:hAnsi="Times New Roman" w:eastAsia="黑体" w:cs="黑体"/>
          <w:color w:val="000000"/>
          <w:lang w:eastAsia="zh-CN"/>
        </w:rPr>
        <w:t>本项目</w:t>
      </w:r>
      <w:r>
        <w:rPr>
          <w:color w:val="000000"/>
          <w:szCs w:val="24"/>
          <w:lang w:val="en-US"/>
        </w:rPr>
        <w:t>SiO</w:t>
      </w:r>
      <w:r>
        <w:rPr>
          <w:color w:val="000000"/>
          <w:szCs w:val="24"/>
          <w:vertAlign w:val="subscript"/>
          <w:lang w:val="en-US"/>
        </w:rPr>
        <w:t>2</w:t>
      </w:r>
      <w:r>
        <w:rPr>
          <w:rFonts w:hint="eastAsia" w:ascii="Times New Roman" w:hAnsi="Times New Roman" w:eastAsia="黑体" w:cs="黑体"/>
          <w:color w:val="000000"/>
          <w:lang w:eastAsia="zh-CN"/>
        </w:rPr>
        <w:t>平衡分析表</w:t>
      </w:r>
    </w:p>
    <w:tbl>
      <w:tblPr>
        <w:tblStyle w:val="32"/>
        <w:tblW w:w="8629" w:type="dxa"/>
        <w:tblInd w:w="108"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056"/>
        <w:gridCol w:w="951"/>
        <w:gridCol w:w="969"/>
        <w:gridCol w:w="1169"/>
        <w:gridCol w:w="1094"/>
        <w:gridCol w:w="1109"/>
        <w:gridCol w:w="1094"/>
        <w:gridCol w:w="1187"/>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blHeader/>
        </w:trPr>
        <w:tc>
          <w:tcPr>
            <w:tcW w:w="4145" w:type="dxa"/>
            <w:gridSpan w:val="4"/>
            <w:tcBorders>
              <w:top w:val="thinThickSmallGap" w:color="auto" w:sz="12" w:space="0"/>
              <w:left w:val="nil"/>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投入量</w:t>
            </w:r>
          </w:p>
        </w:tc>
        <w:tc>
          <w:tcPr>
            <w:tcW w:w="4484" w:type="dxa"/>
            <w:gridSpan w:val="4"/>
            <w:tcBorders>
              <w:top w:val="thinThickSmallGap" w:color="auto" w:sz="12" w:space="0"/>
              <w:left w:val="single" w:color="auto" w:sz="6" w:space="0"/>
              <w:bottom w:val="single" w:color="auto" w:sz="6" w:space="0"/>
              <w:right w:val="nil"/>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产出量</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056" w:type="dxa"/>
            <w:tcBorders>
              <w:top w:val="single" w:color="auto" w:sz="6" w:space="0"/>
              <w:left w:val="nil"/>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进料名称</w:t>
            </w:r>
          </w:p>
        </w:tc>
        <w:tc>
          <w:tcPr>
            <w:tcW w:w="951"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进料量</w:t>
            </w:r>
          </w:p>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969"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SiO</w:t>
            </w:r>
            <w:r>
              <w:rPr>
                <w:rFonts w:hint="default" w:ascii="Times New Roman" w:hAnsi="Times New Roman" w:cs="Times New Roman"/>
                <w:color w:val="000000"/>
                <w:sz w:val="21"/>
                <w:szCs w:val="21"/>
                <w:bdr w:val="none" w:color="auto" w:sz="0" w:space="0"/>
                <w:vertAlign w:val="subscript"/>
                <w:lang w:val="en-US"/>
              </w:rPr>
              <w:t>2</w:t>
            </w:r>
            <w:r>
              <w:rPr>
                <w:rFonts w:ascii="Times New Roman" w:hAnsi="Times New Roman" w:cs="Times New Roman"/>
                <w:color w:val="000000"/>
                <w:sz w:val="21"/>
                <w:szCs w:val="21"/>
                <w:bdr w:val="none" w:color="auto" w:sz="0" w:space="0"/>
              </w:rPr>
              <w:t>含量（</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w:t>
            </w:r>
          </w:p>
        </w:tc>
        <w:tc>
          <w:tcPr>
            <w:tcW w:w="1169"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SiO</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r>
              <w:rPr>
                <w:rFonts w:hint="eastAsia" w:ascii="Times New Roman" w:hAnsi="Times New Roman" w:eastAsia="宋体" w:cs="Times New Roman"/>
                <w:color w:val="000000"/>
                <w:kern w:val="0"/>
                <w:sz w:val="21"/>
                <w:szCs w:val="21"/>
                <w:bdr w:val="none" w:color="auto" w:sz="0" w:space="0"/>
                <w:lang w:val="en-US" w:eastAsia="zh-CN" w:bidi="ar"/>
              </w:rPr>
              <w:t>进量</w:t>
            </w:r>
          </w:p>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1094"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出料名称</w:t>
            </w:r>
          </w:p>
        </w:tc>
        <w:tc>
          <w:tcPr>
            <w:tcW w:w="1109"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出料量</w:t>
            </w:r>
          </w:p>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1094" w:type="dxa"/>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SiO</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r>
              <w:rPr>
                <w:rFonts w:hint="eastAsia" w:ascii="Times New Roman" w:hAnsi="Times New Roman" w:eastAsia="宋体" w:cs="Times New Roman"/>
                <w:color w:val="000000"/>
                <w:kern w:val="0"/>
                <w:sz w:val="21"/>
                <w:szCs w:val="21"/>
                <w:bdr w:val="none" w:color="auto" w:sz="0" w:space="0"/>
                <w:lang w:val="en-US" w:eastAsia="zh-CN" w:bidi="ar"/>
              </w:rPr>
              <w:t>含量</w:t>
            </w:r>
          </w:p>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w:t>
            </w:r>
          </w:p>
        </w:tc>
        <w:tc>
          <w:tcPr>
            <w:tcW w:w="1187" w:type="dxa"/>
            <w:tcBorders>
              <w:top w:val="single" w:color="auto" w:sz="6" w:space="0"/>
              <w:left w:val="single" w:color="auto" w:sz="6" w:space="0"/>
              <w:bottom w:val="single" w:color="auto" w:sz="6" w:space="0"/>
              <w:right w:val="nil"/>
            </w:tcBorders>
            <w:shd w:val="clear" w:color="auto" w:fill="DDDDDD"/>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SiO</w:t>
            </w:r>
            <w:r>
              <w:rPr>
                <w:rFonts w:hint="default" w:ascii="Times New Roman" w:hAnsi="Times New Roman" w:eastAsia="宋体" w:cs="Times New Roman"/>
                <w:color w:val="000000"/>
                <w:kern w:val="0"/>
                <w:sz w:val="21"/>
                <w:szCs w:val="21"/>
                <w:bdr w:val="none" w:color="auto" w:sz="0" w:space="0"/>
                <w:vertAlign w:val="subscript"/>
                <w:lang w:val="en-US" w:eastAsia="zh-CN" w:bidi="ar"/>
              </w:rPr>
              <w:t>2</w:t>
            </w:r>
            <w:r>
              <w:rPr>
                <w:rFonts w:hint="eastAsia" w:ascii="Times New Roman" w:hAnsi="Times New Roman" w:eastAsia="宋体" w:cs="Times New Roman"/>
                <w:color w:val="000000"/>
                <w:kern w:val="0"/>
                <w:sz w:val="21"/>
                <w:szCs w:val="21"/>
                <w:bdr w:val="none" w:color="auto" w:sz="0" w:space="0"/>
                <w:lang w:val="en-US" w:eastAsia="zh-CN" w:bidi="ar"/>
              </w:rPr>
              <w:t>出量</w:t>
            </w:r>
          </w:p>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56"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菱镁原矿</w:t>
            </w:r>
          </w:p>
        </w:tc>
        <w:tc>
          <w:tcPr>
            <w:tcW w:w="95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1250000</w:t>
            </w:r>
          </w:p>
        </w:tc>
        <w:tc>
          <w:tcPr>
            <w:tcW w:w="96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3.9</w:t>
            </w:r>
          </w:p>
        </w:tc>
        <w:tc>
          <w:tcPr>
            <w:tcW w:w="116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48750</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菱镁精矿</w:t>
            </w:r>
          </w:p>
        </w:tc>
        <w:tc>
          <w:tcPr>
            <w:tcW w:w="11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1000000</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0.16</w:t>
            </w:r>
          </w:p>
        </w:tc>
        <w:tc>
          <w:tcPr>
            <w:tcW w:w="1187"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1600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56"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除尘灰</w:t>
            </w:r>
          </w:p>
        </w:tc>
        <w:tc>
          <w:tcPr>
            <w:tcW w:w="95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449.94</w:t>
            </w:r>
          </w:p>
        </w:tc>
        <w:tc>
          <w:tcPr>
            <w:tcW w:w="96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3.9</w:t>
            </w:r>
          </w:p>
        </w:tc>
        <w:tc>
          <w:tcPr>
            <w:tcW w:w="116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17.55</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菱镁尾矿</w:t>
            </w:r>
          </w:p>
        </w:tc>
        <w:tc>
          <w:tcPr>
            <w:tcW w:w="11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227489.03</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18.75</w:t>
            </w:r>
          </w:p>
        </w:tc>
        <w:tc>
          <w:tcPr>
            <w:tcW w:w="1187"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42643.57</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56"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落地粉尘</w:t>
            </w:r>
          </w:p>
        </w:tc>
        <w:tc>
          <w:tcPr>
            <w:tcW w:w="95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34.84</w:t>
            </w:r>
          </w:p>
        </w:tc>
        <w:tc>
          <w:tcPr>
            <w:tcW w:w="96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3.9</w:t>
            </w:r>
          </w:p>
        </w:tc>
        <w:tc>
          <w:tcPr>
            <w:tcW w:w="116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1.36</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有组织颗粒物</w:t>
            </w:r>
          </w:p>
        </w:tc>
        <w:tc>
          <w:tcPr>
            <w:tcW w:w="11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2.26</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3.9</w:t>
            </w:r>
          </w:p>
        </w:tc>
        <w:tc>
          <w:tcPr>
            <w:tcW w:w="1187"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0.09</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56"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95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96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16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无组织颗粒物</w:t>
            </w:r>
          </w:p>
        </w:tc>
        <w:tc>
          <w:tcPr>
            <w:tcW w:w="11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8.71</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3.9</w:t>
            </w:r>
          </w:p>
        </w:tc>
        <w:tc>
          <w:tcPr>
            <w:tcW w:w="1187"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0.34</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56"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95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96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16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除尘灰</w:t>
            </w:r>
          </w:p>
        </w:tc>
        <w:tc>
          <w:tcPr>
            <w:tcW w:w="11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449.94</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3.9</w:t>
            </w:r>
          </w:p>
        </w:tc>
        <w:tc>
          <w:tcPr>
            <w:tcW w:w="1187"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17.55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56"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95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96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16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落地粉尘</w:t>
            </w:r>
          </w:p>
        </w:tc>
        <w:tc>
          <w:tcPr>
            <w:tcW w:w="11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34.84</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3.9</w:t>
            </w:r>
          </w:p>
        </w:tc>
        <w:tc>
          <w:tcPr>
            <w:tcW w:w="1187"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1.36</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56"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95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96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16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循环水池矿泥</w:t>
            </w:r>
          </w:p>
        </w:tc>
        <w:tc>
          <w:tcPr>
            <w:tcW w:w="11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24000</w:t>
            </w:r>
          </w:p>
        </w:tc>
        <w:tc>
          <w:tcPr>
            <w:tcW w:w="109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18.78</w:t>
            </w:r>
          </w:p>
        </w:tc>
        <w:tc>
          <w:tcPr>
            <w:tcW w:w="1187"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4506</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76" w:type="dxa"/>
            <w:gridSpan w:val="3"/>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2"/>
                <w:szCs w:val="22"/>
                <w:bdr w:val="none" w:color="auto" w:sz="0" w:space="0"/>
              </w:rPr>
              <w:t>合计</w:t>
            </w:r>
          </w:p>
        </w:tc>
        <w:tc>
          <w:tcPr>
            <w:tcW w:w="1169"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48768.91</w:t>
            </w:r>
          </w:p>
        </w:tc>
        <w:tc>
          <w:tcPr>
            <w:tcW w:w="3297" w:type="dxa"/>
            <w:gridSpan w:val="3"/>
            <w:tcBorders>
              <w:top w:val="single" w:color="auto" w:sz="6" w:space="0"/>
              <w:left w:val="single" w:color="auto" w:sz="6" w:space="0"/>
              <w:bottom w:val="thickThinSmallGap" w:color="auto" w:sz="12" w:space="0"/>
              <w:right w:val="single" w:color="auto" w:sz="6" w:space="0"/>
            </w:tcBorders>
            <w:shd w:val="clear"/>
            <w:noWrap/>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合计</w:t>
            </w:r>
          </w:p>
        </w:tc>
        <w:tc>
          <w:tcPr>
            <w:tcW w:w="1187" w:type="dxa"/>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48768.91</w:t>
            </w:r>
          </w:p>
        </w:tc>
      </w:tr>
    </w:tbl>
    <w:p>
      <w:pPr>
        <w:keepNext w:val="0"/>
        <w:keepLines w:val="0"/>
        <w:widowControl/>
        <w:suppressLineNumbers w:val="0"/>
        <w:adjustRightInd w:val="0"/>
        <w:spacing w:before="0" w:beforeAutospacing="0" w:after="0" w:afterAutospacing="0" w:line="500" w:lineRule="exact"/>
        <w:ind w:left="0" w:right="0"/>
        <w:jc w:val="center"/>
        <w:rPr>
          <w:color w:val="000000"/>
          <w:lang w:val="en-US"/>
        </w:rPr>
      </w:pPr>
    </w:p>
    <w:p>
      <w:pPr>
        <w:keepNext w:val="0"/>
        <w:keepLines w:val="0"/>
        <w:widowControl/>
        <w:suppressLineNumbers w:val="0"/>
        <w:adjustRightInd w:val="0"/>
        <w:spacing w:before="0" w:beforeAutospacing="0" w:after="0" w:afterAutospacing="0" w:line="360" w:lineRule="auto"/>
        <w:ind w:left="0" w:right="0"/>
        <w:jc w:val="center"/>
        <w:rPr>
          <w:color w:val="000000"/>
          <w:lang w:val="en-US"/>
        </w:rPr>
      </w:pPr>
      <w:r>
        <w:rPr>
          <w:rFonts w:hint="eastAsia" w:ascii="宋体" w:hAnsi="宋体" w:eastAsia="宋体" w:cs="宋体"/>
          <w:color w:val="000000"/>
          <w:kern w:val="0"/>
          <w:sz w:val="24"/>
          <w:szCs w:val="24"/>
          <w:lang w:val="en-US" w:eastAsia="zh-CN" w:bidi="ar"/>
        </w:rPr>
        <w:object>
          <v:shape id="_x0000_i1034" o:spt="75" type="#_x0000_t75" style="height:263.25pt;width:387.75pt;" o:ole="t" filled="f" o:preferrelative="t" stroked="f" coordsize="21600,21600">
            <v:path/>
            <v:fill on="f" focussize="0,0"/>
            <v:stroke on="f" joinstyle="miter"/>
            <v:imagedata r:id="rId29" o:title=""/>
            <o:lock v:ext="edit" aspectratio="t"/>
            <w10:wrap type="none"/>
            <w10:anchorlock/>
          </v:shape>
          <o:OLEObject Type="Embed" ProgID="" ShapeID="_x0000_i1034" DrawAspect="Content" ObjectID="_1468075731" r:id="rId28">
            <o:LockedField>false</o:LockedField>
          </o:OLEObject>
        </w:object>
      </w:r>
    </w:p>
    <w:p>
      <w:pPr>
        <w:pStyle w:val="56"/>
        <w:widowControl/>
        <w:snapToGrid/>
        <w:rPr>
          <w:rFonts w:hint="eastAsia" w:ascii="宋体" w:hAnsi="宋体" w:eastAsia="黑体" w:cs="宋体"/>
          <w:color w:val="000000"/>
          <w:lang w:val="en-US"/>
        </w:rPr>
      </w:pPr>
      <w:r>
        <w:rPr>
          <w:rFonts w:hint="eastAsia" w:ascii="Times New Roman" w:hAnsi="Times New Roman" w:eastAsia="黑体" w:cs="黑体"/>
          <w:color w:val="000000"/>
          <w:lang w:eastAsia="zh-CN"/>
        </w:rPr>
        <w:t>图</w:t>
      </w:r>
      <w:r>
        <w:rPr>
          <w:color w:val="000000"/>
          <w:lang w:val="en-US"/>
        </w:rPr>
        <w:t xml:space="preserve">3-8  </w:t>
      </w:r>
      <w:r>
        <w:rPr>
          <w:rFonts w:hint="eastAsia" w:ascii="Times New Roman" w:hAnsi="Times New Roman" w:eastAsia="黑体" w:cs="黑体"/>
          <w:color w:val="000000"/>
          <w:lang w:eastAsia="zh-CN"/>
        </w:rPr>
        <w:t>本项目</w:t>
      </w:r>
      <w:r>
        <w:rPr>
          <w:color w:val="000000"/>
          <w:szCs w:val="24"/>
          <w:lang w:val="en-US"/>
        </w:rPr>
        <w:t>SiO</w:t>
      </w:r>
      <w:r>
        <w:rPr>
          <w:color w:val="000000"/>
          <w:szCs w:val="24"/>
          <w:vertAlign w:val="subscript"/>
          <w:lang w:val="en-US"/>
        </w:rPr>
        <w:t>2</w:t>
      </w:r>
      <w:r>
        <w:rPr>
          <w:rFonts w:hint="eastAsia" w:ascii="Times New Roman" w:hAnsi="Times New Roman" w:eastAsia="黑体" w:cs="黑体"/>
          <w:color w:val="000000"/>
          <w:lang w:eastAsia="zh-CN"/>
        </w:rPr>
        <w:t>平衡图（单位：</w:t>
      </w:r>
      <w:r>
        <w:rPr>
          <w:color w:val="000000"/>
          <w:lang w:val="en-US"/>
        </w:rPr>
        <w:t>t/a</w:t>
      </w:r>
      <w:r>
        <w:rPr>
          <w:rFonts w:hint="eastAsia" w:ascii="Times New Roman" w:hAnsi="Times New Roman" w:eastAsia="黑体" w:cs="黑体"/>
          <w:color w:val="000000"/>
          <w:lang w:eastAsia="zh-CN"/>
        </w:rPr>
        <w:t>）</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4</w:t>
      </w:r>
      <w:r>
        <w:rPr>
          <w:rFonts w:hint="default" w:ascii="Times New Roman" w:hAnsi="Times New Roman" w:cs="Times New Roman"/>
          <w:color w:val="000000"/>
          <w:lang/>
        </w:rPr>
        <w:t>.</w:t>
      </w: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 </w:t>
      </w:r>
      <w:r>
        <w:rPr>
          <w:rFonts w:ascii="Times New Roman" w:hAnsi="Times New Roman" w:cs="Times New Roman"/>
          <w:color w:val="000000"/>
          <w:lang/>
        </w:rPr>
        <w:t>水平衡</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color w:val="000000"/>
          <w:lang w:val="en-US"/>
        </w:rPr>
      </w:pPr>
      <w:r>
        <w:rPr>
          <w:rFonts w:hint="eastAsia" w:ascii="Times New Roman" w:hAnsi="Times New Roman" w:eastAsia="宋体" w:cs="Times New Roman"/>
          <w:b/>
          <w:color w:val="000000"/>
          <w:kern w:val="0"/>
          <w:sz w:val="24"/>
          <w:szCs w:val="24"/>
          <w:lang w:val="en-US" w:eastAsia="zh-CN" w:bidi="ar"/>
        </w:rPr>
        <w:t>（</w:t>
      </w:r>
      <w:r>
        <w:rPr>
          <w:rFonts w:hint="default" w:ascii="Times New Roman" w:hAnsi="Times New Roman" w:eastAsia="宋体" w:cs="Times New Roman"/>
          <w:b/>
          <w:color w:val="000000"/>
          <w:kern w:val="0"/>
          <w:sz w:val="24"/>
          <w:szCs w:val="24"/>
          <w:lang w:val="en-US" w:eastAsia="zh-CN" w:bidi="ar"/>
        </w:rPr>
        <w:t>1</w:t>
      </w:r>
      <w:r>
        <w:rPr>
          <w:rFonts w:hint="eastAsia" w:ascii="Times New Roman" w:hAnsi="Times New Roman" w:eastAsia="宋体" w:cs="Times New Roman"/>
          <w:b/>
          <w:color w:val="000000"/>
          <w:kern w:val="0"/>
          <w:sz w:val="24"/>
          <w:szCs w:val="24"/>
          <w:lang w:val="en-US" w:eastAsia="zh-CN" w:bidi="ar"/>
        </w:rPr>
        <w:t>）用水量</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1 \* GB3</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宋体" w:hAnsi="宋体" w:eastAsia="宋体" w:cs="宋体"/>
          <w:color w:val="000000"/>
          <w:kern w:val="0"/>
          <w:sz w:val="24"/>
          <w:szCs w:val="24"/>
          <w:lang w:val="en-US" w:eastAsia="zh-CN" w:bidi="ar"/>
        </w:rPr>
        <w:t>①</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球磨机用水</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lang w:val="en-US"/>
        </w:rPr>
      </w:pPr>
      <w:r>
        <w:rPr>
          <w:rFonts w:hint="eastAsia" w:ascii="Times New Roman" w:hAnsi="Times New Roman" w:eastAsia="宋体" w:cs="Times New Roman"/>
          <w:color w:val="000000"/>
          <w:kern w:val="0"/>
          <w:sz w:val="24"/>
          <w:szCs w:val="24"/>
          <w:lang w:val="en-US" w:eastAsia="zh-CN" w:bidi="ar"/>
        </w:rPr>
        <w:t>本项目球磨机用水量为</w:t>
      </w:r>
      <w:r>
        <w:rPr>
          <w:rFonts w:hint="default" w:ascii="Times New Roman" w:hAnsi="Times New Roman" w:eastAsia="宋体" w:cs="Times New Roman"/>
          <w:color w:val="000000"/>
          <w:kern w:val="0"/>
          <w:sz w:val="24"/>
          <w:szCs w:val="24"/>
          <w:lang w:val="en-US" w:eastAsia="zh-CN" w:bidi="ar"/>
        </w:rPr>
        <w:t>2250080m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，其中</w:t>
      </w:r>
      <w:r>
        <w:rPr>
          <w:rFonts w:hint="default" w:ascii="Times New Roman" w:hAnsi="Times New Roman" w:eastAsia="宋体" w:cs="Times New Roman"/>
          <w:color w:val="000000"/>
          <w:kern w:val="0"/>
          <w:sz w:val="24"/>
          <w:szCs w:val="24"/>
          <w:lang w:val="en-US" w:eastAsia="zh-CN" w:bidi="ar"/>
        </w:rPr>
        <w:t>2148900m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来自循环池回水，新水用量</w:t>
      </w:r>
      <w:r>
        <w:rPr>
          <w:rFonts w:hint="default" w:ascii="Times New Roman" w:hAnsi="Times New Roman" w:eastAsia="宋体" w:cs="Times New Roman"/>
          <w:color w:val="000000"/>
          <w:kern w:val="0"/>
          <w:sz w:val="24"/>
          <w:szCs w:val="24"/>
          <w:lang w:val="en-US" w:eastAsia="zh-CN" w:bidi="ar"/>
        </w:rPr>
        <w:t>101180m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2 \* GB3</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宋体" w:hAnsi="宋体" w:eastAsia="宋体" w:cs="宋体"/>
          <w:color w:val="000000"/>
          <w:kern w:val="0"/>
          <w:sz w:val="24"/>
          <w:szCs w:val="24"/>
          <w:lang w:val="en-US" w:eastAsia="zh-CN" w:bidi="ar"/>
        </w:rPr>
        <w:t>②</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矿浆搅拌槽用水</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本项目在药剂搅拌槽中加水调配反浮选剂，之后加入矿浆搅拌槽内与矿浆充分混合，用水量为</w:t>
      </w:r>
      <w:r>
        <w:rPr>
          <w:rFonts w:hint="default" w:ascii="Times New Roman" w:hAnsi="Times New Roman" w:eastAsia="宋体" w:cs="Times New Roman"/>
          <w:color w:val="000000"/>
          <w:kern w:val="0"/>
          <w:sz w:val="24"/>
          <w:szCs w:val="24"/>
          <w:lang w:val="en-US" w:eastAsia="zh-CN" w:bidi="ar"/>
        </w:rPr>
        <w:t>5950m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lang w:val="en-US"/>
        </w:rPr>
      </w:pPr>
      <w:r>
        <w:rPr>
          <w:rFonts w:hint="eastAsia" w:ascii="方正书宋简体" w:hAnsi="宋体" w:eastAsia="方正书宋简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3 \* GB3</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宋体" w:hAnsi="宋体" w:eastAsia="宋体" w:cs="宋体"/>
          <w:color w:val="000000"/>
          <w:kern w:val="0"/>
          <w:sz w:val="24"/>
          <w:szCs w:val="24"/>
          <w:lang w:val="en-US" w:eastAsia="zh-CN" w:bidi="ar"/>
        </w:rPr>
        <w:t>③</w:t>
      </w:r>
      <w:r>
        <w:rPr>
          <w:rFonts w:hint="eastAsia" w:ascii="方正书宋简体" w:hAnsi="宋体" w:eastAsia="方正书宋简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浓缩机用水</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lang w:val="en-US"/>
        </w:rPr>
      </w:pPr>
      <w:r>
        <w:rPr>
          <w:rFonts w:hint="eastAsia" w:ascii="Times New Roman" w:hAnsi="Times New Roman" w:eastAsia="宋体" w:cs="Times New Roman"/>
          <w:color w:val="000000"/>
          <w:kern w:val="0"/>
          <w:sz w:val="24"/>
          <w:szCs w:val="24"/>
          <w:lang w:val="en-US" w:eastAsia="zh-CN" w:bidi="ar"/>
        </w:rPr>
        <w:t>反浮选机产生的尾矿在尾矿沉淀池中沉淀，由于尾矿比较粘稠，需用水冲至浓缩机中，用水量为</w:t>
      </w:r>
      <w:r>
        <w:rPr>
          <w:rFonts w:hint="default" w:ascii="Times New Roman" w:hAnsi="Times New Roman" w:eastAsia="宋体" w:cs="Times New Roman"/>
          <w:color w:val="000000"/>
          <w:kern w:val="0"/>
          <w:sz w:val="24"/>
          <w:szCs w:val="24"/>
          <w:lang w:val="en-US" w:eastAsia="zh-CN" w:bidi="ar"/>
        </w:rPr>
        <w:t>80000m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，来自循环池回水。</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lang w:val="en-US"/>
        </w:rPr>
      </w:pPr>
      <w:r>
        <w:rPr>
          <w:rFonts w:hint="eastAsia" w:ascii="方正书宋简体" w:hAnsi="宋体" w:eastAsia="方正书宋简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4 \* GB3</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宋体" w:hAnsi="宋体" w:eastAsia="宋体" w:cs="宋体"/>
          <w:color w:val="000000"/>
          <w:kern w:val="0"/>
          <w:sz w:val="24"/>
          <w:szCs w:val="24"/>
          <w:lang w:val="en-US" w:eastAsia="zh-CN" w:bidi="ar"/>
        </w:rPr>
        <w:t>④</w:t>
      </w:r>
      <w:r>
        <w:rPr>
          <w:rFonts w:hint="eastAsia" w:ascii="方正书宋简体" w:hAnsi="宋体" w:eastAsia="方正书宋简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滤布冲洗水</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经反浮选合格后的精矿浆送至真空带式过滤机脱水，滤布需定期冲洗，冲洗水用量为</w:t>
      </w:r>
      <w:r>
        <w:rPr>
          <w:rFonts w:hint="default" w:ascii="Times New Roman" w:hAnsi="Times New Roman" w:eastAsia="宋体" w:cs="Times New Roman"/>
          <w:color w:val="000000"/>
          <w:kern w:val="0"/>
          <w:sz w:val="24"/>
          <w:szCs w:val="24"/>
          <w:lang w:val="en-US" w:eastAsia="zh-CN" w:bidi="ar"/>
        </w:rPr>
        <w:t>80000m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，来自循环池回水。</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lang w:val="en-US"/>
        </w:rPr>
      </w:pPr>
      <w:r>
        <w:rPr>
          <w:rFonts w:hint="eastAsia" w:ascii="方正书宋简体" w:hAnsi="宋体" w:eastAsia="方正书宋简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5 \* GB3</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宋体" w:hAnsi="宋体" w:eastAsia="宋体" w:cs="宋体"/>
          <w:color w:val="000000"/>
          <w:kern w:val="0"/>
          <w:sz w:val="24"/>
          <w:szCs w:val="24"/>
          <w:lang w:val="en-US" w:eastAsia="zh-CN" w:bidi="ar"/>
        </w:rPr>
        <w:t>⑤</w:t>
      </w:r>
      <w:r>
        <w:rPr>
          <w:rFonts w:hint="eastAsia" w:ascii="方正书宋简体" w:hAnsi="宋体" w:eastAsia="方正书宋简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设备、地坪冲洗</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设备、地坪冲洗水用量为</w:t>
      </w:r>
      <w:r>
        <w:rPr>
          <w:rFonts w:hint="default" w:ascii="Times New Roman" w:hAnsi="Times New Roman" w:eastAsia="宋体" w:cs="Times New Roman"/>
          <w:color w:val="000000"/>
          <w:kern w:val="0"/>
          <w:sz w:val="24"/>
          <w:szCs w:val="24"/>
          <w:lang w:val="en-US" w:eastAsia="zh-CN" w:bidi="ar"/>
        </w:rPr>
        <w:t>3000m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snapToGrid w:val="0"/>
          <w:color w:val="000000"/>
          <w:lang w:val="en-US"/>
        </w:rPr>
      </w:pPr>
      <w:r>
        <w:rPr>
          <w:rFonts w:hint="eastAsia" w:ascii="宋体" w:hAnsi="宋体" w:eastAsia="宋体" w:cs="宋体"/>
          <w:color w:val="000000"/>
          <w:kern w:val="0"/>
          <w:sz w:val="24"/>
          <w:szCs w:val="24"/>
          <w:lang w:val="en-US" w:eastAsia="zh-CN" w:bidi="ar"/>
        </w:rPr>
        <w:t>⑥</w:t>
      </w:r>
      <w:r>
        <w:rPr>
          <w:rFonts w:hint="eastAsia" w:ascii="Times New Roman" w:hAnsi="Times New Roman" w:eastAsia="宋体" w:cs="Times New Roman"/>
          <w:color w:val="000000"/>
          <w:kern w:val="0"/>
          <w:sz w:val="24"/>
          <w:szCs w:val="24"/>
          <w:lang w:val="en-US" w:eastAsia="zh-CN" w:bidi="ar"/>
        </w:rPr>
        <w:t>职工生活用水</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bCs/>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本项目职工</w:t>
      </w:r>
      <w:r>
        <w:rPr>
          <w:rFonts w:hint="default" w:ascii="Times New Roman" w:hAnsi="Times New Roman" w:eastAsia="宋体" w:cs="Times New Roman"/>
          <w:snapToGrid w:val="0"/>
          <w:color w:val="000000"/>
          <w:kern w:val="0"/>
          <w:sz w:val="24"/>
          <w:szCs w:val="24"/>
          <w:lang w:val="en-US" w:eastAsia="zh-CN" w:bidi="ar"/>
        </w:rPr>
        <w:t>80</w:t>
      </w:r>
      <w:r>
        <w:rPr>
          <w:rFonts w:hint="eastAsia" w:ascii="Times New Roman" w:hAnsi="Times New Roman" w:eastAsia="宋体" w:cs="Times New Roman"/>
          <w:snapToGrid w:val="0"/>
          <w:color w:val="000000"/>
          <w:kern w:val="0"/>
          <w:sz w:val="24"/>
          <w:szCs w:val="24"/>
          <w:lang w:val="en-US" w:eastAsia="zh-CN" w:bidi="ar"/>
        </w:rPr>
        <w:t>人，</w:t>
      </w:r>
      <w:r>
        <w:rPr>
          <w:rFonts w:hint="eastAsia" w:ascii="Times New Roman" w:hAnsi="Times New Roman" w:eastAsia="宋体" w:cs="Times New Roman"/>
          <w:color w:val="000000"/>
          <w:kern w:val="0"/>
          <w:sz w:val="24"/>
          <w:szCs w:val="24"/>
          <w:lang w:val="en-US" w:eastAsia="zh-CN" w:bidi="ar"/>
        </w:rPr>
        <w:t>生活用水主要是职工饮用、卫生等用水，</w:t>
      </w:r>
      <w:r>
        <w:rPr>
          <w:rFonts w:hint="eastAsia" w:ascii="Times New Roman" w:hAnsi="Times New Roman" w:eastAsia="宋体" w:cs="Times New Roman"/>
          <w:snapToGrid w:val="0"/>
          <w:color w:val="000000"/>
          <w:kern w:val="0"/>
          <w:sz w:val="24"/>
          <w:szCs w:val="24"/>
          <w:lang w:val="en-US" w:eastAsia="zh-CN" w:bidi="ar"/>
        </w:rPr>
        <w:t>日常生活用水量按</w:t>
      </w:r>
      <w:r>
        <w:rPr>
          <w:rFonts w:hint="default" w:ascii="Times New Roman" w:hAnsi="Times New Roman" w:eastAsia="宋体" w:cs="Times New Roman"/>
          <w:snapToGrid w:val="0"/>
          <w:color w:val="000000"/>
          <w:kern w:val="0"/>
          <w:sz w:val="24"/>
          <w:szCs w:val="24"/>
          <w:lang w:val="en-US" w:eastAsia="zh-CN" w:bidi="ar"/>
        </w:rPr>
        <w:t>40L/</w:t>
      </w:r>
      <w:r>
        <w:rPr>
          <w:rFonts w:hint="eastAsia" w:ascii="Times New Roman" w:hAnsi="Times New Roman" w:eastAsia="宋体" w:cs="Times New Roman"/>
          <w:snapToGrid w:val="0"/>
          <w:color w:val="000000"/>
          <w:kern w:val="0"/>
          <w:sz w:val="24"/>
          <w:szCs w:val="24"/>
          <w:lang w:val="en-US" w:eastAsia="zh-CN" w:bidi="ar"/>
        </w:rPr>
        <w:t>人</w:t>
      </w:r>
      <w:r>
        <w:rPr>
          <w:rFonts w:hint="default" w:ascii="Times New Roman" w:hAnsi="Times New Roman" w:eastAsia="宋体" w:cs="Times New Roman"/>
          <w:snapToGrid w:val="0"/>
          <w:color w:val="000000"/>
          <w:kern w:val="0"/>
          <w:sz w:val="24"/>
          <w:szCs w:val="24"/>
          <w:lang w:val="en-US" w:eastAsia="zh-CN" w:bidi="ar"/>
        </w:rPr>
        <w:t>•d</w:t>
      </w:r>
      <w:r>
        <w:rPr>
          <w:rFonts w:hint="eastAsia" w:ascii="Times New Roman" w:hAnsi="Times New Roman" w:eastAsia="宋体" w:cs="Times New Roman"/>
          <w:snapToGrid w:val="0"/>
          <w:color w:val="000000"/>
          <w:kern w:val="0"/>
          <w:sz w:val="24"/>
          <w:szCs w:val="24"/>
          <w:lang w:val="en-US" w:eastAsia="zh-CN" w:bidi="ar"/>
        </w:rPr>
        <w:t>计，</w:t>
      </w:r>
      <w:r>
        <w:rPr>
          <w:rFonts w:hint="eastAsia" w:ascii="Times New Roman" w:hAnsi="Times New Roman" w:eastAsia="宋体" w:cs="Times New Roman"/>
          <w:bCs/>
          <w:color w:val="000000"/>
          <w:kern w:val="0"/>
          <w:sz w:val="24"/>
          <w:szCs w:val="24"/>
          <w:lang w:val="en-US" w:eastAsia="zh-CN" w:bidi="ar"/>
        </w:rPr>
        <w:t>则日常生活用水量约</w:t>
      </w:r>
      <w:r>
        <w:rPr>
          <w:rFonts w:hint="default" w:ascii="Times New Roman" w:hAnsi="Times New Roman" w:eastAsia="宋体" w:cs="Times New Roman"/>
          <w:bCs/>
          <w:snapToGrid w:val="0"/>
          <w:color w:val="000000"/>
          <w:kern w:val="0"/>
          <w:sz w:val="24"/>
          <w:szCs w:val="24"/>
          <w:lang w:val="en-US" w:eastAsia="zh-CN" w:bidi="ar"/>
        </w:rPr>
        <w:t>960m</w:t>
      </w:r>
      <w:r>
        <w:rPr>
          <w:rFonts w:hint="default" w:ascii="Times New Roman" w:hAnsi="Times New Roman" w:eastAsia="宋体" w:cs="Times New Roman"/>
          <w:bCs/>
          <w:snapToGrid w:val="0"/>
          <w:color w:val="000000"/>
          <w:kern w:val="0"/>
          <w:sz w:val="24"/>
          <w:szCs w:val="24"/>
          <w:vertAlign w:val="superscript"/>
          <w:lang w:val="en-US" w:eastAsia="zh-CN" w:bidi="ar"/>
        </w:rPr>
        <w:t>3</w:t>
      </w:r>
      <w:r>
        <w:rPr>
          <w:rFonts w:hint="default" w:ascii="Times New Roman" w:hAnsi="Times New Roman" w:eastAsia="宋体" w:cs="Times New Roman"/>
          <w:bCs/>
          <w:snapToGrid w:val="0"/>
          <w:color w:val="000000"/>
          <w:kern w:val="0"/>
          <w:sz w:val="24"/>
          <w:szCs w:val="24"/>
          <w:lang w:val="en-US" w:eastAsia="zh-CN" w:bidi="ar"/>
        </w:rPr>
        <w:t>/a</w:t>
      </w:r>
      <w:r>
        <w:rPr>
          <w:rFonts w:hint="eastAsia" w:ascii="Times New Roman" w:hAnsi="Times New Roman" w:eastAsia="宋体" w:cs="Times New Roman"/>
          <w:bCs/>
          <w:snapToGrid w:val="0"/>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color w:val="000000"/>
          <w:lang w:val="en-US"/>
        </w:rPr>
      </w:pPr>
      <w:r>
        <w:rPr>
          <w:rFonts w:hint="eastAsia" w:ascii="Times New Roman" w:hAnsi="Times New Roman" w:eastAsia="宋体" w:cs="Times New Roman"/>
          <w:b/>
          <w:color w:val="000000"/>
          <w:kern w:val="0"/>
          <w:sz w:val="24"/>
          <w:szCs w:val="24"/>
          <w:lang w:val="en-US" w:eastAsia="zh-CN" w:bidi="ar"/>
        </w:rPr>
        <w:t>（</w:t>
      </w:r>
      <w:r>
        <w:rPr>
          <w:rFonts w:hint="default" w:ascii="Times New Roman" w:hAnsi="Times New Roman" w:eastAsia="宋体" w:cs="Times New Roman"/>
          <w:b/>
          <w:color w:val="000000"/>
          <w:kern w:val="0"/>
          <w:sz w:val="24"/>
          <w:szCs w:val="24"/>
          <w:lang w:val="en-US" w:eastAsia="zh-CN" w:bidi="ar"/>
        </w:rPr>
        <w:t>2</w:t>
      </w:r>
      <w:r>
        <w:rPr>
          <w:rFonts w:hint="eastAsia" w:ascii="Times New Roman" w:hAnsi="Times New Roman" w:eastAsia="宋体" w:cs="Times New Roman"/>
          <w:b/>
          <w:color w:val="000000"/>
          <w:kern w:val="0"/>
          <w:sz w:val="24"/>
          <w:szCs w:val="24"/>
          <w:lang w:val="en-US" w:eastAsia="zh-CN" w:bidi="ar"/>
        </w:rPr>
        <w:t>）排水量</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宋体" w:hAnsi="宋体" w:eastAsia="宋体" w:cs="Times New Roman"/>
          <w:color w:val="000000"/>
          <w:kern w:val="0"/>
          <w:sz w:val="24"/>
          <w:szCs w:val="24"/>
          <w:lang w:val="en-US" w:eastAsia="zh-CN" w:bidi="ar"/>
        </w:rPr>
        <w:t>①</w:t>
      </w:r>
      <w:r>
        <w:rPr>
          <w:rFonts w:hint="eastAsia" w:ascii="Times New Roman" w:hAnsi="Times New Roman" w:eastAsia="宋体" w:cs="Times New Roman"/>
          <w:color w:val="000000"/>
          <w:kern w:val="0"/>
          <w:sz w:val="24"/>
          <w:szCs w:val="24"/>
          <w:lang w:val="en-US" w:eastAsia="zh-CN" w:bidi="ar"/>
        </w:rPr>
        <w:t>生产工艺排水</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000000"/>
          <w:lang w:val="en-US"/>
        </w:rPr>
      </w:pPr>
      <w:r>
        <w:rPr>
          <w:rFonts w:hint="eastAsia" w:ascii="Times New Roman" w:hAnsi="Times New Roman" w:eastAsia="宋体" w:cs="Times New Roman"/>
          <w:color w:val="000000"/>
          <w:kern w:val="0"/>
          <w:sz w:val="24"/>
          <w:szCs w:val="24"/>
          <w:lang w:val="en-US" w:eastAsia="zh-CN" w:bidi="ar"/>
        </w:rPr>
        <w:t>本项目生产工艺排水来自浓缩机</w:t>
      </w:r>
      <w:r>
        <w:rPr>
          <w:rFonts w:hint="default" w:ascii="Times New Roman" w:hAnsi="Times New Roman" w:eastAsia="宋体" w:cs="Times New Roman"/>
          <w:color w:val="000000"/>
          <w:kern w:val="0"/>
          <w:sz w:val="24"/>
          <w:szCs w:val="24"/>
          <w:lang w:val="en-US" w:eastAsia="zh-CN" w:bidi="ar"/>
        </w:rPr>
        <w:t>447570m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、板框压滤机</w:t>
      </w:r>
      <w:r>
        <w:rPr>
          <w:rFonts w:hint="default" w:ascii="Times New Roman" w:hAnsi="Times New Roman" w:eastAsia="宋体" w:cs="Times New Roman"/>
          <w:color w:val="000000"/>
          <w:kern w:val="0"/>
          <w:sz w:val="24"/>
          <w:szCs w:val="24"/>
          <w:lang w:val="en-US" w:eastAsia="zh-CN" w:bidi="ar"/>
        </w:rPr>
        <w:t>112500m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、真空带式过滤机</w:t>
      </w:r>
      <w:r>
        <w:rPr>
          <w:rFonts w:hint="default" w:ascii="Times New Roman" w:hAnsi="Times New Roman" w:eastAsia="宋体" w:cs="Times New Roman"/>
          <w:color w:val="000000"/>
          <w:kern w:val="0"/>
          <w:sz w:val="24"/>
          <w:szCs w:val="24"/>
          <w:lang w:val="en-US" w:eastAsia="zh-CN" w:bidi="ar"/>
        </w:rPr>
        <w:t>1788460m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，以及设备和地坪冲洗排水</w:t>
      </w:r>
      <w:r>
        <w:rPr>
          <w:rFonts w:hint="default" w:ascii="Times New Roman" w:hAnsi="Times New Roman" w:eastAsia="宋体" w:cs="Times New Roman"/>
          <w:color w:val="000000"/>
          <w:kern w:val="0"/>
          <w:sz w:val="24"/>
          <w:szCs w:val="24"/>
          <w:lang w:val="en-US" w:eastAsia="zh-CN" w:bidi="ar"/>
        </w:rPr>
        <w:t>2700m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，合计</w:t>
      </w:r>
      <w:r>
        <w:rPr>
          <w:rFonts w:hint="default" w:ascii="Times New Roman" w:hAnsi="Times New Roman" w:eastAsia="宋体" w:cs="Times New Roman"/>
          <w:color w:val="000000"/>
          <w:kern w:val="0"/>
          <w:sz w:val="24"/>
          <w:szCs w:val="24"/>
          <w:lang w:val="en-US" w:eastAsia="zh-CN" w:bidi="ar"/>
        </w:rPr>
        <w:t>2351230m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，全部进入循环水池沉淀后回用于生产。</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lang w:val="en-US"/>
        </w:rPr>
      </w:pPr>
      <w:r>
        <w:rPr>
          <w:rFonts w:hint="eastAsia" w:ascii="方正书宋简体" w:hAnsi="宋体" w:eastAsia="方正书宋简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2 \* GB3</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宋体" w:hAnsi="宋体" w:eastAsia="宋体" w:cs="宋体"/>
          <w:color w:val="000000"/>
          <w:kern w:val="0"/>
          <w:sz w:val="24"/>
          <w:szCs w:val="24"/>
          <w:lang w:val="en-US" w:eastAsia="zh-CN" w:bidi="ar"/>
        </w:rPr>
        <w:t>②</w:t>
      </w:r>
      <w:r>
        <w:rPr>
          <w:rFonts w:hint="eastAsia" w:ascii="方正书宋简体" w:hAnsi="宋体" w:eastAsia="方正书宋简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生活排水</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bCs/>
          <w:snapToGrid w:val="0"/>
          <w:color w:val="000000"/>
          <w:lang w:val="en-US"/>
        </w:rPr>
      </w:pPr>
      <w:r>
        <w:rPr>
          <w:rFonts w:hint="eastAsia" w:ascii="Times New Roman" w:hAnsi="Times New Roman" w:eastAsia="宋体" w:cs="Times New Roman"/>
          <w:bCs/>
          <w:snapToGrid w:val="0"/>
          <w:color w:val="000000"/>
          <w:kern w:val="0"/>
          <w:sz w:val="24"/>
          <w:szCs w:val="24"/>
          <w:lang w:val="en-US" w:eastAsia="zh-CN" w:bidi="ar"/>
        </w:rPr>
        <w:t>参照《环保统计手册》生活污水产生量约为用水量的</w:t>
      </w:r>
      <w:r>
        <w:rPr>
          <w:rFonts w:hint="default" w:ascii="Times New Roman" w:hAnsi="Times New Roman" w:eastAsia="宋体" w:cs="Times New Roman"/>
          <w:bCs/>
          <w:snapToGrid w:val="0"/>
          <w:color w:val="000000"/>
          <w:kern w:val="0"/>
          <w:sz w:val="24"/>
          <w:szCs w:val="24"/>
          <w:lang w:val="en-US" w:eastAsia="zh-CN" w:bidi="ar"/>
        </w:rPr>
        <w:t>85%</w:t>
      </w:r>
      <w:r>
        <w:rPr>
          <w:rFonts w:hint="eastAsia" w:ascii="Times New Roman" w:hAnsi="Times New Roman" w:eastAsia="宋体" w:cs="Times New Roman"/>
          <w:bCs/>
          <w:snapToGrid w:val="0"/>
          <w:color w:val="000000"/>
          <w:kern w:val="0"/>
          <w:sz w:val="24"/>
          <w:szCs w:val="24"/>
          <w:lang w:val="en-US" w:eastAsia="zh-CN" w:bidi="ar"/>
        </w:rPr>
        <w:t>，则本项目生活污水产生量约为</w:t>
      </w:r>
      <w:r>
        <w:rPr>
          <w:rFonts w:hint="default" w:ascii="Times New Roman" w:hAnsi="Times New Roman" w:eastAsia="宋体" w:cs="Times New Roman"/>
          <w:bCs/>
          <w:snapToGrid w:val="0"/>
          <w:color w:val="000000"/>
          <w:kern w:val="0"/>
          <w:sz w:val="24"/>
          <w:szCs w:val="24"/>
          <w:lang w:val="en-US" w:eastAsia="zh-CN" w:bidi="ar"/>
        </w:rPr>
        <w:t>816m</w:t>
      </w:r>
      <w:r>
        <w:rPr>
          <w:rFonts w:hint="default" w:ascii="Times New Roman" w:hAnsi="Times New Roman" w:eastAsia="宋体" w:cs="Times New Roman"/>
          <w:bCs/>
          <w:snapToGrid w:val="0"/>
          <w:color w:val="000000"/>
          <w:kern w:val="0"/>
          <w:sz w:val="24"/>
          <w:szCs w:val="24"/>
          <w:vertAlign w:val="superscript"/>
          <w:lang w:val="en-US" w:eastAsia="zh-CN" w:bidi="ar"/>
        </w:rPr>
        <w:t>3</w:t>
      </w:r>
      <w:r>
        <w:rPr>
          <w:rFonts w:hint="default" w:ascii="Times New Roman" w:hAnsi="Times New Roman" w:eastAsia="宋体" w:cs="Times New Roman"/>
          <w:bCs/>
          <w:snapToGrid w:val="0"/>
          <w:color w:val="000000"/>
          <w:kern w:val="0"/>
          <w:sz w:val="24"/>
          <w:szCs w:val="24"/>
          <w:lang w:val="en-US" w:eastAsia="zh-CN" w:bidi="ar"/>
        </w:rPr>
        <w:t>/a</w:t>
      </w:r>
      <w:r>
        <w:rPr>
          <w:rFonts w:hint="eastAsia" w:ascii="Times New Roman" w:hAnsi="Times New Roman" w:eastAsia="宋体" w:cs="Times New Roman"/>
          <w:bCs/>
          <w:snapToGrid w:val="0"/>
          <w:color w:val="000000"/>
          <w:kern w:val="0"/>
          <w:sz w:val="24"/>
          <w:szCs w:val="24"/>
          <w:lang w:val="en-US" w:eastAsia="zh-CN" w:bidi="ar"/>
        </w:rPr>
        <w:t>，排入本项目新建化粪池，</w:t>
      </w:r>
      <w:r>
        <w:rPr>
          <w:rFonts w:hint="eastAsia" w:ascii="宋体" w:hAnsi="宋体" w:eastAsia="宋体" w:cs="宋体"/>
          <w:color w:val="000000"/>
          <w:kern w:val="0"/>
          <w:sz w:val="24"/>
          <w:szCs w:val="24"/>
          <w:lang w:val="en-US" w:eastAsia="zh-CN" w:bidi="ar"/>
        </w:rPr>
        <w:t>定期清掏，堆沤腐熟、就地就近就农利用</w:t>
      </w:r>
      <w:r>
        <w:rPr>
          <w:rFonts w:hint="eastAsia" w:ascii="Times New Roman" w:hAnsi="Times New Roman" w:eastAsia="宋体" w:cs="Times New Roman"/>
          <w:bCs/>
          <w:snapToGrid w:val="0"/>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本项目水平衡分析见表</w:t>
      </w:r>
      <w:r>
        <w:rPr>
          <w:rFonts w:hint="default" w:ascii="Times New Roman" w:hAnsi="Times New Roman" w:eastAsia="宋体" w:cs="Times New Roman"/>
          <w:color w:val="000000"/>
          <w:kern w:val="0"/>
          <w:sz w:val="24"/>
          <w:szCs w:val="24"/>
          <w:lang w:val="en-US" w:eastAsia="zh-CN" w:bidi="ar"/>
        </w:rPr>
        <w:t>3.3-14</w:t>
      </w:r>
      <w:r>
        <w:rPr>
          <w:rFonts w:hint="eastAsia" w:ascii="Times New Roman" w:hAnsi="Times New Roman" w:eastAsia="宋体" w:cs="Times New Roman"/>
          <w:color w:val="000000"/>
          <w:kern w:val="0"/>
          <w:sz w:val="24"/>
          <w:szCs w:val="24"/>
          <w:lang w:val="en-US" w:eastAsia="zh-CN" w:bidi="ar"/>
        </w:rPr>
        <w:t>和图</w:t>
      </w:r>
      <w:r>
        <w:rPr>
          <w:rFonts w:hint="default" w:ascii="Times New Roman" w:hAnsi="Times New Roman" w:eastAsia="宋体" w:cs="Times New Roman"/>
          <w:color w:val="000000"/>
          <w:kern w:val="0"/>
          <w:sz w:val="24"/>
          <w:szCs w:val="24"/>
          <w:lang w:val="en-US" w:eastAsia="zh-CN" w:bidi="ar"/>
        </w:rPr>
        <w:t>3-9</w:t>
      </w:r>
      <w:r>
        <w:rPr>
          <w:rFonts w:hint="eastAsia" w:ascii="Times New Roman" w:hAnsi="Times New Roman" w:eastAsia="宋体" w:cs="Times New Roman"/>
          <w:color w:val="000000"/>
          <w:kern w:val="0"/>
          <w:sz w:val="24"/>
          <w:szCs w:val="24"/>
          <w:lang w:val="en-US" w:eastAsia="zh-CN" w:bidi="ar"/>
        </w:rPr>
        <w:t>，工业水循环利用率</w:t>
      </w:r>
      <w:r>
        <w:rPr>
          <w:rFonts w:hint="default" w:ascii="Times New Roman" w:hAnsi="Times New Roman" w:eastAsia="宋体" w:cs="Times New Roman"/>
          <w:color w:val="000000"/>
          <w:kern w:val="0"/>
          <w:sz w:val="24"/>
          <w:szCs w:val="24"/>
          <w:lang w:val="en-US" w:eastAsia="zh-CN" w:bidi="ar"/>
        </w:rPr>
        <w:t>95%</w:t>
      </w:r>
      <w:r>
        <w:rPr>
          <w:rFonts w:hint="eastAsia" w:ascii="Times New Roman" w:hAnsi="Times New Roman" w:eastAsia="宋体" w:cs="Times New Roman"/>
          <w:color w:val="000000"/>
          <w:kern w:val="0"/>
          <w:sz w:val="24"/>
          <w:szCs w:val="24"/>
          <w:lang w:val="en-US" w:eastAsia="zh-CN" w:bidi="ar"/>
        </w:rPr>
        <w:t>。全厂水量平衡见图</w:t>
      </w:r>
      <w:r>
        <w:rPr>
          <w:rFonts w:hint="default" w:ascii="Times New Roman" w:hAnsi="Times New Roman" w:eastAsia="宋体" w:cs="Times New Roman"/>
          <w:color w:val="000000"/>
          <w:kern w:val="0"/>
          <w:sz w:val="24"/>
          <w:szCs w:val="24"/>
          <w:lang w:val="en-US" w:eastAsia="zh-CN" w:bidi="ar"/>
        </w:rPr>
        <w:t>3-10</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1" w:after="0" w:afterAutospacing="0"/>
        <w:ind w:left="0" w:right="0"/>
        <w:jc w:val="center"/>
        <w:rPr>
          <w:rFonts w:hint="default" w:ascii="Times New Roman" w:hAnsi="Times New Roman" w:eastAsia="黑体" w:cs="Times New Roman"/>
          <w:color w:val="000000"/>
          <w:lang w:val="en-US"/>
        </w:rPr>
      </w:pPr>
      <w:r>
        <w:rPr>
          <w:rFonts w:hint="eastAsia" w:ascii="宋体" w:hAnsi="宋体" w:eastAsia="宋体" w:cs="宋体"/>
          <w:color w:val="000000"/>
          <w:kern w:val="0"/>
          <w:sz w:val="24"/>
          <w:szCs w:val="24"/>
          <w:lang w:val="en-US" w:eastAsia="zh-CN" w:bidi="ar"/>
        </w:rPr>
        <w:object>
          <v:shape id="_x0000_i1035" o:spt="75" type="#_x0000_t75" style="height:567.75pt;width:440.25pt;" o:ole="t" filled="f" o:preferrelative="t" stroked="f" coordsize="21600,21600">
            <v:path/>
            <v:fill on="f" focussize="0,0"/>
            <v:stroke on="f" joinstyle="miter"/>
            <v:imagedata r:id="rId31" o:title=""/>
            <o:lock v:ext="edit" aspectratio="t"/>
            <w10:wrap type="none"/>
            <w10:anchorlock/>
          </v:shape>
          <o:OLEObject Type="Embed" ProgID="" ShapeID="_x0000_i1035" DrawAspect="Content" ObjectID="_1468075732" r:id="rId30">
            <o:LockedField>false</o:LockedField>
          </o:OLEObject>
        </w:object>
      </w: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3-9  </w:t>
      </w:r>
      <w:r>
        <w:rPr>
          <w:rFonts w:hint="eastAsia" w:ascii="Times New Roman" w:hAnsi="Times New Roman" w:eastAsia="黑体" w:cs="Times New Roman"/>
          <w:color w:val="000000"/>
          <w:kern w:val="0"/>
          <w:sz w:val="24"/>
          <w:szCs w:val="24"/>
          <w:lang w:val="en-US" w:eastAsia="zh-CN" w:bidi="ar"/>
        </w:rPr>
        <w:t>本项目水量平衡图（单位：</w:t>
      </w:r>
      <w:r>
        <w:rPr>
          <w:rFonts w:hint="default" w:ascii="Times New Roman" w:hAnsi="Times New Roman" w:eastAsia="黑体" w:cs="Times New Roman"/>
          <w:color w:val="000000"/>
          <w:kern w:val="0"/>
          <w:sz w:val="24"/>
          <w:szCs w:val="24"/>
          <w:lang w:val="en-US" w:eastAsia="zh-CN" w:bidi="ar"/>
        </w:rPr>
        <w:t>m</w:t>
      </w:r>
      <w:r>
        <w:rPr>
          <w:rFonts w:hint="default" w:ascii="Times New Roman" w:hAnsi="Times New Roman" w:eastAsia="黑体" w:cs="Times New Roman"/>
          <w:color w:val="000000"/>
          <w:kern w:val="0"/>
          <w:sz w:val="24"/>
          <w:szCs w:val="24"/>
          <w:vertAlign w:val="superscript"/>
          <w:lang w:val="en-US" w:eastAsia="zh-CN" w:bidi="ar"/>
        </w:rPr>
        <w:t>3</w:t>
      </w:r>
      <w:r>
        <w:rPr>
          <w:rFonts w:hint="default" w:ascii="Times New Roman" w:hAnsi="Times New Roman" w:eastAsia="黑体" w:cs="Times New Roman"/>
          <w:color w:val="000000"/>
          <w:kern w:val="0"/>
          <w:sz w:val="24"/>
          <w:szCs w:val="24"/>
          <w:lang w:val="en-US" w:eastAsia="zh-CN" w:bidi="ar"/>
        </w:rPr>
        <w:t>/a</w:t>
      </w:r>
      <w:r>
        <w:rPr>
          <w:rFonts w:hint="eastAsia" w:ascii="Times New Roman" w:hAnsi="Times New Roman" w:eastAsia="黑体" w:cs="Times New Roman"/>
          <w:color w:val="000000"/>
          <w:kern w:val="0"/>
          <w:sz w:val="24"/>
          <w:szCs w:val="24"/>
          <w:lang w:val="en-US" w:eastAsia="zh-CN" w:bidi="ar"/>
        </w:rPr>
        <w:t>）</w:t>
      </w:r>
    </w:p>
    <w:p>
      <w:pPr>
        <w:keepNext w:val="0"/>
        <w:keepLines w:val="0"/>
        <w:widowControl/>
        <w:suppressLineNumbers w:val="0"/>
        <w:adjustRightInd w:val="0"/>
        <w:spacing w:before="0" w:beforeAutospacing="1" w:after="0" w:afterAutospacing="0"/>
        <w:ind w:left="0" w:right="0"/>
        <w:jc w:val="center"/>
        <w:rPr>
          <w:rFonts w:hint="default" w:ascii="Times New Roman" w:hAnsi="Times New Roman" w:eastAsia="黑体" w:cs="Times New Roman"/>
          <w:color w:val="000000"/>
          <w:sz w:val="21"/>
          <w:szCs w:val="21"/>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宋体" w:cs="Times New Roman"/>
          <w:color w:val="000000"/>
          <w:kern w:val="0"/>
          <w:sz w:val="24"/>
          <w:szCs w:val="18"/>
          <w:lang w:val="en-US" w:eastAsia="zh-CN" w:bidi="ar"/>
        </w:rPr>
        <w:t>3.3-14</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4"/>
          <w:szCs w:val="24"/>
          <w:lang w:val="en-US" w:eastAsia="zh-CN" w:bidi="ar"/>
        </w:rPr>
        <w:t>本项目水平衡分析一览表</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1"/>
          <w:szCs w:val="21"/>
          <w:lang w:val="en-US" w:eastAsia="zh-CN" w:bidi="ar"/>
        </w:rPr>
        <w:t>单位：</w:t>
      </w:r>
      <w:r>
        <w:rPr>
          <w:rFonts w:hint="default" w:ascii="Times New Roman" w:hAnsi="Times New Roman" w:eastAsia="黑体" w:cs="Times New Roman"/>
          <w:color w:val="000000"/>
          <w:kern w:val="0"/>
          <w:sz w:val="21"/>
          <w:szCs w:val="21"/>
          <w:lang w:val="en-US" w:eastAsia="zh-CN" w:bidi="ar"/>
        </w:rPr>
        <w:t>m</w:t>
      </w:r>
      <w:r>
        <w:rPr>
          <w:rFonts w:hint="default" w:ascii="Times New Roman" w:hAnsi="Times New Roman" w:eastAsia="黑体" w:cs="Times New Roman"/>
          <w:color w:val="000000"/>
          <w:kern w:val="0"/>
          <w:sz w:val="21"/>
          <w:szCs w:val="21"/>
          <w:vertAlign w:val="superscript"/>
          <w:lang w:val="en-US" w:eastAsia="zh-CN" w:bidi="ar"/>
        </w:rPr>
        <w:t>3</w:t>
      </w:r>
      <w:r>
        <w:rPr>
          <w:rFonts w:hint="default" w:ascii="Times New Roman" w:hAnsi="Times New Roman" w:eastAsia="黑体" w:cs="Times New Roman"/>
          <w:color w:val="000000"/>
          <w:kern w:val="0"/>
          <w:sz w:val="21"/>
          <w:szCs w:val="21"/>
          <w:lang w:val="en-US" w:eastAsia="zh-CN" w:bidi="ar"/>
        </w:rPr>
        <w:t>/a</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204"/>
        <w:gridCol w:w="1094"/>
        <w:gridCol w:w="952"/>
        <w:gridCol w:w="951"/>
        <w:gridCol w:w="1094"/>
        <w:gridCol w:w="860"/>
        <w:gridCol w:w="1371"/>
        <w:gridCol w:w="1201"/>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740" w:hRule="atLeast"/>
        </w:trPr>
        <w:tc>
          <w:tcPr>
            <w:tcW w:w="713" w:type="pct"/>
            <w:tcBorders>
              <w:top w:val="thinThickSmallGap" w:color="auto" w:sz="12" w:space="0"/>
              <w:left w:val="nil"/>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项目</w:t>
            </w:r>
          </w:p>
        </w:tc>
        <w:tc>
          <w:tcPr>
            <w:tcW w:w="650" w:type="pc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原料带入</w:t>
            </w:r>
          </w:p>
        </w:tc>
        <w:tc>
          <w:tcPr>
            <w:tcW w:w="569" w:type="pc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回用水</w:t>
            </w:r>
          </w:p>
        </w:tc>
        <w:tc>
          <w:tcPr>
            <w:tcW w:w="568" w:type="pc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新水</w:t>
            </w:r>
          </w:p>
        </w:tc>
        <w:tc>
          <w:tcPr>
            <w:tcW w:w="1166" w:type="pct"/>
            <w:gridSpan w:val="2"/>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损耗</w:t>
            </w:r>
          </w:p>
        </w:tc>
        <w:tc>
          <w:tcPr>
            <w:tcW w:w="622" w:type="pc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废水</w:t>
            </w:r>
          </w:p>
        </w:tc>
        <w:tc>
          <w:tcPr>
            <w:tcW w:w="711" w:type="pct"/>
            <w:tcBorders>
              <w:top w:val="thinThickSmallGap" w:color="auto" w:sz="12" w:space="0"/>
              <w:left w:val="single" w:color="auto" w:sz="4" w:space="0"/>
              <w:bottom w:val="single" w:color="auto" w:sz="4" w:space="0"/>
              <w:right w:val="nil"/>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去向</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3" w:type="pct"/>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浮选生产工艺</w:t>
            </w:r>
          </w:p>
        </w:tc>
        <w:tc>
          <w:tcPr>
            <w:tcW w:w="650"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62500</w:t>
            </w:r>
          </w:p>
        </w:tc>
        <w:tc>
          <w:tcPr>
            <w:tcW w:w="569"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2148900</w:t>
            </w:r>
          </w:p>
        </w:tc>
        <w:tc>
          <w:tcPr>
            <w:tcW w:w="568"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107130</w:t>
            </w:r>
          </w:p>
        </w:tc>
        <w:tc>
          <w:tcPr>
            <w:tcW w:w="6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蒸发损耗</w:t>
            </w:r>
          </w:p>
        </w:tc>
        <w:tc>
          <w:tcPr>
            <w:tcW w:w="51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42330</w:t>
            </w:r>
          </w:p>
        </w:tc>
        <w:tc>
          <w:tcPr>
            <w:tcW w:w="622"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2146200</w:t>
            </w:r>
            <w:r>
              <w:rPr>
                <w:rFonts w:ascii="Times New Roman" w:hAnsi="Times New Roman" w:cs="Times New Roman"/>
                <w:color w:val="000000"/>
                <w:sz w:val="21"/>
                <w:szCs w:val="21"/>
                <w:bdr w:val="none" w:color="auto" w:sz="0" w:space="0"/>
              </w:rPr>
              <w:t>）</w:t>
            </w:r>
          </w:p>
        </w:tc>
        <w:tc>
          <w:tcPr>
            <w:tcW w:w="711" w:type="pct"/>
            <w:vMerge w:val="restar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循环水池不外排</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3"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65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569"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568"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6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尾矿带走</w:t>
            </w:r>
          </w:p>
        </w:tc>
        <w:tc>
          <w:tcPr>
            <w:tcW w:w="51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30000</w:t>
            </w:r>
          </w:p>
        </w:tc>
        <w:tc>
          <w:tcPr>
            <w:tcW w:w="622"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11"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3"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65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569"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568"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6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精矿带走</w:t>
            </w:r>
          </w:p>
        </w:tc>
        <w:tc>
          <w:tcPr>
            <w:tcW w:w="51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100000</w:t>
            </w:r>
          </w:p>
        </w:tc>
        <w:tc>
          <w:tcPr>
            <w:tcW w:w="622"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11"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3"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设备、地坪冲洗</w:t>
            </w:r>
          </w:p>
        </w:tc>
        <w:tc>
          <w:tcPr>
            <w:tcW w:w="6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56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56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3000</w:t>
            </w:r>
          </w:p>
        </w:tc>
        <w:tc>
          <w:tcPr>
            <w:tcW w:w="1166" w:type="pct"/>
            <w:gridSpan w:val="2"/>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300</w:t>
            </w:r>
          </w:p>
        </w:tc>
        <w:tc>
          <w:tcPr>
            <w:tcW w:w="62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2700</w:t>
            </w:r>
            <w:r>
              <w:rPr>
                <w:rFonts w:ascii="Times New Roman" w:hAnsi="Times New Roman" w:cs="Times New Roman"/>
                <w:color w:val="000000"/>
                <w:sz w:val="21"/>
                <w:szCs w:val="21"/>
                <w:bdr w:val="none" w:color="auto" w:sz="0" w:space="0"/>
              </w:rPr>
              <w:t>）</w:t>
            </w:r>
          </w:p>
        </w:tc>
        <w:tc>
          <w:tcPr>
            <w:tcW w:w="711"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3"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职工生活</w:t>
            </w:r>
          </w:p>
        </w:tc>
        <w:tc>
          <w:tcPr>
            <w:tcW w:w="650" w:type="pct"/>
            <w:tcBorders>
              <w:top w:val="single" w:color="auto" w:sz="4" w:space="0"/>
              <w:left w:val="single" w:color="auto" w:sz="4" w:space="0"/>
              <w:bottom w:val="single" w:color="auto" w:sz="4" w:space="0"/>
              <w:right w:val="single" w:color="auto" w:sz="4" w:space="0"/>
            </w:tcBorders>
            <w:shd w:val="clear"/>
            <w:noWrap/>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56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56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960</w:t>
            </w:r>
          </w:p>
        </w:tc>
        <w:tc>
          <w:tcPr>
            <w:tcW w:w="1166" w:type="pct"/>
            <w:gridSpan w:val="2"/>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144</w:t>
            </w:r>
          </w:p>
        </w:tc>
        <w:tc>
          <w:tcPr>
            <w:tcW w:w="62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816</w:t>
            </w:r>
          </w:p>
        </w:tc>
        <w:tc>
          <w:tcPr>
            <w:tcW w:w="711"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化粪池，清掏堆沤腐熟后就近就农利用</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3" w:type="pct"/>
            <w:tcBorders>
              <w:top w:val="single" w:color="auto" w:sz="4" w:space="0"/>
              <w:left w:val="nil"/>
              <w:bottom w:val="thickThinSmallGap" w:color="auto" w:sz="12" w:space="0"/>
              <w:right w:val="single" w:color="auto" w:sz="4" w:space="0"/>
            </w:tcBorders>
            <w:shd w:val="clear"/>
            <w:noWrap/>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合计</w:t>
            </w:r>
          </w:p>
        </w:tc>
        <w:tc>
          <w:tcPr>
            <w:tcW w:w="650" w:type="pct"/>
            <w:tcBorders>
              <w:top w:val="single" w:color="auto" w:sz="4" w:space="0"/>
              <w:left w:val="single" w:color="auto" w:sz="4" w:space="0"/>
              <w:bottom w:val="thickThinSmallGap" w:color="auto" w:sz="12" w:space="0"/>
              <w:right w:val="single" w:color="auto" w:sz="4" w:space="0"/>
            </w:tcBorders>
            <w:shd w:val="clear"/>
            <w:noWrap/>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62500</w:t>
            </w:r>
          </w:p>
        </w:tc>
        <w:tc>
          <w:tcPr>
            <w:tcW w:w="569"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68"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111090</w:t>
            </w:r>
          </w:p>
        </w:tc>
        <w:tc>
          <w:tcPr>
            <w:tcW w:w="1166" w:type="pct"/>
            <w:gridSpan w:val="2"/>
            <w:tcBorders>
              <w:top w:val="single" w:color="auto" w:sz="4" w:space="0"/>
              <w:left w:val="single" w:color="auto" w:sz="4" w:space="0"/>
              <w:bottom w:val="thickThinSmallGap" w:color="auto" w:sz="12" w:space="0"/>
              <w:right w:val="single" w:color="auto" w:sz="4" w:space="0"/>
            </w:tcBorders>
            <w:shd w:val="clear"/>
            <w:noWrap/>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172774</w:t>
            </w:r>
          </w:p>
        </w:tc>
        <w:tc>
          <w:tcPr>
            <w:tcW w:w="622" w:type="pct"/>
            <w:tcBorders>
              <w:top w:val="single" w:color="auto" w:sz="4" w:space="0"/>
              <w:left w:val="single" w:color="auto" w:sz="4" w:space="0"/>
              <w:bottom w:val="thickThinSmallGap" w:color="auto" w:sz="12" w:space="0"/>
              <w:right w:val="single" w:color="auto" w:sz="4" w:space="0"/>
            </w:tcBorders>
            <w:shd w:val="clear"/>
            <w:noWrap/>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816</w:t>
            </w:r>
          </w:p>
        </w:tc>
        <w:tc>
          <w:tcPr>
            <w:tcW w:w="711"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bl>
    <w:p>
      <w:pPr>
        <w:keepNext w:val="0"/>
        <w:keepLines w:val="0"/>
        <w:widowControl/>
        <w:suppressLineNumbers w:val="0"/>
        <w:adjustRightInd w:val="0"/>
        <w:spacing w:before="0" w:beforeAutospacing="1" w:after="0" w:afterAutospacing="0"/>
        <w:ind w:left="0" w:right="0"/>
        <w:jc w:val="left"/>
        <w:rPr>
          <w:rFonts w:hint="default" w:ascii="Times New Roman" w:hAnsi="Times New Roman" w:eastAsia="黑体" w:cs="Times New Roman"/>
          <w:color w:val="000000"/>
          <w:lang w:val="en-US"/>
        </w:rPr>
      </w:pPr>
    </w:p>
    <w:p>
      <w:pPr>
        <w:keepNext w:val="0"/>
        <w:keepLines w:val="0"/>
        <w:widowControl/>
        <w:suppressLineNumbers w:val="0"/>
        <w:adjustRightInd w:val="0"/>
        <w:spacing w:before="0" w:beforeAutospacing="0" w:after="0" w:afterAutospacing="0" w:line="360" w:lineRule="auto"/>
        <w:ind w:left="0" w:right="0"/>
        <w:jc w:val="center"/>
        <w:rPr>
          <w:rFonts w:hint="default" w:ascii="Times New Roman" w:hAnsi="Times New Roman" w:eastAsia="黑体" w:cs="Times New Roman"/>
          <w:color w:val="000000"/>
          <w:lang w:val="en-US"/>
        </w:rPr>
      </w:pPr>
      <w:r>
        <w:rPr>
          <w:rFonts w:hint="eastAsia" w:ascii="宋体" w:hAnsi="宋体" w:eastAsia="宋体" w:cs="宋体"/>
          <w:color w:val="000000"/>
          <w:kern w:val="0"/>
          <w:sz w:val="24"/>
          <w:szCs w:val="24"/>
          <w:lang w:val="en-US" w:eastAsia="zh-CN" w:bidi="ar"/>
        </w:rPr>
        <w:object>
          <v:shape id="_x0000_i1036" o:spt="75" type="#_x0000_t75" style="height:342.75pt;width:358.5pt;" o:ole="t" filled="f" o:preferrelative="t" stroked="f" coordsize="21600,21600">
            <v:path/>
            <v:fill on="f" focussize="0,0"/>
            <v:stroke on="f" joinstyle="miter"/>
            <v:imagedata r:id="rId33" o:title=""/>
            <o:lock v:ext="edit" aspectratio="t"/>
            <w10:wrap type="none"/>
            <w10:anchorlock/>
          </v:shape>
          <o:OLEObject Type="Embed" ProgID="" ShapeID="_x0000_i1036" DrawAspect="Content" ObjectID="_1468075733" r:id="rId32">
            <o:LockedField>false</o:LockedField>
          </o:OLEObject>
        </w:object>
      </w:r>
    </w:p>
    <w:p>
      <w:pPr>
        <w:keepNext w:val="0"/>
        <w:keepLines w:val="0"/>
        <w:widowControl/>
        <w:suppressLineNumbers w:val="0"/>
        <w:adjustRightInd w:val="0"/>
        <w:spacing w:before="0" w:beforeAutospacing="0" w:after="0" w:afterAutospacing="0" w:line="360" w:lineRule="auto"/>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3-10  </w:t>
      </w:r>
      <w:r>
        <w:rPr>
          <w:rFonts w:hint="eastAsia" w:ascii="Times New Roman" w:hAnsi="Times New Roman" w:eastAsia="黑体" w:cs="Times New Roman"/>
          <w:color w:val="000000"/>
          <w:kern w:val="0"/>
          <w:sz w:val="24"/>
          <w:szCs w:val="24"/>
          <w:lang w:val="en-US" w:eastAsia="zh-CN" w:bidi="ar"/>
        </w:rPr>
        <w:t>全厂水量平衡图（单位：</w:t>
      </w:r>
      <w:r>
        <w:rPr>
          <w:rFonts w:hint="default" w:ascii="Times New Roman" w:hAnsi="Times New Roman" w:eastAsia="黑体" w:cs="Times New Roman"/>
          <w:color w:val="000000"/>
          <w:kern w:val="0"/>
          <w:sz w:val="24"/>
          <w:szCs w:val="24"/>
          <w:lang w:val="en-US" w:eastAsia="zh-CN" w:bidi="ar"/>
        </w:rPr>
        <w:t>m</w:t>
      </w:r>
      <w:r>
        <w:rPr>
          <w:rFonts w:hint="default" w:ascii="Times New Roman" w:hAnsi="Times New Roman" w:eastAsia="黑体" w:cs="Times New Roman"/>
          <w:color w:val="000000"/>
          <w:kern w:val="0"/>
          <w:sz w:val="24"/>
          <w:szCs w:val="24"/>
          <w:vertAlign w:val="superscript"/>
          <w:lang w:val="en-US" w:eastAsia="zh-CN" w:bidi="ar"/>
        </w:rPr>
        <w:t>3</w:t>
      </w:r>
      <w:r>
        <w:rPr>
          <w:rFonts w:hint="default" w:ascii="Times New Roman" w:hAnsi="Times New Roman" w:eastAsia="黑体" w:cs="Times New Roman"/>
          <w:color w:val="000000"/>
          <w:kern w:val="0"/>
          <w:sz w:val="24"/>
          <w:szCs w:val="24"/>
          <w:lang w:val="en-US" w:eastAsia="zh-CN" w:bidi="ar"/>
        </w:rPr>
        <w:t>/a</w:t>
      </w:r>
      <w:r>
        <w:rPr>
          <w:rFonts w:hint="eastAsia" w:ascii="Times New Roman" w:hAnsi="Times New Roman" w:eastAsia="黑体" w:cs="Times New Roman"/>
          <w:color w:val="000000"/>
          <w:kern w:val="0"/>
          <w:sz w:val="24"/>
          <w:szCs w:val="24"/>
          <w:lang w:val="en-US" w:eastAsia="zh-CN" w:bidi="ar"/>
        </w:rPr>
        <w:t>）</w:t>
      </w:r>
    </w:p>
    <w:p>
      <w:pPr>
        <w:rPr>
          <w:rFonts w:hint="eastAsia" w:ascii="宋体" w:hAnsi="宋体" w:eastAsia="宋体" w:cs="宋体"/>
          <w:color w:val="000000"/>
          <w:sz w:val="24"/>
          <w:szCs w:val="24"/>
          <w:lang w:eastAsia="zh-CN" w:bidi="ar"/>
        </w:rPr>
        <w:sectPr>
          <w:pgSz w:w="11915" w:h="16840"/>
          <w:pgMar w:top="1702" w:right="1702" w:bottom="1702" w:left="1702" w:header="851" w:footer="1077" w:gutter="0"/>
          <w:paperSrc/>
          <w:cols w:space="425" w:num="1"/>
          <w:docGrid w:type="lines" w:linePitch="479" w:charSpace="0"/>
        </w:sectPr>
      </w:pPr>
    </w:p>
    <w:p>
      <w:pPr>
        <w:pStyle w:val="8"/>
        <w:widowControl/>
        <w:rPr>
          <w:color w:val="000000"/>
          <w:lang/>
        </w:rPr>
      </w:pPr>
      <w:bookmarkStart w:id="150" w:name="_Toc41656135"/>
      <w:r>
        <w:rPr>
          <w:color w:val="000000"/>
          <w:lang/>
        </w:rPr>
        <w:t xml:space="preserve">3.4 </w:t>
      </w:r>
      <w:r>
        <w:rPr>
          <w:rFonts w:hint="eastAsia" w:ascii="Times New Roman" w:hAnsi="Times New Roman" w:eastAsia="宋体" w:cs="宋体"/>
          <w:color w:val="000000"/>
          <w:lang w:eastAsia="zh-CN"/>
        </w:rPr>
        <w:t>污染物排放情况</w:t>
      </w:r>
      <w:bookmarkEnd w:id="150"/>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4</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 xml:space="preserve"> </w:t>
      </w:r>
      <w:r>
        <w:rPr>
          <w:rFonts w:ascii="Times New Roman" w:hAnsi="Times New Roman" w:cs="Times New Roman"/>
          <w:color w:val="000000"/>
          <w:lang w:eastAsia="zh-CN"/>
        </w:rPr>
        <w:t>本项目污染物排放统计</w:t>
      </w:r>
    </w:p>
    <w:p>
      <w:pPr>
        <w:keepNext w:val="0"/>
        <w:keepLines w:val="0"/>
        <w:widowControl/>
        <w:suppressLineNumbers w:val="0"/>
        <w:spacing w:before="0" w:beforeAutospacing="0" w:after="0" w:afterAutospacing="0"/>
        <w:ind w:left="0" w:right="0" w:firstLine="480" w:firstLineChars="200"/>
        <w:jc w:val="left"/>
        <w:rPr>
          <w:color w:val="000000"/>
          <w:lang/>
        </w:rPr>
      </w:pPr>
      <w:r>
        <w:rPr>
          <w:rFonts w:hint="eastAsia" w:ascii="宋体" w:hAnsi="宋体" w:eastAsia="宋体" w:cs="宋体"/>
          <w:color w:val="000000"/>
          <w:kern w:val="0"/>
          <w:sz w:val="24"/>
          <w:szCs w:val="24"/>
          <w:lang w:val="en-US" w:eastAsia="zh-CN" w:bidi="ar"/>
        </w:rPr>
        <w:t>本项目运营期污染物排放情况见下表。</w:t>
      </w:r>
    </w:p>
    <w:p>
      <w:pPr>
        <w:keepNext w:val="0"/>
        <w:keepLines w:val="0"/>
        <w:widowControl/>
        <w:suppressLineNumbers w:val="0"/>
        <w:adjustRightInd w:val="0"/>
        <w:spacing w:before="0" w:beforeAutospacing="1" w:after="0" w:afterAutospacing="0"/>
        <w:ind w:left="0" w:right="0"/>
        <w:jc w:val="center"/>
        <w:rPr>
          <w:rFonts w:hint="default" w:ascii="Times New Roman" w:hAnsi="Times New Roman" w:eastAsia="黑体" w:cs="Times New Roman"/>
          <w:color w:val="000000"/>
          <w:sz w:val="21"/>
          <w:szCs w:val="21"/>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宋体" w:cs="Times New Roman"/>
          <w:color w:val="000000"/>
          <w:kern w:val="0"/>
          <w:sz w:val="24"/>
          <w:szCs w:val="18"/>
          <w:lang w:val="en-US" w:eastAsia="zh-CN" w:bidi="ar"/>
        </w:rPr>
        <w:t>3.4-1</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4"/>
          <w:szCs w:val="24"/>
          <w:lang w:val="en-US" w:eastAsia="zh-CN" w:bidi="ar"/>
        </w:rPr>
        <w:t>本项目污染物产生和排放情况一览表</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674"/>
        <w:gridCol w:w="1092"/>
        <w:gridCol w:w="1316"/>
        <w:gridCol w:w="920"/>
        <w:gridCol w:w="1013"/>
        <w:gridCol w:w="79"/>
        <w:gridCol w:w="967"/>
        <w:gridCol w:w="142"/>
        <w:gridCol w:w="961"/>
        <w:gridCol w:w="846"/>
        <w:gridCol w:w="1196"/>
        <w:gridCol w:w="1010"/>
        <w:gridCol w:w="1032"/>
        <w:gridCol w:w="800"/>
        <w:gridCol w:w="819"/>
        <w:gridCol w:w="785"/>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247" w:type="pct"/>
            <w:vMerge w:val="restart"/>
            <w:tcBorders>
              <w:top w:val="thinThickSmallGap" w:color="auto" w:sz="12" w:space="0"/>
              <w:left w:val="nil"/>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类别</w:t>
            </w:r>
          </w:p>
        </w:tc>
        <w:tc>
          <w:tcPr>
            <w:tcW w:w="400" w:type="pct"/>
            <w:vMerge w:val="restar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污染源</w:t>
            </w:r>
          </w:p>
        </w:tc>
        <w:tc>
          <w:tcPr>
            <w:tcW w:w="482" w:type="pct"/>
            <w:vMerge w:val="restar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污染物</w:t>
            </w:r>
          </w:p>
        </w:tc>
        <w:tc>
          <w:tcPr>
            <w:tcW w:w="337" w:type="pct"/>
            <w:vMerge w:val="restar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性质</w:t>
            </w:r>
          </w:p>
        </w:tc>
        <w:tc>
          <w:tcPr>
            <w:tcW w:w="806" w:type="pct"/>
            <w:gridSpan w:val="4"/>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污染物产生情况</w:t>
            </w:r>
          </w:p>
        </w:tc>
        <w:tc>
          <w:tcPr>
            <w:tcW w:w="352" w:type="pct"/>
            <w:vMerge w:val="restar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治理措施及净化效率</w:t>
            </w:r>
          </w:p>
        </w:tc>
        <w:tc>
          <w:tcPr>
            <w:tcW w:w="1118" w:type="pct"/>
            <w:gridSpan w:val="3"/>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污染物排放情况</w:t>
            </w:r>
          </w:p>
        </w:tc>
        <w:tc>
          <w:tcPr>
            <w:tcW w:w="971" w:type="pct"/>
            <w:gridSpan w:val="3"/>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排放参数</w:t>
            </w:r>
          </w:p>
        </w:tc>
        <w:tc>
          <w:tcPr>
            <w:tcW w:w="287" w:type="pct"/>
            <w:vMerge w:val="restart"/>
            <w:tcBorders>
              <w:top w:val="thinThickSmallGap" w:color="auto" w:sz="12" w:space="0"/>
              <w:left w:val="single" w:color="auto" w:sz="4" w:space="0"/>
              <w:bottom w:val="single" w:color="auto" w:sz="4" w:space="0"/>
              <w:right w:val="nil"/>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达标情况</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47" w:type="pct"/>
            <w:vMerge w:val="continue"/>
            <w:tcBorders>
              <w:top w:val="thinThickSmallGap" w:color="auto" w:sz="12" w:space="0"/>
              <w:left w:val="nil"/>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400"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482"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337"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371" w:type="pct"/>
            <w:vMerge w:val="restar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产生量（</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434" w:type="pct"/>
            <w:gridSpan w:val="3"/>
            <w:vMerge w:val="restar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速率</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kg/h</w:t>
            </w:r>
            <w:r>
              <w:rPr>
                <w:rFonts w:ascii="Times New Roman" w:hAnsi="Times New Roman" w:cs="Times New Roman"/>
                <w:color w:val="000000"/>
                <w:sz w:val="21"/>
                <w:szCs w:val="21"/>
                <w:bdr w:val="none" w:color="auto" w:sz="0" w:space="0"/>
              </w:rPr>
              <w:t>）</w:t>
            </w:r>
          </w:p>
        </w:tc>
        <w:tc>
          <w:tcPr>
            <w:tcW w:w="352"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310" w:type="pct"/>
            <w:vMerge w:val="restar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排放量（</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438" w:type="pct"/>
            <w:vMerge w:val="restar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浓度（</w:t>
            </w:r>
            <w:r>
              <w:rPr>
                <w:rFonts w:hint="default" w:ascii="Times New Roman" w:hAnsi="Times New Roman" w:cs="Times New Roman"/>
                <w:color w:val="000000"/>
                <w:sz w:val="21"/>
                <w:szCs w:val="21"/>
                <w:bdr w:val="none" w:color="auto" w:sz="0" w:space="0"/>
                <w:lang w:val="en-US"/>
              </w:rPr>
              <w:t>mg/m</w:t>
            </w:r>
            <w:r>
              <w:rPr>
                <w:rFonts w:hint="default" w:ascii="Times New Roman" w:hAnsi="Times New Roman" w:cs="Times New Roman"/>
                <w:color w:val="000000"/>
                <w:sz w:val="21"/>
                <w:szCs w:val="21"/>
                <w:bdr w:val="none" w:color="auto" w:sz="0" w:space="0"/>
                <w:vertAlign w:val="superscript"/>
                <w:lang w:val="en-US"/>
              </w:rPr>
              <w:t>3</w:t>
            </w:r>
            <w:r>
              <w:rPr>
                <w:rFonts w:ascii="Times New Roman" w:hAnsi="Times New Roman" w:cs="Times New Roman"/>
                <w:color w:val="000000"/>
                <w:sz w:val="21"/>
                <w:szCs w:val="21"/>
                <w:bdr w:val="none" w:color="auto" w:sz="0" w:space="0"/>
              </w:rPr>
              <w:t>）</w:t>
            </w:r>
          </w:p>
        </w:tc>
        <w:tc>
          <w:tcPr>
            <w:tcW w:w="370"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速率</w:t>
            </w:r>
          </w:p>
        </w:tc>
        <w:tc>
          <w:tcPr>
            <w:tcW w:w="378" w:type="pct"/>
            <w:vMerge w:val="restar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风量（</w:t>
            </w:r>
            <w:r>
              <w:rPr>
                <w:rFonts w:hint="default" w:ascii="Times New Roman" w:hAnsi="Times New Roman" w:cs="Times New Roman"/>
                <w:color w:val="000000"/>
                <w:sz w:val="21"/>
                <w:szCs w:val="21"/>
                <w:bdr w:val="none" w:color="auto" w:sz="0" w:space="0"/>
                <w:lang w:val="en-US"/>
              </w:rPr>
              <w:t>m</w:t>
            </w:r>
            <w:r>
              <w:rPr>
                <w:rFonts w:hint="default" w:ascii="Times New Roman" w:hAnsi="Times New Roman" w:cs="Times New Roman"/>
                <w:color w:val="000000"/>
                <w:sz w:val="21"/>
                <w:szCs w:val="21"/>
                <w:bdr w:val="none" w:color="auto" w:sz="0" w:space="0"/>
                <w:vertAlign w:val="superscript"/>
                <w:lang w:val="en-US"/>
              </w:rPr>
              <w:t>3</w:t>
            </w:r>
            <w:r>
              <w:rPr>
                <w:rFonts w:hint="default" w:ascii="Times New Roman" w:hAnsi="Times New Roman" w:cs="Times New Roman"/>
                <w:color w:val="000000"/>
                <w:sz w:val="21"/>
                <w:szCs w:val="21"/>
                <w:bdr w:val="none" w:color="auto" w:sz="0" w:space="0"/>
                <w:lang w:val="en-US"/>
              </w:rPr>
              <w:t>/h</w:t>
            </w:r>
            <w:r>
              <w:rPr>
                <w:rFonts w:ascii="Times New Roman" w:hAnsi="Times New Roman" w:cs="Times New Roman"/>
                <w:color w:val="000000"/>
                <w:sz w:val="21"/>
                <w:szCs w:val="21"/>
                <w:bdr w:val="none" w:color="auto" w:sz="0" w:space="0"/>
              </w:rPr>
              <w:t>）</w:t>
            </w:r>
          </w:p>
        </w:tc>
        <w:tc>
          <w:tcPr>
            <w:tcW w:w="293"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高度</w:t>
            </w:r>
          </w:p>
        </w:tc>
        <w:tc>
          <w:tcPr>
            <w:tcW w:w="300" w:type="pct"/>
            <w:vMerge w:val="restar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出口内径（</w:t>
            </w:r>
            <w:r>
              <w:rPr>
                <w:rFonts w:hint="default" w:ascii="Times New Roman" w:hAnsi="Times New Roman" w:cs="Times New Roman"/>
                <w:color w:val="000000"/>
                <w:sz w:val="21"/>
                <w:szCs w:val="21"/>
                <w:bdr w:val="none" w:color="auto" w:sz="0" w:space="0"/>
                <w:lang w:val="en-US"/>
              </w:rPr>
              <w:t>m</w:t>
            </w:r>
            <w:r>
              <w:rPr>
                <w:rFonts w:ascii="Times New Roman" w:hAnsi="Times New Roman" w:cs="Times New Roman"/>
                <w:color w:val="000000"/>
                <w:sz w:val="21"/>
                <w:szCs w:val="21"/>
                <w:bdr w:val="none" w:color="auto" w:sz="0" w:space="0"/>
              </w:rPr>
              <w:t>）</w:t>
            </w:r>
          </w:p>
        </w:tc>
        <w:tc>
          <w:tcPr>
            <w:tcW w:w="287" w:type="pct"/>
            <w:vMerge w:val="continue"/>
            <w:tcBorders>
              <w:top w:val="thinThickSmallGap" w:color="auto" w:sz="12" w:space="0"/>
              <w:left w:val="single" w:color="auto" w:sz="4" w:space="0"/>
              <w:bottom w:val="single" w:color="auto" w:sz="4" w:space="0"/>
              <w:right w:val="nil"/>
            </w:tcBorders>
            <w:shd w:val="clear" w:color="auto" w:fill="D9D9D9"/>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47" w:type="pct"/>
            <w:vMerge w:val="continue"/>
            <w:tcBorders>
              <w:top w:val="thinThickSmallGap" w:color="auto" w:sz="12" w:space="0"/>
              <w:left w:val="nil"/>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400"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482"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337"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371" w:type="pct"/>
            <w:vMerge w:val="continue"/>
            <w:tcBorders>
              <w:top w:val="single" w:color="auto" w:sz="4"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434" w:type="pct"/>
            <w:gridSpan w:val="3"/>
            <w:vMerge w:val="continue"/>
            <w:tcBorders>
              <w:top w:val="single" w:color="auto" w:sz="4"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352"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310" w:type="pct"/>
            <w:vMerge w:val="continue"/>
            <w:tcBorders>
              <w:top w:val="single" w:color="auto" w:sz="4"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438" w:type="pct"/>
            <w:vMerge w:val="continue"/>
            <w:tcBorders>
              <w:top w:val="single" w:color="auto" w:sz="4"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370"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kg/h</w:t>
            </w:r>
            <w:r>
              <w:rPr>
                <w:rFonts w:ascii="Times New Roman" w:hAnsi="Times New Roman" w:cs="Times New Roman"/>
                <w:color w:val="000000"/>
                <w:sz w:val="21"/>
                <w:szCs w:val="21"/>
                <w:bdr w:val="none" w:color="auto" w:sz="0" w:space="0"/>
              </w:rPr>
              <w:t>）</w:t>
            </w:r>
          </w:p>
        </w:tc>
        <w:tc>
          <w:tcPr>
            <w:tcW w:w="378" w:type="pct"/>
            <w:vMerge w:val="continue"/>
            <w:tcBorders>
              <w:top w:val="single" w:color="auto" w:sz="4"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293"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m</w:t>
            </w:r>
            <w:r>
              <w:rPr>
                <w:rFonts w:ascii="Times New Roman" w:hAnsi="Times New Roman" w:cs="Times New Roman"/>
                <w:color w:val="000000"/>
                <w:sz w:val="21"/>
                <w:szCs w:val="21"/>
                <w:bdr w:val="none" w:color="auto" w:sz="0" w:space="0"/>
              </w:rPr>
              <w:t>）</w:t>
            </w:r>
          </w:p>
        </w:tc>
        <w:tc>
          <w:tcPr>
            <w:tcW w:w="300" w:type="pct"/>
            <w:vMerge w:val="continue"/>
            <w:tcBorders>
              <w:top w:val="single" w:color="auto" w:sz="4"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287" w:type="pct"/>
            <w:vMerge w:val="continue"/>
            <w:tcBorders>
              <w:top w:val="thinThickSmallGap" w:color="auto" w:sz="12" w:space="0"/>
              <w:left w:val="single" w:color="auto" w:sz="4" w:space="0"/>
              <w:bottom w:val="single" w:color="auto" w:sz="4" w:space="0"/>
              <w:right w:val="nil"/>
            </w:tcBorders>
            <w:shd w:val="clear" w:color="auto" w:fill="D9D9D9"/>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7" w:type="pct"/>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大气污染源</w:t>
            </w:r>
          </w:p>
        </w:tc>
        <w:tc>
          <w:tcPr>
            <w:tcW w:w="40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破碎作业</w:t>
            </w:r>
          </w:p>
        </w:tc>
        <w:tc>
          <w:tcPr>
            <w:tcW w:w="48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337"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点源</w:t>
            </w:r>
          </w:p>
        </w:tc>
        <w:tc>
          <w:tcPr>
            <w:tcW w:w="37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71.25</w:t>
            </w:r>
          </w:p>
        </w:tc>
        <w:tc>
          <w:tcPr>
            <w:tcW w:w="434"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9.9</w:t>
            </w:r>
          </w:p>
        </w:tc>
        <w:tc>
          <w:tcPr>
            <w:tcW w:w="352"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0"/>
                <w:szCs w:val="20"/>
                <w:bdr w:val="none" w:color="auto" w:sz="0" w:space="0"/>
              </w:rPr>
              <w:t>布袋除尘器，净化效率＞</w:t>
            </w:r>
            <w:r>
              <w:rPr>
                <w:rFonts w:hint="default" w:ascii="Times New Roman" w:hAnsi="Times New Roman" w:cs="Times New Roman"/>
                <w:color w:val="000000"/>
                <w:sz w:val="20"/>
                <w:szCs w:val="20"/>
                <w:bdr w:val="none" w:color="auto" w:sz="0" w:space="0"/>
                <w:lang w:val="en-US"/>
              </w:rPr>
              <w:t>99.5%</w:t>
            </w:r>
          </w:p>
        </w:tc>
        <w:tc>
          <w:tcPr>
            <w:tcW w:w="310"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2.26</w:t>
            </w:r>
          </w:p>
        </w:tc>
        <w:tc>
          <w:tcPr>
            <w:tcW w:w="438"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&lt;10</w:t>
            </w:r>
          </w:p>
        </w:tc>
        <w:tc>
          <w:tcPr>
            <w:tcW w:w="370"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0.32</w:t>
            </w:r>
          </w:p>
        </w:tc>
        <w:tc>
          <w:tcPr>
            <w:tcW w:w="378"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40000</w:t>
            </w:r>
          </w:p>
        </w:tc>
        <w:tc>
          <w:tcPr>
            <w:tcW w:w="293"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15</w:t>
            </w:r>
          </w:p>
        </w:tc>
        <w:tc>
          <w:tcPr>
            <w:tcW w:w="300"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0.8</w:t>
            </w:r>
          </w:p>
        </w:tc>
        <w:tc>
          <w:tcPr>
            <w:tcW w:w="287" w:type="pct"/>
            <w:vMerge w:val="restar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7"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0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筛分作业</w:t>
            </w:r>
          </w:p>
        </w:tc>
        <w:tc>
          <w:tcPr>
            <w:tcW w:w="48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337"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7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375</w:t>
            </w:r>
          </w:p>
        </w:tc>
        <w:tc>
          <w:tcPr>
            <w:tcW w:w="434"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52.1</w:t>
            </w:r>
          </w:p>
        </w:tc>
        <w:tc>
          <w:tcPr>
            <w:tcW w:w="352"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38"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7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78"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293"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0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287"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7"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0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供料仓</w:t>
            </w:r>
          </w:p>
        </w:tc>
        <w:tc>
          <w:tcPr>
            <w:tcW w:w="48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337"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7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5.95</w:t>
            </w:r>
          </w:p>
        </w:tc>
        <w:tc>
          <w:tcPr>
            <w:tcW w:w="434"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0.8</w:t>
            </w:r>
          </w:p>
        </w:tc>
        <w:tc>
          <w:tcPr>
            <w:tcW w:w="352"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38"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7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78"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293"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0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287"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7"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0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破碎车间</w:t>
            </w:r>
          </w:p>
        </w:tc>
        <w:tc>
          <w:tcPr>
            <w:tcW w:w="482" w:type="pct"/>
            <w:tcBorders>
              <w:top w:val="single" w:color="auto" w:sz="4" w:space="0"/>
              <w:left w:val="single" w:color="auto" w:sz="4" w:space="0"/>
              <w:bottom w:val="single" w:color="auto" w:sz="4" w:space="0"/>
              <w:right w:val="single" w:color="auto" w:sz="4" w:space="0"/>
            </w:tcBorders>
            <w:shd w:val="clear"/>
            <w:noWrap/>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33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面源</w:t>
            </w:r>
          </w:p>
        </w:tc>
        <w:tc>
          <w:tcPr>
            <w:tcW w:w="37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4.05</w:t>
            </w:r>
          </w:p>
        </w:tc>
        <w:tc>
          <w:tcPr>
            <w:tcW w:w="434"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0.56</w:t>
            </w:r>
          </w:p>
        </w:tc>
        <w:tc>
          <w:tcPr>
            <w:tcW w:w="352"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封闭厂房，遮挡沉降</w:t>
            </w:r>
            <w:r>
              <w:rPr>
                <w:rFonts w:hint="default" w:ascii="Times New Roman" w:hAnsi="Times New Roman" w:cs="Times New Roman"/>
                <w:color w:val="000000"/>
                <w:sz w:val="21"/>
                <w:szCs w:val="21"/>
                <w:bdr w:val="none" w:color="auto" w:sz="0" w:space="0"/>
                <w:lang w:val="en-US"/>
              </w:rPr>
              <w:t>80%</w:t>
            </w:r>
          </w:p>
        </w:tc>
        <w:tc>
          <w:tcPr>
            <w:tcW w:w="31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0.81</w:t>
            </w:r>
          </w:p>
        </w:tc>
        <w:tc>
          <w:tcPr>
            <w:tcW w:w="43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37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0.11</w:t>
            </w:r>
          </w:p>
        </w:tc>
        <w:tc>
          <w:tcPr>
            <w:tcW w:w="971"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70×20×14</w:t>
            </w:r>
          </w:p>
        </w:tc>
        <w:tc>
          <w:tcPr>
            <w:tcW w:w="287"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7"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0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原料库</w:t>
            </w:r>
          </w:p>
        </w:tc>
        <w:tc>
          <w:tcPr>
            <w:tcW w:w="482" w:type="pct"/>
            <w:tcBorders>
              <w:top w:val="single" w:color="auto" w:sz="4" w:space="0"/>
              <w:left w:val="single" w:color="auto" w:sz="4" w:space="0"/>
              <w:bottom w:val="single" w:color="auto" w:sz="4" w:space="0"/>
              <w:right w:val="single" w:color="auto" w:sz="4" w:space="0"/>
            </w:tcBorders>
            <w:shd w:val="clear"/>
            <w:noWrap/>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33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面源</w:t>
            </w:r>
          </w:p>
        </w:tc>
        <w:tc>
          <w:tcPr>
            <w:tcW w:w="37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3.5</w:t>
            </w:r>
          </w:p>
        </w:tc>
        <w:tc>
          <w:tcPr>
            <w:tcW w:w="434"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25</w:t>
            </w:r>
          </w:p>
        </w:tc>
        <w:tc>
          <w:tcPr>
            <w:tcW w:w="352"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w:t>
            </w:r>
          </w:p>
        </w:tc>
        <w:tc>
          <w:tcPr>
            <w:tcW w:w="43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37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0. 7</w:t>
            </w:r>
          </w:p>
        </w:tc>
        <w:tc>
          <w:tcPr>
            <w:tcW w:w="971"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30×30×10</w:t>
            </w:r>
          </w:p>
        </w:tc>
        <w:tc>
          <w:tcPr>
            <w:tcW w:w="287"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7"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0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精矿库</w:t>
            </w:r>
          </w:p>
        </w:tc>
        <w:tc>
          <w:tcPr>
            <w:tcW w:w="48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33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面源</w:t>
            </w:r>
          </w:p>
        </w:tc>
        <w:tc>
          <w:tcPr>
            <w:tcW w:w="37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1.7</w:t>
            </w:r>
          </w:p>
        </w:tc>
        <w:tc>
          <w:tcPr>
            <w:tcW w:w="434"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12</w:t>
            </w:r>
          </w:p>
        </w:tc>
        <w:tc>
          <w:tcPr>
            <w:tcW w:w="352"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2.4</w:t>
            </w:r>
          </w:p>
        </w:tc>
        <w:tc>
          <w:tcPr>
            <w:tcW w:w="43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37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0.34</w:t>
            </w:r>
          </w:p>
        </w:tc>
        <w:tc>
          <w:tcPr>
            <w:tcW w:w="971"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42×30×10</w:t>
            </w:r>
          </w:p>
        </w:tc>
        <w:tc>
          <w:tcPr>
            <w:tcW w:w="287"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7"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0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尾矿库</w:t>
            </w:r>
          </w:p>
        </w:tc>
        <w:tc>
          <w:tcPr>
            <w:tcW w:w="48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33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面源</w:t>
            </w:r>
          </w:p>
        </w:tc>
        <w:tc>
          <w:tcPr>
            <w:tcW w:w="37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0.35</w:t>
            </w:r>
          </w:p>
        </w:tc>
        <w:tc>
          <w:tcPr>
            <w:tcW w:w="434"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2.5</w:t>
            </w:r>
          </w:p>
        </w:tc>
        <w:tc>
          <w:tcPr>
            <w:tcW w:w="352"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0.5</w:t>
            </w:r>
          </w:p>
        </w:tc>
        <w:tc>
          <w:tcPr>
            <w:tcW w:w="43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37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0.07</w:t>
            </w:r>
          </w:p>
        </w:tc>
        <w:tc>
          <w:tcPr>
            <w:tcW w:w="971"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21×30×10</w:t>
            </w:r>
          </w:p>
        </w:tc>
        <w:tc>
          <w:tcPr>
            <w:tcW w:w="287"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47" w:type="pct"/>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水污染源</w:t>
            </w:r>
          </w:p>
        </w:tc>
        <w:tc>
          <w:tcPr>
            <w:tcW w:w="400"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污染源</w:t>
            </w:r>
          </w:p>
        </w:tc>
        <w:tc>
          <w:tcPr>
            <w:tcW w:w="482"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污水量</w:t>
            </w:r>
          </w:p>
        </w:tc>
        <w:tc>
          <w:tcPr>
            <w:tcW w:w="337"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污染物</w:t>
            </w:r>
          </w:p>
        </w:tc>
        <w:tc>
          <w:tcPr>
            <w:tcW w:w="400" w:type="pct"/>
            <w:gridSpan w:val="2"/>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产生浓度</w:t>
            </w:r>
          </w:p>
        </w:tc>
        <w:tc>
          <w:tcPr>
            <w:tcW w:w="406" w:type="pct"/>
            <w:gridSpan w:val="2"/>
            <w:vMerge w:val="restar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产生量（</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352" w:type="pct"/>
            <w:vMerge w:val="restar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措施</w:t>
            </w:r>
          </w:p>
        </w:tc>
        <w:tc>
          <w:tcPr>
            <w:tcW w:w="310"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污染物</w:t>
            </w:r>
          </w:p>
        </w:tc>
        <w:tc>
          <w:tcPr>
            <w:tcW w:w="438"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排放浓度</w:t>
            </w:r>
          </w:p>
        </w:tc>
        <w:tc>
          <w:tcPr>
            <w:tcW w:w="370" w:type="pct"/>
            <w:vMerge w:val="restar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排放量（</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1258" w:type="pct"/>
            <w:gridSpan w:val="4"/>
            <w:vMerge w:val="restart"/>
            <w:tcBorders>
              <w:top w:val="single" w:color="auto" w:sz="4" w:space="0"/>
              <w:left w:val="single" w:color="auto" w:sz="4" w:space="0"/>
              <w:bottom w:val="single" w:color="auto" w:sz="4" w:space="0"/>
              <w:right w:val="nil"/>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去向</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47"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00"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名称</w:t>
            </w:r>
          </w:p>
        </w:tc>
        <w:tc>
          <w:tcPr>
            <w:tcW w:w="482"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m</w:t>
            </w:r>
            <w:r>
              <w:rPr>
                <w:rFonts w:hint="default" w:ascii="Times New Roman" w:hAnsi="Times New Roman" w:cs="Times New Roman"/>
                <w:color w:val="000000"/>
                <w:sz w:val="21"/>
                <w:szCs w:val="21"/>
                <w:bdr w:val="none" w:color="auto" w:sz="0" w:space="0"/>
                <w:vertAlign w:val="superscript"/>
                <w:lang w:val="en-US"/>
              </w:rPr>
              <w:t>3</w:t>
            </w:r>
            <w:r>
              <w:rPr>
                <w:rFonts w:hint="default" w:ascii="Times New Roman" w:hAnsi="Times New Roman" w:cs="Times New Roman"/>
                <w:color w:val="000000"/>
                <w:sz w:val="21"/>
                <w:szCs w:val="21"/>
                <w:bdr w:val="none" w:color="auto" w:sz="0" w:space="0"/>
                <w:lang w:val="en-US"/>
              </w:rPr>
              <w:t>/a</w:t>
            </w:r>
            <w:r>
              <w:rPr>
                <w:rFonts w:ascii="Times New Roman" w:hAnsi="Times New Roman" w:cs="Times New Roman"/>
                <w:color w:val="000000"/>
                <w:sz w:val="21"/>
                <w:szCs w:val="21"/>
                <w:bdr w:val="none" w:color="auto" w:sz="0" w:space="0"/>
              </w:rPr>
              <w:t>）</w:t>
            </w:r>
          </w:p>
        </w:tc>
        <w:tc>
          <w:tcPr>
            <w:tcW w:w="337"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名称</w:t>
            </w:r>
          </w:p>
        </w:tc>
        <w:tc>
          <w:tcPr>
            <w:tcW w:w="400" w:type="pct"/>
            <w:gridSpan w:val="2"/>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mg/L</w:t>
            </w:r>
            <w:r>
              <w:rPr>
                <w:rFonts w:ascii="Times New Roman" w:hAnsi="Times New Roman" w:cs="Times New Roman"/>
                <w:color w:val="000000"/>
                <w:sz w:val="21"/>
                <w:szCs w:val="21"/>
                <w:bdr w:val="none" w:color="auto" w:sz="0" w:space="0"/>
              </w:rPr>
              <w:t>）</w:t>
            </w:r>
          </w:p>
        </w:tc>
        <w:tc>
          <w:tcPr>
            <w:tcW w:w="406" w:type="pct"/>
            <w:gridSpan w:val="2"/>
            <w:vMerge w:val="continue"/>
            <w:tcBorders>
              <w:top w:val="single" w:color="auto" w:sz="4"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352" w:type="pct"/>
            <w:vMerge w:val="continue"/>
            <w:tcBorders>
              <w:top w:val="single" w:color="auto" w:sz="4"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310"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名称</w:t>
            </w:r>
          </w:p>
        </w:tc>
        <w:tc>
          <w:tcPr>
            <w:tcW w:w="438"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mg/L</w:t>
            </w:r>
            <w:r>
              <w:rPr>
                <w:rFonts w:ascii="Times New Roman" w:hAnsi="Times New Roman" w:cs="Times New Roman"/>
                <w:color w:val="000000"/>
                <w:sz w:val="21"/>
                <w:szCs w:val="21"/>
                <w:bdr w:val="none" w:color="auto" w:sz="0" w:space="0"/>
              </w:rPr>
              <w:t>）</w:t>
            </w:r>
          </w:p>
        </w:tc>
        <w:tc>
          <w:tcPr>
            <w:tcW w:w="370" w:type="pct"/>
            <w:vMerge w:val="continue"/>
            <w:tcBorders>
              <w:top w:val="single" w:color="auto" w:sz="4"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1258" w:type="pct"/>
            <w:gridSpan w:val="4"/>
            <w:vMerge w:val="continue"/>
            <w:tcBorders>
              <w:top w:val="single" w:color="auto" w:sz="4" w:space="0"/>
              <w:left w:val="single" w:color="auto" w:sz="4" w:space="0"/>
              <w:bottom w:val="single" w:color="auto" w:sz="4" w:space="0"/>
              <w:right w:val="nil"/>
            </w:tcBorders>
            <w:shd w:val="clear" w:color="auto" w:fill="D9D9D9"/>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47"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0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生产工艺</w:t>
            </w:r>
          </w:p>
        </w:tc>
        <w:tc>
          <w:tcPr>
            <w:tcW w:w="48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2351230</w:t>
            </w:r>
          </w:p>
        </w:tc>
        <w:tc>
          <w:tcPr>
            <w:tcW w:w="33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SS</w:t>
            </w:r>
          </w:p>
        </w:tc>
        <w:tc>
          <w:tcPr>
            <w:tcW w:w="400" w:type="pct"/>
            <w:gridSpan w:val="2"/>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406" w:type="pct"/>
            <w:gridSpan w:val="2"/>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35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循环水池</w:t>
            </w:r>
          </w:p>
        </w:tc>
        <w:tc>
          <w:tcPr>
            <w:tcW w:w="31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SS</w:t>
            </w:r>
          </w:p>
        </w:tc>
        <w:tc>
          <w:tcPr>
            <w:tcW w:w="43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37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258" w:type="pct"/>
            <w:gridSpan w:val="4"/>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回用于生产，不外排</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47"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00"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生活污水</w:t>
            </w:r>
          </w:p>
        </w:tc>
        <w:tc>
          <w:tcPr>
            <w:tcW w:w="482"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816</w:t>
            </w:r>
          </w:p>
        </w:tc>
        <w:tc>
          <w:tcPr>
            <w:tcW w:w="33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CODcr</w:t>
            </w:r>
          </w:p>
        </w:tc>
        <w:tc>
          <w:tcPr>
            <w:tcW w:w="400" w:type="pct"/>
            <w:gridSpan w:val="2"/>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300</w:t>
            </w:r>
          </w:p>
        </w:tc>
        <w:tc>
          <w:tcPr>
            <w:tcW w:w="406" w:type="pct"/>
            <w:gridSpan w:val="2"/>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0.245</w:t>
            </w:r>
          </w:p>
        </w:tc>
        <w:tc>
          <w:tcPr>
            <w:tcW w:w="352"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排入化粪池</w:t>
            </w:r>
          </w:p>
        </w:tc>
        <w:tc>
          <w:tcPr>
            <w:tcW w:w="31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CODcr</w:t>
            </w:r>
          </w:p>
        </w:tc>
        <w:tc>
          <w:tcPr>
            <w:tcW w:w="43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300</w:t>
            </w:r>
          </w:p>
        </w:tc>
        <w:tc>
          <w:tcPr>
            <w:tcW w:w="37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0.245</w:t>
            </w:r>
          </w:p>
        </w:tc>
        <w:tc>
          <w:tcPr>
            <w:tcW w:w="1258" w:type="pct"/>
            <w:gridSpan w:val="4"/>
            <w:vMerge w:val="restar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定期清掏，堆沤腐熟、就地就近就农利用</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47"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0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82"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3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NH</w:t>
            </w:r>
            <w:r>
              <w:rPr>
                <w:rFonts w:hint="default" w:ascii="Times New Roman" w:hAnsi="Times New Roman" w:cs="Times New Roman"/>
                <w:color w:val="000000"/>
                <w:sz w:val="21"/>
                <w:szCs w:val="21"/>
                <w:bdr w:val="none" w:color="auto" w:sz="0" w:space="0"/>
                <w:vertAlign w:val="subscript"/>
                <w:lang w:val="en-US"/>
              </w:rPr>
              <w:t>3</w:t>
            </w:r>
            <w:r>
              <w:rPr>
                <w:rFonts w:hint="default" w:ascii="Times New Roman" w:hAnsi="Times New Roman" w:cs="Times New Roman"/>
                <w:color w:val="000000"/>
                <w:sz w:val="21"/>
                <w:szCs w:val="21"/>
                <w:bdr w:val="none" w:color="auto" w:sz="0" w:space="0"/>
                <w:lang w:val="en-US"/>
              </w:rPr>
              <w:t>-N</w:t>
            </w:r>
          </w:p>
        </w:tc>
        <w:tc>
          <w:tcPr>
            <w:tcW w:w="400" w:type="pct"/>
            <w:gridSpan w:val="2"/>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25</w:t>
            </w:r>
          </w:p>
        </w:tc>
        <w:tc>
          <w:tcPr>
            <w:tcW w:w="406" w:type="pct"/>
            <w:gridSpan w:val="2"/>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0.02</w:t>
            </w:r>
          </w:p>
        </w:tc>
        <w:tc>
          <w:tcPr>
            <w:tcW w:w="352"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NH</w:t>
            </w:r>
            <w:r>
              <w:rPr>
                <w:rFonts w:hint="default" w:ascii="Times New Roman" w:hAnsi="Times New Roman" w:cs="Times New Roman"/>
                <w:color w:val="000000"/>
                <w:sz w:val="21"/>
                <w:szCs w:val="21"/>
                <w:bdr w:val="none" w:color="auto" w:sz="0" w:space="0"/>
                <w:vertAlign w:val="subscript"/>
                <w:lang w:val="en-US"/>
              </w:rPr>
              <w:t>3</w:t>
            </w:r>
            <w:r>
              <w:rPr>
                <w:rFonts w:hint="default" w:ascii="Times New Roman" w:hAnsi="Times New Roman" w:cs="Times New Roman"/>
                <w:color w:val="000000"/>
                <w:sz w:val="21"/>
                <w:szCs w:val="21"/>
                <w:bdr w:val="none" w:color="auto" w:sz="0" w:space="0"/>
                <w:lang w:val="en-US"/>
              </w:rPr>
              <w:t>-N</w:t>
            </w:r>
          </w:p>
        </w:tc>
        <w:tc>
          <w:tcPr>
            <w:tcW w:w="43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25</w:t>
            </w:r>
          </w:p>
        </w:tc>
        <w:tc>
          <w:tcPr>
            <w:tcW w:w="37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0.02</w:t>
            </w:r>
          </w:p>
        </w:tc>
        <w:tc>
          <w:tcPr>
            <w:tcW w:w="1258" w:type="pct"/>
            <w:gridSpan w:val="4"/>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47"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0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82"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3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SS</w:t>
            </w:r>
          </w:p>
        </w:tc>
        <w:tc>
          <w:tcPr>
            <w:tcW w:w="400" w:type="pct"/>
            <w:gridSpan w:val="2"/>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300</w:t>
            </w:r>
          </w:p>
        </w:tc>
        <w:tc>
          <w:tcPr>
            <w:tcW w:w="406" w:type="pct"/>
            <w:gridSpan w:val="2"/>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0.245</w:t>
            </w:r>
          </w:p>
        </w:tc>
        <w:tc>
          <w:tcPr>
            <w:tcW w:w="352"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31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SS</w:t>
            </w:r>
          </w:p>
        </w:tc>
        <w:tc>
          <w:tcPr>
            <w:tcW w:w="43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300</w:t>
            </w:r>
          </w:p>
        </w:tc>
        <w:tc>
          <w:tcPr>
            <w:tcW w:w="37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0.245</w:t>
            </w:r>
          </w:p>
        </w:tc>
        <w:tc>
          <w:tcPr>
            <w:tcW w:w="1258" w:type="pct"/>
            <w:gridSpan w:val="4"/>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47" w:type="pct"/>
            <w:vMerge w:val="restar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固体废物</w:t>
            </w:r>
          </w:p>
        </w:tc>
        <w:tc>
          <w:tcPr>
            <w:tcW w:w="400"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污染源</w:t>
            </w:r>
          </w:p>
        </w:tc>
        <w:tc>
          <w:tcPr>
            <w:tcW w:w="482"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废物名称</w:t>
            </w:r>
          </w:p>
        </w:tc>
        <w:tc>
          <w:tcPr>
            <w:tcW w:w="337"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废物</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性质</w:t>
            </w:r>
          </w:p>
        </w:tc>
        <w:tc>
          <w:tcPr>
            <w:tcW w:w="754" w:type="pct"/>
            <w:gridSpan w:val="3"/>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废物产生量（</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1522" w:type="pct"/>
            <w:gridSpan w:val="5"/>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处置措施</w:t>
            </w:r>
          </w:p>
        </w:tc>
        <w:tc>
          <w:tcPr>
            <w:tcW w:w="1258" w:type="pct"/>
            <w:gridSpan w:val="4"/>
            <w:tcBorders>
              <w:top w:val="single" w:color="auto" w:sz="4" w:space="0"/>
              <w:left w:val="single" w:color="auto" w:sz="4" w:space="0"/>
              <w:bottom w:val="single" w:color="auto" w:sz="4" w:space="0"/>
              <w:right w:val="nil"/>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是否符合环保要求</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47"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400"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生产过程</w:t>
            </w:r>
          </w:p>
        </w:tc>
        <w:tc>
          <w:tcPr>
            <w:tcW w:w="48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振动筛</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废筛网</w:t>
            </w:r>
          </w:p>
        </w:tc>
        <w:tc>
          <w:tcPr>
            <w:tcW w:w="337"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一般固废</w:t>
            </w:r>
          </w:p>
        </w:tc>
        <w:tc>
          <w:tcPr>
            <w:tcW w:w="754"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60</w:t>
            </w:r>
          </w:p>
        </w:tc>
        <w:tc>
          <w:tcPr>
            <w:tcW w:w="1522" w:type="pct"/>
            <w:gridSpan w:val="5"/>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定期由厂家回收，不排放</w:t>
            </w:r>
          </w:p>
        </w:tc>
        <w:tc>
          <w:tcPr>
            <w:tcW w:w="1258" w:type="pct"/>
            <w:gridSpan w:val="4"/>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符合环保要求</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47"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40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8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布袋除尘器收尘灰</w:t>
            </w:r>
          </w:p>
        </w:tc>
        <w:tc>
          <w:tcPr>
            <w:tcW w:w="337"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54"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449.94</w:t>
            </w:r>
          </w:p>
        </w:tc>
        <w:tc>
          <w:tcPr>
            <w:tcW w:w="1522" w:type="pct"/>
            <w:gridSpan w:val="5"/>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回用于生产</w:t>
            </w:r>
          </w:p>
        </w:tc>
        <w:tc>
          <w:tcPr>
            <w:tcW w:w="1258" w:type="pct"/>
            <w:gridSpan w:val="4"/>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符合环保要求</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47"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40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8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球磨机</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废钢球</w:t>
            </w:r>
          </w:p>
        </w:tc>
        <w:tc>
          <w:tcPr>
            <w:tcW w:w="337"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54"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600</w:t>
            </w:r>
          </w:p>
        </w:tc>
        <w:tc>
          <w:tcPr>
            <w:tcW w:w="1522" w:type="pct"/>
            <w:gridSpan w:val="5"/>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定期由厂家回收，不排放</w:t>
            </w:r>
          </w:p>
        </w:tc>
        <w:tc>
          <w:tcPr>
            <w:tcW w:w="1258" w:type="pct"/>
            <w:gridSpan w:val="4"/>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符合环保要求</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47"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40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8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循环水池</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矿泥</w:t>
            </w:r>
          </w:p>
        </w:tc>
        <w:tc>
          <w:tcPr>
            <w:tcW w:w="337"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54"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24000</w:t>
            </w:r>
          </w:p>
        </w:tc>
        <w:tc>
          <w:tcPr>
            <w:tcW w:w="1522" w:type="pct"/>
            <w:gridSpan w:val="5"/>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送尾矿库定期外售</w:t>
            </w:r>
          </w:p>
        </w:tc>
        <w:tc>
          <w:tcPr>
            <w:tcW w:w="1258" w:type="pct"/>
            <w:gridSpan w:val="4"/>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符合环保要求</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47"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40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8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厂房遮挡</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粉尘</w:t>
            </w:r>
          </w:p>
        </w:tc>
        <w:tc>
          <w:tcPr>
            <w:tcW w:w="337"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54"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34.84</w:t>
            </w:r>
          </w:p>
        </w:tc>
        <w:tc>
          <w:tcPr>
            <w:tcW w:w="1522" w:type="pct"/>
            <w:gridSpan w:val="5"/>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回用于生产</w:t>
            </w:r>
          </w:p>
        </w:tc>
        <w:tc>
          <w:tcPr>
            <w:tcW w:w="1258" w:type="pct"/>
            <w:gridSpan w:val="4"/>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符合环保要求</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47"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40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8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浮选药剂</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包装桶</w:t>
            </w:r>
          </w:p>
        </w:tc>
        <w:tc>
          <w:tcPr>
            <w:tcW w:w="337"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危险废物</w:t>
            </w:r>
          </w:p>
        </w:tc>
        <w:tc>
          <w:tcPr>
            <w:tcW w:w="754"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0.8</w:t>
            </w:r>
          </w:p>
        </w:tc>
        <w:tc>
          <w:tcPr>
            <w:tcW w:w="1522" w:type="pct"/>
            <w:gridSpan w:val="5"/>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委托资质单位处理</w:t>
            </w:r>
          </w:p>
        </w:tc>
        <w:tc>
          <w:tcPr>
            <w:tcW w:w="1258" w:type="pct"/>
            <w:gridSpan w:val="4"/>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符合环保要求</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247"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40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8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废润滑油桶</w:t>
            </w:r>
          </w:p>
        </w:tc>
        <w:tc>
          <w:tcPr>
            <w:tcW w:w="337"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754"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0.1</w:t>
            </w:r>
          </w:p>
        </w:tc>
        <w:tc>
          <w:tcPr>
            <w:tcW w:w="1522" w:type="pct"/>
            <w:gridSpan w:val="5"/>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委托资质单位处理</w:t>
            </w:r>
          </w:p>
        </w:tc>
        <w:tc>
          <w:tcPr>
            <w:tcW w:w="1258" w:type="pct"/>
            <w:gridSpan w:val="4"/>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符合环保要求</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47"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40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48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color w:val="000000"/>
                <w:sz w:val="21"/>
                <w:szCs w:val="24"/>
                <w:bdr w:val="none" w:color="auto" w:sz="0" w:space="0"/>
              </w:rPr>
              <w:t>废含油抹布</w:t>
            </w:r>
          </w:p>
        </w:tc>
        <w:tc>
          <w:tcPr>
            <w:tcW w:w="33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4"/>
                <w:bdr w:val="none" w:color="auto" w:sz="0" w:space="0"/>
              </w:rPr>
              <w:t>豁免管理危险废物</w:t>
            </w:r>
          </w:p>
        </w:tc>
        <w:tc>
          <w:tcPr>
            <w:tcW w:w="754" w:type="pct"/>
            <w:gridSpan w:val="3"/>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0.002</w:t>
            </w:r>
          </w:p>
        </w:tc>
        <w:tc>
          <w:tcPr>
            <w:tcW w:w="1522" w:type="pct"/>
            <w:gridSpan w:val="5"/>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由环卫部门定期处理</w:t>
            </w:r>
          </w:p>
        </w:tc>
        <w:tc>
          <w:tcPr>
            <w:tcW w:w="1258" w:type="pct"/>
            <w:gridSpan w:val="4"/>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符合环保要求</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247"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400" w:type="pct"/>
            <w:vMerge w:val="restar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员工生活</w:t>
            </w:r>
          </w:p>
        </w:tc>
        <w:tc>
          <w:tcPr>
            <w:tcW w:w="482" w:type="pct"/>
            <w:vMerge w:val="restar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生活垃圾</w:t>
            </w:r>
          </w:p>
        </w:tc>
        <w:tc>
          <w:tcPr>
            <w:tcW w:w="337" w:type="pct"/>
            <w:vMerge w:val="restar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一般固废</w:t>
            </w:r>
          </w:p>
        </w:tc>
        <w:tc>
          <w:tcPr>
            <w:tcW w:w="754" w:type="pct"/>
            <w:gridSpan w:val="3"/>
            <w:vMerge w:val="restar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12</w:t>
            </w:r>
          </w:p>
        </w:tc>
        <w:tc>
          <w:tcPr>
            <w:tcW w:w="1522" w:type="pct"/>
            <w:gridSpan w:val="5"/>
            <w:vMerge w:val="restar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由环卫部门定期处理</w:t>
            </w:r>
          </w:p>
        </w:tc>
        <w:tc>
          <w:tcPr>
            <w:tcW w:w="1258" w:type="pct"/>
            <w:gridSpan w:val="4"/>
            <w:vMerge w:val="restar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符合环保要求</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247"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400"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482"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337"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754" w:type="pct"/>
            <w:gridSpan w:val="3"/>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1522" w:type="pct"/>
            <w:gridSpan w:val="5"/>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1258" w:type="pct"/>
            <w:gridSpan w:val="4"/>
            <w:vMerge w:val="continue"/>
            <w:tcBorders>
              <w:top w:val="single" w:color="auto" w:sz="4" w:space="0"/>
              <w:left w:val="single" w:color="auto" w:sz="4" w:space="0"/>
              <w:bottom w:val="thickThinSmallGap" w:color="auto" w:sz="12" w:space="0"/>
              <w:right w:val="nil"/>
            </w:tcBorders>
            <w:shd w:val="clear"/>
            <w:vAlign w:val="center"/>
          </w:tcPr>
          <w:p>
            <w:pPr>
              <w:rPr>
                <w:rFonts w:hint="default" w:ascii="Times New Roman" w:hAnsi="Times New Roman" w:cs="Times New Roman"/>
                <w:sz w:val="20"/>
                <w:szCs w:val="20"/>
              </w:rPr>
            </w:pPr>
          </w:p>
        </w:tc>
      </w:tr>
    </w:tbl>
    <w:p>
      <w:pPr>
        <w:keepNext w:val="0"/>
        <w:keepLines w:val="0"/>
        <w:widowControl/>
        <w:suppressLineNumbers w:val="0"/>
        <w:spacing w:before="0" w:beforeAutospacing="0" w:after="0" w:afterAutospacing="0"/>
        <w:ind w:left="0" w:right="0"/>
        <w:jc w:val="center"/>
        <w:rPr>
          <w:color w:val="000000"/>
          <w:lang/>
        </w:rPr>
      </w:pPr>
    </w:p>
    <w:p>
      <w:pPr>
        <w:keepNext w:val="0"/>
        <w:keepLines w:val="0"/>
        <w:widowControl/>
        <w:suppressLineNumbers w:val="0"/>
        <w:spacing w:before="0" w:beforeAutospacing="0" w:after="0" w:afterAutospacing="0"/>
        <w:ind w:left="0" w:right="0"/>
        <w:jc w:val="left"/>
        <w:rPr>
          <w:color w:val="000000"/>
          <w:lang/>
        </w:rPr>
      </w:pPr>
    </w:p>
    <w:p>
      <w:pPr>
        <w:rPr>
          <w:rFonts w:hint="eastAsia" w:ascii="宋体" w:hAnsi="宋体" w:eastAsia="宋体" w:cs="宋体"/>
          <w:color w:val="000000"/>
          <w:sz w:val="24"/>
          <w:szCs w:val="24"/>
          <w:lang w:eastAsia="zh-CN" w:bidi="ar"/>
        </w:rPr>
        <w:sectPr>
          <w:pgSz w:w="16840" w:h="11915" w:orient="landscape"/>
          <w:pgMar w:top="1702" w:right="1702" w:bottom="1702" w:left="1702" w:header="851" w:footer="1077" w:gutter="0"/>
          <w:paperSrc/>
          <w:cols w:space="425" w:num="1"/>
          <w:docGrid w:type="lines" w:linePitch="479" w:charSpace="0"/>
        </w:sectPr>
      </w:pP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4</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 </w:t>
      </w:r>
      <w:r>
        <w:rPr>
          <w:rFonts w:ascii="Times New Roman" w:hAnsi="Times New Roman" w:cs="Times New Roman"/>
          <w:color w:val="000000"/>
          <w:lang w:eastAsia="zh-CN"/>
        </w:rPr>
        <w:t>扩建后污染物排放“三本账”</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color w:val="000000"/>
          <w:lang w:val="en-US"/>
        </w:rPr>
      </w:pPr>
      <w:r>
        <w:rPr>
          <w:rFonts w:hint="eastAsia" w:ascii="宋体" w:hAnsi="宋体" w:eastAsia="宋体" w:cs="宋体"/>
          <w:color w:val="000000"/>
          <w:kern w:val="0"/>
          <w:sz w:val="24"/>
          <w:szCs w:val="24"/>
          <w:lang w:val="en-US" w:eastAsia="zh-CN" w:bidi="ar"/>
        </w:rPr>
        <w:t>本项目实施后全厂污染物排放量统计见下表。</w:t>
      </w:r>
    </w:p>
    <w:p>
      <w:pPr>
        <w:keepNext w:val="0"/>
        <w:keepLines w:val="0"/>
        <w:widowControl/>
        <w:suppressLineNumbers w:val="0"/>
        <w:adjustRightInd w:val="0"/>
        <w:snapToGrid w:val="0"/>
        <w:spacing w:before="0" w:beforeAutospacing="0" w:after="0" w:afterAutospacing="0" w:line="360" w:lineRule="auto"/>
        <w:ind w:left="0" w:right="0"/>
        <w:jc w:val="center"/>
        <w:rPr>
          <w:rFonts w:hint="default" w:ascii="Times New Roman" w:hAnsi="Times New Roman" w:eastAsia="黑体" w:cs="Times New Roman"/>
          <w:color w:val="000000"/>
          <w:sz w:val="21"/>
          <w:szCs w:val="21"/>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宋体" w:cs="Times New Roman"/>
          <w:color w:val="000000"/>
          <w:kern w:val="0"/>
          <w:sz w:val="24"/>
          <w:szCs w:val="18"/>
          <w:lang w:val="en-US" w:eastAsia="zh-CN" w:bidi="ar"/>
        </w:rPr>
        <w:t>3.4-2</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4"/>
          <w:szCs w:val="24"/>
          <w:lang w:val="en-US" w:eastAsia="zh-CN" w:bidi="ar"/>
        </w:rPr>
        <w:t>本项目污染物产生和排放情况一览表</w:t>
      </w:r>
    </w:p>
    <w:tbl>
      <w:tblPr>
        <w:tblStyle w:val="32"/>
        <w:tblW w:w="4917"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577"/>
        <w:gridCol w:w="1543"/>
        <w:gridCol w:w="1162"/>
        <w:gridCol w:w="1474"/>
        <w:gridCol w:w="1215"/>
        <w:gridCol w:w="1677"/>
        <w:gridCol w:w="934"/>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jc w:val="center"/>
        </w:trPr>
        <w:tc>
          <w:tcPr>
            <w:tcW w:w="1235" w:type="pct"/>
            <w:gridSpan w:val="2"/>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污染物名称</w:t>
            </w:r>
          </w:p>
        </w:tc>
        <w:tc>
          <w:tcPr>
            <w:tcW w:w="677"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现有工程</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排放量</w:t>
            </w:r>
          </w:p>
        </w:tc>
        <w:tc>
          <w:tcPr>
            <w:tcW w:w="859"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以新带老</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削减量</w:t>
            </w:r>
          </w:p>
        </w:tc>
        <w:tc>
          <w:tcPr>
            <w:tcW w:w="708"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本项目</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排放量</w:t>
            </w:r>
          </w:p>
        </w:tc>
        <w:tc>
          <w:tcPr>
            <w:tcW w:w="977"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本项目实施后全厂排放量</w:t>
            </w:r>
          </w:p>
        </w:tc>
        <w:tc>
          <w:tcPr>
            <w:tcW w:w="542"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增减量</w:t>
            </w: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6" w:type="pct"/>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废气</w:t>
            </w:r>
          </w:p>
        </w:tc>
        <w:tc>
          <w:tcPr>
            <w:tcW w:w="89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有组织颗粒物（</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6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85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7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2.26</w:t>
            </w:r>
          </w:p>
        </w:tc>
        <w:tc>
          <w:tcPr>
            <w:tcW w:w="9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2.26</w:t>
            </w:r>
          </w:p>
        </w:tc>
        <w:tc>
          <w:tcPr>
            <w:tcW w:w="5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+2.26</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89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无组织颗粒物（</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6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2.34</w:t>
            </w:r>
          </w:p>
        </w:tc>
        <w:tc>
          <w:tcPr>
            <w:tcW w:w="85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7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8.71</w:t>
            </w:r>
          </w:p>
        </w:tc>
        <w:tc>
          <w:tcPr>
            <w:tcW w:w="9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11.08</w:t>
            </w:r>
          </w:p>
        </w:tc>
        <w:tc>
          <w:tcPr>
            <w:tcW w:w="5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+8.71</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6" w:type="pct"/>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废水</w:t>
            </w:r>
          </w:p>
        </w:tc>
        <w:tc>
          <w:tcPr>
            <w:tcW w:w="89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水量（</w:t>
            </w:r>
            <w:r>
              <w:rPr>
                <w:rFonts w:hint="default" w:ascii="Times New Roman" w:hAnsi="Times New Roman" w:cs="Times New Roman"/>
                <w:color w:val="000000"/>
                <w:sz w:val="21"/>
                <w:szCs w:val="21"/>
                <w:bdr w:val="none" w:color="auto" w:sz="0" w:space="0"/>
                <w:lang w:val="en-US"/>
              </w:rPr>
              <w:t>m</w:t>
            </w:r>
            <w:r>
              <w:rPr>
                <w:rFonts w:hint="default" w:ascii="Times New Roman" w:hAnsi="Times New Roman" w:cs="Times New Roman"/>
                <w:color w:val="000000"/>
                <w:sz w:val="21"/>
                <w:szCs w:val="21"/>
                <w:bdr w:val="none" w:color="auto" w:sz="0" w:space="0"/>
                <w:vertAlign w:val="superscript"/>
                <w:lang w:val="en-US"/>
              </w:rPr>
              <w:t>3</w:t>
            </w:r>
            <w:r>
              <w:rPr>
                <w:rFonts w:hint="default" w:ascii="Times New Roman" w:hAnsi="Times New Roman" w:cs="Times New Roman"/>
                <w:color w:val="000000"/>
                <w:sz w:val="21"/>
                <w:szCs w:val="21"/>
                <w:bdr w:val="none" w:color="auto" w:sz="0" w:space="0"/>
                <w:lang w:val="en-US"/>
              </w:rPr>
              <w:t>/a</w:t>
            </w:r>
            <w:r>
              <w:rPr>
                <w:rFonts w:ascii="Times New Roman" w:hAnsi="Times New Roman" w:cs="Times New Roman"/>
                <w:color w:val="000000"/>
                <w:sz w:val="21"/>
                <w:szCs w:val="21"/>
                <w:bdr w:val="none" w:color="auto" w:sz="0" w:space="0"/>
              </w:rPr>
              <w:t>）</w:t>
            </w:r>
          </w:p>
        </w:tc>
        <w:tc>
          <w:tcPr>
            <w:tcW w:w="6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210</w:t>
            </w:r>
          </w:p>
        </w:tc>
        <w:tc>
          <w:tcPr>
            <w:tcW w:w="85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7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816</w:t>
            </w:r>
          </w:p>
        </w:tc>
        <w:tc>
          <w:tcPr>
            <w:tcW w:w="9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1026</w:t>
            </w:r>
          </w:p>
        </w:tc>
        <w:tc>
          <w:tcPr>
            <w:tcW w:w="5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+816</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89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COD</w:t>
            </w:r>
            <w:r>
              <w:rPr>
                <w:rFonts w:hint="default" w:ascii="Times New Roman" w:hAnsi="Times New Roman" w:cs="Times New Roman"/>
                <w:color w:val="000000"/>
                <w:sz w:val="21"/>
                <w:szCs w:val="21"/>
                <w:bdr w:val="none" w:color="auto" w:sz="0" w:space="0"/>
                <w:vertAlign w:val="subscript"/>
                <w:lang w:val="en-US"/>
              </w:rPr>
              <w:t>Cr</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6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0.063</w:t>
            </w:r>
          </w:p>
        </w:tc>
        <w:tc>
          <w:tcPr>
            <w:tcW w:w="85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7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0.245</w:t>
            </w:r>
          </w:p>
        </w:tc>
        <w:tc>
          <w:tcPr>
            <w:tcW w:w="9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0.308</w:t>
            </w:r>
          </w:p>
        </w:tc>
        <w:tc>
          <w:tcPr>
            <w:tcW w:w="5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+0.245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89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SS</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6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0.063</w:t>
            </w:r>
          </w:p>
        </w:tc>
        <w:tc>
          <w:tcPr>
            <w:tcW w:w="85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7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0.245</w:t>
            </w:r>
          </w:p>
        </w:tc>
        <w:tc>
          <w:tcPr>
            <w:tcW w:w="9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0.308</w:t>
            </w:r>
          </w:p>
        </w:tc>
        <w:tc>
          <w:tcPr>
            <w:tcW w:w="5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+0.245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89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氨氮（</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6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0.005</w:t>
            </w:r>
          </w:p>
        </w:tc>
        <w:tc>
          <w:tcPr>
            <w:tcW w:w="85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7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0.02</w:t>
            </w:r>
          </w:p>
        </w:tc>
        <w:tc>
          <w:tcPr>
            <w:tcW w:w="9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0.025</w:t>
            </w:r>
          </w:p>
        </w:tc>
        <w:tc>
          <w:tcPr>
            <w:tcW w:w="5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+0.02</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6" w:type="pct"/>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固废</w:t>
            </w:r>
          </w:p>
        </w:tc>
        <w:tc>
          <w:tcPr>
            <w:tcW w:w="89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振动筛废筛网</w:t>
            </w:r>
          </w:p>
        </w:tc>
        <w:tc>
          <w:tcPr>
            <w:tcW w:w="6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85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7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60</w:t>
            </w:r>
            <w:r>
              <w:rPr>
                <w:rFonts w:ascii="Times New Roman" w:hAnsi="Times New Roman" w:cs="Times New Roman"/>
                <w:color w:val="000000"/>
                <w:sz w:val="21"/>
                <w:szCs w:val="21"/>
                <w:bdr w:val="none" w:color="auto" w:sz="0" w:space="0"/>
              </w:rPr>
              <w:t>）</w:t>
            </w:r>
          </w:p>
        </w:tc>
        <w:tc>
          <w:tcPr>
            <w:tcW w:w="9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60</w:t>
            </w:r>
            <w:r>
              <w:rPr>
                <w:rFonts w:ascii="Times New Roman" w:hAnsi="Times New Roman" w:cs="Times New Roman"/>
                <w:color w:val="000000"/>
                <w:sz w:val="21"/>
                <w:szCs w:val="21"/>
                <w:bdr w:val="none" w:color="auto" w:sz="0" w:space="0"/>
              </w:rPr>
              <w:t>）</w:t>
            </w:r>
          </w:p>
        </w:tc>
        <w:tc>
          <w:tcPr>
            <w:tcW w:w="5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89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布袋除尘器</w:t>
            </w:r>
          </w:p>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收尘灰</w:t>
            </w:r>
          </w:p>
        </w:tc>
        <w:tc>
          <w:tcPr>
            <w:tcW w:w="6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85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7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449.94</w:t>
            </w:r>
            <w:r>
              <w:rPr>
                <w:rFonts w:ascii="Times New Roman" w:hAnsi="Times New Roman" w:cs="Times New Roman"/>
                <w:color w:val="000000"/>
                <w:sz w:val="21"/>
                <w:szCs w:val="21"/>
                <w:bdr w:val="none" w:color="auto" w:sz="0" w:space="0"/>
              </w:rPr>
              <w:t>）</w:t>
            </w:r>
          </w:p>
        </w:tc>
        <w:tc>
          <w:tcPr>
            <w:tcW w:w="9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449.94</w:t>
            </w:r>
            <w:r>
              <w:rPr>
                <w:rFonts w:ascii="Times New Roman" w:hAnsi="Times New Roman" w:cs="Times New Roman"/>
                <w:color w:val="000000"/>
                <w:sz w:val="21"/>
                <w:szCs w:val="21"/>
                <w:bdr w:val="none" w:color="auto" w:sz="0" w:space="0"/>
              </w:rPr>
              <w:t>）</w:t>
            </w:r>
          </w:p>
        </w:tc>
        <w:tc>
          <w:tcPr>
            <w:tcW w:w="5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89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球磨机废钢球</w:t>
            </w:r>
          </w:p>
        </w:tc>
        <w:tc>
          <w:tcPr>
            <w:tcW w:w="6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80</w:t>
            </w:r>
            <w:r>
              <w:rPr>
                <w:rFonts w:ascii="Times New Roman" w:hAnsi="Times New Roman" w:cs="Times New Roman"/>
                <w:color w:val="000000"/>
                <w:sz w:val="21"/>
                <w:szCs w:val="21"/>
                <w:bdr w:val="none" w:color="auto" w:sz="0" w:space="0"/>
              </w:rPr>
              <w:t>）</w:t>
            </w:r>
          </w:p>
        </w:tc>
        <w:tc>
          <w:tcPr>
            <w:tcW w:w="85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7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600</w:t>
            </w:r>
            <w:r>
              <w:rPr>
                <w:rFonts w:ascii="Times New Roman" w:hAnsi="Times New Roman" w:cs="Times New Roman"/>
                <w:color w:val="000000"/>
                <w:sz w:val="21"/>
                <w:szCs w:val="21"/>
                <w:bdr w:val="none" w:color="auto" w:sz="0" w:space="0"/>
              </w:rPr>
              <w:t>）</w:t>
            </w:r>
          </w:p>
        </w:tc>
        <w:tc>
          <w:tcPr>
            <w:tcW w:w="9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680</w:t>
            </w:r>
            <w:r>
              <w:rPr>
                <w:rFonts w:ascii="Times New Roman" w:hAnsi="Times New Roman" w:cs="Times New Roman"/>
                <w:color w:val="000000"/>
                <w:sz w:val="21"/>
                <w:szCs w:val="21"/>
                <w:bdr w:val="none" w:color="auto" w:sz="0" w:space="0"/>
              </w:rPr>
              <w:t>）</w:t>
            </w:r>
          </w:p>
        </w:tc>
        <w:tc>
          <w:tcPr>
            <w:tcW w:w="5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89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循环水池矿泥</w:t>
            </w:r>
          </w:p>
        </w:tc>
        <w:tc>
          <w:tcPr>
            <w:tcW w:w="6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4000</w:t>
            </w:r>
            <w:r>
              <w:rPr>
                <w:rFonts w:ascii="Times New Roman" w:hAnsi="Times New Roman" w:cs="Times New Roman"/>
                <w:color w:val="000000"/>
                <w:sz w:val="21"/>
                <w:szCs w:val="21"/>
                <w:bdr w:val="none" w:color="auto" w:sz="0" w:space="0"/>
              </w:rPr>
              <w:t>）</w:t>
            </w:r>
          </w:p>
        </w:tc>
        <w:tc>
          <w:tcPr>
            <w:tcW w:w="85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7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24000</w:t>
            </w:r>
            <w:r>
              <w:rPr>
                <w:rFonts w:ascii="Times New Roman" w:hAnsi="Times New Roman" w:cs="Times New Roman"/>
                <w:color w:val="000000"/>
                <w:sz w:val="21"/>
                <w:szCs w:val="21"/>
                <w:bdr w:val="none" w:color="auto" w:sz="0" w:space="0"/>
              </w:rPr>
              <w:t>）</w:t>
            </w:r>
          </w:p>
        </w:tc>
        <w:tc>
          <w:tcPr>
            <w:tcW w:w="9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28000</w:t>
            </w:r>
            <w:r>
              <w:rPr>
                <w:rFonts w:ascii="Times New Roman" w:hAnsi="Times New Roman" w:cs="Times New Roman"/>
                <w:color w:val="000000"/>
                <w:sz w:val="21"/>
                <w:szCs w:val="21"/>
                <w:bdr w:val="none" w:color="auto" w:sz="0" w:space="0"/>
              </w:rPr>
              <w:t>）</w:t>
            </w:r>
          </w:p>
        </w:tc>
        <w:tc>
          <w:tcPr>
            <w:tcW w:w="5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89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浮选药剂</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包装桶</w:t>
            </w:r>
          </w:p>
        </w:tc>
        <w:tc>
          <w:tcPr>
            <w:tcW w:w="6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0.1</w:t>
            </w:r>
            <w:r>
              <w:rPr>
                <w:rFonts w:ascii="Times New Roman" w:hAnsi="Times New Roman" w:cs="Times New Roman"/>
                <w:color w:val="000000"/>
                <w:sz w:val="21"/>
                <w:szCs w:val="21"/>
                <w:bdr w:val="none" w:color="auto" w:sz="0" w:space="0"/>
              </w:rPr>
              <w:t>）</w:t>
            </w:r>
          </w:p>
        </w:tc>
        <w:tc>
          <w:tcPr>
            <w:tcW w:w="85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7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0.8</w:t>
            </w:r>
            <w:r>
              <w:rPr>
                <w:rFonts w:ascii="Times New Roman" w:hAnsi="Times New Roman" w:cs="Times New Roman"/>
                <w:color w:val="000000"/>
                <w:sz w:val="21"/>
                <w:szCs w:val="21"/>
                <w:bdr w:val="none" w:color="auto" w:sz="0" w:space="0"/>
              </w:rPr>
              <w:t>）</w:t>
            </w:r>
          </w:p>
        </w:tc>
        <w:tc>
          <w:tcPr>
            <w:tcW w:w="9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0.9</w:t>
            </w:r>
            <w:r>
              <w:rPr>
                <w:rFonts w:ascii="Times New Roman" w:hAnsi="Times New Roman" w:cs="Times New Roman"/>
                <w:color w:val="000000"/>
                <w:sz w:val="21"/>
                <w:szCs w:val="21"/>
                <w:bdr w:val="none" w:color="auto" w:sz="0" w:space="0"/>
              </w:rPr>
              <w:t>）</w:t>
            </w:r>
          </w:p>
        </w:tc>
        <w:tc>
          <w:tcPr>
            <w:tcW w:w="5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89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厂房遮挡粉尘</w:t>
            </w:r>
          </w:p>
        </w:tc>
        <w:tc>
          <w:tcPr>
            <w:tcW w:w="6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7.02</w:t>
            </w:r>
            <w:r>
              <w:rPr>
                <w:rFonts w:ascii="Times New Roman" w:hAnsi="Times New Roman" w:cs="Times New Roman"/>
                <w:color w:val="000000"/>
                <w:sz w:val="21"/>
                <w:szCs w:val="21"/>
                <w:bdr w:val="none" w:color="auto" w:sz="0" w:space="0"/>
              </w:rPr>
              <w:t>）</w:t>
            </w:r>
          </w:p>
        </w:tc>
        <w:tc>
          <w:tcPr>
            <w:tcW w:w="85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7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34.84</w:t>
            </w:r>
            <w:r>
              <w:rPr>
                <w:rFonts w:ascii="Times New Roman" w:hAnsi="Times New Roman" w:cs="Times New Roman"/>
                <w:color w:val="000000"/>
                <w:sz w:val="21"/>
                <w:szCs w:val="21"/>
                <w:bdr w:val="none" w:color="auto" w:sz="0" w:space="0"/>
              </w:rPr>
              <w:t>）</w:t>
            </w:r>
          </w:p>
        </w:tc>
        <w:tc>
          <w:tcPr>
            <w:tcW w:w="9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41.86</w:t>
            </w:r>
            <w:r>
              <w:rPr>
                <w:rFonts w:ascii="Times New Roman" w:hAnsi="Times New Roman" w:cs="Times New Roman"/>
                <w:color w:val="000000"/>
                <w:sz w:val="21"/>
                <w:szCs w:val="21"/>
                <w:bdr w:val="none" w:color="auto" w:sz="0" w:space="0"/>
              </w:rPr>
              <w:t>）</w:t>
            </w:r>
          </w:p>
        </w:tc>
        <w:tc>
          <w:tcPr>
            <w:tcW w:w="5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89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废含油抹布</w:t>
            </w:r>
          </w:p>
        </w:tc>
        <w:tc>
          <w:tcPr>
            <w:tcW w:w="6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0.001</w:t>
            </w:r>
            <w:r>
              <w:rPr>
                <w:rFonts w:ascii="Times New Roman" w:hAnsi="Times New Roman" w:cs="Times New Roman"/>
                <w:color w:val="000000"/>
                <w:sz w:val="21"/>
                <w:szCs w:val="21"/>
                <w:bdr w:val="none" w:color="auto" w:sz="0" w:space="0"/>
              </w:rPr>
              <w:t>）</w:t>
            </w:r>
          </w:p>
        </w:tc>
        <w:tc>
          <w:tcPr>
            <w:tcW w:w="85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7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0.002</w:t>
            </w:r>
            <w:r>
              <w:rPr>
                <w:rFonts w:ascii="Times New Roman" w:hAnsi="Times New Roman" w:cs="Times New Roman"/>
                <w:color w:val="000000"/>
                <w:sz w:val="21"/>
                <w:szCs w:val="21"/>
                <w:bdr w:val="none" w:color="auto" w:sz="0" w:space="0"/>
              </w:rPr>
              <w:t>）</w:t>
            </w:r>
          </w:p>
        </w:tc>
        <w:tc>
          <w:tcPr>
            <w:tcW w:w="9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0.003</w:t>
            </w:r>
            <w:r>
              <w:rPr>
                <w:rFonts w:ascii="Times New Roman" w:hAnsi="Times New Roman" w:cs="Times New Roman"/>
                <w:color w:val="000000"/>
                <w:sz w:val="21"/>
                <w:szCs w:val="21"/>
                <w:bdr w:val="none" w:color="auto" w:sz="0" w:space="0"/>
              </w:rPr>
              <w:t>）</w:t>
            </w:r>
          </w:p>
        </w:tc>
        <w:tc>
          <w:tcPr>
            <w:tcW w:w="5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89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废润滑油桶</w:t>
            </w:r>
          </w:p>
        </w:tc>
        <w:tc>
          <w:tcPr>
            <w:tcW w:w="6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0.05</w:t>
            </w:r>
            <w:r>
              <w:rPr>
                <w:rFonts w:ascii="Times New Roman" w:hAnsi="Times New Roman" w:cs="Times New Roman"/>
                <w:color w:val="000000"/>
                <w:sz w:val="21"/>
                <w:szCs w:val="21"/>
                <w:bdr w:val="none" w:color="auto" w:sz="0" w:space="0"/>
              </w:rPr>
              <w:t>）</w:t>
            </w:r>
          </w:p>
        </w:tc>
        <w:tc>
          <w:tcPr>
            <w:tcW w:w="85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7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0.1</w:t>
            </w:r>
            <w:r>
              <w:rPr>
                <w:rFonts w:ascii="Times New Roman" w:hAnsi="Times New Roman" w:cs="Times New Roman"/>
                <w:color w:val="000000"/>
                <w:sz w:val="21"/>
                <w:szCs w:val="21"/>
                <w:bdr w:val="none" w:color="auto" w:sz="0" w:space="0"/>
              </w:rPr>
              <w:t>）</w:t>
            </w:r>
          </w:p>
        </w:tc>
        <w:tc>
          <w:tcPr>
            <w:tcW w:w="9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0.15</w:t>
            </w:r>
            <w:r>
              <w:rPr>
                <w:rFonts w:ascii="Times New Roman" w:hAnsi="Times New Roman" w:cs="Times New Roman"/>
                <w:color w:val="000000"/>
                <w:sz w:val="21"/>
                <w:szCs w:val="21"/>
                <w:bdr w:val="none" w:color="auto" w:sz="0" w:space="0"/>
              </w:rPr>
              <w:t>）</w:t>
            </w:r>
          </w:p>
        </w:tc>
        <w:tc>
          <w:tcPr>
            <w:tcW w:w="5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89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生活垃圾</w:t>
            </w:r>
          </w:p>
        </w:tc>
        <w:tc>
          <w:tcPr>
            <w:tcW w:w="6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4.5</w:t>
            </w:r>
            <w:r>
              <w:rPr>
                <w:rFonts w:ascii="Times New Roman" w:hAnsi="Times New Roman" w:cs="Times New Roman"/>
                <w:color w:val="000000"/>
                <w:sz w:val="21"/>
                <w:szCs w:val="21"/>
                <w:bdr w:val="none" w:color="auto" w:sz="0" w:space="0"/>
              </w:rPr>
              <w:t>）</w:t>
            </w:r>
          </w:p>
        </w:tc>
        <w:tc>
          <w:tcPr>
            <w:tcW w:w="85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7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12</w:t>
            </w:r>
            <w:r>
              <w:rPr>
                <w:rFonts w:ascii="Times New Roman" w:hAnsi="Times New Roman" w:cs="Times New Roman"/>
                <w:color w:val="000000"/>
                <w:sz w:val="21"/>
                <w:szCs w:val="21"/>
                <w:bdr w:val="none" w:color="auto" w:sz="0" w:space="0"/>
              </w:rPr>
              <w:t>）</w:t>
            </w:r>
          </w:p>
        </w:tc>
        <w:tc>
          <w:tcPr>
            <w:tcW w:w="97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16.5</w:t>
            </w:r>
            <w:r>
              <w:rPr>
                <w:rFonts w:ascii="Times New Roman" w:hAnsi="Times New Roman" w:cs="Times New Roman"/>
                <w:color w:val="000000"/>
                <w:sz w:val="21"/>
                <w:szCs w:val="21"/>
                <w:bdr w:val="none" w:color="auto" w:sz="0" w:space="0"/>
              </w:rPr>
              <w:t>）</w:t>
            </w:r>
          </w:p>
        </w:tc>
        <w:tc>
          <w:tcPr>
            <w:tcW w:w="5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7"/>
            <w:tcBorders>
              <w:top w:val="single" w:color="auto" w:sz="6" w:space="0"/>
              <w:left w:val="nil"/>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注：</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号表示增加，</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号表示削减，（）内为产生量</w:t>
            </w:r>
          </w:p>
        </w:tc>
      </w:tr>
    </w:tbl>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eastAsia="zh-CN"/>
        </w:rPr>
      </w:pPr>
    </w:p>
    <w:p>
      <w:pPr>
        <w:rPr>
          <w:rFonts w:hint="default" w:ascii="Times New Roman" w:hAnsi="Times New Roman" w:eastAsia="宋体" w:cs="Times New Roman"/>
          <w:color w:val="000000"/>
          <w:sz w:val="24"/>
          <w:szCs w:val="24"/>
          <w:lang w:eastAsia="zh-CN" w:bidi="ar"/>
        </w:rPr>
        <w:sectPr>
          <w:pgSz w:w="11915" w:h="16840"/>
          <w:pgMar w:top="1702" w:right="1702" w:bottom="1702" w:left="1702" w:header="851" w:footer="1077" w:gutter="0"/>
          <w:paperSrc/>
          <w:cols w:space="425" w:num="1"/>
          <w:docGrid w:type="lines" w:linePitch="479" w:charSpace="0"/>
        </w:sectPr>
      </w:pPr>
    </w:p>
    <w:p>
      <w:pPr>
        <w:pStyle w:val="7"/>
        <w:widowControl/>
        <w:rPr>
          <w:rFonts w:hint="default" w:ascii="Times New Roman" w:hAnsi="Times New Roman" w:cs="Times New Roman"/>
          <w:color w:val="000000"/>
          <w:sz w:val="36"/>
          <w:szCs w:val="44"/>
          <w:lang/>
        </w:rPr>
      </w:pPr>
      <w:bookmarkStart w:id="151" w:name="_Toc41656136"/>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 </w:t>
      </w:r>
      <w:r>
        <w:rPr>
          <w:rFonts w:ascii="Times New Roman" w:hAnsi="Times New Roman" w:cs="Times New Roman"/>
          <w:color w:val="000000"/>
          <w:lang/>
        </w:rPr>
        <w:t>环境</w:t>
      </w:r>
      <w:bookmarkEnd w:id="137"/>
      <w:bookmarkEnd w:id="138"/>
      <w:bookmarkEnd w:id="139"/>
      <w:bookmarkEnd w:id="140"/>
      <w:bookmarkEnd w:id="141"/>
      <w:bookmarkEnd w:id="142"/>
      <w:bookmarkEnd w:id="143"/>
      <w:bookmarkEnd w:id="144"/>
      <w:bookmarkEnd w:id="145"/>
      <w:bookmarkEnd w:id="146"/>
      <w:bookmarkEnd w:id="147"/>
      <w:bookmarkEnd w:id="148"/>
      <w:r>
        <w:rPr>
          <w:rFonts w:ascii="Times New Roman" w:hAnsi="Times New Roman" w:cs="Times New Roman"/>
          <w:color w:val="000000"/>
          <w:lang/>
        </w:rPr>
        <w:t>现状调查与评价</w:t>
      </w:r>
      <w:bookmarkEnd w:id="151"/>
    </w:p>
    <w:p>
      <w:pPr>
        <w:pStyle w:val="8"/>
        <w:widowControl/>
        <w:rPr>
          <w:color w:val="000000"/>
          <w:lang/>
        </w:rPr>
      </w:pPr>
      <w:bookmarkStart w:id="152" w:name="_Toc41656137"/>
      <w:bookmarkStart w:id="153" w:name="_Toc151200112"/>
      <w:bookmarkStart w:id="154" w:name="_Toc151200272"/>
      <w:bookmarkStart w:id="155" w:name="_Toc151276160"/>
      <w:bookmarkStart w:id="156" w:name="_Toc151278923"/>
      <w:bookmarkStart w:id="157" w:name="_Toc153007122"/>
      <w:bookmarkStart w:id="158" w:name="_Toc153878458"/>
      <w:bookmarkStart w:id="159" w:name="_Toc154569862"/>
      <w:bookmarkStart w:id="160" w:name="_Toc154570249"/>
      <w:bookmarkStart w:id="161" w:name="_Toc158523411"/>
      <w:bookmarkStart w:id="162" w:name="_Toc166558352"/>
      <w:bookmarkStart w:id="163" w:name="_Toc166988491"/>
      <w:bookmarkStart w:id="164" w:name="_Toc167157866"/>
      <w:bookmarkStart w:id="165" w:name="_Toc167501737"/>
      <w:bookmarkStart w:id="166" w:name="_Toc169945208"/>
      <w:bookmarkStart w:id="167" w:name="_Toc172369252"/>
      <w:bookmarkStart w:id="168" w:name="_Toc172545032"/>
      <w:bookmarkStart w:id="169" w:name="_Toc176332085"/>
      <w:r>
        <w:rPr>
          <w:rFonts w:eastAsia="华文新魏"/>
          <w:color w:val="000000"/>
          <w:lang/>
        </w:rPr>
        <w:t xml:space="preserve">4.1 </w:t>
      </w:r>
      <w:r>
        <w:rPr>
          <w:rFonts w:hint="eastAsia" w:ascii="Times New Roman" w:hAnsi="Times New Roman" w:eastAsia="宋体" w:cs="宋体"/>
          <w:color w:val="000000"/>
          <w:lang w:eastAsia="zh-CN"/>
        </w:rPr>
        <w:t>自然环境概况</w:t>
      </w:r>
      <w:bookmarkEnd w:id="152"/>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.1.1 </w:t>
      </w:r>
      <w:r>
        <w:rPr>
          <w:rFonts w:ascii="Times New Roman" w:hAnsi="Times New Roman" w:cs="Times New Roman"/>
          <w:color w:val="000000"/>
          <w:lang/>
        </w:rPr>
        <w:t>地理位置</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海城市位于辽宁省中南部，距省会沈阳市</w:t>
      </w:r>
      <w:r>
        <w:rPr>
          <w:rFonts w:hint="default" w:ascii="Times New Roman" w:hAnsi="Times New Roman" w:eastAsia="宋体" w:cs="Times New Roman"/>
          <w:color w:val="000000"/>
          <w:kern w:val="0"/>
          <w:sz w:val="24"/>
          <w:szCs w:val="24"/>
          <w:lang w:val="en-US" w:eastAsia="zh-CN" w:bidi="ar"/>
        </w:rPr>
        <w:t>127</w:t>
      </w:r>
      <w:r>
        <w:rPr>
          <w:rFonts w:hint="eastAsia" w:ascii="Times New Roman" w:hAnsi="Times New Roman" w:eastAsia="宋体" w:cs="Times New Roman"/>
          <w:color w:val="000000"/>
          <w:kern w:val="0"/>
          <w:sz w:val="24"/>
          <w:szCs w:val="24"/>
          <w:lang w:val="en-US" w:eastAsia="zh-CN" w:bidi="ar"/>
        </w:rPr>
        <w:t>公里。地理坐标为东经</w:t>
      </w:r>
      <w:r>
        <w:rPr>
          <w:rFonts w:hint="default" w:ascii="Times New Roman" w:hAnsi="Times New Roman" w:eastAsia="宋体" w:cs="Times New Roman"/>
          <w:color w:val="000000"/>
          <w:kern w:val="0"/>
          <w:sz w:val="24"/>
          <w:szCs w:val="24"/>
          <w:lang w:val="en-US" w:eastAsia="zh-CN" w:bidi="ar"/>
        </w:rPr>
        <w:t>122º18′</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123º08′</w:t>
      </w:r>
      <w:r>
        <w:rPr>
          <w:rFonts w:hint="eastAsia" w:ascii="Times New Roman" w:hAnsi="Times New Roman" w:eastAsia="宋体" w:cs="Times New Roman"/>
          <w:color w:val="000000"/>
          <w:kern w:val="0"/>
          <w:sz w:val="24"/>
          <w:szCs w:val="24"/>
          <w:lang w:val="en-US" w:eastAsia="zh-CN" w:bidi="ar"/>
        </w:rPr>
        <w:t>，北纬</w:t>
      </w:r>
      <w:r>
        <w:rPr>
          <w:rFonts w:hint="default" w:ascii="Times New Roman" w:hAnsi="Times New Roman" w:eastAsia="宋体" w:cs="Times New Roman"/>
          <w:color w:val="000000"/>
          <w:kern w:val="0"/>
          <w:sz w:val="24"/>
          <w:szCs w:val="24"/>
          <w:lang w:val="en-US" w:eastAsia="zh-CN" w:bidi="ar"/>
        </w:rPr>
        <w:t>40º29′</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41º11′</w:t>
      </w:r>
      <w:r>
        <w:rPr>
          <w:rFonts w:hint="eastAsia" w:ascii="Times New Roman" w:hAnsi="Times New Roman" w:eastAsia="宋体" w:cs="Times New Roman"/>
          <w:color w:val="000000"/>
          <w:kern w:val="0"/>
          <w:sz w:val="24"/>
          <w:szCs w:val="24"/>
          <w:lang w:val="en-US" w:eastAsia="zh-CN" w:bidi="ar"/>
        </w:rPr>
        <w:t>。海城市地处松辽平原南缘，辽河下游左岸，辽东半岛北端，南临营口市所辖大石桥市，北靠鞍山市的千山区和辽阳市，东与岫岩县接壤，西与盘锦市的大洼、盘山、台安三县隔辽河相望。全市南北宽容</w:t>
      </w:r>
      <w:r>
        <w:rPr>
          <w:rFonts w:hint="default" w:ascii="Times New Roman" w:hAnsi="Times New Roman" w:eastAsia="宋体" w:cs="Times New Roman"/>
          <w:color w:val="000000"/>
          <w:kern w:val="0"/>
          <w:sz w:val="24"/>
          <w:szCs w:val="24"/>
          <w:lang w:val="en-US" w:eastAsia="zh-CN" w:bidi="ar"/>
        </w:rPr>
        <w:t>44</w:t>
      </w:r>
      <w:r>
        <w:rPr>
          <w:rFonts w:hint="eastAsia" w:ascii="Times New Roman" w:hAnsi="Times New Roman" w:eastAsia="宋体" w:cs="Times New Roman"/>
          <w:color w:val="000000"/>
          <w:kern w:val="0"/>
          <w:sz w:val="24"/>
          <w:szCs w:val="24"/>
          <w:lang w:val="en-US" w:eastAsia="zh-CN" w:bidi="ar"/>
        </w:rPr>
        <w:t>公里，东西长</w:t>
      </w:r>
      <w:r>
        <w:rPr>
          <w:rFonts w:hint="default" w:ascii="Times New Roman" w:hAnsi="Times New Roman" w:eastAsia="宋体" w:cs="Times New Roman"/>
          <w:color w:val="000000"/>
          <w:kern w:val="0"/>
          <w:sz w:val="24"/>
          <w:szCs w:val="24"/>
          <w:lang w:val="en-US" w:eastAsia="zh-CN" w:bidi="ar"/>
        </w:rPr>
        <w:t>80</w:t>
      </w:r>
      <w:r>
        <w:rPr>
          <w:rFonts w:hint="eastAsia" w:ascii="Times New Roman" w:hAnsi="Times New Roman" w:eastAsia="宋体" w:cs="Times New Roman"/>
          <w:color w:val="000000"/>
          <w:kern w:val="0"/>
          <w:sz w:val="24"/>
          <w:szCs w:val="24"/>
          <w:lang w:val="en-US" w:eastAsia="zh-CN" w:bidi="ar"/>
        </w:rPr>
        <w:t>公里，总面积</w:t>
      </w:r>
      <w:r>
        <w:rPr>
          <w:rFonts w:hint="default" w:ascii="Times New Roman" w:hAnsi="Times New Roman" w:eastAsia="宋体" w:cs="Times New Roman"/>
          <w:color w:val="000000"/>
          <w:kern w:val="0"/>
          <w:sz w:val="24"/>
          <w:szCs w:val="24"/>
          <w:lang w:val="en-US" w:eastAsia="zh-CN" w:bidi="ar"/>
        </w:rPr>
        <w:t>2732</w:t>
      </w:r>
      <w:r>
        <w:rPr>
          <w:rFonts w:hint="eastAsia" w:ascii="Times New Roman" w:hAnsi="Times New Roman" w:eastAsia="宋体" w:cs="Times New Roman"/>
          <w:color w:val="000000"/>
          <w:kern w:val="0"/>
          <w:sz w:val="24"/>
          <w:szCs w:val="24"/>
          <w:lang w:val="en-US" w:eastAsia="zh-CN" w:bidi="ar"/>
        </w:rPr>
        <w:t>平方公里，其中市区面积约</w:t>
      </w:r>
      <w:r>
        <w:rPr>
          <w:rFonts w:hint="default" w:ascii="Times New Roman" w:hAnsi="Times New Roman" w:eastAsia="宋体" w:cs="Times New Roman"/>
          <w:color w:val="000000"/>
          <w:kern w:val="0"/>
          <w:sz w:val="24"/>
          <w:szCs w:val="24"/>
          <w:lang w:val="en-US" w:eastAsia="zh-CN" w:bidi="ar"/>
        </w:rPr>
        <w:t>57.9</w:t>
      </w:r>
      <w:r>
        <w:rPr>
          <w:rFonts w:hint="eastAsia" w:ascii="Times New Roman" w:hAnsi="Times New Roman" w:eastAsia="宋体" w:cs="Times New Roman"/>
          <w:color w:val="000000"/>
          <w:kern w:val="0"/>
          <w:sz w:val="24"/>
          <w:szCs w:val="24"/>
          <w:lang w:val="en-US" w:eastAsia="zh-CN" w:bidi="ar"/>
        </w:rPr>
        <w:t>平方公里。</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八里镇位于海城东南部。全镇</w:t>
      </w:r>
      <w:r>
        <w:rPr>
          <w:rFonts w:hint="default" w:ascii="Times New Roman" w:hAnsi="Times New Roman" w:eastAsia="宋体" w:cs="Times New Roman"/>
          <w:color w:val="000000"/>
          <w:kern w:val="0"/>
          <w:sz w:val="24"/>
          <w:szCs w:val="24"/>
          <w:lang w:val="en-US" w:eastAsia="zh-CN" w:bidi="ar"/>
        </w:rPr>
        <w:t>24</w:t>
      </w:r>
      <w:r>
        <w:rPr>
          <w:rFonts w:hint="eastAsia" w:ascii="Times New Roman" w:hAnsi="Times New Roman" w:eastAsia="宋体" w:cs="Times New Roman"/>
          <w:color w:val="000000"/>
          <w:kern w:val="0"/>
          <w:sz w:val="24"/>
          <w:szCs w:val="24"/>
          <w:lang w:val="en-US" w:eastAsia="zh-CN" w:bidi="ar"/>
        </w:rPr>
        <w:t>个村，人口</w:t>
      </w:r>
      <w:r>
        <w:rPr>
          <w:rFonts w:hint="default" w:ascii="Times New Roman" w:hAnsi="Times New Roman" w:eastAsia="宋体" w:cs="Times New Roman"/>
          <w:color w:val="000000"/>
          <w:kern w:val="0"/>
          <w:sz w:val="24"/>
          <w:szCs w:val="24"/>
          <w:lang w:val="en-US" w:eastAsia="zh-CN" w:bidi="ar"/>
        </w:rPr>
        <w:t>3.8</w:t>
      </w:r>
      <w:r>
        <w:rPr>
          <w:rFonts w:hint="eastAsia" w:ascii="Times New Roman" w:hAnsi="Times New Roman" w:eastAsia="宋体" w:cs="Times New Roman"/>
          <w:color w:val="000000"/>
          <w:kern w:val="0"/>
          <w:sz w:val="24"/>
          <w:szCs w:val="24"/>
          <w:lang w:val="en-US" w:eastAsia="zh-CN" w:bidi="ar"/>
        </w:rPr>
        <w:t>万，总面积</w:t>
      </w:r>
      <w:r>
        <w:rPr>
          <w:rFonts w:hint="default" w:ascii="Times New Roman" w:hAnsi="Times New Roman" w:eastAsia="宋体" w:cs="Times New Roman"/>
          <w:color w:val="000000"/>
          <w:kern w:val="0"/>
          <w:sz w:val="24"/>
          <w:szCs w:val="24"/>
          <w:lang w:val="en-US" w:eastAsia="zh-CN" w:bidi="ar"/>
        </w:rPr>
        <w:t>100</w:t>
      </w:r>
      <w:r>
        <w:rPr>
          <w:rFonts w:hint="eastAsia" w:ascii="Times New Roman" w:hAnsi="Times New Roman" w:eastAsia="宋体" w:cs="Times New Roman"/>
          <w:color w:val="000000"/>
          <w:kern w:val="0"/>
          <w:sz w:val="24"/>
          <w:szCs w:val="24"/>
          <w:lang w:val="en-US" w:eastAsia="zh-CN" w:bidi="ar"/>
        </w:rPr>
        <w:t>平方公里。全镇属于半平原半丘陵地形，大盘公路、海英公路交汇于内，并且拥有两条铁路专用线，交通十分便利。</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本项目位于辽宁省海城市八里镇铧子峪村，华宇集团现有厂区内，项目中心地理坐标为东经</w:t>
      </w:r>
      <w:r>
        <w:rPr>
          <w:rFonts w:hint="default" w:ascii="Times New Roman" w:hAnsi="Times New Roman" w:eastAsia="宋体" w:cs="Times New Roman"/>
          <w:color w:val="000000"/>
          <w:kern w:val="0"/>
          <w:sz w:val="24"/>
          <w:szCs w:val="24"/>
          <w:lang w:val="en-US" w:eastAsia="zh-CN" w:bidi="ar"/>
        </w:rPr>
        <w:t>122.725482°</w:t>
      </w:r>
      <w:r>
        <w:rPr>
          <w:rFonts w:hint="eastAsia" w:ascii="Times New Roman" w:hAnsi="Times New Roman" w:eastAsia="宋体" w:cs="Times New Roman"/>
          <w:color w:val="000000"/>
          <w:kern w:val="0"/>
          <w:sz w:val="24"/>
          <w:szCs w:val="24"/>
          <w:lang w:val="en-US" w:eastAsia="zh-CN" w:bidi="ar"/>
        </w:rPr>
        <w:t>，北纬</w:t>
      </w:r>
      <w:r>
        <w:rPr>
          <w:rFonts w:hint="default" w:ascii="Times New Roman" w:hAnsi="Times New Roman" w:eastAsia="宋体" w:cs="Times New Roman"/>
          <w:color w:val="000000"/>
          <w:kern w:val="0"/>
          <w:sz w:val="24"/>
          <w:szCs w:val="24"/>
          <w:lang w:val="en-US" w:eastAsia="zh-CN" w:bidi="ar"/>
        </w:rPr>
        <w:t>40.716989°</w:t>
      </w:r>
      <w:r>
        <w:rPr>
          <w:rFonts w:hint="eastAsia" w:ascii="Times New Roman" w:hAnsi="Times New Roman" w:eastAsia="宋体" w:cs="Times New Roman"/>
          <w:color w:val="000000"/>
          <w:kern w:val="0"/>
          <w:sz w:val="24"/>
          <w:szCs w:val="24"/>
          <w:lang w:val="en-US" w:eastAsia="zh-CN" w:bidi="ar"/>
        </w:rPr>
        <w:t>。本项目地理位置详见图</w:t>
      </w:r>
      <w:r>
        <w:rPr>
          <w:rFonts w:hint="default" w:ascii="Times New Roman" w:hAnsi="Times New Roman" w:eastAsia="宋体" w:cs="Times New Roman"/>
          <w:color w:val="000000"/>
          <w:kern w:val="0"/>
          <w:sz w:val="24"/>
          <w:szCs w:val="24"/>
          <w:lang w:val="en-US" w:eastAsia="zh-CN" w:bidi="ar"/>
        </w:rPr>
        <w:t>4-1</w:t>
      </w:r>
      <w:r>
        <w:rPr>
          <w:rFonts w:hint="eastAsia" w:ascii="Times New Roman" w:hAnsi="Times New Roman" w:eastAsia="宋体" w:cs="Times New Roman"/>
          <w:color w:val="000000"/>
          <w:kern w:val="0"/>
          <w:sz w:val="24"/>
          <w:szCs w:val="24"/>
          <w:lang w:val="en-US" w:eastAsia="zh-CN" w:bidi="ar"/>
        </w:rPr>
        <w:t>。</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.1.2 </w:t>
      </w:r>
      <w:r>
        <w:rPr>
          <w:rFonts w:ascii="Times New Roman" w:hAnsi="Times New Roman" w:cs="Times New Roman"/>
          <w:color w:val="000000"/>
          <w:lang/>
        </w:rPr>
        <w:t>地形地貌</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海城市地貌复杂，全市有山地、丘陵、平原、洼地，地势东南高、西北低，由东南向西北倾斜。东部山区及丘陵地带绝大部分海拔高度在</w:t>
      </w:r>
      <w:r>
        <w:rPr>
          <w:rFonts w:hint="default" w:ascii="Times New Roman" w:hAnsi="Times New Roman" w:eastAsia="宋体" w:cs="Times New Roman"/>
          <w:color w:val="000000"/>
          <w:kern w:val="0"/>
          <w:sz w:val="24"/>
          <w:szCs w:val="24"/>
          <w:lang w:val="en-US" w:eastAsia="zh-CN" w:bidi="ar"/>
        </w:rPr>
        <w:t>60~500m</w:t>
      </w:r>
      <w:r>
        <w:rPr>
          <w:rFonts w:hint="eastAsia" w:ascii="Times New Roman" w:hAnsi="Times New Roman" w:eastAsia="宋体" w:cs="Times New Roman"/>
          <w:color w:val="000000"/>
          <w:kern w:val="0"/>
          <w:sz w:val="24"/>
          <w:szCs w:val="24"/>
          <w:lang w:val="en-US" w:eastAsia="zh-CN" w:bidi="ar"/>
        </w:rPr>
        <w:t>之间，西部平原从海拔</w:t>
      </w:r>
      <w:r>
        <w:rPr>
          <w:rFonts w:hint="default" w:ascii="Times New Roman" w:hAnsi="Times New Roman" w:eastAsia="宋体" w:cs="Times New Roman"/>
          <w:color w:val="000000"/>
          <w:kern w:val="0"/>
          <w:sz w:val="24"/>
          <w:szCs w:val="24"/>
          <w:lang w:val="en-US" w:eastAsia="zh-CN" w:bidi="ar"/>
        </w:rPr>
        <w:t>60m</w:t>
      </w:r>
      <w:r>
        <w:rPr>
          <w:rFonts w:hint="eastAsia" w:ascii="Times New Roman" w:hAnsi="Times New Roman" w:eastAsia="宋体" w:cs="Times New Roman"/>
          <w:color w:val="000000"/>
          <w:kern w:val="0"/>
          <w:sz w:val="24"/>
          <w:szCs w:val="24"/>
          <w:lang w:val="en-US" w:eastAsia="zh-CN" w:bidi="ar"/>
        </w:rPr>
        <w:t>呈缓坡逐渐下倾至浑河、太子河平原。</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海城市境内东部群山起伏，山峦叠翠。千山山脉，犹如一条巨龙伏卧在东大门，形成天然屏障。</w:t>
      </w:r>
    </w:p>
    <w:p>
      <w:pPr>
        <w:rPr>
          <w:rFonts w:hint="default" w:ascii="Times New Roman" w:hAnsi="Times New Roman" w:eastAsia="宋体" w:cs="Times New Roman"/>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p>
      <w:pPr>
        <w:pStyle w:val="27"/>
        <w:keepNext w:val="0"/>
        <w:keepLines w:val="0"/>
        <w:widowControl/>
        <w:suppressLineNumbers w:val="0"/>
        <w:adjustRightInd w:val="0"/>
        <w:snapToGrid w:val="0"/>
        <w:spacing w:before="0" w:beforeAutospacing="0" w:after="0" w:afterAutospacing="0" w:line="360" w:lineRule="auto"/>
        <w:ind w:left="0" w:right="0" w:firstLine="0" w:firstLineChars="0"/>
        <w:jc w:val="center"/>
        <w:rPr>
          <w:rFonts w:hint="default" w:ascii="Times New Roman" w:hAnsi="Times New Roman" w:eastAsia="黑体" w:cs="Times New Roman"/>
          <w:color w:val="000000"/>
          <w:lang w:val="en-US" w:eastAsia="zh-CN"/>
        </w:rPr>
      </w:pPr>
      <w:r>
        <w:rPr>
          <w:rFonts w:hint="eastAsia" w:ascii="宋体" w:hAnsi="宋体" w:eastAsia="宋体" w:cs="宋体"/>
          <w:kern w:val="0"/>
          <w:sz w:val="24"/>
          <w:szCs w:val="24"/>
          <w:lang w:val="en-US" w:eastAsia="zh-CN" w:bidi="ar"/>
        </w:rPr>
        <w:drawing>
          <wp:anchor distT="0" distB="0" distL="114300" distR="114300" simplePos="0" relativeHeight="251716608" behindDoc="0" locked="0" layoutInCell="1" allowOverlap="1">
            <wp:simplePos x="0" y="0"/>
            <wp:positionH relativeFrom="margin">
              <wp:posOffset>76200</wp:posOffset>
            </wp:positionH>
            <wp:positionV relativeFrom="margin">
              <wp:posOffset>-280670</wp:posOffset>
            </wp:positionV>
            <wp:extent cx="8380730" cy="5669280"/>
            <wp:effectExtent l="0" t="0" r="1270" b="7620"/>
            <wp:wrapSquare wrapText="bothSides"/>
            <wp:docPr id="52" name="图片 17" descr="微信截图_2020052213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7" descr="微信截图_20200522135014"/>
                    <pic:cNvPicPr>
                      <a:picLocks noChangeAspect="1"/>
                    </pic:cNvPicPr>
                  </pic:nvPicPr>
                  <pic:blipFill>
                    <a:blip r:embed="rId34"/>
                    <a:stretch>
                      <a:fillRect/>
                    </a:stretch>
                  </pic:blipFill>
                  <pic:spPr>
                    <a:xfrm>
                      <a:off x="0" y="0"/>
                      <a:ext cx="8380730" cy="5669280"/>
                    </a:xfrm>
                    <a:prstGeom prst="rect">
                      <a:avLst/>
                    </a:prstGeom>
                    <a:noFill/>
                    <a:ln>
                      <a:noFill/>
                    </a:ln>
                  </pic:spPr>
                </pic:pic>
              </a:graphicData>
            </a:graphic>
          </wp:anchor>
        </w:drawing>
      </w: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4-1  </w:t>
      </w:r>
      <w:r>
        <w:rPr>
          <w:rFonts w:hint="eastAsia" w:ascii="Times New Roman" w:hAnsi="Times New Roman" w:eastAsia="黑体" w:cs="Times New Roman"/>
          <w:color w:val="000000"/>
          <w:kern w:val="0"/>
          <w:sz w:val="24"/>
          <w:szCs w:val="24"/>
          <w:lang w:val="en-US" w:eastAsia="zh-CN" w:bidi="ar"/>
        </w:rPr>
        <w:t>本项目地理位置图</w:t>
      </w:r>
    </w:p>
    <w:p>
      <w:pPr>
        <w:rPr>
          <w:rFonts w:hint="default" w:ascii="Times New Roman" w:hAnsi="Times New Roman" w:eastAsia="宋体" w:cs="Times New Roman"/>
          <w:color w:val="000000"/>
          <w:sz w:val="24"/>
          <w:szCs w:val="24"/>
          <w:lang w:val="en-US" w:eastAsia="zh-CN" w:bidi="ar"/>
        </w:rPr>
        <w:sectPr>
          <w:pgSz w:w="16840" w:h="11915" w:orient="landscape"/>
          <w:pgMar w:top="1702" w:right="1702" w:bottom="1702" w:left="1702" w:header="851" w:footer="1077" w:gutter="0"/>
          <w:paperSrc/>
          <w:cols w:space="425" w:num="1"/>
          <w:docGrid w:type="lines" w:linePitch="479" w:charSpace="0"/>
        </w:sectPr>
      </w:pP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.1.3 </w:t>
      </w:r>
      <w:r>
        <w:rPr>
          <w:rFonts w:ascii="Times New Roman" w:hAnsi="Times New Roman" w:cs="Times New Roman"/>
          <w:color w:val="000000"/>
          <w:lang w:eastAsia="zh-CN"/>
        </w:rPr>
        <w:t>地表水系</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据测查，海城市水资源总量为</w:t>
      </w:r>
      <w:r>
        <w:rPr>
          <w:rFonts w:hint="default" w:ascii="Times New Roman" w:hAnsi="Times New Roman" w:eastAsia="宋体" w:cs="Times New Roman"/>
          <w:color w:val="000000"/>
          <w:kern w:val="0"/>
          <w:sz w:val="24"/>
          <w:szCs w:val="24"/>
          <w:lang w:val="en-US" w:eastAsia="zh-CN" w:bidi="ar"/>
        </w:rPr>
        <w:t>7.62</w:t>
      </w:r>
      <w:r>
        <w:rPr>
          <w:rFonts w:hint="eastAsia" w:ascii="Times New Roman" w:hAnsi="Times New Roman" w:eastAsia="宋体" w:cs="Times New Roman"/>
          <w:color w:val="000000"/>
          <w:kern w:val="0"/>
          <w:sz w:val="24"/>
          <w:szCs w:val="24"/>
          <w:lang w:val="en-US" w:eastAsia="zh-CN" w:bidi="ar"/>
        </w:rPr>
        <w:t>亿</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，其中地表水</w:t>
      </w:r>
      <w:r>
        <w:rPr>
          <w:rFonts w:hint="default" w:ascii="Times New Roman" w:hAnsi="Times New Roman" w:eastAsia="宋体" w:cs="Times New Roman"/>
          <w:color w:val="000000"/>
          <w:kern w:val="0"/>
          <w:sz w:val="24"/>
          <w:szCs w:val="24"/>
          <w:lang w:val="en-US" w:eastAsia="zh-CN" w:bidi="ar"/>
        </w:rPr>
        <w:t>3.69</w:t>
      </w:r>
      <w:r>
        <w:rPr>
          <w:rFonts w:hint="eastAsia" w:ascii="Times New Roman" w:hAnsi="Times New Roman" w:eastAsia="宋体" w:cs="Times New Roman"/>
          <w:color w:val="000000"/>
          <w:kern w:val="0"/>
          <w:sz w:val="24"/>
          <w:szCs w:val="24"/>
          <w:lang w:val="en-US" w:eastAsia="zh-CN" w:bidi="ar"/>
        </w:rPr>
        <w:t>亿</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，占</w:t>
      </w:r>
      <w:r>
        <w:rPr>
          <w:rFonts w:hint="default" w:ascii="Times New Roman" w:hAnsi="Times New Roman" w:eastAsia="宋体" w:cs="Times New Roman"/>
          <w:color w:val="000000"/>
          <w:kern w:val="0"/>
          <w:sz w:val="24"/>
          <w:szCs w:val="24"/>
          <w:lang w:val="en-US" w:eastAsia="zh-CN" w:bidi="ar"/>
        </w:rPr>
        <w:t>48.43%</w:t>
      </w:r>
      <w:r>
        <w:rPr>
          <w:rFonts w:hint="eastAsia" w:ascii="Times New Roman" w:hAnsi="Times New Roman" w:eastAsia="宋体" w:cs="Times New Roman"/>
          <w:color w:val="000000"/>
          <w:kern w:val="0"/>
          <w:sz w:val="24"/>
          <w:szCs w:val="24"/>
          <w:lang w:val="en-US" w:eastAsia="zh-CN" w:bidi="ar"/>
        </w:rPr>
        <w:t>；地下水</w:t>
      </w:r>
      <w:r>
        <w:rPr>
          <w:rFonts w:hint="default" w:ascii="Times New Roman" w:hAnsi="Times New Roman" w:eastAsia="宋体" w:cs="Times New Roman"/>
          <w:color w:val="000000"/>
          <w:kern w:val="0"/>
          <w:sz w:val="24"/>
          <w:szCs w:val="24"/>
          <w:lang w:val="en-US" w:eastAsia="zh-CN" w:bidi="ar"/>
        </w:rPr>
        <w:t>3.93</w:t>
      </w:r>
      <w:r>
        <w:rPr>
          <w:rFonts w:hint="eastAsia" w:ascii="Times New Roman" w:hAnsi="Times New Roman" w:eastAsia="宋体" w:cs="Times New Roman"/>
          <w:color w:val="000000"/>
          <w:kern w:val="0"/>
          <w:sz w:val="24"/>
          <w:szCs w:val="24"/>
          <w:lang w:val="en-US" w:eastAsia="zh-CN" w:bidi="ar"/>
        </w:rPr>
        <w:t>亿</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，占</w:t>
      </w:r>
      <w:r>
        <w:rPr>
          <w:rFonts w:hint="default" w:ascii="Times New Roman" w:hAnsi="Times New Roman" w:eastAsia="宋体" w:cs="Times New Roman"/>
          <w:color w:val="000000"/>
          <w:kern w:val="0"/>
          <w:sz w:val="24"/>
          <w:szCs w:val="24"/>
          <w:lang w:val="en-US" w:eastAsia="zh-CN" w:bidi="ar"/>
        </w:rPr>
        <w:t>51.57%</w:t>
      </w:r>
      <w:r>
        <w:rPr>
          <w:rFonts w:hint="eastAsia" w:ascii="Times New Roman" w:hAnsi="Times New Roman" w:eastAsia="宋体" w:cs="Times New Roman"/>
          <w:color w:val="000000"/>
          <w:kern w:val="0"/>
          <w:sz w:val="24"/>
          <w:szCs w:val="24"/>
          <w:lang w:val="en-US" w:eastAsia="zh-CN" w:bidi="ar"/>
        </w:rPr>
        <w:t>。可开采利用水资源</w:t>
      </w:r>
      <w:r>
        <w:rPr>
          <w:rFonts w:hint="default" w:ascii="Times New Roman" w:hAnsi="Times New Roman" w:eastAsia="宋体" w:cs="Times New Roman"/>
          <w:color w:val="000000"/>
          <w:kern w:val="0"/>
          <w:sz w:val="24"/>
          <w:szCs w:val="24"/>
          <w:lang w:val="en-US" w:eastAsia="zh-CN" w:bidi="ar"/>
        </w:rPr>
        <w:t>7.28</w:t>
      </w:r>
      <w:r>
        <w:rPr>
          <w:rFonts w:hint="eastAsia" w:ascii="Times New Roman" w:hAnsi="Times New Roman" w:eastAsia="宋体" w:cs="Times New Roman"/>
          <w:color w:val="000000"/>
          <w:kern w:val="0"/>
          <w:sz w:val="24"/>
          <w:szCs w:val="24"/>
          <w:lang w:val="en-US" w:eastAsia="zh-CN" w:bidi="ar"/>
        </w:rPr>
        <w:t>亿</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，其中地表水</w:t>
      </w:r>
      <w:r>
        <w:rPr>
          <w:rFonts w:hint="default" w:ascii="Times New Roman" w:hAnsi="Times New Roman" w:eastAsia="宋体" w:cs="Times New Roman"/>
          <w:color w:val="000000"/>
          <w:kern w:val="0"/>
          <w:sz w:val="24"/>
          <w:szCs w:val="24"/>
          <w:lang w:val="en-US" w:eastAsia="zh-CN" w:bidi="ar"/>
        </w:rPr>
        <w:t>3.3</w:t>
      </w:r>
      <w:r>
        <w:rPr>
          <w:rFonts w:hint="eastAsia" w:ascii="Times New Roman" w:hAnsi="Times New Roman" w:eastAsia="宋体" w:cs="Times New Roman"/>
          <w:color w:val="000000"/>
          <w:kern w:val="0"/>
          <w:sz w:val="24"/>
          <w:szCs w:val="24"/>
          <w:lang w:val="en-US" w:eastAsia="zh-CN" w:bidi="ar"/>
        </w:rPr>
        <w:t>亿</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，地下水</w:t>
      </w:r>
      <w:r>
        <w:rPr>
          <w:rFonts w:hint="default" w:ascii="Times New Roman" w:hAnsi="Times New Roman" w:eastAsia="宋体" w:cs="Times New Roman"/>
          <w:color w:val="000000"/>
          <w:kern w:val="0"/>
          <w:sz w:val="24"/>
          <w:szCs w:val="24"/>
          <w:lang w:val="en-US" w:eastAsia="zh-CN" w:bidi="ar"/>
        </w:rPr>
        <w:t>3.92</w:t>
      </w:r>
      <w:r>
        <w:rPr>
          <w:rFonts w:hint="eastAsia" w:ascii="Times New Roman" w:hAnsi="Times New Roman" w:eastAsia="宋体" w:cs="Times New Roman"/>
          <w:color w:val="000000"/>
          <w:kern w:val="0"/>
          <w:sz w:val="24"/>
          <w:szCs w:val="24"/>
          <w:lang w:val="en-US" w:eastAsia="zh-CN" w:bidi="ar"/>
        </w:rPr>
        <w:t>亿</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eastAsia="zh-CN"/>
        </w:rPr>
      </w:pPr>
      <w:r>
        <w:rPr>
          <w:rFonts w:hint="eastAsia" w:ascii="Times New Roman" w:hAnsi="Times New Roman" w:eastAsia="宋体" w:cs="Times New Roman"/>
          <w:color w:val="000000"/>
          <w:kern w:val="0"/>
          <w:sz w:val="24"/>
          <w:szCs w:val="24"/>
          <w:lang w:eastAsia="zh-CN" w:bidi="ar"/>
        </w:rPr>
        <w:t>海城市</w:t>
      </w:r>
      <w:r>
        <w:rPr>
          <w:rFonts w:hint="eastAsia" w:ascii="宋体" w:hAnsi="宋体" w:eastAsia="宋体" w:cs="宋体"/>
          <w:kern w:val="0"/>
          <w:sz w:val="24"/>
          <w:szCs w:val="24"/>
          <w:lang w:val="en-US" w:eastAsia="zh-CN" w:bidi="ar"/>
        </w:rPr>
        <w:fldChar w:fldCharType="begin"/>
      </w:r>
      <w:r>
        <w:rPr>
          <w:rFonts w:hint="eastAsia" w:ascii="宋体" w:hAnsi="宋体" w:eastAsia="宋体" w:cs="宋体"/>
          <w:kern w:val="0"/>
          <w:sz w:val="24"/>
          <w:szCs w:val="24"/>
          <w:lang w:val="en-US" w:eastAsia="zh-CN" w:bidi="ar"/>
        </w:rPr>
        <w:instrText xml:space="preserve"> HYPERLINK "http://baike.baidu.com/view/54383.htm" \t "C:\\Users\\Administrator\\Desktop\\2020年11月19日（1）铧宇废旧金属\\_blank" </w:instrText>
      </w:r>
      <w:r>
        <w:rPr>
          <w:rFonts w:hint="eastAsia" w:ascii="宋体" w:hAnsi="宋体" w:eastAsia="宋体" w:cs="宋体"/>
          <w:kern w:val="0"/>
          <w:sz w:val="24"/>
          <w:szCs w:val="24"/>
          <w:lang w:val="en-US" w:eastAsia="zh-CN" w:bidi="ar"/>
        </w:rPr>
        <w:fldChar w:fldCharType="separate"/>
      </w:r>
      <w:r>
        <w:rPr>
          <w:rStyle w:val="38"/>
          <w:rFonts w:ascii="Times New Roman" w:hAnsi="Times New Roman" w:cs="Times New Roman"/>
          <w:color w:val="000000"/>
          <w:u w:val="none"/>
          <w:lang/>
        </w:rPr>
        <w:t>太子河</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eastAsia="zh-CN" w:bidi="ar"/>
        </w:rPr>
        <w:t>、</w:t>
      </w:r>
      <w:r>
        <w:rPr>
          <w:rFonts w:hint="eastAsia" w:ascii="宋体" w:hAnsi="宋体" w:eastAsia="宋体" w:cs="宋体"/>
          <w:kern w:val="0"/>
          <w:sz w:val="24"/>
          <w:szCs w:val="24"/>
          <w:lang w:val="en-US" w:eastAsia="zh-CN" w:bidi="ar"/>
        </w:rPr>
        <w:fldChar w:fldCharType="begin"/>
      </w:r>
      <w:r>
        <w:rPr>
          <w:rFonts w:hint="eastAsia" w:ascii="宋体" w:hAnsi="宋体" w:eastAsia="宋体" w:cs="宋体"/>
          <w:kern w:val="0"/>
          <w:sz w:val="24"/>
          <w:szCs w:val="24"/>
          <w:lang w:val="en-US" w:eastAsia="zh-CN" w:bidi="ar"/>
        </w:rPr>
        <w:instrText xml:space="preserve"> HYPERLINK "http://baike.baidu.com/view/145533.htm" \t "C:\\Users\\Administrator\\Desktop\\2020年11月19日（1）铧宇废旧金属\\_blank" </w:instrText>
      </w:r>
      <w:r>
        <w:rPr>
          <w:rFonts w:hint="eastAsia" w:ascii="宋体" w:hAnsi="宋体" w:eastAsia="宋体" w:cs="宋体"/>
          <w:kern w:val="0"/>
          <w:sz w:val="24"/>
          <w:szCs w:val="24"/>
          <w:lang w:val="en-US" w:eastAsia="zh-CN" w:bidi="ar"/>
        </w:rPr>
        <w:fldChar w:fldCharType="separate"/>
      </w:r>
      <w:r>
        <w:rPr>
          <w:rStyle w:val="38"/>
          <w:rFonts w:ascii="Times New Roman" w:hAnsi="Times New Roman" w:cs="Times New Roman"/>
          <w:color w:val="000000"/>
          <w:u w:val="none"/>
          <w:lang/>
        </w:rPr>
        <w:t>浑河</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eastAsia="zh-CN" w:bidi="ar"/>
        </w:rPr>
        <w:t>、</w:t>
      </w:r>
      <w:r>
        <w:rPr>
          <w:rFonts w:hint="eastAsia" w:ascii="宋体" w:hAnsi="宋体" w:eastAsia="宋体" w:cs="宋体"/>
          <w:kern w:val="0"/>
          <w:sz w:val="24"/>
          <w:szCs w:val="24"/>
          <w:lang w:val="en-US" w:eastAsia="zh-CN" w:bidi="ar"/>
        </w:rPr>
        <w:fldChar w:fldCharType="begin"/>
      </w:r>
      <w:r>
        <w:rPr>
          <w:rFonts w:hint="eastAsia" w:ascii="宋体" w:hAnsi="宋体" w:eastAsia="宋体" w:cs="宋体"/>
          <w:kern w:val="0"/>
          <w:sz w:val="24"/>
          <w:szCs w:val="24"/>
          <w:lang w:val="en-US" w:eastAsia="zh-CN" w:bidi="ar"/>
        </w:rPr>
        <w:instrText xml:space="preserve"> HYPERLINK "http://baike.baidu.com/view/4830096.htm" \t "C:\\Users\\Administrator\\Desktop\\2020年11月19日（1）铧宇废旧金属\\_blank" </w:instrText>
      </w:r>
      <w:r>
        <w:rPr>
          <w:rFonts w:hint="eastAsia" w:ascii="宋体" w:hAnsi="宋体" w:eastAsia="宋体" w:cs="宋体"/>
          <w:kern w:val="0"/>
          <w:sz w:val="24"/>
          <w:szCs w:val="24"/>
          <w:lang w:val="en-US" w:eastAsia="zh-CN" w:bidi="ar"/>
        </w:rPr>
        <w:fldChar w:fldCharType="separate"/>
      </w:r>
      <w:r>
        <w:rPr>
          <w:rStyle w:val="38"/>
          <w:rFonts w:ascii="Times New Roman" w:hAnsi="Times New Roman" w:cs="Times New Roman"/>
          <w:color w:val="000000"/>
          <w:u w:val="none"/>
          <w:lang/>
        </w:rPr>
        <w:t>大辽河</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eastAsia="zh-CN" w:bidi="ar"/>
        </w:rPr>
        <w:t>，纵横南北；海城河、五道河、三通河、</w:t>
      </w:r>
      <w:r>
        <w:rPr>
          <w:rFonts w:hint="eastAsia" w:ascii="宋体" w:hAnsi="宋体" w:eastAsia="宋体" w:cs="宋体"/>
          <w:kern w:val="0"/>
          <w:sz w:val="24"/>
          <w:szCs w:val="24"/>
          <w:lang w:val="en-US" w:eastAsia="zh-CN" w:bidi="ar"/>
        </w:rPr>
        <w:fldChar w:fldCharType="begin"/>
      </w:r>
      <w:r>
        <w:rPr>
          <w:rFonts w:hint="eastAsia" w:ascii="宋体" w:hAnsi="宋体" w:eastAsia="宋体" w:cs="宋体"/>
          <w:kern w:val="0"/>
          <w:sz w:val="24"/>
          <w:szCs w:val="24"/>
          <w:lang w:val="en-US" w:eastAsia="zh-CN" w:bidi="ar"/>
        </w:rPr>
        <w:instrText xml:space="preserve"> HYPERLINK "http://baike.baidu.com/view/1781090.htm" \t "C:\\Users\\Administrator\\Desktop\\2020年11月19日（1）铧宇废旧金属\\_blank" </w:instrText>
      </w:r>
      <w:r>
        <w:rPr>
          <w:rFonts w:hint="eastAsia" w:ascii="宋体" w:hAnsi="宋体" w:eastAsia="宋体" w:cs="宋体"/>
          <w:kern w:val="0"/>
          <w:sz w:val="24"/>
          <w:szCs w:val="24"/>
          <w:lang w:val="en-US" w:eastAsia="zh-CN" w:bidi="ar"/>
        </w:rPr>
        <w:fldChar w:fldCharType="separate"/>
      </w:r>
      <w:r>
        <w:rPr>
          <w:rStyle w:val="38"/>
          <w:rFonts w:ascii="Times New Roman" w:hAnsi="Times New Roman" w:cs="Times New Roman"/>
          <w:color w:val="000000"/>
          <w:u w:val="none"/>
          <w:lang/>
        </w:rPr>
        <w:t>杨柳河</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eastAsia="zh-CN" w:bidi="ar"/>
        </w:rPr>
        <w:t>，八里河横贯东西。炒铁河系太子河支流。海城市地表水系图见图</w:t>
      </w:r>
      <w:r>
        <w:rPr>
          <w:rFonts w:hint="default" w:ascii="Times New Roman" w:hAnsi="Times New Roman" w:eastAsia="宋体" w:cs="Times New Roman"/>
          <w:color w:val="000000"/>
          <w:kern w:val="0"/>
          <w:sz w:val="24"/>
          <w:szCs w:val="24"/>
          <w:lang w:eastAsia="zh-CN" w:bidi="ar"/>
        </w:rPr>
        <w:t>4-2</w:t>
      </w:r>
      <w:r>
        <w:rPr>
          <w:rFonts w:hint="eastAsia" w:ascii="Times New Roman" w:hAnsi="Times New Roman" w:eastAsia="宋体" w:cs="Times New Roman"/>
          <w:color w:val="000000"/>
          <w:kern w:val="0"/>
          <w:sz w:val="24"/>
          <w:szCs w:val="24"/>
          <w:lang w:eastAsia="zh-CN" w:bidi="ar"/>
        </w:rPr>
        <w:t>。</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4</w:t>
      </w:r>
      <w:r>
        <w:rPr>
          <w:rFonts w:hint="default" w:ascii="Times New Roman" w:hAnsi="Times New Roman" w:cs="Times New Roman"/>
          <w:color w:val="000000"/>
          <w:lang/>
        </w:rPr>
        <w:t>.1.</w:t>
      </w: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 </w:t>
      </w:r>
      <w:r>
        <w:rPr>
          <w:rFonts w:ascii="Times New Roman" w:hAnsi="Times New Roman" w:cs="Times New Roman"/>
          <w:color w:val="000000"/>
          <w:lang/>
        </w:rPr>
        <w:t>气候气象</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1</w:t>
      </w:r>
      <w:r>
        <w:rPr>
          <w:rFonts w:hint="eastAsia" w:ascii="Times New Roman" w:hAnsi="Times New Roman" w:eastAsia="宋体" w:cs="Times New Roman"/>
          <w:color w:val="000000"/>
          <w:kern w:val="0"/>
          <w:sz w:val="24"/>
          <w:szCs w:val="24"/>
          <w:lang w:eastAsia="zh-CN" w:bidi="ar"/>
        </w:rPr>
        <w:t>）气温</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海城市暖温带、半湿润大陆季风气候，四季分明，气候变化明显，具有夏季炎热多雨、冬季寒冷干燥的特征。年平均气温为</w:t>
      </w:r>
      <w:r>
        <w:rPr>
          <w:rFonts w:hint="default" w:ascii="Times New Roman" w:hAnsi="Times New Roman" w:eastAsia="宋体" w:cs="Times New Roman"/>
          <w:color w:val="000000"/>
          <w:kern w:val="0"/>
          <w:sz w:val="24"/>
          <w:szCs w:val="24"/>
          <w:lang w:eastAsia="zh-CN" w:bidi="ar"/>
        </w:rPr>
        <w:t>8.4</w:t>
      </w:r>
      <w:r>
        <w:rPr>
          <w:rFonts w:hint="eastAsia" w:ascii="Times New Roman" w:hAnsi="Times New Roman" w:eastAsia="宋体" w:cs="Times New Roman"/>
          <w:color w:val="000000"/>
          <w:kern w:val="0"/>
          <w:sz w:val="24"/>
          <w:szCs w:val="24"/>
          <w:lang w:eastAsia="zh-CN" w:bidi="ar"/>
        </w:rPr>
        <w:t>℃。最热月份为</w:t>
      </w:r>
      <w:r>
        <w:rPr>
          <w:rFonts w:hint="default" w:ascii="Times New Roman" w:hAnsi="Times New Roman" w:eastAsia="宋体" w:cs="Times New Roman"/>
          <w:color w:val="000000"/>
          <w:kern w:val="0"/>
          <w:sz w:val="24"/>
          <w:szCs w:val="24"/>
          <w:lang w:eastAsia="zh-CN" w:bidi="ar"/>
        </w:rPr>
        <w:t>7</w:t>
      </w:r>
      <w:r>
        <w:rPr>
          <w:rFonts w:hint="eastAsia" w:ascii="Times New Roman" w:hAnsi="Times New Roman" w:eastAsia="宋体" w:cs="Times New Roman"/>
          <w:color w:val="000000"/>
          <w:kern w:val="0"/>
          <w:sz w:val="24"/>
          <w:szCs w:val="24"/>
          <w:lang w:eastAsia="zh-CN" w:bidi="ar"/>
        </w:rPr>
        <w:t>月，月平均气温</w:t>
      </w:r>
      <w:r>
        <w:rPr>
          <w:rFonts w:hint="default" w:ascii="Times New Roman" w:hAnsi="Times New Roman" w:eastAsia="宋体" w:cs="Times New Roman"/>
          <w:color w:val="000000"/>
          <w:kern w:val="0"/>
          <w:sz w:val="24"/>
          <w:szCs w:val="24"/>
          <w:lang w:eastAsia="zh-CN" w:bidi="ar"/>
        </w:rPr>
        <w:t>24.6</w:t>
      </w:r>
      <w:r>
        <w:rPr>
          <w:rFonts w:hint="eastAsia" w:ascii="Times New Roman" w:hAnsi="Times New Roman" w:eastAsia="宋体" w:cs="Times New Roman"/>
          <w:color w:val="000000"/>
          <w:kern w:val="0"/>
          <w:sz w:val="24"/>
          <w:szCs w:val="24"/>
          <w:lang w:eastAsia="zh-CN" w:bidi="ar"/>
        </w:rPr>
        <w:t>℃；最冷月份为</w:t>
      </w:r>
      <w:r>
        <w:rPr>
          <w:rFonts w:hint="default" w:ascii="Times New Roman" w:hAnsi="Times New Roman" w:eastAsia="宋体" w:cs="Times New Roman"/>
          <w:color w:val="000000"/>
          <w:kern w:val="0"/>
          <w:sz w:val="24"/>
          <w:szCs w:val="24"/>
          <w:lang w:eastAsia="zh-CN" w:bidi="ar"/>
        </w:rPr>
        <w:t>1</w:t>
      </w:r>
      <w:r>
        <w:rPr>
          <w:rFonts w:hint="eastAsia" w:ascii="Times New Roman" w:hAnsi="Times New Roman" w:eastAsia="宋体" w:cs="Times New Roman"/>
          <w:color w:val="000000"/>
          <w:kern w:val="0"/>
          <w:sz w:val="24"/>
          <w:szCs w:val="24"/>
          <w:lang w:eastAsia="zh-CN" w:bidi="ar"/>
        </w:rPr>
        <w:t>月，月平均气温</w:t>
      </w:r>
      <w:r>
        <w:rPr>
          <w:rFonts w:hint="default" w:ascii="Times New Roman" w:hAnsi="Times New Roman" w:eastAsia="宋体" w:cs="Times New Roman"/>
          <w:color w:val="000000"/>
          <w:kern w:val="0"/>
          <w:sz w:val="24"/>
          <w:szCs w:val="24"/>
          <w:lang w:eastAsia="zh-CN" w:bidi="ar"/>
        </w:rPr>
        <w:t>-11.2</w:t>
      </w:r>
      <w:r>
        <w:rPr>
          <w:rFonts w:hint="eastAsia" w:ascii="Times New Roman" w:hAnsi="Times New Roman" w:eastAsia="宋体" w:cs="Times New Roman"/>
          <w:color w:val="000000"/>
          <w:kern w:val="0"/>
          <w:sz w:val="24"/>
          <w:szCs w:val="24"/>
          <w:lang w:eastAsia="zh-CN" w:bidi="ar"/>
        </w:rPr>
        <w:t>℃，年最高温差</w:t>
      </w:r>
      <w:r>
        <w:rPr>
          <w:rFonts w:hint="default" w:ascii="Times New Roman" w:hAnsi="Times New Roman" w:eastAsia="宋体" w:cs="Times New Roman"/>
          <w:color w:val="000000"/>
          <w:kern w:val="0"/>
          <w:sz w:val="24"/>
          <w:szCs w:val="24"/>
          <w:lang w:eastAsia="zh-CN" w:bidi="ar"/>
        </w:rPr>
        <w:t>36.8</w:t>
      </w:r>
      <w:r>
        <w:rPr>
          <w:rFonts w:hint="eastAsia" w:ascii="Times New Roman" w:hAnsi="Times New Roman" w:eastAsia="宋体" w:cs="Times New Roman"/>
          <w:color w:val="000000"/>
          <w:kern w:val="0"/>
          <w:sz w:val="24"/>
          <w:szCs w:val="24"/>
          <w:lang w:eastAsia="zh-CN" w:bidi="ar"/>
        </w:rPr>
        <w:t>℃。年平均最低气温，山区</w:t>
      </w:r>
      <w:r>
        <w:rPr>
          <w:rFonts w:hint="default" w:ascii="Times New Roman" w:hAnsi="Times New Roman" w:eastAsia="宋体" w:cs="Times New Roman"/>
          <w:color w:val="000000"/>
          <w:kern w:val="0"/>
          <w:sz w:val="24"/>
          <w:szCs w:val="24"/>
          <w:lang w:eastAsia="zh-CN" w:bidi="ar"/>
        </w:rPr>
        <w:t>7.4</w:t>
      </w:r>
      <w:r>
        <w:rPr>
          <w:rFonts w:hint="eastAsia" w:ascii="Times New Roman" w:hAnsi="Times New Roman" w:eastAsia="宋体" w:cs="Times New Roman"/>
          <w:color w:val="000000"/>
          <w:kern w:val="0"/>
          <w:sz w:val="24"/>
          <w:szCs w:val="24"/>
          <w:lang w:eastAsia="zh-CN" w:bidi="ar"/>
        </w:rPr>
        <w:t>℃；平原</w:t>
      </w:r>
      <w:r>
        <w:rPr>
          <w:rFonts w:hint="default" w:ascii="Times New Roman" w:hAnsi="Times New Roman" w:eastAsia="宋体" w:cs="Times New Roman"/>
          <w:color w:val="000000"/>
          <w:kern w:val="0"/>
          <w:sz w:val="24"/>
          <w:szCs w:val="24"/>
          <w:lang w:eastAsia="zh-CN" w:bidi="ar"/>
        </w:rPr>
        <w:t>8.4</w:t>
      </w:r>
      <w:r>
        <w:rPr>
          <w:rFonts w:hint="eastAsia" w:ascii="Times New Roman" w:hAnsi="Times New Roman" w:eastAsia="宋体" w:cs="Times New Roman"/>
          <w:color w:val="000000"/>
          <w:kern w:val="0"/>
          <w:sz w:val="24"/>
          <w:szCs w:val="24"/>
          <w:lang w:eastAsia="zh-CN" w:bidi="ar"/>
        </w:rPr>
        <w:t>℃；沿河</w:t>
      </w:r>
      <w:r>
        <w:rPr>
          <w:rFonts w:hint="default" w:ascii="Times New Roman" w:hAnsi="Times New Roman" w:eastAsia="宋体" w:cs="Times New Roman"/>
          <w:color w:val="000000"/>
          <w:kern w:val="0"/>
          <w:sz w:val="24"/>
          <w:szCs w:val="24"/>
          <w:lang w:eastAsia="zh-CN" w:bidi="ar"/>
        </w:rPr>
        <w:t>8.5</w:t>
      </w:r>
      <w:r>
        <w:rPr>
          <w:rFonts w:hint="eastAsia" w:ascii="Times New Roman" w:hAnsi="Times New Roman" w:eastAsia="宋体" w:cs="Times New Roman"/>
          <w:color w:val="000000"/>
          <w:kern w:val="0"/>
          <w:sz w:val="24"/>
          <w:szCs w:val="24"/>
          <w:lang w:eastAsia="zh-CN" w:bidi="ar"/>
        </w:rPr>
        <w:t>℃。</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2</w:t>
      </w:r>
      <w:r>
        <w:rPr>
          <w:rFonts w:hint="eastAsia" w:ascii="Times New Roman" w:hAnsi="Times New Roman" w:eastAsia="宋体" w:cs="Times New Roman"/>
          <w:color w:val="000000"/>
          <w:kern w:val="0"/>
          <w:sz w:val="24"/>
          <w:szCs w:val="24"/>
          <w:lang w:eastAsia="zh-CN" w:bidi="ar"/>
        </w:rPr>
        <w:t>）日照</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海城地区年平均日照为</w:t>
      </w:r>
      <w:r>
        <w:rPr>
          <w:rFonts w:hint="default" w:ascii="Times New Roman" w:hAnsi="Times New Roman" w:eastAsia="宋体" w:cs="Times New Roman"/>
          <w:color w:val="000000"/>
          <w:kern w:val="0"/>
          <w:sz w:val="24"/>
          <w:szCs w:val="24"/>
          <w:lang w:eastAsia="zh-CN" w:bidi="ar"/>
        </w:rPr>
        <w:t>2663</w:t>
      </w:r>
      <w:r>
        <w:rPr>
          <w:rFonts w:hint="eastAsia" w:ascii="Times New Roman" w:hAnsi="Times New Roman" w:eastAsia="宋体" w:cs="Times New Roman"/>
          <w:color w:val="000000"/>
          <w:kern w:val="0"/>
          <w:sz w:val="24"/>
          <w:szCs w:val="24"/>
          <w:lang w:eastAsia="zh-CN" w:bidi="ar"/>
        </w:rPr>
        <w:t>小时。农作物生长季节（</w:t>
      </w:r>
      <w:r>
        <w:rPr>
          <w:rFonts w:hint="default" w:ascii="Times New Roman" w:hAnsi="Times New Roman" w:eastAsia="宋体" w:cs="Times New Roman"/>
          <w:color w:val="000000"/>
          <w:kern w:val="0"/>
          <w:sz w:val="24"/>
          <w:szCs w:val="24"/>
          <w:lang w:eastAsia="zh-CN" w:bidi="ar"/>
        </w:rPr>
        <w:t>4-9</w:t>
      </w:r>
      <w:r>
        <w:rPr>
          <w:rFonts w:hint="eastAsia" w:ascii="Times New Roman" w:hAnsi="Times New Roman" w:eastAsia="宋体" w:cs="Times New Roman"/>
          <w:color w:val="000000"/>
          <w:kern w:val="0"/>
          <w:sz w:val="24"/>
          <w:szCs w:val="24"/>
          <w:lang w:eastAsia="zh-CN" w:bidi="ar"/>
        </w:rPr>
        <w:t>月）为</w:t>
      </w:r>
      <w:r>
        <w:rPr>
          <w:rFonts w:hint="default" w:ascii="Times New Roman" w:hAnsi="Times New Roman" w:eastAsia="宋体" w:cs="Times New Roman"/>
          <w:color w:val="000000"/>
          <w:kern w:val="0"/>
          <w:sz w:val="24"/>
          <w:szCs w:val="24"/>
          <w:lang w:eastAsia="zh-CN" w:bidi="ar"/>
        </w:rPr>
        <w:t>1475.6</w:t>
      </w:r>
      <w:r>
        <w:rPr>
          <w:rFonts w:hint="eastAsia" w:ascii="Times New Roman" w:hAnsi="Times New Roman" w:eastAsia="宋体" w:cs="Times New Roman"/>
          <w:color w:val="000000"/>
          <w:kern w:val="0"/>
          <w:sz w:val="24"/>
          <w:szCs w:val="24"/>
          <w:lang w:eastAsia="zh-CN" w:bidi="ar"/>
        </w:rPr>
        <w:t>小时，占全年总日照时数的</w:t>
      </w:r>
      <w:r>
        <w:rPr>
          <w:rFonts w:hint="default" w:ascii="Times New Roman" w:hAnsi="Times New Roman" w:eastAsia="宋体" w:cs="Times New Roman"/>
          <w:color w:val="000000"/>
          <w:kern w:val="0"/>
          <w:sz w:val="24"/>
          <w:szCs w:val="24"/>
          <w:lang w:eastAsia="zh-CN" w:bidi="ar"/>
        </w:rPr>
        <w:t>55.41%</w:t>
      </w:r>
      <w:r>
        <w:rPr>
          <w:rFonts w:hint="eastAsia" w:ascii="Times New Roman" w:hAnsi="Times New Roman" w:eastAsia="宋体" w:cs="Times New Roman"/>
          <w:color w:val="000000"/>
          <w:kern w:val="0"/>
          <w:sz w:val="24"/>
          <w:szCs w:val="24"/>
          <w:lang w:eastAsia="zh-CN" w:bidi="ar"/>
        </w:rPr>
        <w:t>，其中</w:t>
      </w:r>
      <w:r>
        <w:rPr>
          <w:rFonts w:hint="default" w:ascii="Times New Roman" w:hAnsi="Times New Roman" w:eastAsia="宋体" w:cs="Times New Roman"/>
          <w:color w:val="000000"/>
          <w:kern w:val="0"/>
          <w:sz w:val="24"/>
          <w:szCs w:val="24"/>
          <w:lang w:eastAsia="zh-CN" w:bidi="ar"/>
        </w:rPr>
        <w:t>5</w:t>
      </w:r>
      <w:r>
        <w:rPr>
          <w:rFonts w:hint="eastAsia" w:ascii="Times New Roman" w:hAnsi="Times New Roman" w:eastAsia="宋体" w:cs="Times New Roman"/>
          <w:color w:val="000000"/>
          <w:kern w:val="0"/>
          <w:sz w:val="24"/>
          <w:szCs w:val="24"/>
          <w:lang w:eastAsia="zh-CN" w:bidi="ar"/>
        </w:rPr>
        <w:t>月份为峰值月，日照时数</w:t>
      </w:r>
      <w:r>
        <w:rPr>
          <w:rFonts w:hint="default" w:ascii="Times New Roman" w:hAnsi="Times New Roman" w:eastAsia="宋体" w:cs="Times New Roman"/>
          <w:color w:val="000000"/>
          <w:kern w:val="0"/>
          <w:sz w:val="24"/>
          <w:szCs w:val="24"/>
          <w:lang w:eastAsia="zh-CN" w:bidi="ar"/>
        </w:rPr>
        <w:t>280.1</w:t>
      </w:r>
      <w:r>
        <w:rPr>
          <w:rFonts w:hint="eastAsia" w:ascii="Times New Roman" w:hAnsi="Times New Roman" w:eastAsia="宋体" w:cs="Times New Roman"/>
          <w:color w:val="000000"/>
          <w:kern w:val="0"/>
          <w:sz w:val="24"/>
          <w:szCs w:val="24"/>
          <w:lang w:eastAsia="zh-CN" w:bidi="ar"/>
        </w:rPr>
        <w:t>小时；</w:t>
      </w:r>
      <w:r>
        <w:rPr>
          <w:rFonts w:hint="default" w:ascii="Times New Roman" w:hAnsi="Times New Roman" w:eastAsia="宋体" w:cs="Times New Roman"/>
          <w:color w:val="000000"/>
          <w:kern w:val="0"/>
          <w:sz w:val="24"/>
          <w:szCs w:val="24"/>
          <w:lang w:eastAsia="zh-CN" w:bidi="ar"/>
        </w:rPr>
        <w:t>12</w:t>
      </w:r>
      <w:r>
        <w:rPr>
          <w:rFonts w:hint="eastAsia" w:ascii="Times New Roman" w:hAnsi="Times New Roman" w:eastAsia="宋体" w:cs="Times New Roman"/>
          <w:color w:val="000000"/>
          <w:kern w:val="0"/>
          <w:sz w:val="24"/>
          <w:szCs w:val="24"/>
          <w:lang w:eastAsia="zh-CN" w:bidi="ar"/>
        </w:rPr>
        <w:t>月日照时数最少，只有</w:t>
      </w:r>
      <w:r>
        <w:rPr>
          <w:rFonts w:hint="default" w:ascii="Times New Roman" w:hAnsi="Times New Roman" w:eastAsia="宋体" w:cs="Times New Roman"/>
          <w:color w:val="000000"/>
          <w:kern w:val="0"/>
          <w:sz w:val="24"/>
          <w:szCs w:val="24"/>
          <w:lang w:eastAsia="zh-CN" w:bidi="ar"/>
        </w:rPr>
        <w:t>177.2</w:t>
      </w:r>
      <w:r>
        <w:rPr>
          <w:rFonts w:hint="eastAsia" w:ascii="Times New Roman" w:hAnsi="Times New Roman" w:eastAsia="宋体" w:cs="Times New Roman"/>
          <w:color w:val="000000"/>
          <w:kern w:val="0"/>
          <w:sz w:val="24"/>
          <w:szCs w:val="24"/>
          <w:lang w:eastAsia="zh-CN" w:bidi="ar"/>
        </w:rPr>
        <w:t>小时。日照时数实际变化较大，最多年份与最少年份相差</w:t>
      </w:r>
      <w:r>
        <w:rPr>
          <w:rFonts w:hint="default" w:ascii="Times New Roman" w:hAnsi="Times New Roman" w:eastAsia="宋体" w:cs="Times New Roman"/>
          <w:color w:val="000000"/>
          <w:kern w:val="0"/>
          <w:sz w:val="24"/>
          <w:szCs w:val="24"/>
          <w:lang w:eastAsia="zh-CN" w:bidi="ar"/>
        </w:rPr>
        <w:t>427.2</w:t>
      </w:r>
      <w:r>
        <w:rPr>
          <w:rFonts w:hint="eastAsia" w:ascii="Times New Roman" w:hAnsi="Times New Roman" w:eastAsia="宋体" w:cs="Times New Roman"/>
          <w:color w:val="000000"/>
          <w:kern w:val="0"/>
          <w:sz w:val="24"/>
          <w:szCs w:val="24"/>
          <w:lang w:eastAsia="zh-CN" w:bidi="ar"/>
        </w:rPr>
        <w:t>小时。日照数地域差异不大，山区略高于沿河地区。</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3</w:t>
      </w:r>
      <w:r>
        <w:rPr>
          <w:rFonts w:hint="eastAsia" w:ascii="Times New Roman" w:hAnsi="Times New Roman" w:eastAsia="宋体" w:cs="Times New Roman"/>
          <w:color w:val="000000"/>
          <w:kern w:val="0"/>
          <w:sz w:val="24"/>
          <w:szCs w:val="24"/>
          <w:lang w:eastAsia="zh-CN" w:bidi="ar"/>
        </w:rPr>
        <w:t>）结冻、解冻期</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海城市土壤开始结冻的最早日期为</w:t>
      </w:r>
      <w:r>
        <w:rPr>
          <w:rFonts w:hint="default" w:ascii="Times New Roman" w:hAnsi="Times New Roman" w:eastAsia="宋体" w:cs="Times New Roman"/>
          <w:color w:val="000000"/>
          <w:kern w:val="0"/>
          <w:sz w:val="24"/>
          <w:szCs w:val="24"/>
          <w:lang w:eastAsia="zh-CN" w:bidi="ar"/>
        </w:rPr>
        <w:t>10</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16</w:t>
      </w:r>
      <w:r>
        <w:rPr>
          <w:rFonts w:hint="eastAsia" w:ascii="Times New Roman" w:hAnsi="Times New Roman" w:eastAsia="宋体" w:cs="Times New Roman"/>
          <w:color w:val="000000"/>
          <w:kern w:val="0"/>
          <w:sz w:val="24"/>
          <w:szCs w:val="24"/>
          <w:lang w:eastAsia="zh-CN" w:bidi="ar"/>
        </w:rPr>
        <w:t>日，稳定结冻日期为</w:t>
      </w:r>
      <w:r>
        <w:rPr>
          <w:rFonts w:hint="default" w:ascii="Times New Roman" w:hAnsi="Times New Roman" w:eastAsia="宋体" w:cs="Times New Roman"/>
          <w:color w:val="000000"/>
          <w:kern w:val="0"/>
          <w:sz w:val="24"/>
          <w:szCs w:val="24"/>
          <w:lang w:eastAsia="zh-CN" w:bidi="ar"/>
        </w:rPr>
        <w:t>11</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26</w:t>
      </w:r>
      <w:r>
        <w:rPr>
          <w:rFonts w:hint="eastAsia" w:ascii="Times New Roman" w:hAnsi="Times New Roman" w:eastAsia="宋体" w:cs="Times New Roman"/>
          <w:color w:val="000000"/>
          <w:kern w:val="0"/>
          <w:sz w:val="24"/>
          <w:szCs w:val="24"/>
          <w:lang w:eastAsia="zh-CN" w:bidi="ar"/>
        </w:rPr>
        <w:t>日；解冻日期为</w:t>
      </w:r>
      <w:r>
        <w:rPr>
          <w:rFonts w:hint="default" w:ascii="Times New Roman" w:hAnsi="Times New Roman" w:eastAsia="宋体" w:cs="Times New Roman"/>
          <w:color w:val="000000"/>
          <w:kern w:val="0"/>
          <w:sz w:val="24"/>
          <w:szCs w:val="24"/>
          <w:lang w:eastAsia="zh-CN" w:bidi="ar"/>
        </w:rPr>
        <w:t>3</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26</w:t>
      </w:r>
      <w:r>
        <w:rPr>
          <w:rFonts w:hint="eastAsia" w:ascii="Times New Roman" w:hAnsi="Times New Roman" w:eastAsia="宋体" w:cs="Times New Roman"/>
          <w:color w:val="000000"/>
          <w:kern w:val="0"/>
          <w:sz w:val="24"/>
          <w:szCs w:val="24"/>
          <w:lang w:eastAsia="zh-CN" w:bidi="ar"/>
        </w:rPr>
        <w:t>日，稳定解冻日期在</w:t>
      </w:r>
      <w:r>
        <w:rPr>
          <w:rFonts w:hint="default" w:ascii="Times New Roman" w:hAnsi="Times New Roman" w:eastAsia="宋体" w:cs="Times New Roman"/>
          <w:color w:val="000000"/>
          <w:kern w:val="0"/>
          <w:sz w:val="24"/>
          <w:szCs w:val="24"/>
          <w:lang w:eastAsia="zh-CN" w:bidi="ar"/>
        </w:rPr>
        <w:t>3</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11</w:t>
      </w:r>
      <w:r>
        <w:rPr>
          <w:rFonts w:hint="eastAsia" w:ascii="Times New Roman" w:hAnsi="Times New Roman" w:eastAsia="宋体" w:cs="Times New Roman"/>
          <w:color w:val="000000"/>
          <w:kern w:val="0"/>
          <w:sz w:val="24"/>
          <w:szCs w:val="24"/>
          <w:lang w:eastAsia="zh-CN" w:bidi="ar"/>
        </w:rPr>
        <w:t>日左右，平均冻深</w:t>
      </w:r>
      <w:r>
        <w:rPr>
          <w:rFonts w:hint="default" w:ascii="Times New Roman" w:hAnsi="Times New Roman" w:eastAsia="宋体" w:cs="Times New Roman"/>
          <w:color w:val="000000"/>
          <w:kern w:val="0"/>
          <w:sz w:val="24"/>
          <w:szCs w:val="24"/>
          <w:lang w:eastAsia="zh-CN" w:bidi="ar"/>
        </w:rPr>
        <w:t>1-1.2</w:t>
      </w:r>
      <w:r>
        <w:rPr>
          <w:rFonts w:hint="eastAsia" w:ascii="Times New Roman" w:hAnsi="Times New Roman" w:eastAsia="宋体" w:cs="Times New Roman"/>
          <w:color w:val="000000"/>
          <w:kern w:val="0"/>
          <w:sz w:val="24"/>
          <w:szCs w:val="24"/>
          <w:lang w:eastAsia="zh-CN" w:bidi="ar"/>
        </w:rPr>
        <w:t>米。</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4</w:t>
      </w:r>
      <w:r>
        <w:rPr>
          <w:rFonts w:hint="eastAsia" w:ascii="Times New Roman" w:hAnsi="Times New Roman" w:eastAsia="宋体" w:cs="Times New Roman"/>
          <w:color w:val="000000"/>
          <w:kern w:val="0"/>
          <w:sz w:val="24"/>
          <w:szCs w:val="24"/>
          <w:lang w:eastAsia="zh-CN" w:bidi="ar"/>
        </w:rPr>
        <w:t>）相对湿度</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全市多年平均相对湿度为</w:t>
      </w:r>
      <w:r>
        <w:rPr>
          <w:rFonts w:hint="default" w:ascii="Times New Roman" w:hAnsi="Times New Roman" w:eastAsia="宋体" w:cs="Times New Roman"/>
          <w:color w:val="000000"/>
          <w:kern w:val="0"/>
          <w:sz w:val="24"/>
          <w:szCs w:val="24"/>
          <w:lang w:eastAsia="zh-CN" w:bidi="ar"/>
        </w:rPr>
        <w:t>66%</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8</w:t>
      </w:r>
      <w:r>
        <w:rPr>
          <w:rFonts w:hint="eastAsia" w:ascii="Times New Roman" w:hAnsi="Times New Roman" w:eastAsia="宋体" w:cs="Times New Roman"/>
          <w:color w:val="000000"/>
          <w:kern w:val="0"/>
          <w:sz w:val="24"/>
          <w:szCs w:val="24"/>
          <w:lang w:eastAsia="zh-CN" w:bidi="ar"/>
        </w:rPr>
        <w:t>月份最大，</w:t>
      </w:r>
      <w:r>
        <w:rPr>
          <w:rFonts w:hint="default" w:ascii="Times New Roman" w:hAnsi="Times New Roman" w:eastAsia="宋体" w:cs="Times New Roman"/>
          <w:color w:val="000000"/>
          <w:kern w:val="0"/>
          <w:sz w:val="24"/>
          <w:szCs w:val="24"/>
          <w:lang w:eastAsia="zh-CN" w:bidi="ar"/>
        </w:rPr>
        <w:t>5</w:t>
      </w:r>
      <w:r>
        <w:rPr>
          <w:rFonts w:hint="eastAsia" w:ascii="Times New Roman" w:hAnsi="Times New Roman" w:eastAsia="宋体" w:cs="Times New Roman"/>
          <w:color w:val="000000"/>
          <w:kern w:val="0"/>
          <w:sz w:val="24"/>
          <w:szCs w:val="24"/>
          <w:lang w:eastAsia="zh-CN" w:bidi="ar"/>
        </w:rPr>
        <w:t>月份最小。相对湿度多年平均是</w:t>
      </w:r>
      <w:r>
        <w:rPr>
          <w:rFonts w:hint="default" w:ascii="Times New Roman" w:hAnsi="Times New Roman" w:eastAsia="宋体" w:cs="Times New Roman"/>
          <w:color w:val="000000"/>
          <w:kern w:val="0"/>
          <w:sz w:val="24"/>
          <w:szCs w:val="24"/>
          <w:lang w:eastAsia="zh-CN" w:bidi="ar"/>
        </w:rPr>
        <w:t>1</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65%</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2</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61%</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3</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57%</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4</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54%</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5</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53%</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6</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66%</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7</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79%</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8</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81%</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9</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73%</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10</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68%</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11</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66%</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12</w:t>
      </w:r>
      <w:r>
        <w:rPr>
          <w:rFonts w:hint="eastAsia" w:ascii="Times New Roman" w:hAnsi="Times New Roman" w:eastAsia="宋体" w:cs="Times New Roman"/>
          <w:color w:val="000000"/>
          <w:kern w:val="0"/>
          <w:sz w:val="24"/>
          <w:szCs w:val="24"/>
          <w:lang w:eastAsia="zh-CN" w:bidi="ar"/>
        </w:rPr>
        <w:t>月</w:t>
      </w:r>
      <w:r>
        <w:rPr>
          <w:rFonts w:hint="default" w:ascii="Times New Roman" w:hAnsi="Times New Roman" w:eastAsia="宋体" w:cs="Times New Roman"/>
          <w:color w:val="000000"/>
          <w:kern w:val="0"/>
          <w:sz w:val="24"/>
          <w:szCs w:val="24"/>
          <w:lang w:eastAsia="zh-CN" w:bidi="ar"/>
        </w:rPr>
        <w:t>66%</w:t>
      </w:r>
      <w:r>
        <w:rPr>
          <w:rFonts w:hint="eastAsia" w:ascii="Times New Roman" w:hAnsi="Times New Roman" w:eastAsia="宋体" w:cs="Times New Roman"/>
          <w:color w:val="000000"/>
          <w:kern w:val="0"/>
          <w:sz w:val="24"/>
          <w:szCs w:val="24"/>
          <w:lang w:eastAsia="zh-CN" w:bidi="ar"/>
        </w:rPr>
        <w:t>。</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5</w:t>
      </w:r>
      <w:r>
        <w:rPr>
          <w:rFonts w:hint="eastAsia" w:ascii="Times New Roman" w:hAnsi="Times New Roman" w:eastAsia="宋体" w:cs="Times New Roman"/>
          <w:color w:val="000000"/>
          <w:kern w:val="0"/>
          <w:sz w:val="24"/>
          <w:szCs w:val="24"/>
          <w:lang w:eastAsia="zh-CN" w:bidi="ar"/>
        </w:rPr>
        <w:t>）降水量</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海城市年均降水量</w:t>
      </w:r>
      <w:r>
        <w:rPr>
          <w:rFonts w:hint="default" w:ascii="Times New Roman" w:hAnsi="Times New Roman" w:eastAsia="宋体" w:cs="Times New Roman"/>
          <w:color w:val="000000"/>
          <w:kern w:val="0"/>
          <w:sz w:val="24"/>
          <w:szCs w:val="24"/>
          <w:lang w:eastAsia="zh-CN" w:bidi="ar"/>
        </w:rPr>
        <w:t>691.3mm</w:t>
      </w:r>
      <w:r>
        <w:rPr>
          <w:rFonts w:hint="eastAsia" w:ascii="Times New Roman" w:hAnsi="Times New Roman" w:eastAsia="宋体" w:cs="Times New Roman"/>
          <w:color w:val="000000"/>
          <w:kern w:val="0"/>
          <w:sz w:val="24"/>
          <w:szCs w:val="24"/>
          <w:lang w:eastAsia="zh-CN" w:bidi="ar"/>
        </w:rPr>
        <w:t>，季节降水分布不均。冬季（</w:t>
      </w:r>
      <w:r>
        <w:rPr>
          <w:rFonts w:hint="default" w:ascii="Times New Roman" w:hAnsi="Times New Roman" w:eastAsia="宋体" w:cs="Times New Roman"/>
          <w:color w:val="000000"/>
          <w:kern w:val="0"/>
          <w:sz w:val="24"/>
          <w:szCs w:val="24"/>
          <w:lang w:eastAsia="zh-CN" w:bidi="ar"/>
        </w:rPr>
        <w:t>12</w:t>
      </w:r>
      <w:r>
        <w:rPr>
          <w:rFonts w:hint="eastAsia" w:ascii="Times New Roman" w:hAnsi="Times New Roman" w:eastAsia="宋体" w:cs="Times New Roman"/>
          <w:color w:val="000000"/>
          <w:kern w:val="0"/>
          <w:sz w:val="24"/>
          <w:szCs w:val="24"/>
          <w:lang w:eastAsia="zh-CN" w:bidi="ar"/>
        </w:rPr>
        <w:t>月－次年</w:t>
      </w:r>
      <w:r>
        <w:rPr>
          <w:rFonts w:hint="default" w:ascii="Times New Roman" w:hAnsi="Times New Roman" w:eastAsia="宋体" w:cs="Times New Roman"/>
          <w:color w:val="000000"/>
          <w:kern w:val="0"/>
          <w:sz w:val="24"/>
          <w:szCs w:val="24"/>
          <w:lang w:eastAsia="zh-CN" w:bidi="ar"/>
        </w:rPr>
        <w:t>2</w:t>
      </w:r>
      <w:r>
        <w:rPr>
          <w:rFonts w:hint="eastAsia" w:ascii="Times New Roman" w:hAnsi="Times New Roman" w:eastAsia="宋体" w:cs="Times New Roman"/>
          <w:color w:val="000000"/>
          <w:kern w:val="0"/>
          <w:sz w:val="24"/>
          <w:szCs w:val="24"/>
          <w:lang w:eastAsia="zh-CN" w:bidi="ar"/>
        </w:rPr>
        <w:t>月）为</w:t>
      </w:r>
      <w:r>
        <w:rPr>
          <w:rFonts w:hint="default" w:ascii="Times New Roman" w:hAnsi="Times New Roman" w:eastAsia="宋体" w:cs="Times New Roman"/>
          <w:color w:val="000000"/>
          <w:kern w:val="0"/>
          <w:sz w:val="24"/>
          <w:szCs w:val="24"/>
          <w:lang w:eastAsia="zh-CN" w:bidi="ar"/>
        </w:rPr>
        <w:t>21.4mm</w:t>
      </w:r>
      <w:r>
        <w:rPr>
          <w:rFonts w:hint="eastAsia" w:ascii="Times New Roman" w:hAnsi="Times New Roman" w:eastAsia="宋体" w:cs="Times New Roman"/>
          <w:color w:val="000000"/>
          <w:kern w:val="0"/>
          <w:sz w:val="24"/>
          <w:szCs w:val="24"/>
          <w:lang w:eastAsia="zh-CN" w:bidi="ar"/>
        </w:rPr>
        <w:t>，占全年的</w:t>
      </w:r>
      <w:r>
        <w:rPr>
          <w:rFonts w:hint="default" w:ascii="Times New Roman" w:hAnsi="Times New Roman" w:eastAsia="宋体" w:cs="Times New Roman"/>
          <w:color w:val="000000"/>
          <w:kern w:val="0"/>
          <w:sz w:val="24"/>
          <w:szCs w:val="24"/>
          <w:lang w:eastAsia="zh-CN" w:bidi="ar"/>
        </w:rPr>
        <w:t>3.10%</w:t>
      </w:r>
      <w:r>
        <w:rPr>
          <w:rFonts w:hint="eastAsia" w:ascii="Times New Roman" w:hAnsi="Times New Roman" w:eastAsia="宋体" w:cs="Times New Roman"/>
          <w:color w:val="000000"/>
          <w:kern w:val="0"/>
          <w:sz w:val="24"/>
          <w:szCs w:val="24"/>
          <w:lang w:eastAsia="zh-CN" w:bidi="ar"/>
        </w:rPr>
        <w:t>；夏季（</w:t>
      </w:r>
      <w:r>
        <w:rPr>
          <w:rFonts w:hint="default" w:ascii="Times New Roman" w:hAnsi="Times New Roman" w:eastAsia="宋体" w:cs="Times New Roman"/>
          <w:color w:val="000000"/>
          <w:kern w:val="0"/>
          <w:sz w:val="24"/>
          <w:szCs w:val="24"/>
          <w:lang w:eastAsia="zh-CN" w:bidi="ar"/>
        </w:rPr>
        <w:t>3-5</w:t>
      </w:r>
      <w:r>
        <w:rPr>
          <w:rFonts w:hint="eastAsia" w:ascii="Times New Roman" w:hAnsi="Times New Roman" w:eastAsia="宋体" w:cs="Times New Roman"/>
          <w:color w:val="000000"/>
          <w:kern w:val="0"/>
          <w:sz w:val="24"/>
          <w:szCs w:val="24"/>
          <w:lang w:eastAsia="zh-CN" w:bidi="ar"/>
        </w:rPr>
        <w:t>月）为</w:t>
      </w:r>
      <w:r>
        <w:rPr>
          <w:rFonts w:hint="default" w:ascii="Times New Roman" w:hAnsi="Times New Roman" w:eastAsia="宋体" w:cs="Times New Roman"/>
          <w:color w:val="000000"/>
          <w:kern w:val="0"/>
          <w:sz w:val="24"/>
          <w:szCs w:val="24"/>
          <w:lang w:eastAsia="zh-CN" w:bidi="ar"/>
        </w:rPr>
        <w:t>104.2mm</w:t>
      </w:r>
      <w:r>
        <w:rPr>
          <w:rFonts w:hint="eastAsia" w:ascii="Times New Roman" w:hAnsi="Times New Roman" w:eastAsia="宋体" w:cs="Times New Roman"/>
          <w:color w:val="000000"/>
          <w:kern w:val="0"/>
          <w:sz w:val="24"/>
          <w:szCs w:val="24"/>
          <w:lang w:eastAsia="zh-CN" w:bidi="ar"/>
        </w:rPr>
        <w:t>，占全年的</w:t>
      </w:r>
      <w:r>
        <w:rPr>
          <w:rFonts w:hint="default" w:ascii="Times New Roman" w:hAnsi="Times New Roman" w:eastAsia="宋体" w:cs="Times New Roman"/>
          <w:color w:val="000000"/>
          <w:kern w:val="0"/>
          <w:sz w:val="24"/>
          <w:szCs w:val="24"/>
          <w:lang w:eastAsia="zh-CN" w:bidi="ar"/>
        </w:rPr>
        <w:t>15.07%</w:t>
      </w:r>
      <w:r>
        <w:rPr>
          <w:rFonts w:hint="eastAsia" w:ascii="Times New Roman" w:hAnsi="Times New Roman" w:eastAsia="宋体" w:cs="Times New Roman"/>
          <w:color w:val="000000"/>
          <w:kern w:val="0"/>
          <w:sz w:val="24"/>
          <w:szCs w:val="24"/>
          <w:lang w:eastAsia="zh-CN" w:bidi="ar"/>
        </w:rPr>
        <w:t>；冬</w:t>
      </w:r>
    </w:p>
    <w:p>
      <w:pPr>
        <w:pStyle w:val="27"/>
        <w:keepNext w:val="0"/>
        <w:keepLines w:val="0"/>
        <w:widowControl/>
        <w:suppressLineNumbers w:val="0"/>
        <w:adjustRightInd w:val="0"/>
        <w:snapToGrid w:val="0"/>
        <w:spacing w:before="0" w:beforeAutospacing="0" w:after="0" w:afterAutospacing="0" w:line="360" w:lineRule="auto"/>
        <w:ind w:left="0" w:right="0" w:firstLine="0" w:firstLineChars="0"/>
        <w:jc w:val="center"/>
        <w:rPr>
          <w:rFonts w:hint="default" w:ascii="Times New Roman" w:hAnsi="Times New Roman" w:cs="Times New Roman"/>
          <w:color w:val="000000"/>
          <w:lang/>
        </w:rPr>
      </w:pPr>
      <w:r>
        <w:rPr>
          <w:rFonts w:hint="default" w:ascii="Times New Roman" w:hAnsi="Times New Roman" w:eastAsia="宋体" w:cs="Times New Roman"/>
          <w:color w:val="000000"/>
          <w:sz w:val="24"/>
          <w:szCs w:val="24"/>
          <w:lang w:bidi="ar"/>
        </w:rPr>
        <w:br w:type="page"/>
      </w:r>
      <w:r>
        <w:rPr>
          <w:rFonts w:hint="eastAsia" w:ascii="宋体" w:hAnsi="宋体" w:eastAsia="宋体" w:cs="宋体"/>
          <w:kern w:val="0"/>
          <w:sz w:val="24"/>
          <w:szCs w:val="24"/>
          <w:lang w:val="en-US" w:eastAsia="zh-CN" w:bidi="ar"/>
        </w:rPr>
        <mc:AlternateContent>
          <mc:Choice Requires="wps">
            <w:drawing>
              <wp:anchor distT="0" distB="0" distL="114300" distR="114300" simplePos="0" relativeHeight="251728896" behindDoc="0" locked="0" layoutInCell="1" allowOverlap="1">
                <wp:simplePos x="0" y="0"/>
                <wp:positionH relativeFrom="margin">
                  <wp:posOffset>1339850</wp:posOffset>
                </wp:positionH>
                <wp:positionV relativeFrom="paragraph">
                  <wp:posOffset>4523105</wp:posOffset>
                </wp:positionV>
                <wp:extent cx="219075" cy="219710"/>
                <wp:effectExtent l="13970" t="15875" r="14605" b="31115"/>
                <wp:wrapNone/>
                <wp:docPr id="53" name="自选图形 18"/>
                <wp:cNvGraphicFramePr/>
                <a:graphic xmlns:a="http://schemas.openxmlformats.org/drawingml/2006/main">
                  <a:graphicData uri="http://schemas.microsoft.com/office/word/2010/wordprocessingShape">
                    <wps:wsp>
                      <wps:cNvSpPr/>
                      <wps:spPr>
                        <a:xfrm>
                          <a:off x="0" y="0"/>
                          <a:ext cx="219075" cy="219710"/>
                        </a:xfrm>
                        <a:prstGeom prst="star5">
                          <a:avLst/>
                        </a:prstGeom>
                        <a:solidFill>
                          <a:srgbClr val="FF0000"/>
                        </a:solidFill>
                        <a:ln w="9525" cap="flat" cmpd="sng">
                          <a:solidFill>
                            <a:srgbClr val="000000"/>
                          </a:solidFill>
                          <a:prstDash val="solid"/>
                          <a:miter/>
                          <a:headEnd type="none" w="med" len="med"/>
                          <a:tailEnd type="none" w="med" len="med"/>
                        </a:ln>
                      </wps:spPr>
                      <wps:txbx>
                        <w:txbxContent>
                          <w:p>
                            <w:pPr>
                              <w:jc w:val="center"/>
                            </w:pPr>
                          </w:p>
                        </w:txbxContent>
                      </wps:txbx>
                      <wps:bodyPr upright="1"/>
                    </wps:wsp>
                  </a:graphicData>
                </a:graphic>
              </wp:anchor>
            </w:drawing>
          </mc:Choice>
          <mc:Fallback>
            <w:pict>
              <v:shape id="自选图形 18" o:spid="_x0000_s1026" style="position:absolute;left:0pt;margin-left:105.5pt;margin-top:356.15pt;height:17.3pt;width:17.25pt;mso-position-horizontal-relative:margin;z-index:251728896;mso-width-relative:page;mso-height-relative:page;" fillcolor="#FF0000" filled="t" stroked="t" coordsize="219075,219710" o:gfxdata="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JwrALzYAAAACwEAAA8AAAAAAAAAAQAgAAAAIgAAAGRycy9kb3ducmV2LnhtbFBLAQIUABQA&#10;AAAIAIdO4kCgbuge8AEAANgDAAAOAAAAAAAAAAEAIAAAACcBAABkcnMvZTJvRG9jLnhtbFBLBQYA&#10;AAAABgAGAFkBAACJBQAAAAA=&#10;" path="m0,83921l83679,83922,109537,0,135395,83922,219074,83921,151376,135787,177235,219709,109537,167842,41839,219709,67698,135787xe">
                <v:path o:connectlocs="109537,0;0,83921;41839,219709;177235,219709;219074,83921" o:connectangles="247,164,82,82,0"/>
                <v:fill on="t" focussize="0,0"/>
                <v:stroke color="#000000" joinstyle="miter"/>
                <v:imagedata o:title=""/>
                <o:lock v:ext="edit" aspectratio="f"/>
                <v:textbox>
                  <w:txbxContent>
                    <w:p>
                      <w:pPr>
                        <w:jc w:val="center"/>
                      </w:pPr>
                    </w:p>
                  </w:txbxContent>
                </v:textbox>
              </v:shape>
            </w:pict>
          </mc:Fallback>
        </mc:AlternateContent>
      </w:r>
      <w:r>
        <w:rPr>
          <w:rFonts w:hint="eastAsia" w:ascii="宋体" w:hAnsi="宋体" w:eastAsia="宋体" w:cs="宋体"/>
          <w:kern w:val="0"/>
          <w:sz w:val="24"/>
          <w:szCs w:val="24"/>
          <w:lang w:val="en-US" w:eastAsia="zh-CN" w:bidi="ar"/>
        </w:rPr>
        <mc:AlternateContent>
          <mc:Choice Requires="wps">
            <w:drawing>
              <wp:anchor distT="0" distB="0" distL="114300" distR="114300" simplePos="0" relativeHeight="251729920" behindDoc="0" locked="0" layoutInCell="1" allowOverlap="1">
                <wp:simplePos x="0" y="0"/>
                <wp:positionH relativeFrom="margin">
                  <wp:posOffset>445135</wp:posOffset>
                </wp:positionH>
                <wp:positionV relativeFrom="paragraph">
                  <wp:posOffset>4911090</wp:posOffset>
                </wp:positionV>
                <wp:extent cx="934720" cy="256540"/>
                <wp:effectExtent l="4445" t="158750" r="32385" b="22860"/>
                <wp:wrapNone/>
                <wp:docPr id="54" name="自选图形 19"/>
                <wp:cNvGraphicFramePr/>
                <a:graphic xmlns:a="http://schemas.openxmlformats.org/drawingml/2006/main">
                  <a:graphicData uri="http://schemas.microsoft.com/office/word/2010/wordprocessingShape">
                    <wps:wsp>
                      <wps:cNvSpPr/>
                      <wps:spPr>
                        <a:xfrm>
                          <a:off x="0" y="0"/>
                          <a:ext cx="934720" cy="256540"/>
                        </a:xfrm>
                        <a:prstGeom prst="wedgeRectCallout">
                          <a:avLst>
                            <a:gd name="adj1" fmla="val 49319"/>
                            <a:gd name="adj2" fmla="val -106931"/>
                          </a:avLst>
                        </a:prstGeom>
                        <a:noFill/>
                        <a:ln w="9525" cap="flat" cmpd="sng">
                          <a:solidFill>
                            <a:srgbClr val="000000"/>
                          </a:solidFill>
                          <a:prstDash val="solid"/>
                          <a:miter/>
                          <a:headEnd type="none" w="med" len="med"/>
                          <a:tailEnd type="none" w="med" len="med"/>
                        </a:ln>
                      </wps:spPr>
                      <wps:txbx>
                        <w:txbxContent>
                          <w:p>
                            <w:pPr>
                              <w:keepNext w:val="0"/>
                              <w:keepLines w:val="0"/>
                              <w:widowControl/>
                              <w:suppressLineNumbers w:val="0"/>
                              <w:adjustRightInd w:val="0"/>
                              <w:snapToGrid w:val="0"/>
                              <w:spacing w:before="0" w:beforeAutospacing="0" w:after="0" w:afterAutospacing="0"/>
                              <w:ind w:left="0" w:right="0"/>
                              <w:jc w:val="left"/>
                              <w:rPr>
                                <w:b/>
                                <w:sz w:val="21"/>
                                <w:szCs w:val="21"/>
                                <w:lang w:val="en-US"/>
                              </w:rPr>
                            </w:pPr>
                            <w:r>
                              <w:rPr>
                                <w:rFonts w:hint="eastAsia" w:ascii="宋体" w:hAnsi="宋体" w:eastAsia="宋体" w:cs="宋体"/>
                                <w:b/>
                                <w:kern w:val="0"/>
                                <w:sz w:val="21"/>
                                <w:szCs w:val="21"/>
                                <w:lang w:val="en-US" w:eastAsia="zh-CN" w:bidi="ar"/>
                              </w:rPr>
                              <w:t>本项目位置</w:t>
                            </w:r>
                          </w:p>
                        </w:txbxContent>
                      </wps:txbx>
                      <wps:bodyPr upright="1"/>
                    </wps:wsp>
                  </a:graphicData>
                </a:graphic>
              </wp:anchor>
            </w:drawing>
          </mc:Choice>
          <mc:Fallback>
            <w:pict>
              <v:shape id="自选图形 19" o:spid="_x0000_s1026" o:spt="61" type="#_x0000_t61" style="position:absolute;left:0pt;margin-left:35.05pt;margin-top:386.7pt;height:20.2pt;width:73.6pt;mso-position-horizontal-relative:margin;z-index:251729920;mso-width-relative:page;mso-height-relative:page;" filled="f" stroked="t" coordsize="21600,21600" o:gfxdata="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clT9/2QAA&#10;AAoBAAAPAAAAAAAAAAEAIAAAACIAAABkcnMvZG93bnJldi54bWxQSwECFAAUAAAACACHTuJAeBN2&#10;fB0CAAAYBAAADgAAAAAAAAABACAAAAAoAQAAZHJzL2Uyb0RvYy54bWxQSwUGAAAAAAYABgBZAQAA&#10;twUAAAAA&#10;" adj="21453,-12297">
                <v:fill on="f" focussize="0,0"/>
                <v:stroke color="#000000" joinstyle="miter"/>
                <v:imagedata o:title=""/>
                <o:lock v:ext="edit" aspectratio="f"/>
                <v:textbox>
                  <w:txbxContent>
                    <w:p>
                      <w:pPr>
                        <w:keepNext w:val="0"/>
                        <w:keepLines w:val="0"/>
                        <w:widowControl/>
                        <w:suppressLineNumbers w:val="0"/>
                        <w:adjustRightInd w:val="0"/>
                        <w:snapToGrid w:val="0"/>
                        <w:spacing w:before="0" w:beforeAutospacing="0" w:after="0" w:afterAutospacing="0"/>
                        <w:ind w:left="0" w:right="0"/>
                        <w:jc w:val="left"/>
                        <w:rPr>
                          <w:b/>
                          <w:sz w:val="21"/>
                          <w:szCs w:val="21"/>
                          <w:lang w:val="en-US"/>
                        </w:rPr>
                      </w:pPr>
                      <w:r>
                        <w:rPr>
                          <w:rFonts w:hint="eastAsia" w:ascii="宋体" w:hAnsi="宋体" w:eastAsia="宋体" w:cs="宋体"/>
                          <w:b/>
                          <w:kern w:val="0"/>
                          <w:sz w:val="21"/>
                          <w:szCs w:val="21"/>
                          <w:lang w:val="en-US" w:eastAsia="zh-CN" w:bidi="ar"/>
                        </w:rPr>
                        <w:t>本项目位置</w:t>
                      </w:r>
                    </w:p>
                  </w:txbxContent>
                </v:textbox>
              </v:shape>
            </w:pict>
          </mc:Fallback>
        </mc:AlternateContent>
      </w:r>
    </w:p>
    <w:p>
      <w:pPr>
        <w:pStyle w:val="27"/>
        <w:keepNext w:val="0"/>
        <w:keepLines w:val="0"/>
        <w:widowControl/>
        <w:suppressLineNumbers w:val="0"/>
        <w:adjustRightInd w:val="0"/>
        <w:snapToGrid w:val="0"/>
        <w:spacing w:before="0" w:beforeAutospacing="0" w:after="0" w:afterAutospacing="0" w:line="360" w:lineRule="auto"/>
        <w:ind w:left="0" w:right="0" w:firstLine="2760" w:firstLineChars="1150"/>
        <w:jc w:val="both"/>
        <w:rPr>
          <w:rFonts w:hint="default" w:ascii="Times New Roman" w:hAnsi="Times New Roman" w:cs="Times New Roman"/>
          <w:color w:val="000000"/>
          <w:lang/>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4-2  </w:t>
      </w:r>
      <w:r>
        <w:rPr>
          <w:rFonts w:hint="eastAsia" w:ascii="Times New Roman" w:hAnsi="Times New Roman" w:eastAsia="黑体" w:cs="Times New Roman"/>
          <w:color w:val="000000"/>
          <w:kern w:val="0"/>
          <w:sz w:val="24"/>
          <w:szCs w:val="24"/>
          <w:lang w:val="en-US" w:eastAsia="zh-CN" w:bidi="ar"/>
        </w:rPr>
        <w:t>本项目地表水系图</w:t>
      </w:r>
      <w:r>
        <w:rPr>
          <w:rFonts w:hint="eastAsia" w:ascii="宋体" w:hAnsi="宋体" w:eastAsia="宋体" w:cs="宋体"/>
          <w:kern w:val="0"/>
          <w:sz w:val="24"/>
          <w:szCs w:val="24"/>
          <w:lang w:val="en-US" w:eastAsia="zh-CN" w:bidi="ar"/>
        </w:rPr>
        <w:drawing>
          <wp:anchor distT="0" distB="0" distL="114300" distR="114300" simplePos="0" relativeHeight="251640832" behindDoc="1" locked="0" layoutInCell="1" allowOverlap="1">
            <wp:simplePos x="0" y="0"/>
            <wp:positionH relativeFrom="margin">
              <wp:posOffset>-168910</wp:posOffset>
            </wp:positionH>
            <wp:positionV relativeFrom="margin">
              <wp:posOffset>167640</wp:posOffset>
            </wp:positionV>
            <wp:extent cx="5768975" cy="6964045"/>
            <wp:effectExtent l="12700" t="12700" r="28575" b="14605"/>
            <wp:wrapTopAndBottom/>
            <wp:docPr id="55" name="图片 20" descr="鞍山、海城河流功能区划图+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0" descr="鞍山、海城河流功能区划图+拷贝"/>
                    <pic:cNvPicPr>
                      <a:picLocks noChangeAspect="1"/>
                    </pic:cNvPicPr>
                  </pic:nvPicPr>
                  <pic:blipFill>
                    <a:blip r:embed="rId35"/>
                    <a:stretch>
                      <a:fillRect/>
                    </a:stretch>
                  </pic:blipFill>
                  <pic:spPr>
                    <a:xfrm>
                      <a:off x="0" y="0"/>
                      <a:ext cx="5768975" cy="6964045"/>
                    </a:xfrm>
                    <a:prstGeom prst="rect">
                      <a:avLst/>
                    </a:prstGeom>
                    <a:noFill/>
                    <a:ln w="12700" cap="flat" cmpd="sng">
                      <a:solidFill>
                        <a:srgbClr val="000000"/>
                      </a:solidFill>
                      <a:prstDash val="solid"/>
                      <a:miter/>
                      <a:headEnd type="none" w="med" len="med"/>
                      <a:tailEnd type="none" w="med" len="med"/>
                    </a:ln>
                  </pic:spPr>
                </pic:pic>
              </a:graphicData>
            </a:graphic>
          </wp:anchor>
        </w:drawing>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4"/>
          <w:szCs w:val="24"/>
          <w:lang w:val="en-US" w:eastAsia="zh-CN" w:bidi="ar"/>
        </w:rPr>
        <w:t>（比例</w:t>
      </w:r>
      <w:r>
        <w:rPr>
          <w:rFonts w:hint="default" w:ascii="Times New Roman" w:hAnsi="Times New Roman" w:eastAsia="黑体" w:cs="Times New Roman"/>
          <w:color w:val="000000"/>
          <w:kern w:val="0"/>
          <w:sz w:val="24"/>
          <w:szCs w:val="24"/>
          <w:lang w:val="en-US" w:eastAsia="zh-CN" w:bidi="ar"/>
        </w:rPr>
        <w:t xml:space="preserve">  1</w:t>
      </w:r>
      <w:r>
        <w:rPr>
          <w:rFonts w:hint="eastAsia" w:ascii="Times New Roman" w:hAnsi="Times New Roman" w:eastAsia="黑体" w:cs="Times New Roman"/>
          <w:color w:val="000000"/>
          <w:kern w:val="0"/>
          <w:sz w:val="24"/>
          <w:szCs w:val="24"/>
          <w:lang w:val="en-US" w:eastAsia="zh-CN" w:bidi="ar"/>
        </w:rPr>
        <w:t>：</w:t>
      </w:r>
      <w:r>
        <w:rPr>
          <w:rFonts w:hint="default" w:ascii="Times New Roman" w:hAnsi="Times New Roman" w:eastAsia="黑体" w:cs="Times New Roman"/>
          <w:color w:val="000000"/>
          <w:kern w:val="0"/>
          <w:sz w:val="24"/>
          <w:szCs w:val="24"/>
          <w:lang w:val="en-US" w:eastAsia="zh-CN" w:bidi="ar"/>
        </w:rPr>
        <w:t>1000000</w:t>
      </w:r>
      <w:r>
        <w:rPr>
          <w:rFonts w:hint="eastAsia" w:ascii="Times New Roman" w:hAnsi="Times New Roman" w:eastAsia="黑体" w:cs="Times New Roman"/>
          <w:color w:val="000000"/>
          <w:kern w:val="0"/>
          <w:sz w:val="24"/>
          <w:szCs w:val="24"/>
          <w:lang w:val="en-US" w:eastAsia="zh-CN" w:bidi="ar"/>
        </w:rPr>
        <w:t>）</w:t>
      </w:r>
    </w:p>
    <w:p>
      <w:pPr>
        <w:pStyle w:val="27"/>
        <w:keepNext w:val="0"/>
        <w:keepLines w:val="0"/>
        <w:widowControl/>
        <w:suppressLineNumbers w:val="0"/>
        <w:adjustRightInd w:val="0"/>
        <w:snapToGrid w:val="0"/>
        <w:spacing w:before="0" w:beforeAutospacing="0" w:after="0" w:afterAutospacing="0" w:line="360" w:lineRule="auto"/>
        <w:ind w:left="0" w:right="0" w:firstLine="0" w:firstLineChars="0"/>
        <w:jc w:val="left"/>
        <w:rPr>
          <w:rFonts w:hint="default" w:ascii="Times New Roman" w:hAnsi="Times New Roman" w:cs="Times New Roman"/>
          <w:color w:val="000000"/>
          <w:lang/>
        </w:rPr>
      </w:pPr>
      <w:r>
        <w:rPr>
          <w:rFonts w:hint="default" w:ascii="Times New Roman" w:hAnsi="Times New Roman" w:eastAsia="宋体" w:cs="Times New Roman"/>
          <w:color w:val="000000"/>
          <w:sz w:val="24"/>
          <w:szCs w:val="24"/>
          <w:lang w:bidi="ar"/>
        </w:rPr>
        <w:br w:type="page"/>
      </w:r>
      <w:r>
        <w:rPr>
          <w:rFonts w:hint="eastAsia" w:ascii="Times New Roman" w:hAnsi="Times New Roman" w:eastAsia="宋体" w:cs="Times New Roman"/>
          <w:color w:val="000000"/>
          <w:kern w:val="0"/>
          <w:sz w:val="24"/>
          <w:szCs w:val="24"/>
          <w:lang w:eastAsia="zh-CN" w:bidi="ar"/>
        </w:rPr>
        <w:t>季（</w:t>
      </w:r>
      <w:r>
        <w:rPr>
          <w:rFonts w:hint="default" w:ascii="Times New Roman" w:hAnsi="Times New Roman" w:eastAsia="宋体" w:cs="Times New Roman"/>
          <w:color w:val="000000"/>
          <w:kern w:val="0"/>
          <w:sz w:val="24"/>
          <w:szCs w:val="24"/>
          <w:lang w:eastAsia="zh-CN" w:bidi="ar"/>
        </w:rPr>
        <w:t>9-11</w:t>
      </w:r>
      <w:r>
        <w:rPr>
          <w:rFonts w:hint="eastAsia" w:ascii="Times New Roman" w:hAnsi="Times New Roman" w:eastAsia="宋体" w:cs="Times New Roman"/>
          <w:color w:val="000000"/>
          <w:kern w:val="0"/>
          <w:sz w:val="24"/>
          <w:szCs w:val="24"/>
          <w:lang w:eastAsia="zh-CN" w:bidi="ar"/>
        </w:rPr>
        <w:t>月）为</w:t>
      </w:r>
      <w:r>
        <w:rPr>
          <w:rFonts w:hint="default" w:ascii="Times New Roman" w:hAnsi="Times New Roman" w:eastAsia="宋体" w:cs="Times New Roman"/>
          <w:color w:val="000000"/>
          <w:kern w:val="0"/>
          <w:sz w:val="24"/>
          <w:szCs w:val="24"/>
          <w:lang w:eastAsia="zh-CN" w:bidi="ar"/>
        </w:rPr>
        <w:t>127.5mm</w:t>
      </w:r>
      <w:r>
        <w:rPr>
          <w:rFonts w:hint="eastAsia" w:ascii="Times New Roman" w:hAnsi="Times New Roman" w:eastAsia="宋体" w:cs="Times New Roman"/>
          <w:color w:val="000000"/>
          <w:kern w:val="0"/>
          <w:sz w:val="24"/>
          <w:szCs w:val="24"/>
          <w:lang w:eastAsia="zh-CN" w:bidi="ar"/>
        </w:rPr>
        <w:t>，占全年的</w:t>
      </w:r>
      <w:r>
        <w:rPr>
          <w:rFonts w:hint="default" w:ascii="Times New Roman" w:hAnsi="Times New Roman" w:eastAsia="宋体" w:cs="Times New Roman"/>
          <w:color w:val="000000"/>
          <w:kern w:val="0"/>
          <w:sz w:val="24"/>
          <w:szCs w:val="24"/>
          <w:lang w:eastAsia="zh-CN" w:bidi="ar"/>
        </w:rPr>
        <w:t>18.44%</w:t>
      </w:r>
      <w:r>
        <w:rPr>
          <w:rFonts w:hint="eastAsia" w:ascii="Times New Roman" w:hAnsi="Times New Roman" w:eastAsia="宋体" w:cs="Times New Roman"/>
          <w:color w:val="000000"/>
          <w:kern w:val="0"/>
          <w:sz w:val="24"/>
          <w:szCs w:val="24"/>
          <w:lang w:eastAsia="zh-CN" w:bidi="ar"/>
        </w:rPr>
        <w:t>；夏季（</w:t>
      </w:r>
      <w:r>
        <w:rPr>
          <w:rFonts w:hint="default" w:ascii="Times New Roman" w:hAnsi="Times New Roman" w:eastAsia="宋体" w:cs="Times New Roman"/>
          <w:color w:val="000000"/>
          <w:kern w:val="0"/>
          <w:sz w:val="24"/>
          <w:szCs w:val="24"/>
          <w:lang w:eastAsia="zh-CN" w:bidi="ar"/>
        </w:rPr>
        <w:t>6-8</w:t>
      </w:r>
      <w:r>
        <w:rPr>
          <w:rFonts w:hint="eastAsia" w:ascii="Times New Roman" w:hAnsi="Times New Roman" w:eastAsia="宋体" w:cs="Times New Roman"/>
          <w:color w:val="000000"/>
          <w:kern w:val="0"/>
          <w:sz w:val="24"/>
          <w:szCs w:val="24"/>
          <w:lang w:eastAsia="zh-CN" w:bidi="ar"/>
        </w:rPr>
        <w:t>月）为</w:t>
      </w:r>
      <w:r>
        <w:rPr>
          <w:rFonts w:hint="default" w:ascii="Times New Roman" w:hAnsi="Times New Roman" w:eastAsia="宋体" w:cs="Times New Roman"/>
          <w:color w:val="000000"/>
          <w:kern w:val="0"/>
          <w:sz w:val="24"/>
          <w:szCs w:val="24"/>
          <w:lang w:eastAsia="zh-CN" w:bidi="ar"/>
        </w:rPr>
        <w:t>438.2mm</w:t>
      </w:r>
      <w:r>
        <w:rPr>
          <w:rFonts w:hint="eastAsia" w:ascii="Times New Roman" w:hAnsi="Times New Roman" w:eastAsia="宋体" w:cs="Times New Roman"/>
          <w:color w:val="000000"/>
          <w:kern w:val="0"/>
          <w:sz w:val="24"/>
          <w:szCs w:val="24"/>
          <w:lang w:eastAsia="zh-CN" w:bidi="ar"/>
        </w:rPr>
        <w:t>，占全年的</w:t>
      </w:r>
      <w:r>
        <w:rPr>
          <w:rFonts w:hint="default" w:ascii="Times New Roman" w:hAnsi="Times New Roman" w:eastAsia="宋体" w:cs="Times New Roman"/>
          <w:color w:val="000000"/>
          <w:kern w:val="0"/>
          <w:sz w:val="24"/>
          <w:szCs w:val="24"/>
          <w:lang w:eastAsia="zh-CN" w:bidi="ar"/>
        </w:rPr>
        <w:t>63.39%</w:t>
      </w:r>
      <w:r>
        <w:rPr>
          <w:rFonts w:hint="eastAsia" w:ascii="Times New Roman" w:hAnsi="Times New Roman" w:eastAsia="宋体" w:cs="Times New Roman"/>
          <w:color w:val="000000"/>
          <w:kern w:val="0"/>
          <w:sz w:val="24"/>
          <w:szCs w:val="24"/>
          <w:lang w:eastAsia="zh-CN" w:bidi="ar"/>
        </w:rPr>
        <w:t>。降水高峰出现在</w:t>
      </w:r>
      <w:r>
        <w:rPr>
          <w:rFonts w:hint="default" w:ascii="Times New Roman" w:hAnsi="Times New Roman" w:eastAsia="宋体" w:cs="Times New Roman"/>
          <w:color w:val="000000"/>
          <w:kern w:val="0"/>
          <w:sz w:val="24"/>
          <w:szCs w:val="24"/>
          <w:lang w:eastAsia="zh-CN" w:bidi="ar"/>
        </w:rPr>
        <w:t>8</w:t>
      </w:r>
      <w:r>
        <w:rPr>
          <w:rFonts w:hint="eastAsia" w:ascii="Times New Roman" w:hAnsi="Times New Roman" w:eastAsia="宋体" w:cs="Times New Roman"/>
          <w:color w:val="000000"/>
          <w:kern w:val="0"/>
          <w:sz w:val="24"/>
          <w:szCs w:val="24"/>
          <w:lang w:eastAsia="zh-CN" w:bidi="ar"/>
        </w:rPr>
        <w:t>月份，月降水量平均为</w:t>
      </w:r>
      <w:r>
        <w:rPr>
          <w:rFonts w:hint="default" w:ascii="Times New Roman" w:hAnsi="Times New Roman" w:eastAsia="宋体" w:cs="Times New Roman"/>
          <w:color w:val="000000"/>
          <w:kern w:val="0"/>
          <w:sz w:val="24"/>
          <w:szCs w:val="24"/>
          <w:lang w:eastAsia="zh-CN" w:bidi="ar"/>
        </w:rPr>
        <w:t>190.9mm</w:t>
      </w:r>
      <w:r>
        <w:rPr>
          <w:rFonts w:hint="eastAsia" w:ascii="Times New Roman" w:hAnsi="Times New Roman" w:eastAsia="宋体" w:cs="Times New Roman"/>
          <w:color w:val="000000"/>
          <w:kern w:val="0"/>
          <w:sz w:val="24"/>
          <w:szCs w:val="24"/>
          <w:lang w:eastAsia="zh-CN" w:bidi="ar"/>
        </w:rPr>
        <w:t>，比冬、春两季降水总量还多</w:t>
      </w:r>
      <w:r>
        <w:rPr>
          <w:rFonts w:hint="default" w:ascii="Times New Roman" w:hAnsi="Times New Roman" w:eastAsia="宋体" w:cs="Times New Roman"/>
          <w:color w:val="000000"/>
          <w:kern w:val="0"/>
          <w:sz w:val="24"/>
          <w:szCs w:val="24"/>
          <w:lang w:eastAsia="zh-CN" w:bidi="ar"/>
        </w:rPr>
        <w:t>65.3mm</w:t>
      </w:r>
      <w:r>
        <w:rPr>
          <w:rFonts w:hint="eastAsia" w:ascii="Times New Roman" w:hAnsi="Times New Roman" w:eastAsia="宋体" w:cs="Times New Roman"/>
          <w:color w:val="000000"/>
          <w:kern w:val="0"/>
          <w:sz w:val="24"/>
          <w:szCs w:val="24"/>
          <w:lang w:eastAsia="zh-CN" w:bidi="ar"/>
        </w:rPr>
        <w:t>。</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6</w:t>
      </w:r>
      <w:r>
        <w:rPr>
          <w:rFonts w:hint="eastAsia" w:ascii="Times New Roman" w:hAnsi="Times New Roman" w:eastAsia="宋体" w:cs="Times New Roman"/>
          <w:color w:val="000000"/>
          <w:kern w:val="0"/>
          <w:sz w:val="24"/>
          <w:szCs w:val="24"/>
          <w:lang w:eastAsia="zh-CN" w:bidi="ar"/>
        </w:rPr>
        <w:t>）蒸发量</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海城市多年平均蒸发量为</w:t>
      </w:r>
      <w:r>
        <w:rPr>
          <w:rFonts w:hint="default" w:ascii="Times New Roman" w:hAnsi="Times New Roman" w:eastAsia="宋体" w:cs="Times New Roman"/>
          <w:color w:val="000000"/>
          <w:kern w:val="0"/>
          <w:sz w:val="24"/>
          <w:szCs w:val="24"/>
          <w:lang w:eastAsia="zh-CN" w:bidi="ar"/>
        </w:rPr>
        <w:t>1767mm</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5-6</w:t>
      </w:r>
      <w:r>
        <w:rPr>
          <w:rFonts w:hint="eastAsia" w:ascii="Times New Roman" w:hAnsi="Times New Roman" w:eastAsia="宋体" w:cs="Times New Roman"/>
          <w:color w:val="000000"/>
          <w:kern w:val="0"/>
          <w:sz w:val="24"/>
          <w:szCs w:val="24"/>
          <w:lang w:eastAsia="zh-CN" w:bidi="ar"/>
        </w:rPr>
        <w:t>月份蒸发量最大，约</w:t>
      </w:r>
      <w:r>
        <w:rPr>
          <w:rFonts w:hint="default" w:ascii="Times New Roman" w:hAnsi="Times New Roman" w:eastAsia="宋体" w:cs="Times New Roman"/>
          <w:color w:val="000000"/>
          <w:kern w:val="0"/>
          <w:sz w:val="24"/>
          <w:szCs w:val="24"/>
          <w:lang w:eastAsia="zh-CN" w:bidi="ar"/>
        </w:rPr>
        <w:t>598.5mm</w:t>
      </w:r>
      <w:r>
        <w:rPr>
          <w:rFonts w:hint="eastAsia" w:ascii="Times New Roman" w:hAnsi="Times New Roman" w:eastAsia="宋体" w:cs="Times New Roman"/>
          <w:color w:val="000000"/>
          <w:kern w:val="0"/>
          <w:sz w:val="24"/>
          <w:szCs w:val="24"/>
          <w:lang w:eastAsia="zh-CN" w:bidi="ar"/>
        </w:rPr>
        <w:t>，占全年蒸发量的</w:t>
      </w:r>
      <w:r>
        <w:rPr>
          <w:rFonts w:hint="default" w:ascii="Times New Roman" w:hAnsi="Times New Roman" w:eastAsia="宋体" w:cs="Times New Roman"/>
          <w:color w:val="000000"/>
          <w:kern w:val="0"/>
          <w:sz w:val="24"/>
          <w:szCs w:val="24"/>
          <w:lang w:eastAsia="zh-CN" w:bidi="ar"/>
        </w:rPr>
        <w:t>33.87%</w:t>
      </w:r>
      <w:r>
        <w:rPr>
          <w:rFonts w:hint="eastAsia" w:ascii="Times New Roman" w:hAnsi="Times New Roman" w:eastAsia="宋体" w:cs="Times New Roman"/>
          <w:color w:val="000000"/>
          <w:kern w:val="0"/>
          <w:sz w:val="24"/>
          <w:szCs w:val="24"/>
          <w:lang w:eastAsia="zh-CN" w:bidi="ar"/>
        </w:rPr>
        <w:t>，常出现旱象。地区间蒸发量不等，由东南向西北递增，东部低山丘陵地区约</w:t>
      </w:r>
      <w:r>
        <w:rPr>
          <w:rFonts w:hint="default" w:ascii="Times New Roman" w:hAnsi="Times New Roman" w:eastAsia="宋体" w:cs="Times New Roman"/>
          <w:color w:val="000000"/>
          <w:kern w:val="0"/>
          <w:sz w:val="24"/>
          <w:szCs w:val="24"/>
          <w:lang w:eastAsia="zh-CN" w:bidi="ar"/>
        </w:rPr>
        <w:t>1450mm</w:t>
      </w:r>
      <w:r>
        <w:rPr>
          <w:rFonts w:hint="eastAsia" w:ascii="Times New Roman" w:hAnsi="Times New Roman" w:eastAsia="宋体" w:cs="Times New Roman"/>
          <w:color w:val="000000"/>
          <w:kern w:val="0"/>
          <w:sz w:val="24"/>
          <w:szCs w:val="24"/>
          <w:lang w:eastAsia="zh-CN" w:bidi="ar"/>
        </w:rPr>
        <w:t>，西北部沿河地区约</w:t>
      </w:r>
      <w:r>
        <w:rPr>
          <w:rFonts w:hint="default" w:ascii="Times New Roman" w:hAnsi="Times New Roman" w:eastAsia="宋体" w:cs="Times New Roman"/>
          <w:color w:val="000000"/>
          <w:kern w:val="0"/>
          <w:sz w:val="24"/>
          <w:szCs w:val="24"/>
          <w:lang w:eastAsia="zh-CN" w:bidi="ar"/>
        </w:rPr>
        <w:t>1750mm</w:t>
      </w:r>
      <w:r>
        <w:rPr>
          <w:rFonts w:hint="eastAsia" w:ascii="Times New Roman" w:hAnsi="Times New Roman" w:eastAsia="宋体" w:cs="Times New Roman"/>
          <w:color w:val="000000"/>
          <w:kern w:val="0"/>
          <w:sz w:val="24"/>
          <w:szCs w:val="24"/>
          <w:lang w:eastAsia="zh-CN" w:bidi="ar"/>
        </w:rPr>
        <w:t>。</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7</w:t>
      </w:r>
      <w:r>
        <w:rPr>
          <w:rFonts w:hint="eastAsia" w:ascii="Times New Roman" w:hAnsi="Times New Roman" w:eastAsia="宋体" w:cs="Times New Roman"/>
          <w:color w:val="000000"/>
          <w:kern w:val="0"/>
          <w:sz w:val="24"/>
          <w:szCs w:val="24"/>
          <w:lang w:eastAsia="zh-CN" w:bidi="ar"/>
        </w:rPr>
        <w:t>）风向</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该地区常年主导风向为</w:t>
      </w:r>
      <w:r>
        <w:rPr>
          <w:rFonts w:hint="default" w:ascii="Times New Roman" w:hAnsi="Times New Roman" w:eastAsia="宋体" w:cs="Times New Roman"/>
          <w:color w:val="000000"/>
          <w:kern w:val="0"/>
          <w:sz w:val="24"/>
          <w:szCs w:val="24"/>
          <w:lang w:eastAsia="zh-CN" w:bidi="ar"/>
        </w:rPr>
        <w:t>SSE</w:t>
      </w:r>
      <w:r>
        <w:rPr>
          <w:rFonts w:hint="eastAsia" w:ascii="Times New Roman" w:hAnsi="Times New Roman" w:eastAsia="宋体" w:cs="Times New Roman"/>
          <w:color w:val="000000"/>
          <w:kern w:val="0"/>
          <w:sz w:val="24"/>
          <w:szCs w:val="24"/>
          <w:lang w:eastAsia="zh-CN" w:bidi="ar"/>
        </w:rPr>
        <w:t>，年平均风速为</w:t>
      </w:r>
      <w:r>
        <w:rPr>
          <w:rFonts w:hint="default" w:ascii="Times New Roman" w:hAnsi="Times New Roman" w:eastAsia="宋体" w:cs="Times New Roman"/>
          <w:color w:val="000000"/>
          <w:kern w:val="0"/>
          <w:sz w:val="24"/>
          <w:szCs w:val="24"/>
          <w:lang w:eastAsia="zh-CN" w:bidi="ar"/>
        </w:rPr>
        <w:t>2.8m/s</w:t>
      </w:r>
      <w:r>
        <w:rPr>
          <w:rFonts w:hint="eastAsia" w:ascii="Times New Roman" w:hAnsi="Times New Roman" w:eastAsia="宋体" w:cs="Times New Roman"/>
          <w:color w:val="000000"/>
          <w:kern w:val="0"/>
          <w:sz w:val="24"/>
          <w:szCs w:val="24"/>
          <w:lang w:eastAsia="zh-CN" w:bidi="ar"/>
        </w:rPr>
        <w:t>，年最大风速</w:t>
      </w:r>
      <w:r>
        <w:rPr>
          <w:rFonts w:hint="default" w:ascii="Times New Roman" w:hAnsi="Times New Roman" w:eastAsia="宋体" w:cs="Times New Roman"/>
          <w:color w:val="000000"/>
          <w:kern w:val="0"/>
          <w:sz w:val="24"/>
          <w:szCs w:val="24"/>
          <w:lang w:eastAsia="zh-CN" w:bidi="ar"/>
        </w:rPr>
        <w:t>23m/s</w:t>
      </w:r>
      <w:r>
        <w:rPr>
          <w:rFonts w:hint="eastAsia" w:ascii="Times New Roman" w:hAnsi="Times New Roman" w:eastAsia="宋体" w:cs="Times New Roman"/>
          <w:color w:val="000000"/>
          <w:kern w:val="0"/>
          <w:sz w:val="24"/>
          <w:szCs w:val="24"/>
          <w:lang w:eastAsia="zh-CN" w:bidi="ar"/>
        </w:rPr>
        <w:t>。</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4</w:t>
      </w:r>
      <w:r>
        <w:rPr>
          <w:rFonts w:hint="default" w:ascii="Times New Roman" w:hAnsi="Times New Roman" w:cs="Times New Roman"/>
          <w:color w:val="000000"/>
          <w:lang/>
        </w:rPr>
        <w:t>.1.</w:t>
      </w:r>
      <w:r>
        <w:rPr>
          <w:rFonts w:hint="default" w:ascii="Times New Roman" w:hAnsi="Times New Roman" w:cs="Times New Roman"/>
          <w:color w:val="000000"/>
          <w:lang w:eastAsia="zh-CN"/>
        </w:rPr>
        <w:t>5</w:t>
      </w:r>
      <w:r>
        <w:rPr>
          <w:rFonts w:hint="default" w:ascii="Times New Roman" w:hAnsi="Times New Roman" w:cs="Times New Roman"/>
          <w:color w:val="000000"/>
          <w:lang/>
        </w:rPr>
        <w:t xml:space="preserve"> </w:t>
      </w:r>
      <w:r>
        <w:rPr>
          <w:rFonts w:ascii="Times New Roman" w:hAnsi="Times New Roman" w:cs="Times New Roman"/>
          <w:color w:val="000000"/>
          <w:lang/>
        </w:rPr>
        <w:t>水文</w:t>
      </w:r>
      <w:r>
        <w:rPr>
          <w:rFonts w:ascii="Times New Roman" w:hAnsi="Times New Roman" w:cs="Times New Roman"/>
          <w:color w:val="000000"/>
          <w:lang w:eastAsia="zh-CN"/>
        </w:rPr>
        <w:t>地质</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项目场址所处位置为平原微丘区，地势较为平坦。该地段地质为第四纪地层，地层稳定，沉积规律较好，工程地质无大病害和构造上的不利组合。区域构造：其基岩为鞍山群的混合岩和混合花岗岩。</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根据国家地震烈度区划图标定，本地区地震烈度为Ⅶ度。</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海城市水文地质情况，岩土结构特征自上而下依次为素填土、粉质粘土、细砂、中砂、粗砂。素填土由粘性土、砂土组成，厚度为</w:t>
      </w:r>
      <w:r>
        <w:rPr>
          <w:rFonts w:hint="default" w:ascii="Times New Roman" w:hAnsi="Times New Roman" w:eastAsia="宋体" w:cs="Times New Roman"/>
          <w:color w:val="000000"/>
          <w:kern w:val="0"/>
          <w:sz w:val="24"/>
          <w:szCs w:val="24"/>
          <w:lang w:eastAsia="zh-CN" w:bidi="ar"/>
        </w:rPr>
        <w:t>0.50-1.50m</w:t>
      </w:r>
      <w:r>
        <w:rPr>
          <w:rFonts w:hint="eastAsia" w:ascii="Times New Roman" w:hAnsi="Times New Roman" w:eastAsia="宋体" w:cs="Times New Roman"/>
          <w:color w:val="000000"/>
          <w:kern w:val="0"/>
          <w:sz w:val="24"/>
          <w:szCs w:val="24"/>
          <w:lang w:eastAsia="zh-CN" w:bidi="ar"/>
        </w:rPr>
        <w:t>，层底高程</w:t>
      </w:r>
      <w:r>
        <w:rPr>
          <w:rFonts w:hint="default" w:ascii="Times New Roman" w:hAnsi="Times New Roman" w:eastAsia="宋体" w:cs="Times New Roman"/>
          <w:color w:val="000000"/>
          <w:kern w:val="0"/>
          <w:sz w:val="24"/>
          <w:szCs w:val="24"/>
          <w:lang w:eastAsia="zh-CN" w:bidi="ar"/>
        </w:rPr>
        <w:t>15.29-16.65m</w:t>
      </w:r>
      <w:r>
        <w:rPr>
          <w:rFonts w:hint="eastAsia" w:ascii="Times New Roman" w:hAnsi="Times New Roman" w:eastAsia="宋体" w:cs="Times New Roman"/>
          <w:color w:val="000000"/>
          <w:kern w:val="0"/>
          <w:sz w:val="24"/>
          <w:szCs w:val="24"/>
          <w:lang w:eastAsia="zh-CN" w:bidi="ar"/>
        </w:rPr>
        <w:t>；粉质粘土层厚</w:t>
      </w:r>
      <w:r>
        <w:rPr>
          <w:rFonts w:hint="default" w:ascii="Times New Roman" w:hAnsi="Times New Roman" w:eastAsia="宋体" w:cs="Times New Roman"/>
          <w:color w:val="000000"/>
          <w:kern w:val="0"/>
          <w:sz w:val="24"/>
          <w:szCs w:val="24"/>
          <w:lang w:eastAsia="zh-CN" w:bidi="ar"/>
        </w:rPr>
        <w:t>1.20-7.70m</w:t>
      </w:r>
      <w:r>
        <w:rPr>
          <w:rFonts w:hint="eastAsia" w:ascii="Times New Roman" w:hAnsi="Times New Roman" w:eastAsia="宋体" w:cs="Times New Roman"/>
          <w:color w:val="000000"/>
          <w:kern w:val="0"/>
          <w:sz w:val="24"/>
          <w:szCs w:val="24"/>
          <w:lang w:eastAsia="zh-CN" w:bidi="ar"/>
        </w:rPr>
        <w:t>，层底高程</w:t>
      </w:r>
      <w:r>
        <w:rPr>
          <w:rFonts w:hint="default" w:ascii="Times New Roman" w:hAnsi="Times New Roman" w:eastAsia="宋体" w:cs="Times New Roman"/>
          <w:color w:val="000000"/>
          <w:kern w:val="0"/>
          <w:sz w:val="24"/>
          <w:szCs w:val="24"/>
          <w:lang w:eastAsia="zh-CN" w:bidi="ar"/>
        </w:rPr>
        <w:t>8.20-13.54m</w:t>
      </w:r>
      <w:r>
        <w:rPr>
          <w:rFonts w:hint="eastAsia" w:ascii="Times New Roman" w:hAnsi="Times New Roman" w:eastAsia="宋体" w:cs="Times New Roman"/>
          <w:color w:val="000000"/>
          <w:kern w:val="0"/>
          <w:sz w:val="24"/>
          <w:szCs w:val="24"/>
          <w:lang w:eastAsia="zh-CN" w:bidi="ar"/>
        </w:rPr>
        <w:t>；细砂层厚</w:t>
      </w:r>
      <w:r>
        <w:rPr>
          <w:rFonts w:hint="default" w:ascii="Times New Roman" w:hAnsi="Times New Roman" w:eastAsia="宋体" w:cs="Times New Roman"/>
          <w:color w:val="000000"/>
          <w:kern w:val="0"/>
          <w:sz w:val="24"/>
          <w:szCs w:val="24"/>
          <w:lang w:eastAsia="zh-CN" w:bidi="ar"/>
        </w:rPr>
        <w:t>0.50m-1.10m</w:t>
      </w:r>
      <w:r>
        <w:rPr>
          <w:rFonts w:hint="eastAsia" w:ascii="Times New Roman" w:hAnsi="Times New Roman" w:eastAsia="宋体" w:cs="Times New Roman"/>
          <w:color w:val="000000"/>
          <w:kern w:val="0"/>
          <w:sz w:val="24"/>
          <w:szCs w:val="24"/>
          <w:lang w:eastAsia="zh-CN" w:bidi="ar"/>
        </w:rPr>
        <w:t>，层底高程</w:t>
      </w:r>
      <w:r>
        <w:rPr>
          <w:rFonts w:hint="default" w:ascii="Times New Roman" w:hAnsi="Times New Roman" w:eastAsia="宋体" w:cs="Times New Roman"/>
          <w:color w:val="000000"/>
          <w:kern w:val="0"/>
          <w:sz w:val="24"/>
          <w:szCs w:val="24"/>
          <w:lang w:eastAsia="zh-CN" w:bidi="ar"/>
        </w:rPr>
        <w:t>11.61-12.50m</w:t>
      </w:r>
      <w:r>
        <w:rPr>
          <w:rFonts w:hint="eastAsia" w:ascii="Times New Roman" w:hAnsi="Times New Roman" w:eastAsia="宋体" w:cs="Times New Roman"/>
          <w:color w:val="000000"/>
          <w:kern w:val="0"/>
          <w:sz w:val="24"/>
          <w:szCs w:val="24"/>
          <w:lang w:eastAsia="zh-CN" w:bidi="ar"/>
        </w:rPr>
        <w:t>；中砂厚度</w:t>
      </w:r>
      <w:r>
        <w:rPr>
          <w:rFonts w:hint="default" w:ascii="Times New Roman" w:hAnsi="Times New Roman" w:eastAsia="宋体" w:cs="Times New Roman"/>
          <w:color w:val="000000"/>
          <w:kern w:val="0"/>
          <w:sz w:val="24"/>
          <w:szCs w:val="24"/>
          <w:lang w:eastAsia="zh-CN" w:bidi="ar"/>
        </w:rPr>
        <w:t>2.30-4.50m</w:t>
      </w:r>
      <w:r>
        <w:rPr>
          <w:rFonts w:hint="eastAsia" w:ascii="Times New Roman" w:hAnsi="Times New Roman" w:eastAsia="宋体" w:cs="Times New Roman"/>
          <w:color w:val="000000"/>
          <w:kern w:val="0"/>
          <w:sz w:val="24"/>
          <w:szCs w:val="24"/>
          <w:lang w:eastAsia="zh-CN" w:bidi="ar"/>
        </w:rPr>
        <w:t>，层底高程</w:t>
      </w:r>
      <w:r>
        <w:rPr>
          <w:rFonts w:hint="default" w:ascii="Times New Roman" w:hAnsi="Times New Roman" w:eastAsia="宋体" w:cs="Times New Roman"/>
          <w:color w:val="000000"/>
          <w:kern w:val="0"/>
          <w:sz w:val="24"/>
          <w:szCs w:val="24"/>
          <w:lang w:eastAsia="zh-CN" w:bidi="ar"/>
        </w:rPr>
        <w:t>4.61-6.60m</w:t>
      </w:r>
      <w:r>
        <w:rPr>
          <w:rFonts w:hint="eastAsia" w:ascii="Times New Roman" w:hAnsi="Times New Roman" w:eastAsia="宋体" w:cs="Times New Roman"/>
          <w:color w:val="000000"/>
          <w:kern w:val="0"/>
          <w:sz w:val="24"/>
          <w:szCs w:val="24"/>
          <w:lang w:eastAsia="zh-CN" w:bidi="ar"/>
        </w:rPr>
        <w:t>；粗砂揭露</w:t>
      </w:r>
      <w:r>
        <w:rPr>
          <w:rFonts w:hint="default" w:ascii="Times New Roman" w:hAnsi="Times New Roman" w:eastAsia="宋体" w:cs="Times New Roman"/>
          <w:color w:val="000000"/>
          <w:kern w:val="0"/>
          <w:sz w:val="24"/>
          <w:szCs w:val="24"/>
          <w:lang w:eastAsia="zh-CN" w:bidi="ar"/>
        </w:rPr>
        <w:t>1.40-14.00m</w:t>
      </w:r>
      <w:r>
        <w:rPr>
          <w:rFonts w:hint="eastAsia" w:ascii="Times New Roman" w:hAnsi="Times New Roman" w:eastAsia="宋体" w:cs="Times New Roman"/>
          <w:color w:val="000000"/>
          <w:kern w:val="0"/>
          <w:sz w:val="24"/>
          <w:szCs w:val="24"/>
          <w:lang w:eastAsia="zh-CN" w:bidi="ar"/>
        </w:rPr>
        <w:t>。海城市水文地质图见图</w:t>
      </w:r>
      <w:r>
        <w:rPr>
          <w:rFonts w:hint="default" w:ascii="Times New Roman" w:hAnsi="Times New Roman" w:eastAsia="宋体" w:cs="Times New Roman"/>
          <w:color w:val="000000"/>
          <w:kern w:val="0"/>
          <w:sz w:val="24"/>
          <w:szCs w:val="24"/>
          <w:lang w:eastAsia="zh-CN" w:bidi="ar"/>
        </w:rPr>
        <w:t>4-3</w:t>
      </w:r>
      <w:r>
        <w:rPr>
          <w:rFonts w:hint="eastAsia" w:ascii="Times New Roman" w:hAnsi="Times New Roman" w:eastAsia="宋体" w:cs="Times New Roman"/>
          <w:color w:val="000000"/>
          <w:kern w:val="0"/>
          <w:sz w:val="24"/>
          <w:szCs w:val="24"/>
          <w:lang w:eastAsia="zh-CN" w:bidi="ar"/>
        </w:rPr>
        <w:t>。</w:t>
      </w:r>
    </w:p>
    <w:p>
      <w:pPr>
        <w:pStyle w:val="8"/>
        <w:widowControl/>
        <w:rPr>
          <w:color w:val="000000"/>
          <w:lang/>
        </w:rPr>
      </w:pPr>
      <w:bookmarkStart w:id="170" w:name="_Toc41656138"/>
      <w:r>
        <w:rPr>
          <w:color w:val="000000"/>
          <w:lang/>
        </w:rPr>
        <w:t xml:space="preserve">4.2 </w:t>
      </w:r>
      <w:r>
        <w:rPr>
          <w:rFonts w:hint="eastAsia" w:ascii="Times New Roman" w:hAnsi="Times New Roman" w:eastAsia="宋体" w:cs="宋体"/>
          <w:color w:val="000000"/>
          <w:lang w:eastAsia="zh-CN"/>
        </w:rPr>
        <w:t>环境质量现状调查</w:t>
      </w:r>
      <w:bookmarkEnd w:id="170"/>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.2.1 </w:t>
      </w:r>
      <w:r>
        <w:rPr>
          <w:rFonts w:ascii="Times New Roman" w:hAnsi="Times New Roman" w:cs="Times New Roman"/>
          <w:color w:val="000000"/>
          <w:lang/>
        </w:rPr>
        <w:t>环境空气质量现状调查与评价</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.2.1.1 </w:t>
      </w:r>
      <w:r>
        <w:rPr>
          <w:rFonts w:ascii="Times New Roman" w:hAnsi="Times New Roman" w:cs="Times New Roman"/>
          <w:color w:val="000000"/>
          <w:lang/>
        </w:rPr>
        <w:t>常规污染物环境空气质量现状调查与评价</w:t>
      </w:r>
    </w:p>
    <w:p>
      <w:pPr>
        <w:keepNext w:val="0"/>
        <w:keepLines w:val="0"/>
        <w:widowControl/>
        <w:suppressLineNumbers w:val="0"/>
        <w:autoSpaceDE w:val="0"/>
        <w:autoSpaceDN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根据各环境要素导则要求，本项目环境空气质量现状调查的常规因子数据采用《</w:t>
      </w:r>
      <w:r>
        <w:rPr>
          <w:rFonts w:hint="default" w:ascii="Times New Roman" w:hAnsi="Times New Roman" w:eastAsia="宋体" w:cs="Times New Roman"/>
          <w:color w:val="000000"/>
          <w:kern w:val="0"/>
          <w:sz w:val="24"/>
          <w:szCs w:val="24"/>
          <w:lang w:val="en-US" w:eastAsia="zh-CN" w:bidi="ar"/>
        </w:rPr>
        <w:t>2018</w:t>
      </w:r>
      <w:r>
        <w:rPr>
          <w:rFonts w:hint="eastAsia" w:ascii="Times New Roman" w:hAnsi="Times New Roman" w:eastAsia="宋体" w:cs="Times New Roman"/>
          <w:color w:val="000000"/>
          <w:kern w:val="0"/>
          <w:sz w:val="24"/>
          <w:szCs w:val="24"/>
          <w:lang w:val="en-US" w:eastAsia="zh-CN" w:bidi="ar"/>
        </w:rPr>
        <w:t>年鞍山市环境质量报告书》中的空气质量数据。本项目所在区域空气质量达标区判定情况见下表。</w:t>
      </w:r>
    </w:p>
    <w:p>
      <w:pPr>
        <w:rPr>
          <w:rFonts w:hint="default" w:ascii="Times New Roman" w:hAnsi="Times New Roman" w:eastAsia="宋体" w:cs="Times New Roman"/>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p>
      <w:pPr>
        <w:keepNext w:val="0"/>
        <w:keepLines w:val="0"/>
        <w:widowControl/>
        <w:suppressLineNumbers w:val="0"/>
        <w:autoSpaceDE w:val="0"/>
        <w:autoSpaceDN w:val="0"/>
        <w:adjustRightInd w:val="0"/>
        <w:snapToGrid w:val="0"/>
        <w:spacing w:before="0" w:beforeAutospacing="0" w:after="0" w:afterAutospacing="0" w:line="480" w:lineRule="auto"/>
        <w:ind w:left="0" w:right="0" w:firstLine="480" w:firstLineChars="200"/>
        <w:jc w:val="center"/>
        <w:rPr>
          <w:rFonts w:hint="default" w:ascii="Times New Roman" w:hAnsi="Times New Roman" w:cs="Times New Roman"/>
          <w:b/>
          <w:bCs w:val="0"/>
          <w:color w:val="000000"/>
          <w:lang/>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4-3  </w:t>
      </w:r>
      <w:r>
        <w:rPr>
          <w:rFonts w:hint="eastAsia" w:ascii="Times New Roman" w:hAnsi="Times New Roman" w:eastAsia="黑体" w:cs="Times New Roman"/>
          <w:color w:val="000000"/>
          <w:kern w:val="0"/>
          <w:sz w:val="24"/>
          <w:szCs w:val="24"/>
          <w:lang w:val="en-US" w:eastAsia="zh-CN" w:bidi="ar"/>
        </w:rPr>
        <w:t>本项目水文地质图</w:t>
      </w:r>
      <w:r>
        <w:rPr>
          <w:rFonts w:hint="eastAsia" w:ascii="宋体" w:hAnsi="宋体" w:eastAsia="宋体" w:cs="宋体"/>
          <w:snapToGrid w:val="0"/>
          <w:kern w:val="0"/>
          <w:sz w:val="24"/>
          <w:szCs w:val="24"/>
          <w:lang w:val="en-US" w:eastAsia="zh-CN" w:bidi="ar"/>
        </w:rPr>
        <w:drawing>
          <wp:anchor distT="0" distB="0" distL="114300" distR="114300" simplePos="0" relativeHeight="251718656" behindDoc="0" locked="0" layoutInCell="1" allowOverlap="1">
            <wp:simplePos x="0" y="0"/>
            <wp:positionH relativeFrom="margin">
              <wp:posOffset>-3810</wp:posOffset>
            </wp:positionH>
            <wp:positionV relativeFrom="margin">
              <wp:posOffset>-159385</wp:posOffset>
            </wp:positionV>
            <wp:extent cx="8540115" cy="5339715"/>
            <wp:effectExtent l="0" t="0" r="13335" b="13335"/>
            <wp:wrapSquare wrapText="bothSides"/>
            <wp:docPr id="5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1"/>
                    <pic:cNvPicPr>
                      <a:picLocks noChangeAspect="1"/>
                    </pic:cNvPicPr>
                  </pic:nvPicPr>
                  <pic:blipFill>
                    <a:blip r:embed="rId36"/>
                    <a:stretch>
                      <a:fillRect/>
                    </a:stretch>
                  </pic:blipFill>
                  <pic:spPr>
                    <a:xfrm>
                      <a:off x="0" y="0"/>
                      <a:ext cx="8540115" cy="5339715"/>
                    </a:xfrm>
                    <a:prstGeom prst="rect">
                      <a:avLst/>
                    </a:prstGeom>
                    <a:noFill/>
                    <a:ln>
                      <a:noFill/>
                    </a:ln>
                  </pic:spPr>
                </pic:pic>
              </a:graphicData>
            </a:graphic>
          </wp:anchor>
        </w:drawing>
      </w:r>
    </w:p>
    <w:p>
      <w:pPr>
        <w:rPr>
          <w:rFonts w:hint="default" w:ascii="Times New Roman" w:hAnsi="Times New Roman" w:eastAsia="宋体" w:cs="Times New Roman"/>
          <w:b/>
          <w:bCs w:val="0"/>
          <w:color w:val="000000"/>
          <w:sz w:val="24"/>
          <w:szCs w:val="24"/>
          <w:lang w:eastAsia="zh-CN" w:bidi="ar"/>
        </w:rPr>
        <w:sectPr>
          <w:pgSz w:w="16840" w:h="11915" w:orient="landscape"/>
          <w:pgMar w:top="1702" w:right="1702" w:bottom="1702" w:left="1702" w:header="851" w:footer="1077" w:gutter="0"/>
          <w:paperSrc/>
          <w:cols w:space="425" w:num="1"/>
          <w:docGrid w:type="lines" w:linePitch="479" w:charSpace="0"/>
        </w:sectPr>
      </w:pPr>
    </w:p>
    <w:p>
      <w:pPr>
        <w:pStyle w:val="56"/>
        <w:widowControl/>
        <w:snapToGrid/>
        <w:spacing w:line="360" w:lineRule="auto"/>
        <w:rPr>
          <w:color w:val="000000"/>
          <w:lang w:val="en-US"/>
        </w:rPr>
      </w:pPr>
      <w:r>
        <w:rPr>
          <w:rFonts w:hint="eastAsia" w:ascii="Times New Roman" w:hAnsi="Times New Roman" w:eastAsia="黑体" w:cs="黑体"/>
          <w:color w:val="000000"/>
          <w:lang w:eastAsia="zh-CN"/>
        </w:rPr>
        <w:t>表</w:t>
      </w:r>
      <w:r>
        <w:rPr>
          <w:color w:val="000000"/>
          <w:lang w:val="en-US"/>
        </w:rPr>
        <w:t xml:space="preserve">4.2-1  </w:t>
      </w:r>
      <w:r>
        <w:rPr>
          <w:rFonts w:hint="eastAsia" w:ascii="Times New Roman" w:hAnsi="Times New Roman" w:eastAsia="黑体" w:cs="黑体"/>
          <w:color w:val="000000"/>
          <w:lang w:eastAsia="zh-CN"/>
        </w:rPr>
        <w:t>鞍山市空气质量现状评价表</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000000" w:sz="4" w:space="0"/>
          <w:insideV w:val="single" w:color="000000" w:sz="4" w:space="0"/>
        </w:tblBorders>
        <w:shd w:val="clear"/>
        <w:tblLayout w:type="autofit"/>
        <w:tblCellMar>
          <w:top w:w="0" w:type="dxa"/>
          <w:left w:w="108" w:type="dxa"/>
          <w:bottom w:w="0" w:type="dxa"/>
          <w:right w:w="108" w:type="dxa"/>
        </w:tblCellMar>
      </w:tblPr>
      <w:tblGrid>
        <w:gridCol w:w="988"/>
        <w:gridCol w:w="2551"/>
        <w:gridCol w:w="1418"/>
        <w:gridCol w:w="1417"/>
        <w:gridCol w:w="1021"/>
        <w:gridCol w:w="1100"/>
      </w:tblGrid>
      <w:tr>
        <w:tblPrEx>
          <w:tblBorders>
            <w:top w:val="thinThickSmallGap" w:color="auto" w:sz="12" w:space="0"/>
            <w:left w:val="none" w:color="auto" w:sz="6" w:space="0"/>
            <w:bottom w:val="thickThinSmallGap" w:color="auto" w:sz="12" w:space="0"/>
            <w:right w:val="none" w:color="auto" w:sz="6" w:space="0"/>
            <w:insideH w:val="single" w:color="000000" w:sz="4" w:space="0"/>
            <w:insideV w:val="single" w:color="000000" w:sz="4" w:space="0"/>
          </w:tblBorders>
          <w:shd w:val="clear"/>
          <w:tblCellMar>
            <w:top w:w="0" w:type="dxa"/>
            <w:left w:w="108" w:type="dxa"/>
            <w:bottom w:w="0" w:type="dxa"/>
            <w:right w:w="108" w:type="dxa"/>
          </w:tblCellMar>
        </w:tblPrEx>
        <w:trPr>
          <w:trHeight w:val="397" w:hRule="atLeast"/>
          <w:tblHeader/>
          <w:jc w:val="center"/>
        </w:trPr>
        <w:tc>
          <w:tcPr>
            <w:tcW w:w="988" w:type="dxa"/>
            <w:tcBorders>
              <w:top w:val="thinThickSmallGap" w:color="auto" w:sz="12" w:space="0"/>
              <w:left w:val="nil"/>
              <w:bottom w:val="single" w:color="000000" w:sz="4" w:space="0"/>
              <w:right w:val="single" w:color="000000"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污染物</w:t>
            </w:r>
          </w:p>
        </w:tc>
        <w:tc>
          <w:tcPr>
            <w:tcW w:w="2551" w:type="dxa"/>
            <w:tcBorders>
              <w:top w:val="thinThickSmallGap" w:color="auto" w:sz="12" w:space="0"/>
              <w:left w:val="single" w:color="000000" w:sz="4" w:space="0"/>
              <w:bottom w:val="single" w:color="000000" w:sz="4" w:space="0"/>
              <w:right w:val="single" w:color="000000"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年评价指标</w:t>
            </w:r>
          </w:p>
        </w:tc>
        <w:tc>
          <w:tcPr>
            <w:tcW w:w="1418" w:type="dxa"/>
            <w:tcBorders>
              <w:top w:val="thinThickSmallGap" w:color="auto" w:sz="12" w:space="0"/>
              <w:left w:val="single" w:color="000000" w:sz="4" w:space="0"/>
              <w:bottom w:val="single" w:color="000000" w:sz="4" w:space="0"/>
              <w:right w:val="single" w:color="000000"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eastAsia" w:ascii="Times New Roman" w:hAnsi="Times New Roman" w:eastAsia="宋体" w:cs="Times New Roman"/>
                <w:color w:val="000000"/>
                <w:kern w:val="0"/>
                <w:sz w:val="21"/>
                <w:szCs w:val="21"/>
                <w:bdr w:val="none" w:color="auto" w:sz="0" w:space="0"/>
                <w:lang w:val="en-US" w:eastAsia="zh-CN" w:bidi="ar"/>
              </w:rPr>
              <w:t>现状浓度</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rPr>
              <w:t>µg/m</w:t>
            </w:r>
            <w:r>
              <w:rPr>
                <w:rFonts w:hint="default" w:ascii="Times New Roman" w:hAnsi="Times New Roman" w:cs="Times New Roman"/>
                <w:color w:val="000000"/>
                <w:sz w:val="21"/>
                <w:szCs w:val="21"/>
                <w:bdr w:val="none" w:color="auto" w:sz="0" w:space="0"/>
                <w:vertAlign w:val="superscript"/>
                <w:lang/>
              </w:rPr>
              <w:t>3</w:t>
            </w:r>
            <w:r>
              <w:rPr>
                <w:rFonts w:ascii="Times New Roman" w:hAnsi="Times New Roman" w:cs="Times New Roman"/>
                <w:color w:val="000000"/>
                <w:sz w:val="21"/>
                <w:szCs w:val="21"/>
                <w:bdr w:val="none" w:color="auto" w:sz="0" w:space="0"/>
              </w:rPr>
              <w:t>）</w:t>
            </w:r>
          </w:p>
        </w:tc>
        <w:tc>
          <w:tcPr>
            <w:tcW w:w="1417" w:type="dxa"/>
            <w:tcBorders>
              <w:top w:val="thinThickSmallGap" w:color="auto" w:sz="12" w:space="0"/>
              <w:left w:val="single" w:color="000000" w:sz="4" w:space="0"/>
              <w:bottom w:val="single" w:color="000000" w:sz="4" w:space="0"/>
              <w:right w:val="single" w:color="000000"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eastAsia" w:ascii="Times New Roman" w:hAnsi="Times New Roman" w:eastAsia="宋体" w:cs="Times New Roman"/>
                <w:color w:val="000000"/>
                <w:kern w:val="0"/>
                <w:sz w:val="21"/>
                <w:szCs w:val="21"/>
                <w:bdr w:val="none" w:color="auto" w:sz="0" w:space="0"/>
                <w:lang w:val="en-US" w:eastAsia="zh-CN" w:bidi="ar"/>
              </w:rPr>
              <w:t>标准值</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rPr>
              <w:t>µg/m</w:t>
            </w:r>
            <w:r>
              <w:rPr>
                <w:rFonts w:hint="default" w:ascii="Times New Roman" w:hAnsi="Times New Roman" w:cs="Times New Roman"/>
                <w:color w:val="000000"/>
                <w:sz w:val="21"/>
                <w:szCs w:val="21"/>
                <w:bdr w:val="none" w:color="auto" w:sz="0" w:space="0"/>
                <w:vertAlign w:val="superscript"/>
                <w:lang/>
              </w:rPr>
              <w:t>3</w:t>
            </w:r>
            <w:r>
              <w:rPr>
                <w:rFonts w:ascii="Times New Roman" w:hAnsi="Times New Roman" w:cs="Times New Roman"/>
                <w:color w:val="000000"/>
                <w:sz w:val="21"/>
                <w:szCs w:val="21"/>
                <w:bdr w:val="none" w:color="auto" w:sz="0" w:space="0"/>
              </w:rPr>
              <w:t>）</w:t>
            </w:r>
          </w:p>
        </w:tc>
        <w:tc>
          <w:tcPr>
            <w:tcW w:w="1021" w:type="dxa"/>
            <w:tcBorders>
              <w:top w:val="thinThickSmallGap" w:color="auto" w:sz="12" w:space="0"/>
              <w:left w:val="single" w:color="000000" w:sz="4" w:space="0"/>
              <w:bottom w:val="single" w:color="000000" w:sz="4" w:space="0"/>
              <w:right w:val="single" w:color="000000"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eastAsia" w:ascii="Times New Roman" w:hAnsi="Times New Roman" w:eastAsia="宋体" w:cs="Times New Roman"/>
                <w:color w:val="000000"/>
                <w:kern w:val="0"/>
                <w:sz w:val="21"/>
                <w:szCs w:val="21"/>
                <w:bdr w:val="none" w:color="auto" w:sz="0" w:space="0"/>
                <w:lang w:val="en-US" w:eastAsia="zh-CN" w:bidi="ar"/>
              </w:rPr>
              <w:t>占标率</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rPr>
              <w:t>%</w:t>
            </w:r>
            <w:r>
              <w:rPr>
                <w:rFonts w:ascii="Times New Roman" w:hAnsi="Times New Roman" w:cs="Times New Roman"/>
                <w:color w:val="000000"/>
                <w:sz w:val="21"/>
                <w:szCs w:val="21"/>
                <w:bdr w:val="none" w:color="auto" w:sz="0" w:space="0"/>
              </w:rPr>
              <w:t>）</w:t>
            </w:r>
          </w:p>
        </w:tc>
        <w:tc>
          <w:tcPr>
            <w:tcW w:w="1100" w:type="dxa"/>
            <w:tcBorders>
              <w:top w:val="thinThickSmallGap" w:color="auto" w:sz="12" w:space="0"/>
              <w:left w:val="single" w:color="000000" w:sz="4" w:space="0"/>
              <w:bottom w:val="single" w:color="000000" w:sz="4" w:space="0"/>
              <w:right w:val="nil"/>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达标情况</w:t>
            </w:r>
          </w:p>
        </w:tc>
      </w:tr>
      <w:tr>
        <w:tblPrEx>
          <w:tblBorders>
            <w:top w:val="thinThickSmallGap" w:color="auto" w:sz="12" w:space="0"/>
            <w:left w:val="none" w:color="auto" w:sz="6" w:space="0"/>
            <w:bottom w:val="thickThinSmallGap" w:color="auto" w:sz="12" w:space="0"/>
            <w:right w:val="none" w:color="auto" w:sz="6"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8" w:type="dxa"/>
            <w:vMerge w:val="restart"/>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PM</w:t>
            </w:r>
            <w:r>
              <w:rPr>
                <w:rFonts w:hint="default" w:ascii="Times New Roman" w:hAnsi="Times New Roman" w:cs="Times New Roman"/>
                <w:color w:val="000000"/>
                <w:sz w:val="21"/>
                <w:szCs w:val="21"/>
                <w:bdr w:val="none" w:color="auto" w:sz="0" w:space="0"/>
                <w:vertAlign w:val="subscript"/>
                <w:lang/>
              </w:rPr>
              <w:t>2.5</w:t>
            </w:r>
          </w:p>
        </w:tc>
        <w:tc>
          <w:tcPr>
            <w:tcW w:w="255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年平均质量浓度</w:t>
            </w:r>
          </w:p>
        </w:tc>
        <w:tc>
          <w:tcPr>
            <w:tcW w:w="1418"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41</w:t>
            </w:r>
          </w:p>
        </w:tc>
        <w:tc>
          <w:tcPr>
            <w:tcW w:w="141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35</w:t>
            </w:r>
          </w:p>
        </w:tc>
        <w:tc>
          <w:tcPr>
            <w:tcW w:w="102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117</w:t>
            </w:r>
          </w:p>
        </w:tc>
        <w:tc>
          <w:tcPr>
            <w:tcW w:w="1100" w:type="dxa"/>
            <w:tcBorders>
              <w:top w:val="single" w:color="000000" w:sz="4" w:space="0"/>
              <w:left w:val="single" w:color="000000" w:sz="4" w:space="0"/>
              <w:bottom w:val="single" w:color="000000"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超标</w:t>
            </w:r>
          </w:p>
        </w:tc>
      </w:tr>
      <w:tr>
        <w:tblPrEx>
          <w:tblBorders>
            <w:top w:val="thinThickSmallGap" w:color="auto" w:sz="12" w:space="0"/>
            <w:left w:val="none" w:color="auto" w:sz="6" w:space="0"/>
            <w:bottom w:val="thickThinSmallGap" w:color="auto" w:sz="12" w:space="0"/>
            <w:right w:val="none" w:color="auto" w:sz="6"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8" w:type="dxa"/>
            <w:vMerge w:val="continue"/>
            <w:tcBorders>
              <w:top w:val="single" w:color="000000" w:sz="4" w:space="0"/>
              <w:left w:val="nil"/>
              <w:bottom w:val="single" w:color="000000" w:sz="4" w:space="0"/>
              <w:right w:val="single" w:color="000000" w:sz="4" w:space="0"/>
            </w:tcBorders>
            <w:shd w:val="clear"/>
            <w:vAlign w:val="center"/>
          </w:tcPr>
          <w:p>
            <w:pPr>
              <w:rPr>
                <w:rFonts w:hint="default" w:ascii="Times New Roman" w:hAnsi="Times New Roman" w:cs="Times New Roman"/>
                <w:sz w:val="20"/>
                <w:szCs w:val="20"/>
              </w:rPr>
            </w:pPr>
          </w:p>
        </w:tc>
        <w:tc>
          <w:tcPr>
            <w:tcW w:w="255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lang w:val="en-US" w:eastAsia="en-US"/>
              </w:rPr>
              <w:t>第</w:t>
            </w:r>
            <w:r>
              <w:rPr>
                <w:rFonts w:hint="default" w:ascii="Times New Roman" w:hAnsi="Times New Roman" w:cs="Times New Roman"/>
                <w:color w:val="000000"/>
                <w:sz w:val="21"/>
                <w:szCs w:val="21"/>
                <w:bdr w:val="none" w:color="auto" w:sz="0" w:space="0"/>
                <w:lang w:val="en-US" w:eastAsia="en-US"/>
              </w:rPr>
              <w:t>95</w:t>
            </w:r>
            <w:r>
              <w:rPr>
                <w:rFonts w:ascii="Times New Roman" w:hAnsi="Times New Roman" w:cs="Times New Roman"/>
                <w:color w:val="000000"/>
                <w:sz w:val="21"/>
                <w:szCs w:val="21"/>
                <w:bdr w:val="none" w:color="auto" w:sz="0" w:space="0"/>
                <w:lang w:val="en-US" w:eastAsia="en-US"/>
              </w:rPr>
              <w:t>百分位数日平均</w:t>
            </w:r>
          </w:p>
        </w:tc>
        <w:tc>
          <w:tcPr>
            <w:tcW w:w="1418"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82</w:t>
            </w:r>
          </w:p>
        </w:tc>
        <w:tc>
          <w:tcPr>
            <w:tcW w:w="141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75</w:t>
            </w:r>
          </w:p>
        </w:tc>
        <w:tc>
          <w:tcPr>
            <w:tcW w:w="102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109</w:t>
            </w:r>
          </w:p>
        </w:tc>
        <w:tc>
          <w:tcPr>
            <w:tcW w:w="1100" w:type="dxa"/>
            <w:tcBorders>
              <w:top w:val="single" w:color="000000" w:sz="4" w:space="0"/>
              <w:left w:val="single" w:color="000000" w:sz="4" w:space="0"/>
              <w:bottom w:val="single" w:color="000000"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超标</w:t>
            </w:r>
          </w:p>
        </w:tc>
      </w:tr>
      <w:tr>
        <w:tblPrEx>
          <w:tblBorders>
            <w:top w:val="thinThickSmallGap" w:color="auto" w:sz="12" w:space="0"/>
            <w:left w:val="none" w:color="auto" w:sz="6" w:space="0"/>
            <w:bottom w:val="thickThinSmallGap" w:color="auto" w:sz="12" w:space="0"/>
            <w:right w:val="none" w:color="auto" w:sz="6"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8" w:type="dxa"/>
            <w:vMerge w:val="restart"/>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PM</w:t>
            </w:r>
            <w:r>
              <w:rPr>
                <w:rFonts w:hint="default" w:ascii="Times New Roman" w:hAnsi="Times New Roman" w:cs="Times New Roman"/>
                <w:color w:val="000000"/>
                <w:sz w:val="21"/>
                <w:szCs w:val="21"/>
                <w:bdr w:val="none" w:color="auto" w:sz="0" w:space="0"/>
                <w:vertAlign w:val="subscript"/>
                <w:lang/>
              </w:rPr>
              <w:t>10</w:t>
            </w:r>
          </w:p>
        </w:tc>
        <w:tc>
          <w:tcPr>
            <w:tcW w:w="255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年平均质量浓度</w:t>
            </w:r>
          </w:p>
        </w:tc>
        <w:tc>
          <w:tcPr>
            <w:tcW w:w="1418"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77</w:t>
            </w:r>
          </w:p>
        </w:tc>
        <w:tc>
          <w:tcPr>
            <w:tcW w:w="141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70</w:t>
            </w:r>
          </w:p>
        </w:tc>
        <w:tc>
          <w:tcPr>
            <w:tcW w:w="102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110</w:t>
            </w:r>
          </w:p>
        </w:tc>
        <w:tc>
          <w:tcPr>
            <w:tcW w:w="1100" w:type="dxa"/>
            <w:tcBorders>
              <w:top w:val="single" w:color="000000" w:sz="4" w:space="0"/>
              <w:left w:val="single" w:color="000000" w:sz="4" w:space="0"/>
              <w:bottom w:val="single" w:color="000000"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超标</w:t>
            </w:r>
          </w:p>
        </w:tc>
      </w:tr>
      <w:tr>
        <w:tblPrEx>
          <w:tblBorders>
            <w:top w:val="thinThickSmallGap" w:color="auto" w:sz="12" w:space="0"/>
            <w:left w:val="none" w:color="auto" w:sz="6" w:space="0"/>
            <w:bottom w:val="thickThinSmallGap" w:color="auto" w:sz="12" w:space="0"/>
            <w:right w:val="none" w:color="auto" w:sz="6"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8" w:type="dxa"/>
            <w:vMerge w:val="continue"/>
            <w:tcBorders>
              <w:top w:val="single" w:color="000000" w:sz="4" w:space="0"/>
              <w:left w:val="nil"/>
              <w:bottom w:val="single" w:color="000000" w:sz="4" w:space="0"/>
              <w:right w:val="single" w:color="000000" w:sz="4" w:space="0"/>
            </w:tcBorders>
            <w:shd w:val="clear"/>
            <w:vAlign w:val="center"/>
          </w:tcPr>
          <w:p>
            <w:pPr>
              <w:rPr>
                <w:rFonts w:hint="default" w:ascii="Times New Roman" w:hAnsi="Times New Roman" w:cs="Times New Roman"/>
                <w:sz w:val="20"/>
                <w:szCs w:val="20"/>
              </w:rPr>
            </w:pPr>
          </w:p>
        </w:tc>
        <w:tc>
          <w:tcPr>
            <w:tcW w:w="255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lang w:val="en-US" w:eastAsia="en-US"/>
              </w:rPr>
              <w:t>第</w:t>
            </w:r>
            <w:r>
              <w:rPr>
                <w:rFonts w:hint="default" w:ascii="Times New Roman" w:hAnsi="Times New Roman" w:cs="Times New Roman"/>
                <w:color w:val="000000"/>
                <w:sz w:val="21"/>
                <w:szCs w:val="21"/>
                <w:bdr w:val="none" w:color="auto" w:sz="0" w:space="0"/>
                <w:lang w:val="en-US" w:eastAsia="en-US"/>
              </w:rPr>
              <w:t>95</w:t>
            </w:r>
            <w:r>
              <w:rPr>
                <w:rFonts w:ascii="Times New Roman" w:hAnsi="Times New Roman" w:cs="Times New Roman"/>
                <w:color w:val="000000"/>
                <w:sz w:val="21"/>
                <w:szCs w:val="21"/>
                <w:bdr w:val="none" w:color="auto" w:sz="0" w:space="0"/>
                <w:lang w:val="en-US" w:eastAsia="en-US"/>
              </w:rPr>
              <w:t>百分位数日平均</w:t>
            </w:r>
          </w:p>
        </w:tc>
        <w:tc>
          <w:tcPr>
            <w:tcW w:w="1418"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127</w:t>
            </w:r>
          </w:p>
        </w:tc>
        <w:tc>
          <w:tcPr>
            <w:tcW w:w="141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150</w:t>
            </w:r>
          </w:p>
        </w:tc>
        <w:tc>
          <w:tcPr>
            <w:tcW w:w="102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85</w:t>
            </w:r>
          </w:p>
        </w:tc>
        <w:tc>
          <w:tcPr>
            <w:tcW w:w="1100" w:type="dxa"/>
            <w:tcBorders>
              <w:top w:val="single" w:color="000000" w:sz="4" w:space="0"/>
              <w:left w:val="single" w:color="000000" w:sz="4" w:space="0"/>
              <w:bottom w:val="single" w:color="000000"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达标</w:t>
            </w:r>
          </w:p>
        </w:tc>
      </w:tr>
      <w:tr>
        <w:tblPrEx>
          <w:tblBorders>
            <w:top w:val="thinThickSmallGap" w:color="auto" w:sz="12" w:space="0"/>
            <w:left w:val="none" w:color="auto" w:sz="6" w:space="0"/>
            <w:bottom w:val="thickThinSmallGap" w:color="auto" w:sz="12" w:space="0"/>
            <w:right w:val="none" w:color="auto" w:sz="6"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8" w:type="dxa"/>
            <w:vMerge w:val="restart"/>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SO</w:t>
            </w:r>
            <w:r>
              <w:rPr>
                <w:rFonts w:hint="default" w:ascii="Times New Roman" w:hAnsi="Times New Roman" w:cs="Times New Roman"/>
                <w:color w:val="000000"/>
                <w:sz w:val="21"/>
                <w:szCs w:val="21"/>
                <w:bdr w:val="none" w:color="auto" w:sz="0" w:space="0"/>
                <w:vertAlign w:val="subscript"/>
                <w:lang/>
              </w:rPr>
              <w:t>2</w:t>
            </w:r>
          </w:p>
        </w:tc>
        <w:tc>
          <w:tcPr>
            <w:tcW w:w="255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年平均质量浓度</w:t>
            </w:r>
          </w:p>
        </w:tc>
        <w:tc>
          <w:tcPr>
            <w:tcW w:w="1418"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22</w:t>
            </w:r>
          </w:p>
        </w:tc>
        <w:tc>
          <w:tcPr>
            <w:tcW w:w="141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60</w:t>
            </w:r>
          </w:p>
        </w:tc>
        <w:tc>
          <w:tcPr>
            <w:tcW w:w="102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37</w:t>
            </w:r>
          </w:p>
        </w:tc>
        <w:tc>
          <w:tcPr>
            <w:tcW w:w="1100" w:type="dxa"/>
            <w:tcBorders>
              <w:top w:val="single" w:color="000000" w:sz="4" w:space="0"/>
              <w:left w:val="single" w:color="000000" w:sz="4" w:space="0"/>
              <w:bottom w:val="single" w:color="000000"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达标</w:t>
            </w:r>
          </w:p>
        </w:tc>
      </w:tr>
      <w:tr>
        <w:tblPrEx>
          <w:tblBorders>
            <w:top w:val="thinThickSmallGap" w:color="auto" w:sz="12" w:space="0"/>
            <w:left w:val="none" w:color="auto" w:sz="6" w:space="0"/>
            <w:bottom w:val="thickThinSmallGap" w:color="auto" w:sz="12" w:space="0"/>
            <w:right w:val="none" w:color="auto" w:sz="6"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8" w:type="dxa"/>
            <w:vMerge w:val="continue"/>
            <w:tcBorders>
              <w:top w:val="single" w:color="000000" w:sz="4" w:space="0"/>
              <w:left w:val="nil"/>
              <w:bottom w:val="single" w:color="000000" w:sz="4" w:space="0"/>
              <w:right w:val="single" w:color="000000" w:sz="4" w:space="0"/>
            </w:tcBorders>
            <w:shd w:val="clear"/>
            <w:vAlign w:val="center"/>
          </w:tcPr>
          <w:p>
            <w:pPr>
              <w:rPr>
                <w:rFonts w:hint="default" w:ascii="Times New Roman" w:hAnsi="Times New Roman" w:cs="Times New Roman"/>
                <w:sz w:val="20"/>
                <w:szCs w:val="20"/>
              </w:rPr>
            </w:pPr>
          </w:p>
        </w:tc>
        <w:tc>
          <w:tcPr>
            <w:tcW w:w="255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第</w:t>
            </w:r>
            <w:r>
              <w:rPr>
                <w:rFonts w:hint="default" w:ascii="Times New Roman" w:hAnsi="Times New Roman" w:cs="Times New Roman"/>
                <w:color w:val="000000"/>
                <w:sz w:val="21"/>
                <w:szCs w:val="21"/>
                <w:bdr w:val="none" w:color="auto" w:sz="0" w:space="0"/>
                <w:lang/>
              </w:rPr>
              <w:t>98</w:t>
            </w:r>
            <w:r>
              <w:rPr>
                <w:rFonts w:ascii="Times New Roman" w:hAnsi="Times New Roman" w:cs="Times New Roman"/>
                <w:color w:val="000000"/>
                <w:sz w:val="21"/>
                <w:szCs w:val="21"/>
                <w:bdr w:val="none" w:color="auto" w:sz="0" w:space="0"/>
              </w:rPr>
              <w:t>百分位日平均</w:t>
            </w:r>
          </w:p>
        </w:tc>
        <w:tc>
          <w:tcPr>
            <w:tcW w:w="1418"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52</w:t>
            </w:r>
          </w:p>
        </w:tc>
        <w:tc>
          <w:tcPr>
            <w:tcW w:w="141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150</w:t>
            </w:r>
          </w:p>
        </w:tc>
        <w:tc>
          <w:tcPr>
            <w:tcW w:w="102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35</w:t>
            </w:r>
          </w:p>
        </w:tc>
        <w:tc>
          <w:tcPr>
            <w:tcW w:w="1100" w:type="dxa"/>
            <w:tcBorders>
              <w:top w:val="single" w:color="000000" w:sz="4" w:space="0"/>
              <w:left w:val="single" w:color="000000" w:sz="4" w:space="0"/>
              <w:bottom w:val="single" w:color="000000"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达标</w:t>
            </w:r>
          </w:p>
        </w:tc>
      </w:tr>
      <w:tr>
        <w:tblPrEx>
          <w:tblBorders>
            <w:top w:val="thinThickSmallGap" w:color="auto" w:sz="12" w:space="0"/>
            <w:left w:val="none" w:color="auto" w:sz="6" w:space="0"/>
            <w:bottom w:val="thickThinSmallGap" w:color="auto" w:sz="12" w:space="0"/>
            <w:right w:val="none" w:color="auto" w:sz="6"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8" w:type="dxa"/>
            <w:vMerge w:val="restart"/>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NO</w:t>
            </w:r>
            <w:r>
              <w:rPr>
                <w:rFonts w:hint="default" w:ascii="Times New Roman" w:hAnsi="Times New Roman" w:cs="Times New Roman"/>
                <w:color w:val="000000"/>
                <w:sz w:val="21"/>
                <w:szCs w:val="21"/>
                <w:bdr w:val="none" w:color="auto" w:sz="0" w:space="0"/>
                <w:vertAlign w:val="subscript"/>
                <w:lang/>
              </w:rPr>
              <w:t>2</w:t>
            </w:r>
          </w:p>
        </w:tc>
        <w:tc>
          <w:tcPr>
            <w:tcW w:w="255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年平均质量浓度</w:t>
            </w:r>
          </w:p>
        </w:tc>
        <w:tc>
          <w:tcPr>
            <w:tcW w:w="1418"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34</w:t>
            </w:r>
          </w:p>
        </w:tc>
        <w:tc>
          <w:tcPr>
            <w:tcW w:w="141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40</w:t>
            </w:r>
          </w:p>
        </w:tc>
        <w:tc>
          <w:tcPr>
            <w:tcW w:w="102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85</w:t>
            </w:r>
          </w:p>
        </w:tc>
        <w:tc>
          <w:tcPr>
            <w:tcW w:w="1100" w:type="dxa"/>
            <w:tcBorders>
              <w:top w:val="single" w:color="000000" w:sz="4" w:space="0"/>
              <w:left w:val="single" w:color="000000" w:sz="4" w:space="0"/>
              <w:bottom w:val="single" w:color="000000"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达标</w:t>
            </w:r>
          </w:p>
        </w:tc>
      </w:tr>
      <w:tr>
        <w:tblPrEx>
          <w:tblBorders>
            <w:top w:val="thinThickSmallGap" w:color="auto" w:sz="12" w:space="0"/>
            <w:left w:val="none" w:color="auto" w:sz="6" w:space="0"/>
            <w:bottom w:val="thickThinSmallGap" w:color="auto" w:sz="12" w:space="0"/>
            <w:right w:val="none" w:color="auto" w:sz="6"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8" w:type="dxa"/>
            <w:vMerge w:val="continue"/>
            <w:tcBorders>
              <w:top w:val="single" w:color="000000" w:sz="4" w:space="0"/>
              <w:left w:val="nil"/>
              <w:bottom w:val="single" w:color="000000" w:sz="4" w:space="0"/>
              <w:right w:val="single" w:color="000000" w:sz="4" w:space="0"/>
            </w:tcBorders>
            <w:shd w:val="clear"/>
            <w:vAlign w:val="center"/>
          </w:tcPr>
          <w:p>
            <w:pPr>
              <w:rPr>
                <w:rFonts w:hint="default" w:ascii="Times New Roman" w:hAnsi="Times New Roman" w:cs="Times New Roman"/>
                <w:sz w:val="20"/>
                <w:szCs w:val="20"/>
              </w:rPr>
            </w:pPr>
          </w:p>
        </w:tc>
        <w:tc>
          <w:tcPr>
            <w:tcW w:w="255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lang w:val="en-US" w:eastAsia="en-US"/>
              </w:rPr>
              <w:t>第</w:t>
            </w:r>
            <w:r>
              <w:rPr>
                <w:rFonts w:hint="default" w:ascii="Times New Roman" w:hAnsi="Times New Roman" w:cs="Times New Roman"/>
                <w:color w:val="000000"/>
                <w:sz w:val="21"/>
                <w:szCs w:val="21"/>
                <w:bdr w:val="none" w:color="auto" w:sz="0" w:space="0"/>
                <w:lang w:val="en-US" w:eastAsia="en-US"/>
              </w:rPr>
              <w:t>98</w:t>
            </w:r>
            <w:r>
              <w:rPr>
                <w:rFonts w:ascii="Times New Roman" w:hAnsi="Times New Roman" w:cs="Times New Roman"/>
                <w:color w:val="000000"/>
                <w:sz w:val="21"/>
                <w:szCs w:val="21"/>
                <w:bdr w:val="none" w:color="auto" w:sz="0" w:space="0"/>
                <w:lang w:val="en-US" w:eastAsia="en-US"/>
              </w:rPr>
              <w:t>百分位数日平均</w:t>
            </w:r>
          </w:p>
        </w:tc>
        <w:tc>
          <w:tcPr>
            <w:tcW w:w="1418"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60</w:t>
            </w:r>
          </w:p>
        </w:tc>
        <w:tc>
          <w:tcPr>
            <w:tcW w:w="141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80</w:t>
            </w:r>
          </w:p>
        </w:tc>
        <w:tc>
          <w:tcPr>
            <w:tcW w:w="102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75</w:t>
            </w:r>
          </w:p>
        </w:tc>
        <w:tc>
          <w:tcPr>
            <w:tcW w:w="1100" w:type="dxa"/>
            <w:tcBorders>
              <w:top w:val="single" w:color="000000" w:sz="4" w:space="0"/>
              <w:left w:val="single" w:color="000000" w:sz="4" w:space="0"/>
              <w:bottom w:val="single" w:color="000000"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达标</w:t>
            </w:r>
          </w:p>
        </w:tc>
      </w:tr>
      <w:tr>
        <w:tblPrEx>
          <w:tblBorders>
            <w:top w:val="thinThickSmallGap" w:color="auto" w:sz="12" w:space="0"/>
            <w:left w:val="none" w:color="auto" w:sz="6" w:space="0"/>
            <w:bottom w:val="thickThinSmallGap" w:color="auto" w:sz="12" w:space="0"/>
            <w:right w:val="none" w:color="auto" w:sz="6"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8"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CO</w:t>
            </w:r>
          </w:p>
        </w:tc>
        <w:tc>
          <w:tcPr>
            <w:tcW w:w="255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第</w:t>
            </w:r>
            <w:r>
              <w:rPr>
                <w:rFonts w:hint="default" w:ascii="Times New Roman" w:hAnsi="Times New Roman" w:cs="Times New Roman"/>
                <w:color w:val="000000"/>
                <w:sz w:val="21"/>
                <w:szCs w:val="21"/>
                <w:bdr w:val="none" w:color="auto" w:sz="0" w:space="0"/>
                <w:lang/>
              </w:rPr>
              <w:t>95%</w:t>
            </w:r>
            <w:r>
              <w:rPr>
                <w:rFonts w:ascii="Times New Roman" w:hAnsi="Times New Roman" w:cs="Times New Roman"/>
                <w:color w:val="000000"/>
                <w:sz w:val="21"/>
                <w:szCs w:val="21"/>
                <w:bdr w:val="none" w:color="auto" w:sz="0" w:space="0"/>
              </w:rPr>
              <w:t>百分位日平均</w:t>
            </w:r>
          </w:p>
        </w:tc>
        <w:tc>
          <w:tcPr>
            <w:tcW w:w="1418"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2200</w:t>
            </w:r>
          </w:p>
        </w:tc>
        <w:tc>
          <w:tcPr>
            <w:tcW w:w="141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4000</w:t>
            </w:r>
          </w:p>
        </w:tc>
        <w:tc>
          <w:tcPr>
            <w:tcW w:w="102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55</w:t>
            </w:r>
          </w:p>
        </w:tc>
        <w:tc>
          <w:tcPr>
            <w:tcW w:w="1100" w:type="dxa"/>
            <w:tcBorders>
              <w:top w:val="single" w:color="000000" w:sz="4" w:space="0"/>
              <w:left w:val="single" w:color="000000" w:sz="4" w:space="0"/>
              <w:bottom w:val="single" w:color="000000"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达标</w:t>
            </w:r>
          </w:p>
        </w:tc>
      </w:tr>
      <w:tr>
        <w:tblPrEx>
          <w:tblBorders>
            <w:top w:val="thinThickSmallGap" w:color="auto" w:sz="12" w:space="0"/>
            <w:left w:val="none" w:color="auto" w:sz="6" w:space="0"/>
            <w:bottom w:val="thickThinSmallGap" w:color="auto" w:sz="12" w:space="0"/>
            <w:right w:val="none" w:color="auto" w:sz="6"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8" w:type="dxa"/>
            <w:tcBorders>
              <w:top w:val="single" w:color="000000" w:sz="4" w:space="0"/>
              <w:left w:val="nil"/>
              <w:bottom w:val="thickThinSmallGap" w:color="auto" w:sz="12"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O</w:t>
            </w:r>
            <w:r>
              <w:rPr>
                <w:rFonts w:hint="default" w:ascii="Times New Roman" w:hAnsi="Times New Roman" w:cs="Times New Roman"/>
                <w:color w:val="000000"/>
                <w:sz w:val="21"/>
                <w:szCs w:val="21"/>
                <w:bdr w:val="none" w:color="auto" w:sz="0" w:space="0"/>
                <w:vertAlign w:val="subscript"/>
                <w:lang/>
              </w:rPr>
              <w:t>3</w:t>
            </w:r>
          </w:p>
        </w:tc>
        <w:tc>
          <w:tcPr>
            <w:tcW w:w="2551" w:type="dxa"/>
            <w:tcBorders>
              <w:top w:val="single" w:color="000000" w:sz="4" w:space="0"/>
              <w:left w:val="single" w:color="000000" w:sz="4" w:space="0"/>
              <w:bottom w:val="thickThinSmallGap" w:color="auto" w:sz="12"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第</w:t>
            </w:r>
            <w:r>
              <w:rPr>
                <w:rFonts w:hint="default" w:ascii="Times New Roman" w:hAnsi="Times New Roman" w:cs="Times New Roman"/>
                <w:color w:val="000000"/>
                <w:sz w:val="21"/>
                <w:szCs w:val="21"/>
                <w:bdr w:val="none" w:color="auto" w:sz="0" w:space="0"/>
                <w:lang/>
              </w:rPr>
              <w:t>90%</w:t>
            </w:r>
            <w:r>
              <w:rPr>
                <w:rFonts w:ascii="Times New Roman" w:hAnsi="Times New Roman" w:cs="Times New Roman"/>
                <w:color w:val="000000"/>
                <w:sz w:val="21"/>
                <w:szCs w:val="21"/>
                <w:bdr w:val="none" w:color="auto" w:sz="0" w:space="0"/>
              </w:rPr>
              <w:t>百分位日最大</w:t>
            </w:r>
            <w:r>
              <w:rPr>
                <w:rFonts w:hint="default" w:ascii="Times New Roman" w:hAnsi="Times New Roman" w:cs="Times New Roman"/>
                <w:color w:val="000000"/>
                <w:sz w:val="21"/>
                <w:szCs w:val="21"/>
                <w:bdr w:val="none" w:color="auto" w:sz="0" w:space="0"/>
                <w:lang/>
              </w:rPr>
              <w:t>8h</w:t>
            </w:r>
            <w:r>
              <w:rPr>
                <w:rFonts w:ascii="Times New Roman" w:hAnsi="Times New Roman" w:cs="Times New Roman"/>
                <w:color w:val="000000"/>
                <w:sz w:val="21"/>
                <w:szCs w:val="21"/>
                <w:bdr w:val="none" w:color="auto" w:sz="0" w:space="0"/>
              </w:rPr>
              <w:t>滑动平均质量浓度</w:t>
            </w:r>
          </w:p>
        </w:tc>
        <w:tc>
          <w:tcPr>
            <w:tcW w:w="1418" w:type="dxa"/>
            <w:tcBorders>
              <w:top w:val="single" w:color="000000" w:sz="4" w:space="0"/>
              <w:left w:val="single" w:color="000000" w:sz="4" w:space="0"/>
              <w:bottom w:val="thickThinSmallGap" w:color="auto" w:sz="12"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158</w:t>
            </w:r>
          </w:p>
        </w:tc>
        <w:tc>
          <w:tcPr>
            <w:tcW w:w="1417" w:type="dxa"/>
            <w:tcBorders>
              <w:top w:val="single" w:color="000000" w:sz="4" w:space="0"/>
              <w:left w:val="single" w:color="000000" w:sz="4" w:space="0"/>
              <w:bottom w:val="thickThinSmallGap" w:color="auto" w:sz="12"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160</w:t>
            </w:r>
          </w:p>
        </w:tc>
        <w:tc>
          <w:tcPr>
            <w:tcW w:w="1021" w:type="dxa"/>
            <w:tcBorders>
              <w:top w:val="single" w:color="000000" w:sz="4" w:space="0"/>
              <w:left w:val="single" w:color="000000" w:sz="4" w:space="0"/>
              <w:bottom w:val="thickThinSmallGap" w:color="auto" w:sz="12" w:space="0"/>
              <w:right w:val="single" w:color="000000"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99</w:t>
            </w:r>
          </w:p>
        </w:tc>
        <w:tc>
          <w:tcPr>
            <w:tcW w:w="1100" w:type="dxa"/>
            <w:tcBorders>
              <w:top w:val="single" w:color="000000" w:sz="4" w:space="0"/>
              <w:left w:val="single" w:color="000000"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达标</w:t>
            </w:r>
          </w:p>
        </w:tc>
      </w:tr>
    </w:tbl>
    <w:p>
      <w:pPr>
        <w:keepNext w:val="0"/>
        <w:keepLines w:val="0"/>
        <w:widowControl/>
        <w:suppressLineNumbers w:val="0"/>
        <w:autoSpaceDE w:val="0"/>
        <w:autoSpaceDN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由上表可知，本项目所在区域</w:t>
      </w:r>
      <w:r>
        <w:rPr>
          <w:rFonts w:hint="default" w:ascii="Times New Roman" w:hAnsi="Times New Roman" w:eastAsia="宋体" w:cs="Times New Roman"/>
          <w:color w:val="000000"/>
          <w:kern w:val="0"/>
          <w:sz w:val="24"/>
          <w:szCs w:val="24"/>
          <w:lang w:eastAsia="zh-CN" w:bidi="ar"/>
        </w:rPr>
        <w:t>PM</w:t>
      </w:r>
      <w:r>
        <w:rPr>
          <w:rFonts w:hint="default" w:ascii="Times New Roman" w:hAnsi="Times New Roman" w:eastAsia="宋体" w:cs="Times New Roman"/>
          <w:color w:val="000000"/>
          <w:kern w:val="0"/>
          <w:sz w:val="24"/>
          <w:szCs w:val="24"/>
          <w:vertAlign w:val="subscript"/>
          <w:lang w:eastAsia="zh-CN" w:bidi="ar"/>
        </w:rPr>
        <w:t>10</w:t>
      </w:r>
      <w:r>
        <w:rPr>
          <w:rFonts w:hint="eastAsia" w:ascii="Times New Roman" w:hAnsi="Times New Roman" w:eastAsia="宋体" w:cs="Times New Roman"/>
          <w:color w:val="000000"/>
          <w:kern w:val="0"/>
          <w:sz w:val="24"/>
          <w:szCs w:val="24"/>
          <w:lang w:val="en-US" w:eastAsia="zh-CN" w:bidi="ar"/>
        </w:rPr>
        <w:t>的年平均浓度、</w:t>
      </w:r>
      <w:r>
        <w:rPr>
          <w:rFonts w:hint="default" w:ascii="Times New Roman" w:hAnsi="Times New Roman" w:eastAsia="宋体" w:cs="Times New Roman"/>
          <w:color w:val="000000"/>
          <w:kern w:val="0"/>
          <w:sz w:val="24"/>
          <w:szCs w:val="24"/>
          <w:lang w:eastAsia="zh-CN" w:bidi="ar"/>
        </w:rPr>
        <w:t>PM</w:t>
      </w:r>
      <w:r>
        <w:rPr>
          <w:rFonts w:hint="default" w:ascii="Times New Roman" w:hAnsi="Times New Roman" w:eastAsia="宋体" w:cs="Times New Roman"/>
          <w:color w:val="000000"/>
          <w:kern w:val="0"/>
          <w:sz w:val="24"/>
          <w:szCs w:val="24"/>
          <w:vertAlign w:val="subscript"/>
          <w:lang w:eastAsia="zh-CN" w:bidi="ar"/>
        </w:rPr>
        <w:t>2.5</w:t>
      </w:r>
      <w:r>
        <w:rPr>
          <w:rFonts w:hint="eastAsia" w:ascii="Times New Roman" w:hAnsi="Times New Roman" w:eastAsia="宋体" w:cs="Times New Roman"/>
          <w:color w:val="000000"/>
          <w:kern w:val="0"/>
          <w:sz w:val="24"/>
          <w:szCs w:val="24"/>
          <w:lang w:val="en-US" w:eastAsia="zh-CN" w:bidi="ar"/>
        </w:rPr>
        <w:t>年平均浓度和第</w:t>
      </w:r>
      <w:r>
        <w:rPr>
          <w:rFonts w:hint="default" w:ascii="Times New Roman" w:hAnsi="Times New Roman" w:eastAsia="宋体" w:cs="Times New Roman"/>
          <w:color w:val="000000"/>
          <w:kern w:val="0"/>
          <w:sz w:val="24"/>
          <w:szCs w:val="24"/>
          <w:lang w:eastAsia="zh-CN" w:bidi="ar"/>
        </w:rPr>
        <w:t>95</w:t>
      </w:r>
      <w:r>
        <w:rPr>
          <w:rFonts w:hint="eastAsia" w:ascii="Times New Roman" w:hAnsi="Times New Roman" w:eastAsia="宋体" w:cs="Times New Roman"/>
          <w:color w:val="000000"/>
          <w:kern w:val="0"/>
          <w:sz w:val="24"/>
          <w:szCs w:val="24"/>
          <w:lang w:val="en-US" w:eastAsia="zh-CN" w:bidi="ar"/>
        </w:rPr>
        <w:t>百分位数日平均浓度均不能满足《环境空气质量标准》（</w:t>
      </w:r>
      <w:r>
        <w:rPr>
          <w:rFonts w:hint="default" w:ascii="Times New Roman" w:hAnsi="Times New Roman" w:eastAsia="宋体" w:cs="Times New Roman"/>
          <w:color w:val="000000"/>
          <w:kern w:val="0"/>
          <w:sz w:val="24"/>
          <w:szCs w:val="24"/>
          <w:lang w:eastAsia="zh-CN" w:bidi="ar"/>
        </w:rPr>
        <w:t>GB3095-2012</w:t>
      </w:r>
      <w:r>
        <w:rPr>
          <w:rFonts w:hint="eastAsia" w:ascii="Times New Roman" w:hAnsi="Times New Roman" w:eastAsia="宋体" w:cs="Times New Roman"/>
          <w:color w:val="000000"/>
          <w:kern w:val="0"/>
          <w:sz w:val="24"/>
          <w:szCs w:val="24"/>
          <w:lang w:val="en-US" w:eastAsia="zh-CN" w:bidi="ar"/>
        </w:rPr>
        <w:t>）及其修改单中的二级标准，为不达标区。除臭氧指标与</w:t>
      </w:r>
      <w:r>
        <w:rPr>
          <w:rFonts w:hint="default" w:ascii="Times New Roman" w:hAnsi="Times New Roman" w:eastAsia="宋体" w:cs="Times New Roman"/>
          <w:color w:val="000000"/>
          <w:kern w:val="0"/>
          <w:sz w:val="24"/>
          <w:szCs w:val="24"/>
          <w:lang w:val="en-US" w:eastAsia="zh-CN" w:bidi="ar"/>
        </w:rPr>
        <w:t>2017</w:t>
      </w:r>
      <w:r>
        <w:rPr>
          <w:rFonts w:hint="eastAsia" w:ascii="Times New Roman" w:hAnsi="Times New Roman" w:eastAsia="宋体" w:cs="Times New Roman"/>
          <w:color w:val="000000"/>
          <w:kern w:val="0"/>
          <w:sz w:val="24"/>
          <w:szCs w:val="24"/>
          <w:lang w:val="en-US" w:eastAsia="zh-CN" w:bidi="ar"/>
        </w:rPr>
        <w:t>年持平外，其余各项污染物浓度与上年相比均下降。</w:t>
      </w:r>
    </w:p>
    <w:p>
      <w:pPr>
        <w:keepNext w:val="0"/>
        <w:keepLines w:val="0"/>
        <w:widowControl/>
        <w:suppressLineNumbers w:val="0"/>
        <w:autoSpaceDE w:val="0"/>
        <w:autoSpaceDN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随着《辽宁省大气污染防治行动方案》、《辽宁省打赢蓝天保卫战三年行动方案（</w:t>
      </w:r>
      <w:r>
        <w:rPr>
          <w:rFonts w:hint="default" w:ascii="Times New Roman" w:hAnsi="Times New Roman" w:eastAsia="宋体" w:cs="Times New Roman"/>
          <w:color w:val="000000"/>
          <w:kern w:val="0"/>
          <w:sz w:val="24"/>
          <w:szCs w:val="24"/>
          <w:lang w:eastAsia="zh-CN" w:bidi="ar"/>
        </w:rPr>
        <w:t xml:space="preserve">2018—2020 </w:t>
      </w:r>
      <w:r>
        <w:rPr>
          <w:rFonts w:hint="eastAsia" w:ascii="Times New Roman" w:hAnsi="Times New Roman" w:eastAsia="宋体" w:cs="Times New Roman"/>
          <w:color w:val="000000"/>
          <w:kern w:val="0"/>
          <w:sz w:val="24"/>
          <w:szCs w:val="24"/>
          <w:lang w:val="en-US" w:eastAsia="zh-CN" w:bidi="ar"/>
        </w:rPr>
        <w:t>年）》等的实施，通过严控新建小型燃煤热源、全面拆除燃煤小锅炉、加强施工扬尘整治、严控交通扬尘、严控工业堆场扬尘、加大城乡绿化力度、规定新改扩建项目执行特别排放限值等方面的行动，项目所在区域环境空气质量将进一步得到改善。</w:t>
      </w:r>
    </w:p>
    <w:p>
      <w:pPr>
        <w:keepNext w:val="0"/>
        <w:keepLines w:val="0"/>
        <w:widowControl/>
        <w:suppressLineNumbers w:val="0"/>
        <w:autoSpaceDE w:val="0"/>
        <w:autoSpaceDN w:val="0"/>
        <w:spacing w:before="0" w:beforeAutospacing="0" w:after="0" w:afterAutospacing="0" w:line="500" w:lineRule="exact"/>
        <w:ind w:left="0" w:right="0" w:firstLine="496"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spacing w:val="4"/>
          <w:kern w:val="0"/>
          <w:sz w:val="24"/>
          <w:szCs w:val="24"/>
          <w:lang w:val="en-US" w:eastAsia="zh-CN" w:bidi="ar"/>
        </w:rPr>
        <w:t>海城市落实中央环保督查反馈意见，特召开了一系列镁制品企业综合整治审核工作会议，并制订了《海城市人民政府办公室关于印发海城市镁砂行业环境污染整治行动方案的通知》（海政办发【</w:t>
      </w:r>
      <w:r>
        <w:rPr>
          <w:rFonts w:hint="default" w:ascii="Times New Roman" w:hAnsi="Times New Roman" w:eastAsia="宋体" w:cs="Times New Roman"/>
          <w:color w:val="000000"/>
          <w:spacing w:val="4"/>
          <w:kern w:val="0"/>
          <w:sz w:val="24"/>
          <w:szCs w:val="24"/>
          <w:lang w:val="en-US" w:eastAsia="zh-CN" w:bidi="ar"/>
        </w:rPr>
        <w:t>2017</w:t>
      </w:r>
      <w:r>
        <w:rPr>
          <w:rFonts w:hint="eastAsia" w:ascii="Times New Roman" w:hAnsi="Times New Roman" w:eastAsia="宋体" w:cs="Times New Roman"/>
          <w:color w:val="000000"/>
          <w:spacing w:val="4"/>
          <w:kern w:val="0"/>
          <w:sz w:val="24"/>
          <w:szCs w:val="24"/>
          <w:lang w:val="en-US" w:eastAsia="zh-CN" w:bidi="ar"/>
        </w:rPr>
        <w:t>】</w:t>
      </w:r>
      <w:r>
        <w:rPr>
          <w:rFonts w:hint="default" w:ascii="Times New Roman" w:hAnsi="Times New Roman" w:eastAsia="宋体" w:cs="Times New Roman"/>
          <w:color w:val="000000"/>
          <w:spacing w:val="4"/>
          <w:kern w:val="0"/>
          <w:sz w:val="24"/>
          <w:szCs w:val="24"/>
          <w:lang w:val="en-US" w:eastAsia="zh-CN" w:bidi="ar"/>
        </w:rPr>
        <w:t>131</w:t>
      </w:r>
      <w:r>
        <w:rPr>
          <w:rFonts w:hint="eastAsia" w:ascii="Times New Roman" w:hAnsi="Times New Roman" w:eastAsia="宋体" w:cs="Times New Roman"/>
          <w:color w:val="000000"/>
          <w:spacing w:val="4"/>
          <w:kern w:val="0"/>
          <w:sz w:val="24"/>
          <w:szCs w:val="24"/>
          <w:lang w:val="en-US" w:eastAsia="zh-CN" w:bidi="ar"/>
        </w:rPr>
        <w:t>号）和《海城市人民政府办公室关于印发镁制品企业综合整治审核工作方案》（海政办发【</w:t>
      </w:r>
      <w:r>
        <w:rPr>
          <w:rFonts w:hint="default" w:ascii="Times New Roman" w:hAnsi="Times New Roman" w:eastAsia="宋体" w:cs="Times New Roman"/>
          <w:color w:val="000000"/>
          <w:spacing w:val="4"/>
          <w:kern w:val="0"/>
          <w:sz w:val="24"/>
          <w:szCs w:val="24"/>
          <w:lang w:val="en-US" w:eastAsia="zh-CN" w:bidi="ar"/>
        </w:rPr>
        <w:t>2018</w:t>
      </w:r>
      <w:r>
        <w:rPr>
          <w:rFonts w:hint="eastAsia" w:ascii="Times New Roman" w:hAnsi="Times New Roman" w:eastAsia="宋体" w:cs="Times New Roman"/>
          <w:color w:val="000000"/>
          <w:spacing w:val="4"/>
          <w:kern w:val="0"/>
          <w:sz w:val="24"/>
          <w:szCs w:val="24"/>
          <w:lang w:val="en-US" w:eastAsia="zh-CN" w:bidi="ar"/>
        </w:rPr>
        <w:t>】</w:t>
      </w:r>
      <w:r>
        <w:rPr>
          <w:rFonts w:hint="default" w:ascii="Times New Roman" w:hAnsi="Times New Roman" w:eastAsia="宋体" w:cs="Times New Roman"/>
          <w:color w:val="000000"/>
          <w:spacing w:val="4"/>
          <w:kern w:val="0"/>
          <w:sz w:val="24"/>
          <w:szCs w:val="24"/>
          <w:lang w:val="en-US" w:eastAsia="zh-CN" w:bidi="ar"/>
        </w:rPr>
        <w:t>9</w:t>
      </w:r>
      <w:r>
        <w:rPr>
          <w:rFonts w:hint="eastAsia" w:ascii="Times New Roman" w:hAnsi="Times New Roman" w:eastAsia="宋体" w:cs="Times New Roman"/>
          <w:color w:val="000000"/>
          <w:spacing w:val="4"/>
          <w:kern w:val="0"/>
          <w:sz w:val="24"/>
          <w:szCs w:val="24"/>
          <w:lang w:val="en-US" w:eastAsia="zh-CN" w:bidi="ar"/>
        </w:rPr>
        <w:t>号），针对粉尘污染严重区域进行了整治，并取得了良好的效果。</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rPr>
        <w:t xml:space="preserve">4.2.1.2 </w:t>
      </w:r>
      <w:r>
        <w:rPr>
          <w:rFonts w:ascii="Times New Roman" w:hAnsi="Times New Roman" w:cs="Times New Roman"/>
          <w:color w:val="000000"/>
          <w:lang/>
        </w:rPr>
        <w:t>特征污染物环境空气质量现状调查与评价</w:t>
      </w:r>
    </w:p>
    <w:p>
      <w:pPr>
        <w:keepNext w:val="0"/>
        <w:keepLines w:val="0"/>
        <w:widowControl/>
        <w:suppressLineNumbers w:val="0"/>
        <w:autoSpaceDE w:val="0"/>
        <w:autoSpaceDN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）监测因子</w:t>
      </w:r>
    </w:p>
    <w:p>
      <w:pPr>
        <w:keepNext w:val="0"/>
        <w:keepLines w:val="0"/>
        <w:widowControl/>
        <w:suppressLineNumbers w:val="0"/>
        <w:autoSpaceDE w:val="0"/>
        <w:autoSpaceDN w:val="0"/>
        <w:spacing w:before="0" w:beforeAutospacing="0" w:after="0" w:afterAutospacing="0" w:line="500" w:lineRule="exact"/>
        <w:ind w:left="0" w:right="0" w:firstLine="480" w:firstLineChars="200"/>
        <w:jc w:val="left"/>
        <w:rPr>
          <w:rFonts w:hint="default" w:ascii="Times New Roman" w:hAnsi="Times New Roman" w:cs="Times New Roman"/>
          <w:bCs/>
          <w:color w:val="000000"/>
          <w:vertAlign w:val="subscript"/>
          <w:lang w:val="en-US"/>
        </w:rPr>
      </w:pPr>
      <w:r>
        <w:rPr>
          <w:rFonts w:hint="default" w:ascii="Times New Roman" w:hAnsi="Times New Roman" w:eastAsia="宋体" w:cs="Times New Roman"/>
          <w:color w:val="000000"/>
          <w:kern w:val="0"/>
          <w:sz w:val="24"/>
          <w:szCs w:val="24"/>
          <w:lang w:val="en-US" w:eastAsia="zh-CN" w:bidi="ar"/>
        </w:rPr>
        <w:t>TSP</w:t>
      </w:r>
      <w:r>
        <w:rPr>
          <w:rFonts w:hint="eastAsia" w:ascii="Times New Roman" w:hAnsi="Times New Roman" w:eastAsia="宋体" w:cs="Times New Roman"/>
          <w:bCs/>
          <w:color w:val="000000"/>
          <w:kern w:val="0"/>
          <w:sz w:val="24"/>
          <w:szCs w:val="24"/>
          <w:lang w:val="en-US" w:eastAsia="zh-CN" w:bidi="ar"/>
        </w:rPr>
        <w:t>。</w:t>
      </w:r>
    </w:p>
    <w:p>
      <w:pPr>
        <w:keepNext w:val="0"/>
        <w:keepLines w:val="0"/>
        <w:widowControl/>
        <w:suppressLineNumbers w:val="0"/>
        <w:autoSpaceDE w:val="0"/>
        <w:autoSpaceDN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）监测点位布设</w:t>
      </w:r>
    </w:p>
    <w:p>
      <w:pPr>
        <w:keepNext w:val="0"/>
        <w:keepLines w:val="0"/>
        <w:widowControl/>
        <w:suppressLineNumbers w:val="0"/>
        <w:autoSpaceDE w:val="0"/>
        <w:autoSpaceDN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本项目引用《辽宁华子玉镁铝科技有限公司低</w:t>
      </w:r>
      <w:r>
        <w:rPr>
          <w:rFonts w:hint="eastAsia" w:ascii="宋体" w:hAnsi="宋体" w:eastAsia="宋体" w:cs="宋体"/>
          <w:color w:val="000000"/>
          <w:kern w:val="0"/>
          <w:sz w:val="24"/>
          <w:szCs w:val="24"/>
          <w:lang w:val="en-US" w:eastAsia="zh-CN" w:bidi="ar"/>
        </w:rPr>
        <w:t>品位菱镁矿经浮选电熔后生产12万吨/年镁碳砖生产线项目环境影响报告书》中的监测数据，</w:t>
      </w:r>
      <w:r>
        <w:rPr>
          <w:rFonts w:hint="eastAsia" w:ascii="Times New Roman" w:hAnsi="Times New Roman" w:eastAsia="宋体" w:cs="Times New Roman"/>
          <w:color w:val="000000"/>
          <w:kern w:val="0"/>
          <w:sz w:val="24"/>
          <w:szCs w:val="24"/>
          <w:lang w:val="en-US" w:eastAsia="zh-CN" w:bidi="ar"/>
        </w:rPr>
        <w:t>监测点位布置情况见表</w:t>
      </w:r>
      <w:r>
        <w:rPr>
          <w:rFonts w:hint="default" w:ascii="Times New Roman" w:hAnsi="Times New Roman" w:eastAsia="宋体" w:cs="Times New Roman"/>
          <w:color w:val="000000"/>
          <w:kern w:val="0"/>
          <w:sz w:val="24"/>
          <w:szCs w:val="24"/>
          <w:lang w:val="en-US" w:eastAsia="zh-CN" w:bidi="ar"/>
        </w:rPr>
        <w:t>4.2-2</w:t>
      </w:r>
      <w:r>
        <w:rPr>
          <w:rFonts w:hint="eastAsia" w:ascii="Times New Roman" w:hAnsi="Times New Roman" w:eastAsia="宋体" w:cs="Times New Roman"/>
          <w:color w:val="000000"/>
          <w:kern w:val="0"/>
          <w:sz w:val="24"/>
          <w:szCs w:val="24"/>
          <w:lang w:val="en-US" w:eastAsia="zh-CN" w:bidi="ar"/>
        </w:rPr>
        <w:t>，位置见图</w:t>
      </w:r>
      <w:r>
        <w:rPr>
          <w:rFonts w:hint="default" w:ascii="Times New Roman" w:hAnsi="Times New Roman" w:eastAsia="宋体" w:cs="Times New Roman"/>
          <w:color w:val="000000"/>
          <w:kern w:val="0"/>
          <w:sz w:val="24"/>
          <w:szCs w:val="24"/>
          <w:lang w:val="en-US" w:eastAsia="zh-CN" w:bidi="ar"/>
        </w:rPr>
        <w:t>4-4</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黑体" w:cs="Times New Roman"/>
          <w:color w:val="000000"/>
          <w:lang w:val="zh-CN" w:eastAsia="zh-CN"/>
        </w:rPr>
      </w:pPr>
      <w:r>
        <w:rPr>
          <w:rFonts w:hint="eastAsia" w:ascii="Times New Roman" w:hAnsi="Times New Roman" w:eastAsia="黑体" w:cs="Times New Roman"/>
          <w:color w:val="000000"/>
          <w:kern w:val="0"/>
          <w:sz w:val="24"/>
          <w:szCs w:val="24"/>
          <w:lang w:val="zh-CN" w:eastAsia="zh-CN" w:bidi="ar"/>
        </w:rPr>
        <w:t>表</w:t>
      </w:r>
      <w:r>
        <w:rPr>
          <w:rFonts w:hint="default" w:ascii="Times New Roman" w:hAnsi="Times New Roman" w:eastAsia="黑体" w:cs="Times New Roman"/>
          <w:color w:val="000000"/>
          <w:kern w:val="0"/>
          <w:sz w:val="24"/>
          <w:szCs w:val="24"/>
          <w:lang w:val="zh-CN" w:eastAsia="zh-CN" w:bidi="ar"/>
        </w:rPr>
        <w:t xml:space="preserve">4.2-2  </w:t>
      </w:r>
      <w:r>
        <w:rPr>
          <w:rFonts w:hint="eastAsia" w:ascii="Times New Roman" w:hAnsi="Times New Roman" w:eastAsia="黑体" w:cs="Times New Roman"/>
          <w:color w:val="000000"/>
          <w:kern w:val="0"/>
          <w:sz w:val="24"/>
          <w:szCs w:val="24"/>
          <w:lang w:val="zh-CN" w:eastAsia="zh-CN" w:bidi="ar"/>
        </w:rPr>
        <w:t>环境空气质量现状监测点位</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873"/>
        <w:gridCol w:w="2214"/>
        <w:gridCol w:w="2554"/>
        <w:gridCol w:w="3086"/>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cantSplit/>
          <w:trHeight w:val="397" w:hRule="atLeast"/>
          <w:tblHeader/>
          <w:jc w:val="center"/>
        </w:trPr>
        <w:tc>
          <w:tcPr>
            <w:tcW w:w="500" w:type="pct"/>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编号</w:t>
            </w:r>
          </w:p>
        </w:tc>
        <w:tc>
          <w:tcPr>
            <w:tcW w:w="1268"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监测点位</w:t>
            </w:r>
          </w:p>
        </w:tc>
        <w:tc>
          <w:tcPr>
            <w:tcW w:w="1463"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相对本项目的方位</w:t>
            </w:r>
          </w:p>
        </w:tc>
        <w:tc>
          <w:tcPr>
            <w:tcW w:w="1767" w:type="pct"/>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与本项目距离（</w:t>
            </w:r>
            <w:r>
              <w:rPr>
                <w:rFonts w:hint="default" w:ascii="Times New Roman" w:hAnsi="Times New Roman" w:cs="Times New Roman"/>
                <w:color w:val="000000"/>
                <w:sz w:val="21"/>
                <w:szCs w:val="21"/>
                <w:bdr w:val="none" w:color="auto" w:sz="0" w:space="0"/>
                <w:lang w:val="en-US"/>
              </w:rPr>
              <w:t>m</w:t>
            </w:r>
            <w:r>
              <w:rPr>
                <w:rFonts w:ascii="Times New Roman" w:hAnsi="Times New Roman" w:cs="Times New Roman"/>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00" w:type="pc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1268"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铧子峪村居民楼</w:t>
            </w:r>
          </w:p>
        </w:tc>
        <w:tc>
          <w:tcPr>
            <w:tcW w:w="1463"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N</w:t>
            </w:r>
          </w:p>
        </w:tc>
        <w:tc>
          <w:tcPr>
            <w:tcW w:w="1767"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1459</w:t>
            </w:r>
          </w:p>
        </w:tc>
      </w:tr>
    </w:tbl>
    <w:p>
      <w:pPr>
        <w:keepNext w:val="0"/>
        <w:keepLines w:val="0"/>
        <w:widowControl/>
        <w:suppressLineNumbers w:val="0"/>
        <w:autoSpaceDE w:val="0"/>
        <w:autoSpaceDN w:val="0"/>
        <w:adjustRightInd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）监测时间及频率</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监测时间为</w:t>
      </w:r>
      <w:r>
        <w:rPr>
          <w:rFonts w:hint="default" w:ascii="Times New Roman" w:hAnsi="Times New Roman" w:eastAsia="宋体" w:cs="Times New Roman"/>
          <w:color w:val="000000"/>
          <w:kern w:val="0"/>
          <w:sz w:val="24"/>
          <w:szCs w:val="24"/>
          <w:lang w:val="en-US" w:eastAsia="zh-CN" w:bidi="ar"/>
        </w:rPr>
        <w:t>2020</w:t>
      </w:r>
      <w:r>
        <w:rPr>
          <w:rFonts w:hint="eastAsia" w:ascii="Times New Roman" w:hAnsi="Times New Roman" w:eastAsia="宋体" w:cs="Times New Roman"/>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02</w:t>
      </w:r>
      <w:r>
        <w:rPr>
          <w:rFonts w:hint="eastAsia" w:ascii="Times New Roman" w:hAnsi="Times New Roman" w:eastAsia="宋体" w:cs="Times New Roman"/>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19</w:t>
      </w:r>
      <w:r>
        <w:rPr>
          <w:rFonts w:hint="eastAsia" w:ascii="Times New Roman" w:hAnsi="Times New Roman" w:eastAsia="宋体" w:cs="Times New Roman"/>
          <w:color w:val="000000"/>
          <w:kern w:val="0"/>
          <w:sz w:val="24"/>
          <w:szCs w:val="24"/>
          <w:lang w:val="en-US" w:eastAsia="zh-CN" w:bidi="ar"/>
        </w:rPr>
        <w:t>日</w:t>
      </w:r>
      <w:r>
        <w:rPr>
          <w:rFonts w:hint="default" w:ascii="Times New Roman" w:hAnsi="Times New Roman" w:eastAsia="宋体" w:cs="Times New Roman"/>
          <w:color w:val="000000"/>
          <w:kern w:val="0"/>
          <w:sz w:val="24"/>
          <w:szCs w:val="24"/>
          <w:lang w:val="en-US" w:eastAsia="zh-CN" w:bidi="ar"/>
        </w:rPr>
        <w:t>~02</w:t>
      </w:r>
      <w:r>
        <w:rPr>
          <w:rFonts w:hint="eastAsia" w:ascii="Times New Roman" w:hAnsi="Times New Roman" w:eastAsia="宋体" w:cs="Times New Roman"/>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25</w:t>
      </w:r>
      <w:r>
        <w:rPr>
          <w:rFonts w:hint="eastAsia" w:ascii="Times New Roman" w:hAnsi="Times New Roman" w:eastAsia="宋体" w:cs="Times New Roman"/>
          <w:color w:val="000000"/>
          <w:kern w:val="0"/>
          <w:sz w:val="24"/>
          <w:szCs w:val="24"/>
          <w:lang w:val="en-US" w:eastAsia="zh-CN" w:bidi="ar"/>
        </w:rPr>
        <w:t>日，共</w:t>
      </w:r>
      <w:r>
        <w:rPr>
          <w:rFonts w:hint="default" w:ascii="Times New Roman" w:hAnsi="Times New Roman" w:eastAsia="宋体" w:cs="Times New Roman"/>
          <w:color w:val="000000"/>
          <w:kern w:val="0"/>
          <w:sz w:val="24"/>
          <w:szCs w:val="24"/>
          <w:lang w:val="en-US" w:eastAsia="zh-CN" w:bidi="ar"/>
        </w:rPr>
        <w:t>7</w:t>
      </w:r>
      <w:r>
        <w:rPr>
          <w:rFonts w:hint="eastAsia" w:ascii="Times New Roman" w:hAnsi="Times New Roman" w:eastAsia="宋体" w:cs="Times New Roman"/>
          <w:color w:val="000000"/>
          <w:kern w:val="0"/>
          <w:sz w:val="24"/>
          <w:szCs w:val="24"/>
          <w:lang w:val="en-US" w:eastAsia="zh-CN" w:bidi="ar"/>
        </w:rPr>
        <w:t>天，</w:t>
      </w:r>
      <w:r>
        <w:rPr>
          <w:rFonts w:hint="default" w:ascii="Times New Roman" w:hAnsi="Times New Roman" w:eastAsia="宋体" w:cs="Times New Roman"/>
          <w:color w:val="000000"/>
          <w:kern w:val="0"/>
          <w:sz w:val="24"/>
          <w:szCs w:val="24"/>
          <w:lang w:val="en-US" w:eastAsia="zh-CN" w:bidi="ar"/>
        </w:rPr>
        <w:t>TSP</w:t>
      </w:r>
      <w:r>
        <w:rPr>
          <w:rFonts w:hint="eastAsia" w:ascii="Times New Roman" w:hAnsi="Times New Roman" w:eastAsia="宋体" w:cs="Times New Roman"/>
          <w:color w:val="000000"/>
          <w:kern w:val="0"/>
          <w:sz w:val="24"/>
          <w:szCs w:val="24"/>
          <w:lang w:val="en-US" w:eastAsia="zh-CN" w:bidi="ar"/>
        </w:rPr>
        <w:t>监测</w:t>
      </w:r>
      <w:r>
        <w:rPr>
          <w:rFonts w:hint="default" w:ascii="Times New Roman" w:hAnsi="Times New Roman" w:eastAsia="宋体" w:cs="Times New Roman"/>
          <w:color w:val="000000"/>
          <w:kern w:val="0"/>
          <w:sz w:val="24"/>
          <w:szCs w:val="24"/>
          <w:lang w:val="en-US" w:eastAsia="zh-CN" w:bidi="ar"/>
        </w:rPr>
        <w:t>24</w:t>
      </w:r>
      <w:r>
        <w:rPr>
          <w:rFonts w:hint="eastAsia" w:ascii="Times New Roman" w:hAnsi="Times New Roman" w:eastAsia="宋体" w:cs="Times New Roman"/>
          <w:color w:val="000000"/>
          <w:kern w:val="0"/>
          <w:sz w:val="24"/>
          <w:szCs w:val="24"/>
          <w:lang w:val="en-US" w:eastAsia="zh-CN" w:bidi="ar"/>
        </w:rPr>
        <w:t>小时均值。</w:t>
      </w:r>
    </w:p>
    <w:p>
      <w:pPr>
        <w:keepNext w:val="0"/>
        <w:keepLines w:val="0"/>
        <w:widowControl/>
        <w:suppressLineNumbers w:val="0"/>
        <w:autoSpaceDE w:val="0"/>
        <w:autoSpaceDN w:val="0"/>
        <w:adjustRightInd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4</w:t>
      </w:r>
      <w:r>
        <w:rPr>
          <w:rFonts w:hint="eastAsia" w:ascii="Times New Roman" w:hAnsi="Times New Roman" w:eastAsia="宋体" w:cs="Times New Roman"/>
          <w:b/>
          <w:bCs w:val="0"/>
          <w:color w:val="000000"/>
          <w:kern w:val="0"/>
          <w:sz w:val="24"/>
          <w:szCs w:val="24"/>
          <w:lang w:val="en-US" w:eastAsia="zh-CN" w:bidi="ar"/>
        </w:rPr>
        <w:t>）分析方法</w:t>
      </w:r>
    </w:p>
    <w:p>
      <w:pPr>
        <w:keepNext w:val="0"/>
        <w:keepLines w:val="0"/>
        <w:widowControl/>
        <w:suppressLineNumbers w:val="0"/>
        <w:autoSpaceDE w:val="0"/>
        <w:autoSpaceDN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各监测因子的监测分析方法和检出限见表</w:t>
      </w:r>
      <w:r>
        <w:rPr>
          <w:rFonts w:hint="default" w:ascii="Times New Roman" w:hAnsi="Times New Roman" w:eastAsia="宋体" w:cs="Times New Roman"/>
          <w:color w:val="000000"/>
          <w:kern w:val="0"/>
          <w:sz w:val="24"/>
          <w:szCs w:val="24"/>
          <w:lang w:val="en-US" w:eastAsia="zh-CN" w:bidi="ar"/>
        </w:rPr>
        <w:t>4.2-3</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1141"/>
          <w:tab w:val="left" w:pos="4335"/>
        </w:tabs>
        <w:spacing w:before="0" w:beforeAutospacing="0" w:after="0" w:afterAutospacing="0" w:line="360" w:lineRule="auto"/>
        <w:ind w:left="0" w:right="0"/>
        <w:jc w:val="center"/>
        <w:rPr>
          <w:rFonts w:hint="default" w:ascii="Times New Roman" w:hAnsi="Times New Roman" w:eastAsia="宋体（打印机字体）" w:cs="Times New Roman"/>
          <w:color w:val="000000"/>
          <w:lang w:val="en-US"/>
        </w:rPr>
      </w:pPr>
      <w:r>
        <w:rPr>
          <w:rFonts w:hint="eastAsia" w:ascii="Times New Roman" w:hAnsi="Times New Roman" w:eastAsia="黑体" w:cs="Times New Roman"/>
          <w:color w:val="000000"/>
          <w:kern w:val="0"/>
          <w:sz w:val="24"/>
          <w:szCs w:val="24"/>
          <w:lang w:val="zh-CN" w:eastAsia="zh-CN" w:bidi="ar"/>
        </w:rPr>
        <w:t>表</w:t>
      </w:r>
      <w:r>
        <w:rPr>
          <w:rFonts w:hint="default" w:ascii="Times New Roman" w:hAnsi="Times New Roman" w:eastAsia="黑体" w:cs="Times New Roman"/>
          <w:color w:val="000000"/>
          <w:kern w:val="0"/>
          <w:sz w:val="24"/>
          <w:szCs w:val="24"/>
          <w:lang w:val="zh-CN" w:eastAsia="zh-CN" w:bidi="ar"/>
        </w:rPr>
        <w:t xml:space="preserve">4.2-3  </w:t>
      </w:r>
      <w:r>
        <w:rPr>
          <w:rFonts w:hint="eastAsia" w:ascii="Times New Roman" w:hAnsi="Times New Roman" w:eastAsia="黑体" w:cs="Times New Roman"/>
          <w:color w:val="000000"/>
          <w:kern w:val="0"/>
          <w:sz w:val="24"/>
          <w:szCs w:val="24"/>
          <w:lang w:val="zh-CN" w:eastAsia="zh-CN" w:bidi="ar"/>
        </w:rPr>
        <w:t>大气污染物监测项目及分析方法</w:t>
      </w:r>
      <w:r>
        <w:rPr>
          <w:rFonts w:hint="default" w:ascii="Times New Roman" w:hAnsi="Times New Roman" w:eastAsia="宋体（打印机字体）" w:cs="Times New Roman"/>
          <w:color w:val="000000"/>
          <w:kern w:val="0"/>
          <w:sz w:val="24"/>
          <w:szCs w:val="24"/>
          <w:lang w:val="en-US" w:eastAsia="zh-CN" w:bidi="ar"/>
        </w:rPr>
        <w:t xml:space="preserve"> </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886"/>
        <w:gridCol w:w="4131"/>
        <w:gridCol w:w="1817"/>
        <w:gridCol w:w="1674"/>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84" w:hRule="atLeast"/>
          <w:tblHeader/>
          <w:jc w:val="center"/>
        </w:trPr>
        <w:tc>
          <w:tcPr>
            <w:tcW w:w="521" w:type="pct"/>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检测</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项目</w:t>
            </w:r>
          </w:p>
        </w:tc>
        <w:tc>
          <w:tcPr>
            <w:tcW w:w="2427"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分析方法及编号</w:t>
            </w:r>
          </w:p>
        </w:tc>
        <w:tc>
          <w:tcPr>
            <w:tcW w:w="1068"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最低检出限</w:t>
            </w:r>
          </w:p>
        </w:tc>
        <w:tc>
          <w:tcPr>
            <w:tcW w:w="984" w:type="pct"/>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仪器设备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521" w:type="pc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TSP</w:t>
            </w:r>
          </w:p>
        </w:tc>
        <w:tc>
          <w:tcPr>
            <w:tcW w:w="2427"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环境空气</w:t>
            </w:r>
            <w:r>
              <w:rPr>
                <w:rFonts w:hint="default" w:ascii="Times New Roman" w:hAnsi="Times New Roman" w:cs="Times New Roman"/>
                <w:color w:val="000000"/>
                <w:sz w:val="21"/>
                <w:szCs w:val="21"/>
                <w:bdr w:val="none" w:color="auto" w:sz="0" w:space="0"/>
              </w:rPr>
              <w:t xml:space="preserve"> </w:t>
            </w:r>
            <w:r>
              <w:rPr>
                <w:rFonts w:ascii="Times New Roman" w:hAnsi="Times New Roman" w:cs="Times New Roman"/>
                <w:color w:val="000000"/>
                <w:sz w:val="21"/>
                <w:szCs w:val="21"/>
                <w:bdr w:val="none" w:color="auto" w:sz="0" w:space="0"/>
              </w:rPr>
              <w:t>总悬浮颗粒物的测定</w:t>
            </w:r>
            <w:r>
              <w:rPr>
                <w:rFonts w:hint="default" w:ascii="Times New Roman" w:hAnsi="Times New Roman" w:cs="Times New Roman"/>
                <w:color w:val="000000"/>
                <w:sz w:val="21"/>
                <w:szCs w:val="21"/>
                <w:bdr w:val="none" w:color="auto" w:sz="0" w:space="0"/>
              </w:rPr>
              <w:t xml:space="preserve"> </w:t>
            </w:r>
            <w:r>
              <w:rPr>
                <w:rFonts w:ascii="Times New Roman" w:hAnsi="Times New Roman" w:cs="Times New Roman"/>
                <w:color w:val="000000"/>
                <w:sz w:val="21"/>
                <w:szCs w:val="21"/>
                <w:bdr w:val="none" w:color="auto" w:sz="0" w:space="0"/>
              </w:rPr>
              <w:t>重量法</w:t>
            </w:r>
            <w:r>
              <w:rPr>
                <w:rFonts w:hint="default" w:ascii="Times New Roman" w:hAnsi="Times New Roman" w:cs="Times New Roman"/>
                <w:color w:val="000000"/>
                <w:sz w:val="21"/>
                <w:szCs w:val="21"/>
                <w:bdr w:val="none" w:color="auto" w:sz="0" w:space="0"/>
                <w:lang w:val="en-US"/>
              </w:rPr>
              <w:t xml:space="preserve"> GB/T 15432-1995</w:t>
            </w:r>
            <w:r>
              <w:rPr>
                <w:rFonts w:ascii="Times New Roman" w:hAnsi="Times New Roman" w:cs="Times New Roman"/>
                <w:color w:val="000000"/>
                <w:sz w:val="21"/>
                <w:szCs w:val="21"/>
                <w:bdr w:val="none" w:color="auto" w:sz="0" w:space="0"/>
              </w:rPr>
              <w:t>及其修改单</w:t>
            </w:r>
          </w:p>
        </w:tc>
        <w:tc>
          <w:tcPr>
            <w:tcW w:w="1068"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autoSpaceDE w:val="0"/>
              <w:autoSpaceDN w:val="0"/>
              <w:spacing w:before="0" w:beforeAutospacing="0" w:after="0" w:afterAutospacing="0"/>
              <w:ind w:left="0" w:right="53" w:rightChars="25"/>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0.001mg/m</w:t>
            </w:r>
            <w:r>
              <w:rPr>
                <w:rFonts w:hint="default" w:ascii="Times New Roman" w:hAnsi="Times New Roman" w:cs="Times New Roman"/>
                <w:color w:val="000000"/>
                <w:sz w:val="21"/>
                <w:szCs w:val="21"/>
                <w:bdr w:val="none" w:color="auto" w:sz="0" w:space="0"/>
                <w:vertAlign w:val="superscript"/>
                <w:lang w:val="en-US"/>
              </w:rPr>
              <w:t>3</w:t>
            </w:r>
          </w:p>
        </w:tc>
        <w:tc>
          <w:tcPr>
            <w:tcW w:w="984"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autoSpaceDE w:val="0"/>
              <w:autoSpaceDN w:val="0"/>
              <w:spacing w:before="0" w:beforeAutospacing="0" w:after="0" w:afterAutospacing="0"/>
              <w:ind w:left="0" w:right="53" w:rightChars="25"/>
              <w:jc w:val="center"/>
              <w:rPr>
                <w:rFonts w:hint="default" w:ascii="Times New Roman" w:hAnsi="Times New Roman" w:cs="Times New Roman"/>
                <w:color w:val="000000"/>
                <w:sz w:val="21"/>
                <w:szCs w:val="21"/>
                <w:bdr w:val="none" w:color="auto" w:sz="0" w:space="0"/>
                <w:lang w:val="en-US"/>
              </w:rPr>
            </w:pPr>
            <w:bookmarkStart w:id="171" w:name="_Toc34730284"/>
            <w:bookmarkStart w:id="172" w:name="_Toc34260210"/>
            <w:r>
              <w:rPr>
                <w:rFonts w:ascii="Times New Roman" w:hAnsi="Times New Roman" w:cs="Times New Roman"/>
                <w:color w:val="000000"/>
                <w:sz w:val="21"/>
                <w:szCs w:val="21"/>
                <w:bdr w:val="none" w:color="auto" w:sz="0" w:space="0"/>
              </w:rPr>
              <w:t>分析电子天平</w:t>
            </w:r>
            <w:bookmarkEnd w:id="171"/>
            <w:bookmarkEnd w:id="172"/>
            <w:r>
              <w:rPr>
                <w:rFonts w:hint="default" w:ascii="Times New Roman" w:hAnsi="Times New Roman" w:cs="Times New Roman"/>
                <w:color w:val="000000"/>
                <w:sz w:val="21"/>
                <w:szCs w:val="21"/>
                <w:bdr w:val="none" w:color="auto" w:sz="0" w:space="0"/>
                <w:lang w:val="en-US"/>
              </w:rPr>
              <w:t>scjc-hj-007</w:t>
            </w:r>
          </w:p>
        </w:tc>
      </w:tr>
    </w:tbl>
    <w:p>
      <w:pPr>
        <w:keepNext w:val="0"/>
        <w:keepLines w:val="0"/>
        <w:widowControl/>
        <w:suppressLineNumbers w:val="0"/>
        <w:autoSpaceDE w:val="0"/>
        <w:autoSpaceDN w:val="0"/>
        <w:adjustRightInd w:val="0"/>
        <w:spacing w:before="0" w:beforeAutospacing="0" w:after="0" w:afterAutospacing="0" w:line="500" w:lineRule="exact"/>
        <w:ind w:left="0" w:right="0" w:firstLine="422" w:firstLineChars="200"/>
        <w:jc w:val="left"/>
        <w:rPr>
          <w:rFonts w:hint="default" w:ascii="Times New Roman" w:hAnsi="Times New Roman" w:cs="Times New Roman"/>
          <w:b/>
          <w:bCs w:val="0"/>
          <w:color w:val="000000"/>
          <w:lang w:val="en-US"/>
        </w:rPr>
      </w:pPr>
    </w:p>
    <w:p>
      <w:pPr>
        <w:keepNext w:val="0"/>
        <w:keepLines w:val="0"/>
        <w:widowControl/>
        <w:suppressLineNumbers w:val="0"/>
        <w:autoSpaceDE w:val="0"/>
        <w:autoSpaceDN w:val="0"/>
        <w:adjustRightInd w:val="0"/>
        <w:spacing w:before="0" w:beforeAutospacing="0" w:after="0" w:afterAutospacing="0" w:line="500" w:lineRule="exact"/>
        <w:ind w:left="0" w:right="0" w:firstLine="422" w:firstLineChars="200"/>
        <w:jc w:val="left"/>
        <w:rPr>
          <w:rFonts w:hint="default" w:ascii="Times New Roman" w:hAnsi="Times New Roman" w:cs="Times New Roman"/>
          <w:b/>
          <w:bCs w:val="0"/>
          <w:color w:val="000000"/>
          <w:lang w:val="en-US"/>
        </w:rPr>
      </w:pPr>
    </w:p>
    <w:p>
      <w:pPr>
        <w:keepNext w:val="0"/>
        <w:keepLines w:val="0"/>
        <w:widowControl/>
        <w:suppressLineNumbers w:val="0"/>
        <w:autoSpaceDE w:val="0"/>
        <w:autoSpaceDN w:val="0"/>
        <w:adjustRightInd w:val="0"/>
        <w:spacing w:before="0" w:beforeAutospacing="0" w:after="0" w:afterAutospacing="0" w:line="500" w:lineRule="exact"/>
        <w:ind w:left="0" w:right="0" w:firstLine="422" w:firstLineChars="200"/>
        <w:jc w:val="left"/>
        <w:rPr>
          <w:rFonts w:hint="default" w:ascii="Times New Roman" w:hAnsi="Times New Roman" w:cs="Times New Roman"/>
          <w:b/>
          <w:bCs w:val="0"/>
          <w:color w:val="000000"/>
          <w:lang w:val="en-US"/>
        </w:rPr>
      </w:pPr>
    </w:p>
    <w:p>
      <w:pPr>
        <w:rPr>
          <w:rFonts w:hint="default" w:ascii="Times New Roman" w:hAnsi="Times New Roman" w:eastAsia="宋体" w:cs="Times New Roman"/>
          <w:b/>
          <w:bCs w:val="0"/>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p>
      <w:pPr>
        <w:keepNext w:val="0"/>
        <w:keepLines w:val="0"/>
        <w:widowControl/>
        <w:suppressLineNumbers w:val="0"/>
        <w:autoSpaceDE w:val="0"/>
        <w:autoSpaceDN w:val="0"/>
        <w:adjustRightInd w:val="0"/>
        <w:snapToGrid w:val="0"/>
        <w:spacing w:before="0" w:beforeAutospacing="0" w:after="0" w:afterAutospacing="0" w:line="360" w:lineRule="auto"/>
        <w:ind w:left="0" w:right="0"/>
        <w:jc w:val="center"/>
        <w:rPr>
          <w:rFonts w:hint="default" w:ascii="Times New Roman" w:hAnsi="Times New Roman" w:cs="Times New Roman"/>
          <w:b/>
          <w:bCs w:val="0"/>
          <w:color w:val="000000"/>
          <w:lang w:val="en-US"/>
        </w:rPr>
      </w:pPr>
      <w:r>
        <w:rPr>
          <w:rFonts w:hint="eastAsia" w:ascii="宋体" w:hAnsi="宋体" w:eastAsia="宋体" w:cs="宋体"/>
          <w:snapToGrid w:val="0"/>
          <w:kern w:val="0"/>
          <w:sz w:val="24"/>
          <w:szCs w:val="24"/>
          <w:lang w:val="en-US" w:eastAsia="zh-CN" w:bidi="ar"/>
        </w:rPr>
        <w:drawing>
          <wp:anchor distT="0" distB="0" distL="114300" distR="114300" simplePos="0" relativeHeight="251730944" behindDoc="0" locked="0" layoutInCell="1" allowOverlap="1">
            <wp:simplePos x="0" y="0"/>
            <wp:positionH relativeFrom="margin">
              <wp:posOffset>455295</wp:posOffset>
            </wp:positionH>
            <wp:positionV relativeFrom="paragraph">
              <wp:posOffset>-330200</wp:posOffset>
            </wp:positionV>
            <wp:extent cx="7642860" cy="5736590"/>
            <wp:effectExtent l="0" t="0" r="15240" b="16510"/>
            <wp:wrapTopAndBottom/>
            <wp:docPr id="5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2"/>
                    <pic:cNvPicPr>
                      <a:picLocks noChangeAspect="1"/>
                    </pic:cNvPicPr>
                  </pic:nvPicPr>
                  <pic:blipFill>
                    <a:blip r:embed="rId37"/>
                    <a:stretch>
                      <a:fillRect/>
                    </a:stretch>
                  </pic:blipFill>
                  <pic:spPr>
                    <a:xfrm>
                      <a:off x="0" y="0"/>
                      <a:ext cx="7642860" cy="5736590"/>
                    </a:xfrm>
                    <a:prstGeom prst="rect">
                      <a:avLst/>
                    </a:prstGeom>
                    <a:noFill/>
                    <a:ln>
                      <a:noFill/>
                    </a:ln>
                  </pic:spPr>
                </pic:pic>
              </a:graphicData>
            </a:graphic>
          </wp:anchor>
        </w:drawing>
      </w: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4-4  </w:t>
      </w:r>
      <w:r>
        <w:rPr>
          <w:rFonts w:hint="eastAsia" w:ascii="Times New Roman" w:hAnsi="Times New Roman" w:eastAsia="黑体" w:cs="Times New Roman"/>
          <w:color w:val="000000"/>
          <w:kern w:val="0"/>
          <w:sz w:val="24"/>
          <w:szCs w:val="24"/>
          <w:lang w:val="en-US" w:eastAsia="zh-CN" w:bidi="ar"/>
        </w:rPr>
        <w:t>本项目监测点位图</w:t>
      </w:r>
    </w:p>
    <w:p>
      <w:pPr>
        <w:rPr>
          <w:rFonts w:hint="default" w:ascii="Times New Roman" w:hAnsi="Times New Roman" w:eastAsia="宋体" w:cs="Times New Roman"/>
          <w:b/>
          <w:bCs w:val="0"/>
          <w:color w:val="000000"/>
          <w:sz w:val="24"/>
          <w:szCs w:val="24"/>
          <w:lang w:val="en-US" w:eastAsia="zh-CN" w:bidi="ar"/>
        </w:rPr>
        <w:sectPr>
          <w:pgSz w:w="16840" w:h="11915" w:orient="landscape"/>
          <w:pgMar w:top="1702" w:right="1702" w:bottom="1702" w:left="1702" w:header="851" w:footer="1077" w:gutter="0"/>
          <w:paperSrc/>
          <w:cols w:space="425" w:num="1"/>
          <w:docGrid w:type="lines" w:linePitch="479" w:charSpace="0"/>
        </w:sectPr>
      </w:pP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5</w:t>
      </w:r>
      <w:r>
        <w:rPr>
          <w:rFonts w:hint="eastAsia" w:ascii="Times New Roman" w:hAnsi="Times New Roman" w:eastAsia="宋体" w:cs="Times New Roman"/>
          <w:b/>
          <w:bCs w:val="0"/>
          <w:color w:val="000000"/>
          <w:kern w:val="0"/>
          <w:sz w:val="24"/>
          <w:szCs w:val="24"/>
          <w:lang w:val="en-US" w:eastAsia="zh-CN" w:bidi="ar"/>
        </w:rPr>
        <w:t>）评价标准</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TSP</w:t>
      </w:r>
      <w:r>
        <w:rPr>
          <w:rFonts w:hint="eastAsia" w:ascii="Times New Roman" w:hAnsi="Times New Roman" w:eastAsia="宋体" w:cs="Times New Roman"/>
          <w:color w:val="000000"/>
          <w:kern w:val="0"/>
          <w:sz w:val="24"/>
          <w:szCs w:val="24"/>
          <w:lang w:val="en-US" w:eastAsia="zh-CN" w:bidi="ar"/>
        </w:rPr>
        <w:t>执行《环境空气质量标准》（</w:t>
      </w:r>
      <w:r>
        <w:rPr>
          <w:rFonts w:hint="default" w:ascii="Times New Roman" w:hAnsi="Times New Roman" w:eastAsia="宋体" w:cs="Times New Roman"/>
          <w:color w:val="000000"/>
          <w:kern w:val="0"/>
          <w:sz w:val="24"/>
          <w:szCs w:val="24"/>
          <w:lang w:val="en-US" w:eastAsia="zh-CN" w:bidi="ar"/>
        </w:rPr>
        <w:t>GB3095-2012</w:t>
      </w:r>
      <w:r>
        <w:rPr>
          <w:rFonts w:hint="eastAsia" w:ascii="Times New Roman" w:hAnsi="Times New Roman" w:eastAsia="宋体" w:cs="Times New Roman"/>
          <w:color w:val="000000"/>
          <w:kern w:val="0"/>
          <w:sz w:val="24"/>
          <w:szCs w:val="24"/>
          <w:lang w:val="en-US" w:eastAsia="zh-CN" w:bidi="ar"/>
        </w:rPr>
        <w:t>）中附录</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参考浓度二级标准限值，</w:t>
      </w:r>
      <w:r>
        <w:rPr>
          <w:rFonts w:hint="default" w:ascii="Times New Roman" w:hAnsi="Times New Roman" w:eastAsia="宋体" w:cs="Times New Roman"/>
          <w:color w:val="000000"/>
          <w:kern w:val="0"/>
          <w:sz w:val="24"/>
          <w:szCs w:val="24"/>
          <w:lang w:val="en-US" w:eastAsia="zh-CN" w:bidi="ar"/>
        </w:rPr>
        <w:t>TSP</w:t>
      </w:r>
      <w:r>
        <w:rPr>
          <w:rFonts w:hint="eastAsia" w:ascii="Times New Roman" w:hAnsi="Times New Roman" w:eastAsia="宋体" w:cs="Times New Roman"/>
          <w:color w:val="000000"/>
          <w:kern w:val="0"/>
          <w:sz w:val="24"/>
          <w:szCs w:val="24"/>
          <w:lang w:val="en-US" w:eastAsia="zh-CN" w:bidi="ar"/>
        </w:rPr>
        <w:t>的</w:t>
      </w:r>
      <w:r>
        <w:rPr>
          <w:rFonts w:hint="default" w:ascii="Times New Roman" w:hAnsi="Times New Roman" w:eastAsia="宋体" w:cs="Times New Roman"/>
          <w:color w:val="000000"/>
          <w:kern w:val="0"/>
          <w:sz w:val="24"/>
          <w:szCs w:val="24"/>
          <w:lang w:val="en-US" w:eastAsia="zh-CN" w:bidi="ar"/>
        </w:rPr>
        <w:t>24</w:t>
      </w:r>
      <w:r>
        <w:rPr>
          <w:rFonts w:hint="eastAsia" w:ascii="Times New Roman" w:hAnsi="Times New Roman" w:eastAsia="宋体" w:cs="Times New Roman"/>
          <w:color w:val="000000"/>
          <w:kern w:val="0"/>
          <w:sz w:val="24"/>
          <w:szCs w:val="24"/>
          <w:lang w:val="en-US" w:eastAsia="zh-CN" w:bidi="ar"/>
        </w:rPr>
        <w:t>小时平均值</w:t>
      </w:r>
      <w:r>
        <w:rPr>
          <w:rFonts w:hint="default" w:ascii="Times New Roman" w:hAnsi="Times New Roman" w:eastAsia="宋体" w:cs="Times New Roman"/>
          <w:color w:val="000000"/>
          <w:kern w:val="0"/>
          <w:sz w:val="24"/>
          <w:szCs w:val="24"/>
          <w:lang w:val="en-US" w:eastAsia="zh-CN" w:bidi="ar"/>
        </w:rPr>
        <w:t>300μg/m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6</w:t>
      </w:r>
      <w:r>
        <w:rPr>
          <w:rFonts w:hint="eastAsia" w:ascii="Times New Roman" w:hAnsi="Times New Roman" w:eastAsia="宋体" w:cs="Times New Roman"/>
          <w:b/>
          <w:bCs w:val="0"/>
          <w:color w:val="000000"/>
          <w:kern w:val="0"/>
          <w:sz w:val="24"/>
          <w:szCs w:val="24"/>
          <w:lang w:val="en-US" w:eastAsia="zh-CN" w:bidi="ar"/>
        </w:rPr>
        <w:t>）环境现状监测结果统计</w:t>
      </w:r>
    </w:p>
    <w:p>
      <w:pPr>
        <w:keepNext w:val="0"/>
        <w:keepLines w:val="0"/>
        <w:widowControl/>
        <w:suppressLineNumbers w:val="0"/>
        <w:spacing w:before="0" w:beforeAutospacing="0" w:after="0" w:afterAutospacing="0" w:line="500" w:lineRule="exact"/>
        <w:ind w:left="482" w:right="0"/>
        <w:jc w:val="left"/>
        <w:rPr>
          <w:rFonts w:hint="default" w:ascii="Times New Roman" w:hAnsi="Times New Roman" w:cs="Times New Roman"/>
          <w:b/>
          <w:bCs w:val="0"/>
          <w:color w:val="000000"/>
          <w:lang w:val="en-US"/>
        </w:rPr>
      </w:pPr>
      <w:r>
        <w:rPr>
          <w:rFonts w:hint="eastAsia" w:ascii="宋体" w:hAnsi="宋体" w:eastAsia="宋体" w:cs="宋体"/>
          <w:b/>
          <w:bCs w:val="0"/>
          <w:color w:val="000000"/>
          <w:kern w:val="0"/>
          <w:sz w:val="24"/>
          <w:szCs w:val="24"/>
          <w:lang w:val="en-US" w:eastAsia="zh-CN" w:bidi="ar"/>
        </w:rPr>
        <w:t>①</w:t>
      </w:r>
      <w:r>
        <w:rPr>
          <w:rFonts w:hint="eastAsia" w:ascii="Times New Roman" w:hAnsi="Times New Roman" w:eastAsia="宋体" w:cs="Times New Roman"/>
          <w:b/>
          <w:bCs w:val="0"/>
          <w:color w:val="000000"/>
          <w:kern w:val="0"/>
          <w:sz w:val="24"/>
          <w:szCs w:val="24"/>
          <w:lang w:val="en-US" w:eastAsia="zh-CN" w:bidi="ar"/>
        </w:rPr>
        <w:t>统计方法</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对各监测点的原始数据进行整理，对各污染物一次浓度范围、一次最高值、日浓度波动范围、一次值及日均值超标率、超标浓度、浓度日变化规律等进行分析统计和评价。统计方法如下：</w:t>
      </w:r>
    </w:p>
    <w:p>
      <w:pPr>
        <w:keepNext w:val="0"/>
        <w:keepLines w:val="0"/>
        <w:widowControl/>
        <w:suppressLineNumbers w:val="0"/>
        <w:spacing w:before="0" w:beforeAutospacing="0" w:after="0" w:afterAutospacing="0"/>
        <w:ind w:left="0" w:right="0" w:firstLine="48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检出率</w:t>
      </w:r>
      <w:r>
        <w:rPr>
          <w:rFonts w:hint="default"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object>
          <v:shape id="_x0000_i1037" o:spt="75" type="#_x0000_t75" style="height:33pt;width:53.25pt;" o:ole="t" fillcolor="#FFFFFF" filled="f" o:preferrelative="t" stroked="f" coordsize="21600,21600">
            <v:path/>
            <v:fill on="f" focussize="0,0"/>
            <v:stroke on="f" joinstyle="miter"/>
            <v:imagedata r:id="rId39" o:title=""/>
            <o:lock v:ext="edit" aspectratio="t"/>
            <w10:wrap type="none"/>
            <w10:anchorlock/>
          </v:shape>
          <o:OLEObject Type="Embed" ProgID="Equation.3" ShapeID="_x0000_i1037" DrawAspect="Content" ObjectID="_1468075734" r:id="rId38">
            <o:LockedField>false</o:LockedField>
          </o:OLEObject>
        </w:object>
      </w:r>
      <w:r>
        <w:rPr>
          <w:rFonts w:hint="default" w:ascii="Times New Roman" w:hAnsi="Times New Roman" w:eastAsia="宋体" w:cs="Times New Roman"/>
          <w:color w:val="000000"/>
          <w:kern w:val="0"/>
          <w:sz w:val="24"/>
          <w:szCs w:val="24"/>
          <w:lang w:val="en-US" w:eastAsia="zh-CN" w:bidi="ar"/>
        </w:rPr>
        <w:t xml:space="preserve"> × 100%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超标率</w:t>
      </w:r>
      <w:r>
        <w:rPr>
          <w:rFonts w:hint="default"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object>
          <v:shape id="_x0000_i1038" o:spt="75" type="#_x0000_t75" style="height:33pt;width:54pt;" o:ole="t" fillcolor="#FFFFFF" filled="f" o:preferrelative="t" stroked="f" coordsize="21600,21600">
            <v:path/>
            <v:fill on="f" focussize="0,0"/>
            <v:stroke on="f" joinstyle="miter"/>
            <v:imagedata r:id="rId41" o:title=""/>
            <o:lock v:ext="edit" aspectratio="t"/>
            <w10:wrap type="none"/>
            <w10:anchorlock/>
          </v:shape>
          <o:OLEObject Type="Embed" ProgID="Equation.3" ShapeID="_x0000_i1038" DrawAspect="Content" ObjectID="_1468075735" r:id="rId40">
            <o:LockedField>false</o:LockedField>
          </o:OLEObject>
        </w:object>
      </w:r>
      <w:r>
        <w:rPr>
          <w:rFonts w:hint="default" w:ascii="Times New Roman" w:hAnsi="Times New Roman" w:eastAsia="宋体" w:cs="Times New Roman"/>
          <w:color w:val="000000"/>
          <w:kern w:val="0"/>
          <w:sz w:val="24"/>
          <w:szCs w:val="24"/>
          <w:lang w:val="en-US" w:eastAsia="zh-CN" w:bidi="ar"/>
        </w:rPr>
        <w:t xml:space="preserve"> × 100%</w:t>
      </w:r>
    </w:p>
    <w:p>
      <w:pPr>
        <w:keepNext w:val="0"/>
        <w:keepLines w:val="0"/>
        <w:widowControl/>
        <w:suppressLineNumbers w:val="0"/>
        <w:spacing w:before="0" w:beforeAutospacing="0" w:after="0" w:afterAutospacing="0"/>
        <w:ind w:left="0" w:right="0" w:firstLine="48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超标倍数</w:t>
      </w:r>
      <w:r>
        <w:rPr>
          <w:rFonts w:hint="default"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object>
          <v:shape id="_x0000_i1039" o:spt="75" type="#_x0000_t75" style="height:33pt;width:89.25pt;" o:ole="t" fillcolor="#FFFFFF" filled="f" o:preferrelative="t" stroked="f" coordsize="21600,21600">
            <v:path/>
            <v:fill on="f" focussize="0,0"/>
            <v:stroke on="f" joinstyle="miter"/>
            <v:imagedata r:id="rId43" o:title=""/>
            <o:lock v:ext="edit" aspectratio="t"/>
            <w10:wrap type="none"/>
            <w10:anchorlock/>
          </v:shape>
          <o:OLEObject Type="Embed" ProgID="Equation.3" ShapeID="_x0000_i1039" DrawAspect="Content" ObjectID="_1468075736" r:id="rId42">
            <o:LockedField>false</o:LockedField>
          </o:OLEObject>
        </w:object>
      </w:r>
      <w:r>
        <w:rPr>
          <w:rFonts w:hint="default" w:ascii="Times New Roman" w:hAnsi="Times New Roman" w:eastAsia="宋体" w:cs="Times New Roman"/>
          <w:color w:val="000000"/>
          <w:kern w:val="0"/>
          <w:sz w:val="24"/>
          <w:szCs w:val="24"/>
          <w:lang w:val="en-US" w:eastAsia="zh-CN" w:bidi="ar"/>
        </w:rPr>
        <w:t>-1</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bCs w:val="0"/>
          <w:color w:val="000000"/>
          <w:kern w:val="0"/>
          <w:sz w:val="24"/>
          <w:szCs w:val="24"/>
          <w:lang w:val="en-US" w:eastAsia="zh-CN" w:bidi="ar"/>
        </w:rPr>
        <w:t>②</w:t>
      </w:r>
      <w:r>
        <w:rPr>
          <w:rFonts w:hint="eastAsia" w:ascii="Times New Roman" w:hAnsi="Times New Roman" w:eastAsia="宋体" w:cs="Times New Roman"/>
          <w:b/>
          <w:bCs w:val="0"/>
          <w:color w:val="000000"/>
          <w:kern w:val="0"/>
          <w:sz w:val="24"/>
          <w:szCs w:val="24"/>
          <w:lang w:val="en-US" w:eastAsia="zh-CN" w:bidi="ar"/>
        </w:rPr>
        <w:t>监测期间气象参数</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监测期间气象参数见表</w:t>
      </w:r>
      <w:r>
        <w:rPr>
          <w:rFonts w:hint="default" w:ascii="Times New Roman" w:hAnsi="Times New Roman" w:eastAsia="宋体" w:cs="Times New Roman"/>
          <w:color w:val="000000"/>
          <w:kern w:val="0"/>
          <w:sz w:val="24"/>
          <w:szCs w:val="24"/>
          <w:lang w:val="en-US" w:eastAsia="zh-CN" w:bidi="ar"/>
        </w:rPr>
        <w:t>4.2-4</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黑体" w:cs="Times New Roman"/>
          <w:color w:val="000000"/>
          <w:lang w:val="zh-CN" w:eastAsia="zh-CN"/>
        </w:rPr>
      </w:pPr>
      <w:r>
        <w:rPr>
          <w:rFonts w:hint="eastAsia" w:ascii="Times New Roman" w:hAnsi="Times New Roman" w:eastAsia="黑体" w:cs="Times New Roman"/>
          <w:color w:val="000000"/>
          <w:kern w:val="0"/>
          <w:sz w:val="24"/>
          <w:szCs w:val="24"/>
          <w:lang w:val="zh-CN" w:eastAsia="zh-CN" w:bidi="ar"/>
        </w:rPr>
        <w:t>表</w:t>
      </w:r>
      <w:r>
        <w:rPr>
          <w:rFonts w:hint="default" w:ascii="Times New Roman" w:hAnsi="Times New Roman" w:eastAsia="黑体" w:cs="Times New Roman"/>
          <w:color w:val="000000"/>
          <w:kern w:val="0"/>
          <w:sz w:val="24"/>
          <w:szCs w:val="24"/>
          <w:lang w:val="zh-CN" w:eastAsia="zh-CN" w:bidi="ar"/>
        </w:rPr>
        <w:t xml:space="preserve">4.2-4  </w:t>
      </w:r>
      <w:r>
        <w:rPr>
          <w:rFonts w:hint="eastAsia" w:ascii="Times New Roman" w:hAnsi="Times New Roman" w:eastAsia="黑体" w:cs="Times New Roman"/>
          <w:color w:val="000000"/>
          <w:kern w:val="0"/>
          <w:sz w:val="24"/>
          <w:szCs w:val="24"/>
          <w:lang w:val="zh-CN" w:eastAsia="zh-CN" w:bidi="ar"/>
        </w:rPr>
        <w:t>环境空气监测期间气象参数统计表</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1227"/>
        <w:gridCol w:w="1230"/>
        <w:gridCol w:w="1035"/>
        <w:gridCol w:w="1410"/>
        <w:gridCol w:w="1380"/>
        <w:gridCol w:w="1505"/>
        <w:gridCol w:w="950"/>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29" w:hRule="atLeast"/>
          <w:tblHeader/>
        </w:trPr>
        <w:tc>
          <w:tcPr>
            <w:tcW w:w="1227" w:type="dxa"/>
            <w:vMerge w:val="restart"/>
            <w:tcBorders>
              <w:top w:val="thinThickSmallGap" w:color="auto" w:sz="12" w:space="0"/>
              <w:left w:val="nil"/>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4"/>
                <w:bdr w:val="none" w:color="auto" w:sz="0" w:space="0"/>
                <w:lang w:val="en-US"/>
              </w:rPr>
            </w:pPr>
            <w:r>
              <w:rPr>
                <w:rFonts w:ascii="Times New Roman" w:hAnsi="Times New Roman" w:cs="Times New Roman"/>
                <w:b/>
                <w:bCs w:val="0"/>
                <w:color w:val="000000"/>
                <w:sz w:val="21"/>
                <w:szCs w:val="24"/>
                <w:bdr w:val="none" w:color="auto" w:sz="0" w:space="0"/>
              </w:rPr>
              <w:t>检测日期</w:t>
            </w:r>
          </w:p>
        </w:tc>
        <w:tc>
          <w:tcPr>
            <w:tcW w:w="1230" w:type="dxa"/>
            <w:vMerge w:val="restar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4"/>
                <w:bdr w:val="none" w:color="auto" w:sz="0" w:space="0"/>
                <w:lang w:val="en-US"/>
              </w:rPr>
            </w:pPr>
            <w:r>
              <w:rPr>
                <w:rFonts w:ascii="Times New Roman" w:hAnsi="Times New Roman" w:cs="Times New Roman"/>
                <w:b/>
                <w:bCs w:val="0"/>
                <w:color w:val="000000"/>
                <w:sz w:val="21"/>
                <w:szCs w:val="24"/>
                <w:bdr w:val="none" w:color="auto" w:sz="0" w:space="0"/>
              </w:rPr>
              <w:t>检测时间</w:t>
            </w:r>
          </w:p>
        </w:tc>
        <w:tc>
          <w:tcPr>
            <w:tcW w:w="6280" w:type="dxa"/>
            <w:gridSpan w:val="5"/>
            <w:tcBorders>
              <w:top w:val="thinThickSmallGap" w:color="auto" w:sz="12" w:space="0"/>
              <w:left w:val="single" w:color="auto" w:sz="4" w:space="0"/>
              <w:bottom w:val="single" w:color="auto" w:sz="4" w:space="0"/>
              <w:right w:val="nil"/>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4"/>
                <w:bdr w:val="none" w:color="auto" w:sz="0" w:space="0"/>
                <w:lang w:val="en-US"/>
              </w:rPr>
            </w:pPr>
            <w:r>
              <w:rPr>
                <w:rFonts w:ascii="Times New Roman" w:hAnsi="Times New Roman" w:cs="Times New Roman"/>
                <w:b/>
                <w:bCs w:val="0"/>
                <w:color w:val="000000"/>
                <w:sz w:val="21"/>
                <w:szCs w:val="24"/>
                <w:bdr w:val="none" w:color="auto" w:sz="0" w:space="0"/>
              </w:rPr>
              <w:t>气象参数</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blHeader/>
        </w:trPr>
        <w:tc>
          <w:tcPr>
            <w:tcW w:w="1227" w:type="dxa"/>
            <w:vMerge w:val="continue"/>
            <w:tcBorders>
              <w:top w:val="thinThickSmallGap" w:color="auto" w:sz="12" w:space="0"/>
              <w:left w:val="nil"/>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1230" w:type="dxa"/>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1035" w:type="dxa"/>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4"/>
                <w:bdr w:val="none" w:color="auto" w:sz="0" w:space="0"/>
                <w:lang w:val="en-US"/>
              </w:rPr>
            </w:pPr>
            <w:r>
              <w:rPr>
                <w:rFonts w:ascii="Times New Roman" w:hAnsi="Times New Roman" w:cs="Times New Roman"/>
                <w:b/>
                <w:bCs w:val="0"/>
                <w:color w:val="000000"/>
                <w:sz w:val="21"/>
                <w:szCs w:val="24"/>
                <w:bdr w:val="none" w:color="auto" w:sz="0" w:space="0"/>
              </w:rPr>
              <w:t>风向</w:t>
            </w:r>
          </w:p>
        </w:tc>
        <w:tc>
          <w:tcPr>
            <w:tcW w:w="1410" w:type="dxa"/>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4"/>
                <w:bdr w:val="none" w:color="auto" w:sz="0" w:space="0"/>
                <w:lang w:val="en-US"/>
              </w:rPr>
            </w:pPr>
            <w:r>
              <w:rPr>
                <w:rFonts w:ascii="Times New Roman" w:hAnsi="Times New Roman" w:cs="Times New Roman"/>
                <w:b/>
                <w:bCs w:val="0"/>
                <w:color w:val="000000"/>
                <w:sz w:val="21"/>
                <w:szCs w:val="24"/>
                <w:bdr w:val="none" w:color="auto" w:sz="0" w:space="0"/>
              </w:rPr>
              <w:t>风速（</w:t>
            </w:r>
            <w:r>
              <w:rPr>
                <w:rFonts w:hint="default" w:ascii="Times New Roman" w:hAnsi="Times New Roman" w:cs="Times New Roman"/>
                <w:b/>
                <w:bCs w:val="0"/>
                <w:color w:val="000000"/>
                <w:sz w:val="21"/>
                <w:szCs w:val="24"/>
                <w:bdr w:val="none" w:color="auto" w:sz="0" w:space="0"/>
                <w:lang w:val="en-US"/>
              </w:rPr>
              <w:t>m/s</w:t>
            </w:r>
            <w:r>
              <w:rPr>
                <w:rFonts w:ascii="Times New Roman" w:hAnsi="Times New Roman" w:cs="Times New Roman"/>
                <w:b/>
                <w:bCs w:val="0"/>
                <w:color w:val="000000"/>
                <w:sz w:val="21"/>
                <w:szCs w:val="24"/>
                <w:bdr w:val="none" w:color="auto" w:sz="0" w:space="0"/>
              </w:rPr>
              <w:t>）</w:t>
            </w:r>
          </w:p>
        </w:tc>
        <w:tc>
          <w:tcPr>
            <w:tcW w:w="1380" w:type="dxa"/>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4"/>
                <w:bdr w:val="none" w:color="auto" w:sz="0" w:space="0"/>
                <w:lang w:val="en-US"/>
              </w:rPr>
            </w:pPr>
            <w:r>
              <w:rPr>
                <w:rFonts w:ascii="Times New Roman" w:hAnsi="Times New Roman" w:cs="Times New Roman"/>
                <w:b/>
                <w:bCs w:val="0"/>
                <w:color w:val="000000"/>
                <w:sz w:val="21"/>
                <w:szCs w:val="24"/>
                <w:bdr w:val="none" w:color="auto" w:sz="0" w:space="0"/>
              </w:rPr>
              <w:t>温度（</w:t>
            </w:r>
            <w:r>
              <w:rPr>
                <w:rFonts w:hint="default" w:ascii="Times New Roman" w:hAnsi="Times New Roman" w:cs="Times New Roman"/>
                <w:b/>
                <w:bCs w:val="0"/>
                <w:color w:val="000000"/>
                <w:sz w:val="21"/>
                <w:szCs w:val="24"/>
                <w:bdr w:val="none" w:color="auto" w:sz="0" w:space="0"/>
                <w:lang w:val="en-US"/>
              </w:rPr>
              <w:t>℃</w:t>
            </w:r>
            <w:r>
              <w:rPr>
                <w:rFonts w:ascii="Times New Roman" w:hAnsi="Times New Roman" w:cs="Times New Roman"/>
                <w:b/>
                <w:bCs w:val="0"/>
                <w:color w:val="000000"/>
                <w:sz w:val="21"/>
                <w:szCs w:val="24"/>
                <w:bdr w:val="none" w:color="auto" w:sz="0" w:space="0"/>
              </w:rPr>
              <w:t>）</w:t>
            </w:r>
          </w:p>
        </w:tc>
        <w:tc>
          <w:tcPr>
            <w:tcW w:w="1505" w:type="dxa"/>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4"/>
                <w:bdr w:val="none" w:color="auto" w:sz="0" w:space="0"/>
                <w:lang w:val="en-US"/>
              </w:rPr>
            </w:pPr>
            <w:r>
              <w:rPr>
                <w:rFonts w:ascii="Times New Roman" w:hAnsi="Times New Roman" w:cs="Times New Roman"/>
                <w:b/>
                <w:bCs w:val="0"/>
                <w:color w:val="000000"/>
                <w:sz w:val="21"/>
                <w:szCs w:val="24"/>
                <w:bdr w:val="none" w:color="auto" w:sz="0" w:space="0"/>
              </w:rPr>
              <w:t>大气压（</w:t>
            </w:r>
            <w:r>
              <w:rPr>
                <w:rFonts w:hint="default" w:ascii="Times New Roman" w:hAnsi="Times New Roman" w:cs="Times New Roman"/>
                <w:b/>
                <w:bCs w:val="0"/>
                <w:color w:val="000000"/>
                <w:sz w:val="21"/>
                <w:szCs w:val="24"/>
                <w:bdr w:val="none" w:color="auto" w:sz="0" w:space="0"/>
                <w:lang w:val="en-US"/>
              </w:rPr>
              <w:t>kPa</w:t>
            </w:r>
            <w:r>
              <w:rPr>
                <w:rFonts w:ascii="Times New Roman" w:hAnsi="Times New Roman" w:cs="Times New Roman"/>
                <w:b/>
                <w:bCs w:val="0"/>
                <w:color w:val="000000"/>
                <w:sz w:val="21"/>
                <w:szCs w:val="24"/>
                <w:bdr w:val="none" w:color="auto" w:sz="0" w:space="0"/>
              </w:rPr>
              <w:t>）</w:t>
            </w:r>
          </w:p>
        </w:tc>
        <w:tc>
          <w:tcPr>
            <w:tcW w:w="950" w:type="dxa"/>
            <w:tcBorders>
              <w:top w:val="single" w:color="auto" w:sz="4" w:space="0"/>
              <w:left w:val="single" w:color="auto" w:sz="4" w:space="0"/>
              <w:bottom w:val="single" w:color="auto" w:sz="4" w:space="0"/>
              <w:right w:val="nil"/>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4"/>
                <w:bdr w:val="none" w:color="auto" w:sz="0" w:space="0"/>
                <w:lang w:val="en-US"/>
              </w:rPr>
            </w:pPr>
            <w:r>
              <w:rPr>
                <w:rFonts w:ascii="Times New Roman" w:hAnsi="Times New Roman" w:cs="Times New Roman"/>
                <w:b/>
                <w:bCs w:val="0"/>
                <w:color w:val="000000"/>
                <w:sz w:val="21"/>
                <w:szCs w:val="24"/>
                <w:bdr w:val="none" w:color="auto" w:sz="0" w:space="0"/>
              </w:rPr>
              <w:t>天气</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restart"/>
            <w:tcBorders>
              <w:top w:val="single" w:color="auto" w:sz="4" w:space="0"/>
              <w:left w:val="nil"/>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w:t>
            </w:r>
            <w:r>
              <w:rPr>
                <w:rFonts w:hint="eastAsia" w:ascii="Times New Roman" w:hAnsi="Times New Roman" w:eastAsia="等线" w:cs="等线"/>
                <w:color w:val="000000"/>
                <w:sz w:val="21"/>
                <w:szCs w:val="21"/>
                <w:bdr w:val="none" w:color="auto" w:sz="0" w:space="0"/>
                <w:vertAlign w:val="baseline"/>
              </w:rPr>
              <w:t>月</w:t>
            </w:r>
            <w:r>
              <w:rPr>
                <w:rFonts w:eastAsia="等线"/>
                <w:color w:val="000000"/>
                <w:sz w:val="21"/>
                <w:szCs w:val="21"/>
                <w:bdr w:val="none" w:color="auto" w:sz="0" w:space="0"/>
                <w:vertAlign w:val="baseline"/>
              </w:rPr>
              <w:t>19</w:t>
            </w:r>
            <w:r>
              <w:rPr>
                <w:rFonts w:hint="eastAsia" w:ascii="Times New Roman" w:hAnsi="Times New Roman" w:eastAsia="等线" w:cs="等线"/>
                <w:color w:val="000000"/>
                <w:sz w:val="21"/>
                <w:szCs w:val="21"/>
                <w:bdr w:val="none" w:color="auto" w:sz="0" w:space="0"/>
                <w:vertAlign w:val="baseline"/>
              </w:rPr>
              <w:t>日</w:t>
            </w: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hint="eastAsia" w:ascii="Times New Roman" w:hAnsi="Times New Roman" w:eastAsia="等线" w:cs="等线"/>
                <w:color w:val="000000"/>
                <w:sz w:val="21"/>
                <w:szCs w:val="21"/>
                <w:bdr w:val="none" w:color="auto" w:sz="0" w:space="0"/>
                <w:vertAlign w:val="baseline"/>
              </w:rPr>
              <w:t>日均</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SE</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1.3</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-4.8</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101.7</w:t>
            </w:r>
          </w:p>
        </w:tc>
        <w:tc>
          <w:tcPr>
            <w:tcW w:w="950" w:type="dxa"/>
            <w:vMerge w:val="restart"/>
            <w:tcBorders>
              <w:top w:val="single" w:color="auto" w:sz="4" w:space="0"/>
              <w:left w:val="single" w:color="auto" w:sz="4" w:space="0"/>
              <w:bottom w:val="single" w:color="auto" w:sz="4" w:space="0"/>
              <w:right w:val="nil"/>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hint="eastAsia" w:ascii="Times New Roman" w:hAnsi="Times New Roman" w:eastAsia="等线" w:cs="等线"/>
                <w:color w:val="000000"/>
                <w:sz w:val="21"/>
                <w:szCs w:val="21"/>
                <w:bdr w:val="none" w:color="auto" w:sz="0" w:space="0"/>
                <w:vertAlign w:val="baseline"/>
              </w:rPr>
              <w:t>晴</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8</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SE</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1.2</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-5.1</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101.8</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14</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SE</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1.5</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2.7</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101.2</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20</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SE</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1.2</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-7.2</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101.9</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1.1</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-9.8</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101.9</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restart"/>
            <w:tcBorders>
              <w:top w:val="single" w:color="auto" w:sz="4" w:space="0"/>
              <w:left w:val="nil"/>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w:t>
            </w:r>
            <w:r>
              <w:rPr>
                <w:rFonts w:hint="eastAsia" w:ascii="Times New Roman" w:hAnsi="Times New Roman" w:eastAsia="等线" w:cs="等线"/>
                <w:color w:val="000000"/>
                <w:sz w:val="21"/>
                <w:szCs w:val="21"/>
                <w:bdr w:val="none" w:color="auto" w:sz="0" w:space="0"/>
                <w:vertAlign w:val="baseline"/>
              </w:rPr>
              <w:t>月</w:t>
            </w:r>
            <w:r>
              <w:rPr>
                <w:rFonts w:eastAsia="等线"/>
                <w:color w:val="000000"/>
                <w:sz w:val="21"/>
                <w:szCs w:val="21"/>
                <w:bdr w:val="none" w:color="auto" w:sz="0" w:space="0"/>
                <w:vertAlign w:val="baseline"/>
              </w:rPr>
              <w:t>20</w:t>
            </w:r>
            <w:r>
              <w:rPr>
                <w:rFonts w:hint="eastAsia" w:ascii="Times New Roman" w:hAnsi="Times New Roman" w:eastAsia="等线" w:cs="等线"/>
                <w:color w:val="000000"/>
                <w:sz w:val="21"/>
                <w:szCs w:val="21"/>
                <w:bdr w:val="none" w:color="auto" w:sz="0" w:space="0"/>
                <w:vertAlign w:val="baseline"/>
              </w:rPr>
              <w:t>日</w:t>
            </w: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hint="eastAsia" w:ascii="Times New Roman" w:hAnsi="Times New Roman" w:eastAsia="等线" w:cs="等线"/>
                <w:color w:val="000000"/>
                <w:sz w:val="21"/>
                <w:szCs w:val="21"/>
                <w:bdr w:val="none" w:color="auto" w:sz="0" w:space="0"/>
                <w:vertAlign w:val="baseline"/>
              </w:rPr>
              <w:t>日均</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SE</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2.1</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2.5</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101.2</w:t>
            </w:r>
          </w:p>
        </w:tc>
        <w:tc>
          <w:tcPr>
            <w:tcW w:w="950" w:type="dxa"/>
            <w:vMerge w:val="restart"/>
            <w:tcBorders>
              <w:top w:val="single" w:color="auto" w:sz="4" w:space="0"/>
              <w:left w:val="single" w:color="auto" w:sz="4" w:space="0"/>
              <w:bottom w:val="single" w:color="auto" w:sz="4" w:space="0"/>
              <w:right w:val="nil"/>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hint="eastAsia" w:ascii="Times New Roman" w:hAnsi="Times New Roman" w:eastAsia="等线" w:cs="等线"/>
                <w:color w:val="000000"/>
                <w:sz w:val="21"/>
                <w:szCs w:val="21"/>
                <w:bdr w:val="none" w:color="auto" w:sz="0" w:space="0"/>
                <w:vertAlign w:val="baseline"/>
              </w:rPr>
              <w:t>多云</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8</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SE</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2.1</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0.7</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101.4</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14</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SE</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2.3</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4.8</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100.9</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20</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1.9</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0.2</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101.4</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SE</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1.7</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0.5</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101.4</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restart"/>
            <w:tcBorders>
              <w:top w:val="single" w:color="auto" w:sz="4" w:space="0"/>
              <w:left w:val="nil"/>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w:t>
            </w:r>
            <w:r>
              <w:rPr>
                <w:rFonts w:hint="eastAsia" w:ascii="Times New Roman" w:hAnsi="Times New Roman" w:eastAsia="等线" w:cs="等线"/>
                <w:color w:val="000000"/>
                <w:sz w:val="21"/>
                <w:szCs w:val="21"/>
                <w:bdr w:val="none" w:color="auto" w:sz="0" w:space="0"/>
                <w:vertAlign w:val="baseline"/>
              </w:rPr>
              <w:t>月</w:t>
            </w:r>
            <w:r>
              <w:rPr>
                <w:rFonts w:eastAsia="等线"/>
                <w:color w:val="000000"/>
                <w:sz w:val="21"/>
                <w:szCs w:val="21"/>
                <w:bdr w:val="none" w:color="auto" w:sz="0" w:space="0"/>
                <w:vertAlign w:val="baseline"/>
              </w:rPr>
              <w:t>21</w:t>
            </w:r>
            <w:r>
              <w:rPr>
                <w:rFonts w:hint="eastAsia" w:ascii="Times New Roman" w:hAnsi="Times New Roman" w:eastAsia="等线" w:cs="等线"/>
                <w:color w:val="000000"/>
                <w:sz w:val="21"/>
                <w:szCs w:val="21"/>
                <w:bdr w:val="none" w:color="auto" w:sz="0" w:space="0"/>
                <w:vertAlign w:val="baseline"/>
              </w:rPr>
              <w:t>日</w:t>
            </w: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hint="eastAsia" w:ascii="Times New Roman" w:hAnsi="Times New Roman" w:eastAsia="等线" w:cs="等线"/>
                <w:color w:val="000000"/>
                <w:sz w:val="21"/>
                <w:szCs w:val="21"/>
                <w:bdr w:val="none" w:color="auto" w:sz="0" w:space="0"/>
                <w:vertAlign w:val="baseline"/>
              </w:rPr>
              <w:t>日均</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SW</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1.5</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-4.3</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101.7</w:t>
            </w:r>
          </w:p>
        </w:tc>
        <w:tc>
          <w:tcPr>
            <w:tcW w:w="950" w:type="dxa"/>
            <w:vMerge w:val="restart"/>
            <w:tcBorders>
              <w:top w:val="single" w:color="auto" w:sz="4" w:space="0"/>
              <w:left w:val="single" w:color="auto" w:sz="4" w:space="0"/>
              <w:bottom w:val="single" w:color="auto" w:sz="4" w:space="0"/>
              <w:right w:val="nil"/>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hint="eastAsia" w:ascii="Times New Roman" w:hAnsi="Times New Roman" w:eastAsia="等线" w:cs="等线"/>
                <w:color w:val="000000"/>
                <w:sz w:val="21"/>
                <w:szCs w:val="21"/>
                <w:bdr w:val="none" w:color="auto" w:sz="0" w:space="0"/>
                <w:vertAlign w:val="baseline"/>
              </w:rPr>
              <w:t>多云</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8</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SW</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1.8</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-5.6</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101.8</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14</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SW</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1.6</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0.7</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101.4</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20</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1.4</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-4.4</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101.7</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SW</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1.2</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-7.8</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101.9</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restart"/>
            <w:tcBorders>
              <w:top w:val="single" w:color="auto" w:sz="4" w:space="0"/>
              <w:left w:val="nil"/>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w:t>
            </w:r>
            <w:r>
              <w:rPr>
                <w:rFonts w:hint="eastAsia" w:ascii="Times New Roman" w:hAnsi="Times New Roman" w:eastAsia="等线" w:cs="等线"/>
                <w:color w:val="000000"/>
                <w:sz w:val="21"/>
                <w:szCs w:val="21"/>
                <w:bdr w:val="none" w:color="auto" w:sz="0" w:space="0"/>
                <w:vertAlign w:val="baseline"/>
              </w:rPr>
              <w:t>月</w:t>
            </w:r>
            <w:r>
              <w:rPr>
                <w:rFonts w:eastAsia="等线"/>
                <w:color w:val="000000"/>
                <w:sz w:val="21"/>
                <w:szCs w:val="21"/>
                <w:bdr w:val="none" w:color="auto" w:sz="0" w:space="0"/>
                <w:vertAlign w:val="baseline"/>
              </w:rPr>
              <w:t>22</w:t>
            </w:r>
            <w:r>
              <w:rPr>
                <w:rFonts w:hint="eastAsia" w:ascii="Times New Roman" w:hAnsi="Times New Roman" w:eastAsia="等线" w:cs="等线"/>
                <w:color w:val="000000"/>
                <w:sz w:val="21"/>
                <w:szCs w:val="21"/>
                <w:bdr w:val="none" w:color="auto" w:sz="0" w:space="0"/>
                <w:vertAlign w:val="baseline"/>
              </w:rPr>
              <w:t>日</w:t>
            </w: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hint="eastAsia" w:ascii="Times New Roman" w:hAnsi="Times New Roman" w:eastAsia="等线" w:cs="等线"/>
                <w:color w:val="000000"/>
                <w:sz w:val="21"/>
                <w:szCs w:val="21"/>
                <w:bdr w:val="none" w:color="auto" w:sz="0" w:space="0"/>
                <w:vertAlign w:val="baseline"/>
              </w:rPr>
              <w:t>日均</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NW</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2.5</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-3.8</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101.7</w:t>
            </w:r>
          </w:p>
        </w:tc>
        <w:tc>
          <w:tcPr>
            <w:tcW w:w="950" w:type="dxa"/>
            <w:vMerge w:val="restart"/>
            <w:tcBorders>
              <w:top w:val="single" w:color="auto" w:sz="4" w:space="0"/>
              <w:left w:val="single" w:color="auto" w:sz="4" w:space="0"/>
              <w:bottom w:val="single" w:color="auto" w:sz="4" w:space="0"/>
              <w:right w:val="nil"/>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hint="eastAsia" w:ascii="Times New Roman" w:hAnsi="Times New Roman" w:eastAsia="等线" w:cs="等线"/>
                <w:color w:val="000000"/>
                <w:sz w:val="21"/>
                <w:szCs w:val="21"/>
                <w:bdr w:val="none" w:color="auto" w:sz="0" w:space="0"/>
                <w:vertAlign w:val="baseline"/>
              </w:rPr>
              <w:t>晴</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8</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N</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2.5</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-4.2</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101.7</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14</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NW</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2.2</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1.8</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101.3</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20</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NW</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2.7</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-5.4</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101.8</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NW</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2.5</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-7.5</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101.9</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restart"/>
            <w:tcBorders>
              <w:top w:val="single" w:color="auto" w:sz="4" w:space="0"/>
              <w:left w:val="nil"/>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w:t>
            </w:r>
            <w:r>
              <w:rPr>
                <w:rFonts w:hint="eastAsia" w:ascii="Times New Roman" w:hAnsi="Times New Roman" w:eastAsia="等线" w:cs="等线"/>
                <w:color w:val="000000"/>
                <w:sz w:val="21"/>
                <w:szCs w:val="21"/>
                <w:bdr w:val="none" w:color="auto" w:sz="0" w:space="0"/>
                <w:vertAlign w:val="baseline"/>
              </w:rPr>
              <w:t>月</w:t>
            </w:r>
            <w:r>
              <w:rPr>
                <w:rFonts w:eastAsia="等线"/>
                <w:color w:val="000000"/>
                <w:sz w:val="21"/>
                <w:szCs w:val="21"/>
                <w:bdr w:val="none" w:color="auto" w:sz="0" w:space="0"/>
                <w:vertAlign w:val="baseline"/>
              </w:rPr>
              <w:t>23</w:t>
            </w:r>
            <w:r>
              <w:rPr>
                <w:rFonts w:hint="eastAsia" w:ascii="Times New Roman" w:hAnsi="Times New Roman" w:eastAsia="等线" w:cs="等线"/>
                <w:color w:val="000000"/>
                <w:sz w:val="21"/>
                <w:szCs w:val="21"/>
                <w:bdr w:val="none" w:color="auto" w:sz="0" w:space="0"/>
                <w:vertAlign w:val="baseline"/>
              </w:rPr>
              <w:t>日</w:t>
            </w: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hint="eastAsia" w:ascii="Times New Roman" w:hAnsi="Times New Roman" w:eastAsia="等线" w:cs="等线"/>
                <w:color w:val="000000"/>
                <w:sz w:val="21"/>
                <w:szCs w:val="21"/>
                <w:bdr w:val="none" w:color="auto" w:sz="0" w:space="0"/>
                <w:vertAlign w:val="baseline"/>
              </w:rPr>
              <w:t>日均</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SW</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2.6</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1.7</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101.3</w:t>
            </w:r>
          </w:p>
        </w:tc>
        <w:tc>
          <w:tcPr>
            <w:tcW w:w="950" w:type="dxa"/>
            <w:vMerge w:val="restart"/>
            <w:tcBorders>
              <w:top w:val="single" w:color="auto" w:sz="4" w:space="0"/>
              <w:left w:val="single" w:color="auto" w:sz="4" w:space="0"/>
              <w:bottom w:val="single" w:color="auto" w:sz="4" w:space="0"/>
              <w:right w:val="nil"/>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hint="eastAsia" w:ascii="Times New Roman" w:hAnsi="Times New Roman" w:eastAsia="等线" w:cs="等线"/>
                <w:color w:val="000000"/>
                <w:sz w:val="21"/>
                <w:szCs w:val="21"/>
                <w:bdr w:val="none" w:color="auto" w:sz="0" w:space="0"/>
                <w:vertAlign w:val="baseline"/>
              </w:rPr>
              <w:t>多云</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8</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2.7</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-3.1</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101.7</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14</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SW</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2.6</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6.5</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100.8</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20</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SW</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2.4</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-4.3</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101.7</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SW</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2.6</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-5.8</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101.8</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restart"/>
            <w:tcBorders>
              <w:top w:val="single" w:color="auto" w:sz="4" w:space="0"/>
              <w:left w:val="nil"/>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w:t>
            </w:r>
            <w:r>
              <w:rPr>
                <w:rFonts w:hint="eastAsia" w:ascii="Times New Roman" w:hAnsi="Times New Roman" w:eastAsia="等线" w:cs="等线"/>
                <w:color w:val="000000"/>
                <w:sz w:val="21"/>
                <w:szCs w:val="21"/>
                <w:bdr w:val="none" w:color="auto" w:sz="0" w:space="0"/>
                <w:vertAlign w:val="baseline"/>
              </w:rPr>
              <w:t>月</w:t>
            </w:r>
            <w:r>
              <w:rPr>
                <w:rFonts w:eastAsia="等线"/>
                <w:color w:val="000000"/>
                <w:sz w:val="21"/>
                <w:szCs w:val="21"/>
                <w:bdr w:val="none" w:color="auto" w:sz="0" w:space="0"/>
                <w:vertAlign w:val="baseline"/>
              </w:rPr>
              <w:t>24</w:t>
            </w:r>
            <w:r>
              <w:rPr>
                <w:rFonts w:hint="eastAsia" w:ascii="Times New Roman" w:hAnsi="Times New Roman" w:eastAsia="等线" w:cs="等线"/>
                <w:color w:val="000000"/>
                <w:sz w:val="21"/>
                <w:szCs w:val="21"/>
                <w:bdr w:val="none" w:color="auto" w:sz="0" w:space="0"/>
                <w:vertAlign w:val="baseline"/>
              </w:rPr>
              <w:t>日</w:t>
            </w: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hint="eastAsia" w:ascii="Times New Roman" w:hAnsi="Times New Roman" w:eastAsia="等线" w:cs="等线"/>
                <w:color w:val="000000"/>
                <w:sz w:val="21"/>
                <w:szCs w:val="21"/>
                <w:bdr w:val="none" w:color="auto" w:sz="0" w:space="0"/>
                <w:vertAlign w:val="baseline"/>
              </w:rPr>
              <w:t>日均</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NE</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1.1</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2.7</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101.2</w:t>
            </w:r>
          </w:p>
        </w:tc>
        <w:tc>
          <w:tcPr>
            <w:tcW w:w="950" w:type="dxa"/>
            <w:vMerge w:val="restart"/>
            <w:tcBorders>
              <w:top w:val="single" w:color="auto" w:sz="4" w:space="0"/>
              <w:left w:val="single" w:color="auto" w:sz="4" w:space="0"/>
              <w:bottom w:val="single" w:color="auto" w:sz="4" w:space="0"/>
              <w:right w:val="nil"/>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hint="eastAsia" w:ascii="Times New Roman" w:hAnsi="Times New Roman" w:eastAsia="等线" w:cs="等线"/>
                <w:color w:val="000000"/>
                <w:sz w:val="21"/>
                <w:szCs w:val="21"/>
                <w:bdr w:val="none" w:color="auto" w:sz="0" w:space="0"/>
                <w:vertAlign w:val="baseline"/>
              </w:rPr>
              <w:t>多云</w:t>
            </w:r>
          </w:p>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8</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N</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1.2</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4.2</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100.9</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14</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NE</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1.1</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5.5</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100.8</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20</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NE</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1.3</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3.0</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101.0</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NE</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0.9</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-1.8</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101.4</w:t>
            </w:r>
          </w:p>
        </w:tc>
        <w:tc>
          <w:tcPr>
            <w:tcW w:w="950"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restart"/>
            <w:tcBorders>
              <w:top w:val="single" w:color="auto" w:sz="4" w:space="0"/>
              <w:left w:val="nil"/>
              <w:bottom w:val="thickThinSmallGap" w:color="auto" w:sz="12"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w:t>
            </w:r>
            <w:r>
              <w:rPr>
                <w:rFonts w:hint="eastAsia" w:ascii="Times New Roman" w:hAnsi="Times New Roman" w:eastAsia="等线" w:cs="等线"/>
                <w:color w:val="000000"/>
                <w:sz w:val="21"/>
                <w:szCs w:val="21"/>
                <w:bdr w:val="none" w:color="auto" w:sz="0" w:space="0"/>
                <w:vertAlign w:val="baseline"/>
              </w:rPr>
              <w:t>月</w:t>
            </w:r>
            <w:r>
              <w:rPr>
                <w:rFonts w:eastAsia="等线"/>
                <w:color w:val="000000"/>
                <w:sz w:val="21"/>
                <w:szCs w:val="21"/>
                <w:bdr w:val="none" w:color="auto" w:sz="0" w:space="0"/>
                <w:vertAlign w:val="baseline"/>
              </w:rPr>
              <w:t>25</w:t>
            </w:r>
            <w:r>
              <w:rPr>
                <w:rFonts w:hint="eastAsia" w:ascii="Times New Roman" w:hAnsi="Times New Roman" w:eastAsia="等线" w:cs="等线"/>
                <w:color w:val="000000"/>
                <w:sz w:val="21"/>
                <w:szCs w:val="21"/>
                <w:bdr w:val="none" w:color="auto" w:sz="0" w:space="0"/>
                <w:vertAlign w:val="baseline"/>
              </w:rPr>
              <w:t>日</w:t>
            </w: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hint="eastAsia" w:ascii="Times New Roman" w:hAnsi="Times New Roman" w:eastAsia="等线" w:cs="等线"/>
                <w:color w:val="000000"/>
                <w:sz w:val="21"/>
                <w:szCs w:val="21"/>
                <w:bdr w:val="none" w:color="auto" w:sz="0" w:space="0"/>
                <w:vertAlign w:val="baseline"/>
              </w:rPr>
              <w:t>日均</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NE</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3.2</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-2.5</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101.6</w:t>
            </w:r>
          </w:p>
        </w:tc>
        <w:tc>
          <w:tcPr>
            <w:tcW w:w="950" w:type="dxa"/>
            <w:vMerge w:val="restart"/>
            <w:tcBorders>
              <w:top w:val="single" w:color="auto" w:sz="4" w:space="0"/>
              <w:left w:val="single" w:color="auto" w:sz="4" w:space="0"/>
              <w:bottom w:val="thickThinSmallGap" w:color="auto" w:sz="12" w:space="0"/>
              <w:right w:val="nil"/>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hint="eastAsia" w:ascii="Times New Roman" w:hAnsi="Times New Roman" w:eastAsia="等线" w:cs="等线"/>
                <w:color w:val="000000"/>
                <w:sz w:val="21"/>
                <w:szCs w:val="21"/>
                <w:bdr w:val="none" w:color="auto" w:sz="0" w:space="0"/>
                <w:vertAlign w:val="baseline"/>
              </w:rPr>
              <w:t>多云</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8</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NE</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3.2</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-3.2</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101.6</w:t>
            </w:r>
          </w:p>
        </w:tc>
        <w:tc>
          <w:tcPr>
            <w:tcW w:w="950" w:type="dxa"/>
            <w:vMerge w:val="continue"/>
            <w:tcBorders>
              <w:top w:val="single" w:color="auto" w:sz="4" w:space="0"/>
              <w:left w:val="single" w:color="auto" w:sz="4"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14</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NE</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3.4</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3.7</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101.1</w:t>
            </w:r>
          </w:p>
        </w:tc>
        <w:tc>
          <w:tcPr>
            <w:tcW w:w="950" w:type="dxa"/>
            <w:vMerge w:val="continue"/>
            <w:tcBorders>
              <w:top w:val="single" w:color="auto" w:sz="4" w:space="0"/>
              <w:left w:val="single" w:color="auto" w:sz="4"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20</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NE</w:t>
            </w:r>
          </w:p>
        </w:tc>
        <w:tc>
          <w:tcPr>
            <w:tcW w:w="141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3.3</w:t>
            </w:r>
          </w:p>
        </w:tc>
        <w:tc>
          <w:tcPr>
            <w:tcW w:w="1380"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-4.8</w:t>
            </w:r>
          </w:p>
        </w:tc>
        <w:tc>
          <w:tcPr>
            <w:tcW w:w="1505" w:type="dxa"/>
            <w:tcBorders>
              <w:top w:val="single" w:color="auto" w:sz="4" w:space="0"/>
              <w:left w:val="single" w:color="auto" w:sz="4" w:space="0"/>
              <w:bottom w:val="single" w:color="auto" w:sz="4"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101.7</w:t>
            </w:r>
          </w:p>
        </w:tc>
        <w:tc>
          <w:tcPr>
            <w:tcW w:w="950" w:type="dxa"/>
            <w:vMerge w:val="continue"/>
            <w:tcBorders>
              <w:top w:val="single" w:color="auto" w:sz="4" w:space="0"/>
              <w:left w:val="single" w:color="auto" w:sz="4"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227" w:type="dxa"/>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1230" w:type="dxa"/>
            <w:tcBorders>
              <w:top w:val="single" w:color="auto" w:sz="4" w:space="0"/>
              <w:left w:val="single" w:color="auto" w:sz="4" w:space="0"/>
              <w:bottom w:val="thickThinSmallGap" w:color="auto" w:sz="12"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2</w:t>
            </w:r>
            <w:r>
              <w:rPr>
                <w:rFonts w:hint="eastAsia" w:ascii="Times New Roman" w:hAnsi="Times New Roman" w:eastAsia="等线" w:cs="等线"/>
                <w:color w:val="000000"/>
                <w:sz w:val="21"/>
                <w:szCs w:val="21"/>
                <w:bdr w:val="none" w:color="auto" w:sz="0" w:space="0"/>
                <w:vertAlign w:val="baseline"/>
              </w:rPr>
              <w:t>时</w:t>
            </w:r>
          </w:p>
        </w:tc>
        <w:tc>
          <w:tcPr>
            <w:tcW w:w="1035" w:type="dxa"/>
            <w:tcBorders>
              <w:top w:val="single" w:color="auto" w:sz="4" w:space="0"/>
              <w:left w:val="single" w:color="auto" w:sz="4" w:space="0"/>
              <w:bottom w:val="thickThinSmallGap" w:color="auto" w:sz="12"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N</w:t>
            </w:r>
          </w:p>
        </w:tc>
        <w:tc>
          <w:tcPr>
            <w:tcW w:w="1410" w:type="dxa"/>
            <w:tcBorders>
              <w:top w:val="single" w:color="auto" w:sz="4" w:space="0"/>
              <w:left w:val="single" w:color="auto" w:sz="4" w:space="0"/>
              <w:bottom w:val="thickThinSmallGap" w:color="auto" w:sz="12"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3.2</w:t>
            </w:r>
          </w:p>
        </w:tc>
        <w:tc>
          <w:tcPr>
            <w:tcW w:w="1380" w:type="dxa"/>
            <w:tcBorders>
              <w:top w:val="single" w:color="auto" w:sz="4" w:space="0"/>
              <w:left w:val="single" w:color="auto" w:sz="4" w:space="0"/>
              <w:bottom w:val="thickThinSmallGap" w:color="auto" w:sz="12"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-5.6</w:t>
            </w:r>
          </w:p>
        </w:tc>
        <w:tc>
          <w:tcPr>
            <w:tcW w:w="1505" w:type="dxa"/>
            <w:tcBorders>
              <w:top w:val="single" w:color="auto" w:sz="4" w:space="0"/>
              <w:left w:val="single" w:color="auto" w:sz="4" w:space="0"/>
              <w:bottom w:val="thickThinSmallGap" w:color="auto" w:sz="12" w:space="0"/>
              <w:right w:val="single" w:color="auto" w:sz="4" w:space="0"/>
            </w:tcBorders>
            <w:shd w:val="clear"/>
            <w:vAlign w:val="center"/>
          </w:tcPr>
          <w:p>
            <w:pPr>
              <w:pStyle w:val="355"/>
              <w:widowControl/>
              <w:spacing w:line="240" w:lineRule="auto"/>
              <w:ind w:left="0" w:firstLine="0" w:firstLineChars="0"/>
              <w:jc w:val="center"/>
              <w:textAlignment w:val="baseline"/>
              <w:rPr>
                <w:rFonts w:eastAsia="等线"/>
                <w:color w:val="000000"/>
                <w:sz w:val="21"/>
                <w:szCs w:val="21"/>
                <w:bdr w:val="none" w:color="auto" w:sz="0" w:space="0"/>
                <w:vertAlign w:val="baseline"/>
              </w:rPr>
            </w:pPr>
            <w:r>
              <w:rPr>
                <w:rFonts w:eastAsia="等线"/>
                <w:color w:val="000000"/>
                <w:sz w:val="21"/>
                <w:szCs w:val="21"/>
                <w:bdr w:val="none" w:color="auto" w:sz="0" w:space="0"/>
                <w:vertAlign w:val="baseline"/>
              </w:rPr>
              <w:t>101.8</w:t>
            </w:r>
          </w:p>
        </w:tc>
        <w:tc>
          <w:tcPr>
            <w:tcW w:w="950" w:type="dxa"/>
            <w:vMerge w:val="continue"/>
            <w:tcBorders>
              <w:top w:val="single" w:color="auto" w:sz="4" w:space="0"/>
              <w:left w:val="single" w:color="auto" w:sz="4" w:space="0"/>
              <w:bottom w:val="thickThinSmallGap" w:color="auto" w:sz="12" w:space="0"/>
              <w:right w:val="nil"/>
            </w:tcBorders>
            <w:shd w:val="clear"/>
            <w:vAlign w:val="center"/>
          </w:tcPr>
          <w:p>
            <w:pPr>
              <w:rPr>
                <w:rFonts w:hint="default" w:ascii="Times New Roman" w:hAnsi="Times New Roman" w:cs="Times New Roman"/>
                <w:sz w:val="20"/>
                <w:szCs w:val="20"/>
              </w:rPr>
            </w:pPr>
          </w:p>
        </w:tc>
      </w:tr>
    </w:tbl>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bCs w:val="0"/>
          <w:color w:val="000000"/>
          <w:kern w:val="0"/>
          <w:sz w:val="24"/>
          <w:szCs w:val="24"/>
          <w:lang w:val="en-US" w:eastAsia="zh-CN" w:bidi="ar"/>
        </w:rPr>
        <w:t>③</w:t>
      </w:r>
      <w:r>
        <w:rPr>
          <w:rFonts w:hint="eastAsia" w:ascii="Times New Roman" w:hAnsi="Times New Roman" w:eastAsia="宋体" w:cs="Times New Roman"/>
          <w:b/>
          <w:bCs w:val="0"/>
          <w:color w:val="000000"/>
          <w:kern w:val="0"/>
          <w:sz w:val="24"/>
          <w:szCs w:val="24"/>
          <w:lang w:val="en-US" w:eastAsia="zh-CN" w:bidi="ar"/>
        </w:rPr>
        <w:t>大气环境现状监测结果分析</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b/>
          <w:bCs w:val="0"/>
          <w:color w:val="000000"/>
          <w:sz w:val="18"/>
          <w:szCs w:val="24"/>
          <w:lang w:val="en-US"/>
        </w:rPr>
      </w:pPr>
      <w:r>
        <w:rPr>
          <w:rFonts w:hint="eastAsia" w:ascii="Times New Roman" w:hAnsi="Times New Roman" w:eastAsia="宋体" w:cs="Times New Roman"/>
          <w:color w:val="000000"/>
          <w:kern w:val="0"/>
          <w:sz w:val="24"/>
          <w:szCs w:val="24"/>
          <w:lang w:val="en-US" w:eastAsia="zh-CN" w:bidi="ar"/>
        </w:rPr>
        <w:t>各监测因子的监测结果见表</w:t>
      </w:r>
      <w:r>
        <w:rPr>
          <w:rFonts w:hint="default" w:ascii="Times New Roman" w:hAnsi="Times New Roman" w:eastAsia="宋体" w:cs="Times New Roman"/>
          <w:color w:val="000000"/>
          <w:kern w:val="0"/>
          <w:sz w:val="24"/>
          <w:szCs w:val="24"/>
          <w:lang w:val="en-US" w:eastAsia="zh-CN" w:bidi="ar"/>
        </w:rPr>
        <w:t>4.2-5</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2338"/>
        </w:tabs>
        <w:spacing w:before="0" w:beforeAutospacing="0" w:after="0" w:afterAutospacing="0" w:line="360" w:lineRule="auto"/>
        <w:ind w:left="0" w:right="0"/>
        <w:jc w:val="center"/>
        <w:rPr>
          <w:rFonts w:hint="default" w:ascii="Times New Roman" w:hAnsi="Times New Roman" w:eastAsia="宋体（打印机字体）" w:cs="Times New Roman"/>
          <w:b/>
          <w:bCs w:val="0"/>
          <w:color w:val="000000"/>
          <w:sz w:val="18"/>
          <w:szCs w:val="18"/>
          <w:lang w:val="en-US"/>
        </w:rPr>
      </w:pPr>
      <w:r>
        <w:rPr>
          <w:rFonts w:hint="eastAsia" w:ascii="Times New Roman" w:hAnsi="Times New Roman" w:eastAsia="黑体" w:cs="Times New Roman"/>
          <w:color w:val="000000"/>
          <w:kern w:val="0"/>
          <w:sz w:val="24"/>
          <w:szCs w:val="24"/>
          <w:lang w:val="zh-CN" w:eastAsia="zh-CN" w:bidi="ar"/>
        </w:rPr>
        <w:t>表</w:t>
      </w:r>
      <w:r>
        <w:rPr>
          <w:rFonts w:hint="default" w:ascii="Times New Roman" w:hAnsi="Times New Roman" w:eastAsia="黑体" w:cs="Times New Roman"/>
          <w:color w:val="000000"/>
          <w:kern w:val="0"/>
          <w:sz w:val="24"/>
          <w:szCs w:val="24"/>
          <w:lang w:val="zh-CN" w:eastAsia="zh-CN" w:bidi="ar"/>
        </w:rPr>
        <w:t xml:space="preserve">4.2-5  </w:t>
      </w:r>
      <w:r>
        <w:rPr>
          <w:rFonts w:hint="eastAsia" w:ascii="Times New Roman" w:hAnsi="Times New Roman" w:eastAsia="黑体" w:cs="Times New Roman"/>
          <w:color w:val="000000"/>
          <w:kern w:val="0"/>
          <w:sz w:val="24"/>
          <w:szCs w:val="24"/>
          <w:lang w:val="zh-CN" w:eastAsia="zh-CN" w:bidi="ar"/>
        </w:rPr>
        <w:t>环境空气</w:t>
      </w:r>
      <w:r>
        <w:rPr>
          <w:rFonts w:hint="default" w:ascii="Times New Roman" w:hAnsi="Times New Roman" w:eastAsia="黑体" w:cs="Times New Roman"/>
          <w:color w:val="000000"/>
          <w:kern w:val="0"/>
          <w:sz w:val="24"/>
          <w:szCs w:val="24"/>
          <w:lang w:val="zh-CN" w:eastAsia="zh-CN" w:bidi="ar"/>
        </w:rPr>
        <w:t>TSP</w:t>
      </w:r>
      <w:r>
        <w:rPr>
          <w:rFonts w:hint="eastAsia" w:ascii="Times New Roman" w:hAnsi="Times New Roman" w:eastAsia="黑体" w:cs="Times New Roman"/>
          <w:color w:val="000000"/>
          <w:kern w:val="0"/>
          <w:sz w:val="24"/>
          <w:szCs w:val="24"/>
          <w:lang w:val="zh-CN" w:eastAsia="zh-CN" w:bidi="ar"/>
        </w:rPr>
        <w:t>监测结果统计表</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1825"/>
        <w:gridCol w:w="16"/>
        <w:gridCol w:w="2394"/>
        <w:gridCol w:w="16"/>
        <w:gridCol w:w="4217"/>
        <w:gridCol w:w="33"/>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40" w:hRule="atLeast"/>
          <w:tblHeader/>
          <w:jc w:val="center"/>
        </w:trPr>
        <w:tc>
          <w:tcPr>
            <w:tcW w:w="1841" w:type="dxa"/>
            <w:gridSpan w:val="2"/>
            <w:tcBorders>
              <w:top w:val="thinThickSmallGap" w:color="auto" w:sz="12" w:space="0"/>
              <w:left w:val="nil"/>
              <w:bottom w:val="single" w:color="auto" w:sz="4" w:space="0"/>
              <w:right w:val="single" w:color="auto" w:sz="4" w:space="0"/>
            </w:tcBorders>
            <w:shd w:val="clear" w:color="auto" w:fill="DDDDDD"/>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监测日期</w:t>
            </w:r>
          </w:p>
        </w:tc>
        <w:tc>
          <w:tcPr>
            <w:tcW w:w="2410" w:type="dxa"/>
            <w:gridSpan w:val="2"/>
            <w:tcBorders>
              <w:top w:val="thinThickSmallGap" w:color="auto" w:sz="12" w:space="0"/>
              <w:left w:val="single" w:color="auto" w:sz="4" w:space="0"/>
              <w:bottom w:val="single" w:color="auto" w:sz="4" w:space="0"/>
              <w:right w:val="single" w:color="auto" w:sz="4" w:space="0"/>
            </w:tcBorders>
            <w:shd w:val="clear" w:color="auto" w:fill="DDDDDD"/>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监测点位</w:t>
            </w:r>
          </w:p>
        </w:tc>
        <w:tc>
          <w:tcPr>
            <w:tcW w:w="4250" w:type="dxa"/>
            <w:gridSpan w:val="2"/>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日均值（</w:t>
            </w:r>
            <w:r>
              <w:rPr>
                <w:rFonts w:hint="default" w:ascii="Times New Roman" w:hAnsi="Times New Roman" w:cs="Times New Roman"/>
                <w:color w:val="000000"/>
                <w:sz w:val="21"/>
                <w:szCs w:val="21"/>
                <w:bdr w:val="none" w:color="auto" w:sz="0" w:space="0"/>
                <w:lang w:val="en-US"/>
              </w:rPr>
              <w:t>μ</w:t>
            </w:r>
            <w:r>
              <w:rPr>
                <w:rFonts w:hint="default" w:ascii="Times New Roman" w:hAnsi="Times New Roman" w:cs="Times New Roman"/>
                <w:bCs/>
                <w:color w:val="000000"/>
                <w:sz w:val="21"/>
                <w:szCs w:val="21"/>
                <w:bdr w:val="none" w:color="auto" w:sz="0" w:space="0"/>
                <w:lang w:val="en-US"/>
              </w:rPr>
              <w:t>g/m</w:t>
            </w:r>
            <w:r>
              <w:rPr>
                <w:rFonts w:hint="default" w:ascii="Times New Roman" w:hAnsi="Times New Roman" w:cs="Times New Roman"/>
                <w:bCs/>
                <w:color w:val="000000"/>
                <w:sz w:val="21"/>
                <w:szCs w:val="21"/>
                <w:bdr w:val="none" w:color="auto" w:sz="0" w:space="0"/>
                <w:vertAlign w:val="superscript"/>
                <w:lang w:val="en-US"/>
              </w:rPr>
              <w:t>3</w:t>
            </w:r>
            <w:r>
              <w:rPr>
                <w:rFonts w:ascii="Times New Roman" w:hAnsi="Times New Roman" w:cs="Times New Roman"/>
                <w:bCs/>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33" w:type="dxa"/>
          <w:trHeight w:val="340" w:hRule="atLeast"/>
          <w:jc w:val="center"/>
        </w:trPr>
        <w:tc>
          <w:tcPr>
            <w:tcW w:w="1825" w:type="dxa"/>
            <w:tcBorders>
              <w:top w:val="single" w:color="auto" w:sz="4" w:space="0"/>
              <w:left w:val="nil"/>
              <w:bottom w:val="single" w:color="auto" w:sz="4" w:space="0"/>
              <w:right w:val="single" w:color="auto" w:sz="4" w:space="0"/>
            </w:tcBorders>
            <w:shd w:val="clear"/>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2020.02.19</w:t>
            </w:r>
          </w:p>
        </w:tc>
        <w:tc>
          <w:tcPr>
            <w:tcW w:w="2410" w:type="dxa"/>
            <w:gridSpan w:val="2"/>
            <w:vMerge w:val="restart"/>
            <w:tcBorders>
              <w:top w:val="single" w:color="auto" w:sz="4" w:space="0"/>
              <w:left w:val="single" w:color="auto" w:sz="4" w:space="0"/>
              <w:bottom w:val="thickThinSmallGap" w:color="auto" w:sz="12" w:space="0"/>
              <w:right w:val="single" w:color="auto" w:sz="4" w:space="0"/>
            </w:tcBorders>
            <w:shd w:val="clear"/>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铧子峪村居民楼</w:t>
            </w:r>
          </w:p>
        </w:tc>
        <w:tc>
          <w:tcPr>
            <w:tcW w:w="4233" w:type="dxa"/>
            <w:gridSpan w:val="2"/>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108</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33" w:type="dxa"/>
          <w:trHeight w:val="340" w:hRule="atLeast"/>
          <w:jc w:val="center"/>
        </w:trPr>
        <w:tc>
          <w:tcPr>
            <w:tcW w:w="1825" w:type="dxa"/>
            <w:tcBorders>
              <w:top w:val="single" w:color="auto" w:sz="4" w:space="0"/>
              <w:left w:val="nil"/>
              <w:bottom w:val="single" w:color="auto" w:sz="4" w:space="0"/>
              <w:right w:val="single" w:color="auto" w:sz="4" w:space="0"/>
            </w:tcBorders>
            <w:shd w:val="clear"/>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2020.02.20</w:t>
            </w:r>
          </w:p>
        </w:tc>
        <w:tc>
          <w:tcPr>
            <w:tcW w:w="2410" w:type="dxa"/>
            <w:gridSpan w:val="2"/>
            <w:vMerge w:val="continue"/>
            <w:tcBorders>
              <w:top w:val="single" w:color="auto" w:sz="4" w:space="0"/>
              <w:left w:val="single" w:color="auto" w:sz="4" w:space="0"/>
              <w:bottom w:val="thickThinSmallGap" w:color="auto" w:sz="12" w:space="0"/>
              <w:right w:val="single" w:color="auto" w:sz="4" w:space="0"/>
            </w:tcBorders>
            <w:shd w:val="clear"/>
            <w:tcMar>
              <w:top w:w="15" w:type="dxa"/>
              <w:left w:w="15" w:type="dxa"/>
              <w:bottom w:w="15" w:type="dxa"/>
              <w:right w:w="15" w:type="dxa"/>
            </w:tcMar>
            <w:vAlign w:val="center"/>
          </w:tcPr>
          <w:p>
            <w:pPr>
              <w:rPr>
                <w:rFonts w:hint="default" w:ascii="Times New Roman" w:hAnsi="Times New Roman" w:cs="Times New Roman"/>
                <w:sz w:val="20"/>
                <w:szCs w:val="20"/>
              </w:rPr>
            </w:pPr>
          </w:p>
        </w:tc>
        <w:tc>
          <w:tcPr>
            <w:tcW w:w="4233" w:type="dxa"/>
            <w:gridSpan w:val="2"/>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95</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33" w:type="dxa"/>
          <w:trHeight w:val="340" w:hRule="atLeast"/>
          <w:jc w:val="center"/>
        </w:trPr>
        <w:tc>
          <w:tcPr>
            <w:tcW w:w="1825" w:type="dxa"/>
            <w:tcBorders>
              <w:top w:val="single" w:color="auto" w:sz="4" w:space="0"/>
              <w:left w:val="nil"/>
              <w:bottom w:val="single" w:color="auto" w:sz="4" w:space="0"/>
              <w:right w:val="single" w:color="auto" w:sz="4" w:space="0"/>
            </w:tcBorders>
            <w:shd w:val="clear"/>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2020.02.21</w:t>
            </w:r>
          </w:p>
        </w:tc>
        <w:tc>
          <w:tcPr>
            <w:tcW w:w="2410" w:type="dxa"/>
            <w:gridSpan w:val="2"/>
            <w:vMerge w:val="continue"/>
            <w:tcBorders>
              <w:top w:val="single" w:color="auto" w:sz="4" w:space="0"/>
              <w:left w:val="single" w:color="auto" w:sz="4" w:space="0"/>
              <w:bottom w:val="thickThinSmallGap" w:color="auto" w:sz="12" w:space="0"/>
              <w:right w:val="single" w:color="auto" w:sz="4" w:space="0"/>
            </w:tcBorders>
            <w:shd w:val="clear"/>
            <w:tcMar>
              <w:top w:w="15" w:type="dxa"/>
              <w:left w:w="15" w:type="dxa"/>
              <w:bottom w:w="15" w:type="dxa"/>
              <w:right w:w="15" w:type="dxa"/>
            </w:tcMar>
            <w:vAlign w:val="center"/>
          </w:tcPr>
          <w:p>
            <w:pPr>
              <w:rPr>
                <w:rFonts w:hint="default" w:ascii="Times New Roman" w:hAnsi="Times New Roman" w:cs="Times New Roman"/>
                <w:sz w:val="20"/>
                <w:szCs w:val="20"/>
              </w:rPr>
            </w:pPr>
          </w:p>
        </w:tc>
        <w:tc>
          <w:tcPr>
            <w:tcW w:w="4233" w:type="dxa"/>
            <w:gridSpan w:val="2"/>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104</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33" w:type="dxa"/>
          <w:trHeight w:val="340" w:hRule="atLeast"/>
          <w:jc w:val="center"/>
        </w:trPr>
        <w:tc>
          <w:tcPr>
            <w:tcW w:w="1825" w:type="dxa"/>
            <w:tcBorders>
              <w:top w:val="single" w:color="auto" w:sz="4" w:space="0"/>
              <w:left w:val="nil"/>
              <w:bottom w:val="single" w:color="auto" w:sz="4" w:space="0"/>
              <w:right w:val="single" w:color="auto" w:sz="4" w:space="0"/>
            </w:tcBorders>
            <w:shd w:val="clear"/>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2020.02.22</w:t>
            </w:r>
          </w:p>
        </w:tc>
        <w:tc>
          <w:tcPr>
            <w:tcW w:w="2410" w:type="dxa"/>
            <w:gridSpan w:val="2"/>
            <w:vMerge w:val="continue"/>
            <w:tcBorders>
              <w:top w:val="single" w:color="auto" w:sz="4" w:space="0"/>
              <w:left w:val="single" w:color="auto" w:sz="4" w:space="0"/>
              <w:bottom w:val="thickThinSmallGap" w:color="auto" w:sz="12" w:space="0"/>
              <w:right w:val="single" w:color="auto" w:sz="4" w:space="0"/>
            </w:tcBorders>
            <w:shd w:val="clear"/>
            <w:tcMar>
              <w:top w:w="15" w:type="dxa"/>
              <w:left w:w="15" w:type="dxa"/>
              <w:bottom w:w="15" w:type="dxa"/>
              <w:right w:w="15" w:type="dxa"/>
            </w:tcMar>
            <w:vAlign w:val="center"/>
          </w:tcPr>
          <w:p>
            <w:pPr>
              <w:rPr>
                <w:rFonts w:hint="default" w:ascii="Times New Roman" w:hAnsi="Times New Roman" w:cs="Times New Roman"/>
                <w:sz w:val="20"/>
                <w:szCs w:val="20"/>
              </w:rPr>
            </w:pPr>
          </w:p>
        </w:tc>
        <w:tc>
          <w:tcPr>
            <w:tcW w:w="4233" w:type="dxa"/>
            <w:gridSpan w:val="2"/>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106</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33" w:type="dxa"/>
          <w:trHeight w:val="340" w:hRule="atLeast"/>
          <w:jc w:val="center"/>
        </w:trPr>
        <w:tc>
          <w:tcPr>
            <w:tcW w:w="1825" w:type="dxa"/>
            <w:tcBorders>
              <w:top w:val="single" w:color="auto" w:sz="4" w:space="0"/>
              <w:left w:val="nil"/>
              <w:bottom w:val="single" w:color="auto" w:sz="4" w:space="0"/>
              <w:right w:val="single" w:color="auto" w:sz="4" w:space="0"/>
            </w:tcBorders>
            <w:shd w:val="clear"/>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2020.02.23</w:t>
            </w:r>
          </w:p>
        </w:tc>
        <w:tc>
          <w:tcPr>
            <w:tcW w:w="2410" w:type="dxa"/>
            <w:gridSpan w:val="2"/>
            <w:vMerge w:val="continue"/>
            <w:tcBorders>
              <w:top w:val="single" w:color="auto" w:sz="4" w:space="0"/>
              <w:left w:val="single" w:color="auto" w:sz="4" w:space="0"/>
              <w:bottom w:val="thickThinSmallGap" w:color="auto" w:sz="12" w:space="0"/>
              <w:right w:val="single" w:color="auto" w:sz="4" w:space="0"/>
            </w:tcBorders>
            <w:shd w:val="clear"/>
            <w:tcMar>
              <w:top w:w="15" w:type="dxa"/>
              <w:left w:w="15" w:type="dxa"/>
              <w:bottom w:w="15" w:type="dxa"/>
              <w:right w:w="15" w:type="dxa"/>
            </w:tcMar>
            <w:vAlign w:val="center"/>
          </w:tcPr>
          <w:p>
            <w:pPr>
              <w:rPr>
                <w:rFonts w:hint="default" w:ascii="Times New Roman" w:hAnsi="Times New Roman" w:cs="Times New Roman"/>
                <w:sz w:val="20"/>
                <w:szCs w:val="20"/>
              </w:rPr>
            </w:pPr>
          </w:p>
        </w:tc>
        <w:tc>
          <w:tcPr>
            <w:tcW w:w="4233" w:type="dxa"/>
            <w:gridSpan w:val="2"/>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97</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33" w:type="dxa"/>
          <w:trHeight w:val="340" w:hRule="atLeast"/>
          <w:jc w:val="center"/>
        </w:trPr>
        <w:tc>
          <w:tcPr>
            <w:tcW w:w="1825" w:type="dxa"/>
            <w:tcBorders>
              <w:top w:val="single" w:color="auto" w:sz="4" w:space="0"/>
              <w:left w:val="nil"/>
              <w:bottom w:val="single" w:color="auto" w:sz="4" w:space="0"/>
              <w:right w:val="single" w:color="auto" w:sz="4" w:space="0"/>
            </w:tcBorders>
            <w:shd w:val="clear"/>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2020.02.24</w:t>
            </w:r>
          </w:p>
        </w:tc>
        <w:tc>
          <w:tcPr>
            <w:tcW w:w="2410" w:type="dxa"/>
            <w:gridSpan w:val="2"/>
            <w:vMerge w:val="continue"/>
            <w:tcBorders>
              <w:top w:val="single" w:color="auto" w:sz="4" w:space="0"/>
              <w:left w:val="single" w:color="auto" w:sz="4" w:space="0"/>
              <w:bottom w:val="thickThinSmallGap" w:color="auto" w:sz="12" w:space="0"/>
              <w:right w:val="single" w:color="auto" w:sz="4" w:space="0"/>
            </w:tcBorders>
            <w:shd w:val="clear"/>
            <w:tcMar>
              <w:top w:w="15" w:type="dxa"/>
              <w:left w:w="15" w:type="dxa"/>
              <w:bottom w:w="15" w:type="dxa"/>
              <w:right w:w="15" w:type="dxa"/>
            </w:tcMar>
            <w:vAlign w:val="center"/>
          </w:tcPr>
          <w:p>
            <w:pPr>
              <w:rPr>
                <w:rFonts w:hint="default" w:ascii="Times New Roman" w:hAnsi="Times New Roman" w:cs="Times New Roman"/>
                <w:sz w:val="20"/>
                <w:szCs w:val="20"/>
              </w:rPr>
            </w:pPr>
          </w:p>
        </w:tc>
        <w:tc>
          <w:tcPr>
            <w:tcW w:w="4233" w:type="dxa"/>
            <w:gridSpan w:val="2"/>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91</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33" w:type="dxa"/>
          <w:trHeight w:val="340" w:hRule="atLeast"/>
          <w:jc w:val="center"/>
        </w:trPr>
        <w:tc>
          <w:tcPr>
            <w:tcW w:w="1825" w:type="dxa"/>
            <w:tcBorders>
              <w:top w:val="single" w:color="auto" w:sz="4" w:space="0"/>
              <w:left w:val="nil"/>
              <w:bottom w:val="thickThinSmallGap" w:color="auto" w:sz="12" w:space="0"/>
              <w:right w:val="single" w:color="auto" w:sz="4" w:space="0"/>
            </w:tcBorders>
            <w:shd w:val="clear"/>
            <w:tcMar>
              <w:top w:w="15" w:type="dxa"/>
              <w:left w:w="15" w:type="dxa"/>
              <w:bottom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2020.02.25</w:t>
            </w:r>
          </w:p>
        </w:tc>
        <w:tc>
          <w:tcPr>
            <w:tcW w:w="2410" w:type="dxa"/>
            <w:gridSpan w:val="2"/>
            <w:vMerge w:val="continue"/>
            <w:tcBorders>
              <w:top w:val="single" w:color="auto" w:sz="4" w:space="0"/>
              <w:left w:val="single" w:color="auto" w:sz="4" w:space="0"/>
              <w:bottom w:val="thickThinSmallGap" w:color="auto" w:sz="12" w:space="0"/>
              <w:right w:val="single" w:color="auto" w:sz="4" w:space="0"/>
            </w:tcBorders>
            <w:shd w:val="clear"/>
            <w:tcMar>
              <w:top w:w="15" w:type="dxa"/>
              <w:left w:w="15" w:type="dxa"/>
              <w:bottom w:w="15" w:type="dxa"/>
              <w:right w:w="15" w:type="dxa"/>
            </w:tcMar>
            <w:vAlign w:val="center"/>
          </w:tcPr>
          <w:p>
            <w:pPr>
              <w:rPr>
                <w:rFonts w:hint="default" w:ascii="Times New Roman" w:hAnsi="Times New Roman" w:cs="Times New Roman"/>
                <w:sz w:val="20"/>
                <w:szCs w:val="20"/>
              </w:rPr>
            </w:pPr>
          </w:p>
        </w:tc>
        <w:tc>
          <w:tcPr>
            <w:tcW w:w="4233" w:type="dxa"/>
            <w:gridSpan w:val="2"/>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103</w:t>
            </w:r>
          </w:p>
        </w:tc>
      </w:tr>
    </w:tbl>
    <w:p>
      <w:pPr>
        <w:keepNext w:val="0"/>
        <w:keepLines w:val="0"/>
        <w:widowControl/>
        <w:suppressLineNumbers w:val="0"/>
        <w:autoSpaceDE w:val="0"/>
        <w:autoSpaceDN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由监测结果可知，评价区域内</w:t>
      </w:r>
      <w:r>
        <w:rPr>
          <w:rFonts w:hint="default" w:ascii="Times New Roman" w:hAnsi="Times New Roman" w:eastAsia="宋体" w:cs="Times New Roman"/>
          <w:color w:val="000000"/>
          <w:kern w:val="0"/>
          <w:sz w:val="24"/>
          <w:szCs w:val="24"/>
          <w:lang w:val="en-US" w:eastAsia="zh-CN" w:bidi="ar"/>
        </w:rPr>
        <w:t>TSP</w:t>
      </w:r>
      <w:r>
        <w:rPr>
          <w:rFonts w:hint="eastAsia" w:ascii="Times New Roman" w:hAnsi="Times New Roman" w:eastAsia="宋体" w:cs="Times New Roman"/>
          <w:color w:val="000000"/>
          <w:kern w:val="0"/>
          <w:sz w:val="24"/>
          <w:szCs w:val="24"/>
          <w:lang w:val="en-US" w:eastAsia="zh-CN" w:bidi="ar"/>
        </w:rPr>
        <w:t>的最大日均值为</w:t>
      </w:r>
      <w:r>
        <w:rPr>
          <w:rFonts w:hint="default" w:ascii="Times New Roman" w:hAnsi="Times New Roman" w:eastAsia="宋体" w:cs="Times New Roman"/>
          <w:color w:val="000000"/>
          <w:kern w:val="0"/>
          <w:sz w:val="24"/>
          <w:szCs w:val="24"/>
          <w:lang w:val="en-US" w:eastAsia="zh-CN" w:bidi="ar"/>
        </w:rPr>
        <w:t>108μg/m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，满足《环境空气质量标准》（</w:t>
      </w:r>
      <w:r>
        <w:rPr>
          <w:rFonts w:hint="default" w:ascii="Times New Roman" w:hAnsi="Times New Roman" w:eastAsia="宋体" w:cs="Times New Roman"/>
          <w:color w:val="000000"/>
          <w:kern w:val="0"/>
          <w:sz w:val="24"/>
          <w:szCs w:val="24"/>
          <w:lang w:val="en-US" w:eastAsia="zh-CN" w:bidi="ar"/>
        </w:rPr>
        <w:t>GB3095-2012</w:t>
      </w:r>
      <w:r>
        <w:rPr>
          <w:rFonts w:hint="eastAsia" w:ascii="Times New Roman" w:hAnsi="Times New Roman" w:eastAsia="宋体" w:cs="Times New Roman"/>
          <w:color w:val="000000"/>
          <w:kern w:val="0"/>
          <w:sz w:val="24"/>
          <w:szCs w:val="24"/>
          <w:lang w:val="en-US" w:eastAsia="zh-CN" w:bidi="ar"/>
        </w:rPr>
        <w:t>）中附录</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参考浓度二级标准限值。</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.2.2 </w:t>
      </w:r>
      <w:r>
        <w:rPr>
          <w:rFonts w:ascii="Times New Roman" w:hAnsi="Times New Roman" w:cs="Times New Roman"/>
          <w:color w:val="000000"/>
          <w:lang/>
        </w:rPr>
        <w:t>声环境质量现状调查与评价</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）监测点位布设</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本次声环境质量现状调查共设置</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个环境噪声监测点位，点位位置详见表</w:t>
      </w:r>
      <w:r>
        <w:rPr>
          <w:rFonts w:hint="default" w:ascii="Times New Roman" w:hAnsi="Times New Roman" w:eastAsia="宋体" w:cs="Times New Roman"/>
          <w:color w:val="000000"/>
          <w:kern w:val="0"/>
          <w:sz w:val="24"/>
          <w:szCs w:val="24"/>
          <w:lang w:val="en-US" w:eastAsia="zh-CN" w:bidi="ar"/>
        </w:rPr>
        <w:t>4.2-6</w:t>
      </w:r>
      <w:r>
        <w:rPr>
          <w:rFonts w:hint="eastAsia" w:ascii="Times New Roman" w:hAnsi="Times New Roman" w:eastAsia="宋体" w:cs="Times New Roman"/>
          <w:color w:val="000000"/>
          <w:kern w:val="0"/>
          <w:sz w:val="24"/>
          <w:szCs w:val="24"/>
          <w:lang w:val="en-US" w:eastAsia="zh-CN" w:bidi="ar"/>
        </w:rPr>
        <w:t>及图</w:t>
      </w:r>
      <w:r>
        <w:rPr>
          <w:rFonts w:hint="default" w:ascii="Times New Roman" w:hAnsi="Times New Roman" w:eastAsia="宋体" w:cs="Times New Roman"/>
          <w:color w:val="000000"/>
          <w:kern w:val="0"/>
          <w:sz w:val="24"/>
          <w:szCs w:val="24"/>
          <w:lang w:val="en-US" w:eastAsia="zh-CN" w:bidi="ar"/>
        </w:rPr>
        <w:t>4-4</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2338"/>
        </w:tabs>
        <w:spacing w:before="0" w:beforeAutospacing="0" w:after="0" w:afterAutospacing="0" w:line="360" w:lineRule="auto"/>
        <w:ind w:left="0" w:right="0"/>
        <w:jc w:val="center"/>
        <w:rPr>
          <w:rFonts w:hint="default" w:ascii="Times New Roman" w:hAnsi="Times New Roman" w:eastAsia="黑体" w:cs="Times New Roman"/>
          <w:color w:val="000000"/>
          <w:lang w:val="zh-CN" w:eastAsia="zh-CN"/>
        </w:rPr>
      </w:pPr>
      <w:r>
        <w:rPr>
          <w:rFonts w:hint="eastAsia" w:ascii="Times New Roman" w:hAnsi="Times New Roman" w:eastAsia="黑体" w:cs="Times New Roman"/>
          <w:color w:val="000000"/>
          <w:kern w:val="0"/>
          <w:sz w:val="24"/>
          <w:szCs w:val="24"/>
          <w:lang w:val="zh-CN" w:eastAsia="zh-CN" w:bidi="ar"/>
        </w:rPr>
        <w:t>表</w:t>
      </w:r>
      <w:r>
        <w:rPr>
          <w:rFonts w:hint="default" w:ascii="Times New Roman" w:hAnsi="Times New Roman" w:eastAsia="黑体" w:cs="Times New Roman"/>
          <w:color w:val="000000"/>
          <w:kern w:val="0"/>
          <w:sz w:val="24"/>
          <w:szCs w:val="24"/>
          <w:lang w:val="zh-CN" w:eastAsia="zh-CN" w:bidi="ar"/>
        </w:rPr>
        <w:t xml:space="preserve">4.2-6  </w:t>
      </w:r>
      <w:r>
        <w:rPr>
          <w:rFonts w:hint="eastAsia" w:ascii="Times New Roman" w:hAnsi="Times New Roman" w:eastAsia="黑体" w:cs="Times New Roman"/>
          <w:color w:val="000000"/>
          <w:kern w:val="0"/>
          <w:sz w:val="24"/>
          <w:szCs w:val="24"/>
          <w:lang w:val="zh-CN" w:eastAsia="zh-CN" w:bidi="ar"/>
        </w:rPr>
        <w:t>环境噪声监测点位经纬度</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2033"/>
        <w:gridCol w:w="6694"/>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cantSplit/>
          <w:trHeight w:val="397" w:hRule="atLeast"/>
          <w:jc w:val="center"/>
        </w:trPr>
        <w:tc>
          <w:tcPr>
            <w:tcW w:w="1165" w:type="pct"/>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点位</w:t>
            </w:r>
          </w:p>
        </w:tc>
        <w:tc>
          <w:tcPr>
            <w:tcW w:w="3835" w:type="pct"/>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监测点位名称</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165"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3835"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厂界东侧外</w:t>
            </w:r>
            <w:r>
              <w:rPr>
                <w:rFonts w:hint="default" w:ascii="Times New Roman" w:hAnsi="Times New Roman" w:cs="Times New Roman"/>
                <w:color w:val="000000"/>
                <w:sz w:val="21"/>
                <w:szCs w:val="21"/>
                <w:bdr w:val="none" w:color="auto" w:sz="0" w:space="0"/>
                <w:lang w:val="en-US"/>
              </w:rPr>
              <w:t>1m</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165"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p>
        </w:tc>
        <w:tc>
          <w:tcPr>
            <w:tcW w:w="3835"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pacing w:before="95" w:beforeLines="20" w:beforeAutospacing="0" w:after="95" w:afterLines="2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ascii="Times New Roman" w:hAnsi="Times New Roman" w:cs="Times New Roman"/>
                <w:color w:val="000000"/>
                <w:sz w:val="21"/>
                <w:szCs w:val="21"/>
                <w:bdr w:val="none" w:color="auto" w:sz="0" w:space="0"/>
                <w:vertAlign w:val="baseline"/>
              </w:rPr>
              <w:t>厂界南侧外</w:t>
            </w:r>
            <w:r>
              <w:rPr>
                <w:rFonts w:hint="default" w:ascii="Times New Roman" w:hAnsi="Times New Roman" w:cs="Times New Roman"/>
                <w:color w:val="000000"/>
                <w:sz w:val="21"/>
                <w:szCs w:val="21"/>
                <w:bdr w:val="none" w:color="auto" w:sz="0" w:space="0"/>
                <w:vertAlign w:val="baseline"/>
                <w:lang w:val="en-US"/>
              </w:rPr>
              <w:t>1m</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165"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w:t>
            </w:r>
          </w:p>
        </w:tc>
        <w:tc>
          <w:tcPr>
            <w:tcW w:w="3835"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pacing w:before="95" w:beforeLines="20" w:beforeAutospacing="0" w:after="95" w:afterLines="2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ascii="Times New Roman" w:hAnsi="Times New Roman" w:cs="Times New Roman"/>
                <w:color w:val="000000"/>
                <w:sz w:val="21"/>
                <w:szCs w:val="21"/>
                <w:bdr w:val="none" w:color="auto" w:sz="0" w:space="0"/>
                <w:vertAlign w:val="baseline"/>
              </w:rPr>
              <w:t>厂界西侧外</w:t>
            </w:r>
            <w:r>
              <w:rPr>
                <w:rFonts w:hint="default" w:ascii="Times New Roman" w:hAnsi="Times New Roman" w:cs="Times New Roman"/>
                <w:color w:val="000000"/>
                <w:sz w:val="21"/>
                <w:szCs w:val="21"/>
                <w:bdr w:val="none" w:color="auto" w:sz="0" w:space="0"/>
                <w:vertAlign w:val="baseline"/>
                <w:lang w:val="en-US"/>
              </w:rPr>
              <w:t>1m</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165" w:type="pc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w:t>
            </w:r>
          </w:p>
        </w:tc>
        <w:tc>
          <w:tcPr>
            <w:tcW w:w="3835"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adjustRightInd w:val="0"/>
              <w:spacing w:before="95" w:beforeLines="20" w:beforeAutospacing="0" w:after="95" w:afterLines="2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ascii="Times New Roman" w:hAnsi="Times New Roman" w:cs="Times New Roman"/>
                <w:color w:val="000000"/>
                <w:sz w:val="21"/>
                <w:szCs w:val="21"/>
                <w:bdr w:val="none" w:color="auto" w:sz="0" w:space="0"/>
                <w:vertAlign w:val="baseline"/>
              </w:rPr>
              <w:t>厂界北侧外</w:t>
            </w:r>
            <w:r>
              <w:rPr>
                <w:rFonts w:hint="default" w:ascii="Times New Roman" w:hAnsi="Times New Roman" w:cs="Times New Roman"/>
                <w:color w:val="000000"/>
                <w:sz w:val="21"/>
                <w:szCs w:val="21"/>
                <w:bdr w:val="none" w:color="auto" w:sz="0" w:space="0"/>
                <w:vertAlign w:val="baseline"/>
                <w:lang w:val="en-US"/>
              </w:rPr>
              <w:t>1m</w:t>
            </w:r>
          </w:p>
        </w:tc>
      </w:tr>
    </w:tbl>
    <w:p>
      <w:pPr>
        <w:keepNext w:val="0"/>
        <w:keepLines w:val="0"/>
        <w:widowControl/>
        <w:suppressLineNumbers w:val="0"/>
        <w:spacing w:before="0" w:beforeAutospacing="0" w:after="0" w:afterAutospacing="0" w:line="500" w:lineRule="exact"/>
        <w:ind w:left="0" w:right="0" w:firstLine="422" w:firstLineChars="200"/>
        <w:jc w:val="left"/>
        <w:rPr>
          <w:rFonts w:hint="default" w:ascii="Times New Roman" w:hAnsi="Times New Roman" w:cs="Times New Roman"/>
          <w:b/>
          <w:bCs w:val="0"/>
          <w:color w:val="000000"/>
          <w:lang w:val="en-US"/>
        </w:rPr>
      </w:pP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）监测时间及频次</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监测时间为</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天（</w:t>
      </w:r>
      <w:r>
        <w:rPr>
          <w:rFonts w:hint="default" w:ascii="Times New Roman" w:hAnsi="Times New Roman" w:eastAsia="宋体" w:cs="Times New Roman"/>
          <w:color w:val="000000"/>
          <w:kern w:val="0"/>
          <w:sz w:val="24"/>
          <w:szCs w:val="24"/>
          <w:lang w:val="en-US" w:eastAsia="zh-CN" w:bidi="ar"/>
        </w:rPr>
        <w:t>2020</w:t>
      </w:r>
      <w:r>
        <w:rPr>
          <w:rFonts w:hint="eastAsia" w:ascii="Times New Roman" w:hAnsi="Times New Roman" w:eastAsia="宋体" w:cs="Times New Roman"/>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01</w:t>
      </w:r>
      <w:r>
        <w:rPr>
          <w:rFonts w:hint="eastAsia" w:ascii="Times New Roman" w:hAnsi="Times New Roman" w:eastAsia="宋体" w:cs="Times New Roman"/>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08</w:t>
      </w:r>
      <w:r>
        <w:rPr>
          <w:rFonts w:hint="eastAsia" w:ascii="Times New Roman" w:hAnsi="Times New Roman" w:eastAsia="宋体" w:cs="Times New Roman"/>
          <w:color w:val="000000"/>
          <w:kern w:val="0"/>
          <w:sz w:val="24"/>
          <w:szCs w:val="24"/>
          <w:lang w:val="en-US" w:eastAsia="zh-CN" w:bidi="ar"/>
        </w:rPr>
        <w:t>日</w:t>
      </w:r>
      <w:r>
        <w:rPr>
          <w:rFonts w:hint="default" w:ascii="Times New Roman" w:hAnsi="Times New Roman" w:eastAsia="宋体" w:cs="Times New Roman"/>
          <w:color w:val="000000"/>
          <w:kern w:val="0"/>
          <w:sz w:val="24"/>
          <w:szCs w:val="24"/>
          <w:lang w:val="en-US" w:eastAsia="zh-CN" w:bidi="ar"/>
        </w:rPr>
        <w:t>~09</w:t>
      </w:r>
      <w:r>
        <w:rPr>
          <w:rFonts w:hint="eastAsia" w:ascii="Times New Roman" w:hAnsi="Times New Roman" w:eastAsia="宋体" w:cs="Times New Roman"/>
          <w:color w:val="000000"/>
          <w:kern w:val="0"/>
          <w:sz w:val="24"/>
          <w:szCs w:val="24"/>
          <w:lang w:val="en-US" w:eastAsia="zh-CN" w:bidi="ar"/>
        </w:rPr>
        <w:t>日），监测频次为昼间</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次，夜间</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次。</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）监测方法</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监测方法按照声环境质量标准（</w:t>
      </w:r>
      <w:r>
        <w:rPr>
          <w:rFonts w:hint="default" w:ascii="Times New Roman" w:hAnsi="Times New Roman" w:eastAsia="宋体" w:cs="Times New Roman"/>
          <w:color w:val="000000"/>
          <w:kern w:val="0"/>
          <w:sz w:val="24"/>
          <w:szCs w:val="24"/>
          <w:lang w:val="en-US" w:eastAsia="zh-CN" w:bidi="ar"/>
        </w:rPr>
        <w:t>GB3096-2008</w:t>
      </w:r>
      <w:r>
        <w:rPr>
          <w:rFonts w:hint="eastAsia" w:ascii="Times New Roman" w:hAnsi="Times New Roman" w:eastAsia="宋体" w:cs="Times New Roman"/>
          <w:color w:val="000000"/>
          <w:kern w:val="0"/>
          <w:sz w:val="24"/>
          <w:szCs w:val="24"/>
          <w:lang w:val="en-US" w:eastAsia="zh-CN" w:bidi="ar"/>
        </w:rPr>
        <w:t>）中规定方法执行。</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4</w:t>
      </w:r>
      <w:r>
        <w:rPr>
          <w:rFonts w:hint="eastAsia" w:ascii="Times New Roman" w:hAnsi="Times New Roman" w:eastAsia="宋体" w:cs="Times New Roman"/>
          <w:b/>
          <w:bCs w:val="0"/>
          <w:color w:val="000000"/>
          <w:kern w:val="0"/>
          <w:sz w:val="24"/>
          <w:szCs w:val="24"/>
          <w:lang w:val="en-US" w:eastAsia="zh-CN" w:bidi="ar"/>
        </w:rPr>
        <w:t>）评价标准</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本次评价各点位噪声执行《声环境质量标准》（</w:t>
      </w:r>
      <w:r>
        <w:rPr>
          <w:rFonts w:hint="default" w:ascii="Times New Roman" w:hAnsi="Times New Roman" w:eastAsia="宋体" w:cs="Times New Roman"/>
          <w:color w:val="000000"/>
          <w:kern w:val="0"/>
          <w:sz w:val="24"/>
          <w:szCs w:val="24"/>
          <w:lang w:val="en-US" w:eastAsia="zh-CN" w:bidi="ar"/>
        </w:rPr>
        <w:t>GB3096-2008</w:t>
      </w:r>
      <w:r>
        <w:rPr>
          <w:rFonts w:hint="eastAsia" w:ascii="Times New Roman" w:hAnsi="Times New Roman" w:eastAsia="宋体" w:cs="Times New Roman"/>
          <w:color w:val="000000"/>
          <w:kern w:val="0"/>
          <w:sz w:val="24"/>
          <w:szCs w:val="24"/>
          <w:lang w:val="en-US" w:eastAsia="zh-CN" w:bidi="ar"/>
        </w:rPr>
        <w:t>）中</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类区标准，即昼间</w:t>
      </w:r>
      <w:r>
        <w:rPr>
          <w:rFonts w:hint="default" w:ascii="Times New Roman" w:hAnsi="Times New Roman" w:eastAsia="宋体" w:cs="Times New Roman"/>
          <w:color w:val="000000"/>
          <w:kern w:val="0"/>
          <w:sz w:val="24"/>
          <w:szCs w:val="24"/>
          <w:lang w:val="en-US" w:eastAsia="zh-CN" w:bidi="ar"/>
        </w:rPr>
        <w:t>60dB(A)</w:t>
      </w:r>
      <w:r>
        <w:rPr>
          <w:rFonts w:hint="eastAsia" w:ascii="Times New Roman" w:hAnsi="Times New Roman" w:eastAsia="宋体" w:cs="Times New Roman"/>
          <w:color w:val="000000"/>
          <w:kern w:val="0"/>
          <w:sz w:val="24"/>
          <w:szCs w:val="24"/>
          <w:lang w:val="en-US" w:eastAsia="zh-CN" w:bidi="ar"/>
        </w:rPr>
        <w:t>、夜间</w:t>
      </w:r>
      <w:r>
        <w:rPr>
          <w:rFonts w:hint="default" w:ascii="Times New Roman" w:hAnsi="Times New Roman" w:eastAsia="宋体" w:cs="Times New Roman"/>
          <w:color w:val="000000"/>
          <w:kern w:val="0"/>
          <w:sz w:val="24"/>
          <w:szCs w:val="24"/>
          <w:lang w:val="en-US" w:eastAsia="zh-CN" w:bidi="ar"/>
        </w:rPr>
        <w:t>50dB(A)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72" w:firstLineChars="196"/>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5</w:t>
      </w:r>
      <w:r>
        <w:rPr>
          <w:rFonts w:hint="eastAsia" w:ascii="Times New Roman" w:hAnsi="Times New Roman" w:eastAsia="宋体" w:cs="Times New Roman"/>
          <w:b/>
          <w:bCs w:val="0"/>
          <w:color w:val="000000"/>
          <w:kern w:val="0"/>
          <w:sz w:val="24"/>
          <w:szCs w:val="24"/>
          <w:lang w:val="en-US" w:eastAsia="zh-CN" w:bidi="ar"/>
        </w:rPr>
        <w:t>）监测结果统计与分析</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监测结果统计见表</w:t>
      </w:r>
      <w:r>
        <w:rPr>
          <w:rFonts w:hint="default" w:ascii="Times New Roman" w:hAnsi="Times New Roman" w:eastAsia="宋体" w:cs="Times New Roman"/>
          <w:color w:val="000000"/>
          <w:kern w:val="0"/>
          <w:sz w:val="24"/>
          <w:szCs w:val="24"/>
          <w:lang w:val="en-US" w:eastAsia="zh-CN" w:bidi="ar"/>
        </w:rPr>
        <w:t>4.2-7</w:t>
      </w:r>
      <w:r>
        <w:rPr>
          <w:rFonts w:hint="eastAsia" w:ascii="Times New Roman" w:hAnsi="Times New Roman" w:eastAsia="宋体" w:cs="Times New Roman"/>
          <w:color w:val="000000"/>
          <w:kern w:val="0"/>
          <w:sz w:val="24"/>
          <w:szCs w:val="24"/>
          <w:lang w:val="en-US" w:eastAsia="zh-CN" w:bidi="ar"/>
        </w:rPr>
        <w:t>。</w:t>
      </w:r>
    </w:p>
    <w:p>
      <w:pPr>
        <w:pStyle w:val="88"/>
        <w:widowControl/>
        <w:adjustRightInd/>
        <w:snapToGrid/>
        <w:spacing w:line="240" w:lineRule="auto"/>
        <w:ind w:left="0" w:firstLine="0"/>
        <w:rPr>
          <w:rFonts w:hint="default" w:ascii="Times New Roman" w:hAnsi="Times New Roman" w:cs="Times New Roman"/>
          <w:color w:val="000000"/>
          <w:lang w:val="en-US"/>
        </w:rPr>
      </w:pPr>
    </w:p>
    <w:p>
      <w:pPr>
        <w:pStyle w:val="88"/>
        <w:widowControl/>
        <w:adjustRightInd/>
        <w:snapToGrid/>
        <w:spacing w:line="240" w:lineRule="auto"/>
        <w:ind w:left="0" w:firstLine="0"/>
        <w:rPr>
          <w:rFonts w:hint="default" w:ascii="Times New Roman" w:hAnsi="Times New Roman" w:cs="Times New Roman"/>
          <w:color w:val="000000"/>
          <w:lang w:val="en-US"/>
        </w:rPr>
      </w:pPr>
    </w:p>
    <w:p>
      <w:pPr>
        <w:pStyle w:val="88"/>
        <w:widowControl/>
        <w:adjustRightInd/>
        <w:snapToGrid/>
        <w:spacing w:line="240" w:lineRule="auto"/>
        <w:ind w:left="0" w:firstLine="0"/>
        <w:rPr>
          <w:rFonts w:hint="default" w:ascii="Times New Roman" w:hAnsi="Times New Roman" w:cs="Times New Roman"/>
          <w:color w:val="000000"/>
          <w:lang w:val="en-US"/>
        </w:rPr>
      </w:pPr>
    </w:p>
    <w:p>
      <w:pPr>
        <w:pStyle w:val="88"/>
        <w:widowControl/>
        <w:adjustRightInd/>
        <w:snapToGrid/>
        <w:spacing w:line="240" w:lineRule="auto"/>
        <w:ind w:left="0" w:firstLine="0"/>
        <w:rPr>
          <w:rFonts w:hint="default" w:ascii="Times New Roman" w:hAnsi="Times New Roman" w:cs="Times New Roman"/>
          <w:color w:val="000000"/>
          <w:lang w:val="en-US"/>
        </w:rPr>
      </w:pPr>
      <w:r>
        <w:rPr>
          <w:rFonts w:ascii="Times New Roman" w:hAnsi="Times New Roman" w:cs="Times New Roman"/>
          <w:color w:val="000000"/>
          <w:lang w:eastAsia="zh-CN"/>
        </w:rPr>
        <w:t>表</w:t>
      </w:r>
      <w:r>
        <w:rPr>
          <w:rFonts w:hint="default" w:ascii="Times New Roman" w:hAnsi="Times New Roman" w:cs="Times New Roman"/>
          <w:color w:val="000000"/>
          <w:lang w:val="en-US"/>
        </w:rPr>
        <w:t xml:space="preserve">4.2-7  </w:t>
      </w:r>
      <w:r>
        <w:rPr>
          <w:rFonts w:ascii="Times New Roman" w:hAnsi="Times New Roman" w:cs="Times New Roman"/>
          <w:color w:val="000000"/>
          <w:lang w:eastAsia="zh-CN"/>
        </w:rPr>
        <w:t>噪声监测结果</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931"/>
        <w:gridCol w:w="743"/>
        <w:gridCol w:w="743"/>
        <w:gridCol w:w="744"/>
        <w:gridCol w:w="744"/>
        <w:gridCol w:w="744"/>
        <w:gridCol w:w="744"/>
        <w:gridCol w:w="744"/>
        <w:gridCol w:w="745"/>
        <w:gridCol w:w="845"/>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7" w:hRule="atLeast"/>
          <w:tblHeader/>
          <w:jc w:val="center"/>
        </w:trPr>
        <w:tc>
          <w:tcPr>
            <w:tcW w:w="1107" w:type="pct"/>
            <w:vMerge w:val="restart"/>
            <w:tcBorders>
              <w:top w:val="thinThickSmallGap" w:color="auto" w:sz="12" w:space="0"/>
              <w:left w:val="nil"/>
              <w:bottom w:val="single" w:color="auto" w:sz="4" w:space="0"/>
              <w:right w:val="single" w:color="auto" w:sz="4" w:space="0"/>
            </w:tcBorders>
            <w:shd w:val="clear" w:color="auto" w:fill="D9D9D9"/>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监测点位</w:t>
            </w:r>
          </w:p>
        </w:tc>
        <w:tc>
          <w:tcPr>
            <w:tcW w:w="1704" w:type="pct"/>
            <w:gridSpan w:val="4"/>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2020</w:t>
            </w:r>
            <w:r>
              <w:rPr>
                <w:rFonts w:ascii="Times New Roman" w:hAnsi="Times New Roman" w:cs="Times New Roman"/>
                <w:color w:val="000000"/>
                <w:sz w:val="21"/>
                <w:szCs w:val="21"/>
                <w:bdr w:val="none" w:color="auto" w:sz="0" w:space="0"/>
              </w:rPr>
              <w:t>年</w:t>
            </w:r>
            <w:r>
              <w:rPr>
                <w:rFonts w:hint="default" w:ascii="Times New Roman" w:hAnsi="Times New Roman" w:cs="Times New Roman"/>
                <w:color w:val="000000"/>
                <w:sz w:val="21"/>
                <w:szCs w:val="21"/>
                <w:bdr w:val="none" w:color="auto" w:sz="0" w:space="0"/>
                <w:lang w:val="en-US"/>
              </w:rPr>
              <w:t>5</w:t>
            </w:r>
            <w:r>
              <w:rPr>
                <w:rFonts w:ascii="Times New Roman" w:hAnsi="Times New Roman" w:cs="Times New Roman"/>
                <w:color w:val="000000"/>
                <w:sz w:val="21"/>
                <w:szCs w:val="21"/>
                <w:bdr w:val="none" w:color="auto" w:sz="0" w:space="0"/>
              </w:rPr>
              <w:t>月</w:t>
            </w:r>
            <w:r>
              <w:rPr>
                <w:rFonts w:hint="default" w:ascii="Times New Roman" w:hAnsi="Times New Roman" w:cs="Times New Roman"/>
                <w:color w:val="000000"/>
                <w:sz w:val="21"/>
                <w:szCs w:val="21"/>
                <w:bdr w:val="none" w:color="auto" w:sz="0" w:space="0"/>
                <w:lang w:val="en-US"/>
              </w:rPr>
              <w:t>25</w:t>
            </w:r>
            <w:r>
              <w:rPr>
                <w:rFonts w:ascii="Times New Roman" w:hAnsi="Times New Roman" w:cs="Times New Roman"/>
                <w:color w:val="000000"/>
                <w:sz w:val="21"/>
                <w:szCs w:val="21"/>
                <w:bdr w:val="none" w:color="auto" w:sz="0" w:space="0"/>
              </w:rPr>
              <w:t>日</w:t>
            </w:r>
          </w:p>
        </w:tc>
        <w:tc>
          <w:tcPr>
            <w:tcW w:w="1705" w:type="pct"/>
            <w:gridSpan w:val="4"/>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2020</w:t>
            </w:r>
            <w:r>
              <w:rPr>
                <w:rFonts w:ascii="Times New Roman" w:hAnsi="Times New Roman" w:cs="Times New Roman"/>
                <w:color w:val="000000"/>
                <w:sz w:val="21"/>
                <w:szCs w:val="21"/>
                <w:bdr w:val="none" w:color="auto" w:sz="0" w:space="0"/>
              </w:rPr>
              <w:t>年</w:t>
            </w:r>
            <w:r>
              <w:rPr>
                <w:rFonts w:hint="default" w:ascii="Times New Roman" w:hAnsi="Times New Roman" w:cs="Times New Roman"/>
                <w:color w:val="000000"/>
                <w:sz w:val="21"/>
                <w:szCs w:val="21"/>
                <w:bdr w:val="none" w:color="auto" w:sz="0" w:space="0"/>
                <w:lang w:val="en-US"/>
              </w:rPr>
              <w:t>5</w:t>
            </w:r>
            <w:r>
              <w:rPr>
                <w:rFonts w:ascii="Times New Roman" w:hAnsi="Times New Roman" w:cs="Times New Roman"/>
                <w:color w:val="000000"/>
                <w:sz w:val="21"/>
                <w:szCs w:val="21"/>
                <w:bdr w:val="none" w:color="auto" w:sz="0" w:space="0"/>
              </w:rPr>
              <w:t>月</w:t>
            </w:r>
            <w:r>
              <w:rPr>
                <w:rFonts w:hint="default" w:ascii="Times New Roman" w:hAnsi="Times New Roman" w:cs="Times New Roman"/>
                <w:color w:val="000000"/>
                <w:sz w:val="21"/>
                <w:szCs w:val="21"/>
                <w:bdr w:val="none" w:color="auto" w:sz="0" w:space="0"/>
                <w:lang w:val="en-US"/>
              </w:rPr>
              <w:t>26</w:t>
            </w:r>
            <w:r>
              <w:rPr>
                <w:rFonts w:ascii="Times New Roman" w:hAnsi="Times New Roman" w:cs="Times New Roman"/>
                <w:color w:val="000000"/>
                <w:sz w:val="21"/>
                <w:szCs w:val="21"/>
                <w:bdr w:val="none" w:color="auto" w:sz="0" w:space="0"/>
              </w:rPr>
              <w:t>日</w:t>
            </w:r>
          </w:p>
        </w:tc>
        <w:tc>
          <w:tcPr>
            <w:tcW w:w="484" w:type="pct"/>
            <w:vMerge w:val="restart"/>
            <w:tcBorders>
              <w:top w:val="thinThickSmallGap" w:color="auto" w:sz="12" w:space="0"/>
              <w:left w:val="single" w:color="auto" w:sz="4" w:space="0"/>
              <w:bottom w:val="single" w:color="auto" w:sz="4" w:space="0"/>
              <w:right w:val="nil"/>
            </w:tcBorders>
            <w:shd w:val="clear" w:color="auto" w:fill="D9D9D9"/>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单位</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107" w:type="pct"/>
            <w:vMerge w:val="continue"/>
            <w:tcBorders>
              <w:top w:val="thinThickSmallGap" w:color="auto" w:sz="12" w:space="0"/>
              <w:left w:val="nil"/>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426"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昼间</w:t>
            </w:r>
            <w:r>
              <w:rPr>
                <w:rFonts w:hint="default" w:ascii="Times New Roman" w:hAnsi="Times New Roman" w:cs="Times New Roman"/>
                <w:color w:val="000000"/>
                <w:w w:val="90"/>
                <w:sz w:val="21"/>
                <w:szCs w:val="21"/>
                <w:bdr w:val="none" w:color="auto" w:sz="0" w:space="0"/>
                <w:lang w:val="en-US"/>
              </w:rPr>
              <w:t>1</w:t>
            </w:r>
          </w:p>
        </w:tc>
        <w:tc>
          <w:tcPr>
            <w:tcW w:w="426"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昼间</w:t>
            </w:r>
            <w:r>
              <w:rPr>
                <w:rFonts w:hint="default" w:ascii="Times New Roman" w:hAnsi="Times New Roman" w:cs="Times New Roman"/>
                <w:color w:val="000000"/>
                <w:w w:val="90"/>
                <w:sz w:val="21"/>
                <w:szCs w:val="21"/>
                <w:bdr w:val="none" w:color="auto" w:sz="0" w:space="0"/>
                <w:lang w:val="en-US"/>
              </w:rPr>
              <w:t>2</w:t>
            </w:r>
          </w:p>
        </w:tc>
        <w:tc>
          <w:tcPr>
            <w:tcW w:w="426"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夜间</w:t>
            </w:r>
            <w:r>
              <w:rPr>
                <w:rFonts w:hint="default" w:ascii="Times New Roman" w:hAnsi="Times New Roman" w:cs="Times New Roman"/>
                <w:color w:val="000000"/>
                <w:w w:val="90"/>
                <w:sz w:val="21"/>
                <w:szCs w:val="21"/>
                <w:bdr w:val="none" w:color="auto" w:sz="0" w:space="0"/>
                <w:lang w:val="en-US"/>
              </w:rPr>
              <w:t>1</w:t>
            </w:r>
          </w:p>
        </w:tc>
        <w:tc>
          <w:tcPr>
            <w:tcW w:w="426"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夜间</w:t>
            </w:r>
            <w:r>
              <w:rPr>
                <w:rFonts w:hint="default" w:ascii="Times New Roman" w:hAnsi="Times New Roman" w:cs="Times New Roman"/>
                <w:color w:val="000000"/>
                <w:w w:val="90"/>
                <w:sz w:val="21"/>
                <w:szCs w:val="21"/>
                <w:bdr w:val="none" w:color="auto" w:sz="0" w:space="0"/>
                <w:lang w:val="en-US"/>
              </w:rPr>
              <w:t>2</w:t>
            </w:r>
          </w:p>
        </w:tc>
        <w:tc>
          <w:tcPr>
            <w:tcW w:w="426"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昼间</w:t>
            </w:r>
            <w:r>
              <w:rPr>
                <w:rFonts w:hint="default" w:ascii="Times New Roman" w:hAnsi="Times New Roman" w:cs="Times New Roman"/>
                <w:color w:val="000000"/>
                <w:w w:val="90"/>
                <w:sz w:val="21"/>
                <w:szCs w:val="21"/>
                <w:bdr w:val="none" w:color="auto" w:sz="0" w:space="0"/>
                <w:lang w:val="en-US"/>
              </w:rPr>
              <w:t>1</w:t>
            </w:r>
          </w:p>
        </w:tc>
        <w:tc>
          <w:tcPr>
            <w:tcW w:w="426"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昼间</w:t>
            </w:r>
            <w:r>
              <w:rPr>
                <w:rFonts w:hint="default" w:ascii="Times New Roman" w:hAnsi="Times New Roman" w:cs="Times New Roman"/>
                <w:color w:val="000000"/>
                <w:w w:val="90"/>
                <w:sz w:val="21"/>
                <w:szCs w:val="21"/>
                <w:bdr w:val="none" w:color="auto" w:sz="0" w:space="0"/>
                <w:lang w:val="en-US"/>
              </w:rPr>
              <w:t>2</w:t>
            </w:r>
          </w:p>
        </w:tc>
        <w:tc>
          <w:tcPr>
            <w:tcW w:w="426"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夜间</w:t>
            </w:r>
            <w:r>
              <w:rPr>
                <w:rFonts w:hint="default" w:ascii="Times New Roman" w:hAnsi="Times New Roman" w:cs="Times New Roman"/>
                <w:color w:val="000000"/>
                <w:w w:val="90"/>
                <w:sz w:val="21"/>
                <w:szCs w:val="21"/>
                <w:bdr w:val="none" w:color="auto" w:sz="0" w:space="0"/>
                <w:lang w:val="en-US"/>
              </w:rPr>
              <w:t>1</w:t>
            </w:r>
          </w:p>
        </w:tc>
        <w:tc>
          <w:tcPr>
            <w:tcW w:w="426"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夜间</w:t>
            </w:r>
            <w:r>
              <w:rPr>
                <w:rFonts w:hint="default" w:ascii="Times New Roman" w:hAnsi="Times New Roman" w:cs="Times New Roman"/>
                <w:color w:val="000000"/>
                <w:w w:val="90"/>
                <w:sz w:val="21"/>
                <w:szCs w:val="21"/>
                <w:bdr w:val="none" w:color="auto" w:sz="0" w:space="0"/>
                <w:lang w:val="en-US"/>
              </w:rPr>
              <w:t>2</w:t>
            </w:r>
          </w:p>
        </w:tc>
        <w:tc>
          <w:tcPr>
            <w:tcW w:w="484" w:type="pct"/>
            <w:vMerge w:val="continue"/>
            <w:tcBorders>
              <w:top w:val="thinThickSmallGap" w:color="auto" w:sz="12" w:space="0"/>
              <w:left w:val="single" w:color="auto" w:sz="4" w:space="0"/>
              <w:bottom w:val="single" w:color="auto" w:sz="4" w:space="0"/>
              <w:right w:val="nil"/>
            </w:tcBorders>
            <w:shd w:val="clear" w:color="auto" w:fill="D9D9D9"/>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7"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cs="Times New Roman"/>
                <w:color w:val="000000"/>
                <w:w w:val="90"/>
                <w:sz w:val="21"/>
                <w:szCs w:val="21"/>
                <w:bdr w:val="none" w:color="auto" w:sz="0" w:space="0"/>
                <w:lang w:val="en-US"/>
              </w:rPr>
              <w:t>1#</w:t>
            </w:r>
            <w:r>
              <w:rPr>
                <w:rFonts w:ascii="Times New Roman" w:hAnsi="Times New Roman" w:cs="Times New Roman"/>
                <w:color w:val="000000"/>
                <w:w w:val="90"/>
                <w:sz w:val="21"/>
                <w:szCs w:val="21"/>
                <w:bdr w:val="none" w:color="auto" w:sz="0" w:space="0"/>
              </w:rPr>
              <w:t>东侧厂界外</w:t>
            </w:r>
            <w:r>
              <w:rPr>
                <w:rFonts w:hint="default" w:ascii="Times New Roman" w:hAnsi="Times New Roman" w:cs="Times New Roman"/>
                <w:color w:val="000000"/>
                <w:w w:val="90"/>
                <w:sz w:val="21"/>
                <w:szCs w:val="21"/>
                <w:bdr w:val="none" w:color="auto" w:sz="0" w:space="0"/>
                <w:lang w:val="en-US"/>
              </w:rPr>
              <w:t>1m</w:t>
            </w:r>
            <w:r>
              <w:rPr>
                <w:rFonts w:ascii="Times New Roman" w:hAnsi="Times New Roman" w:cs="Times New Roman"/>
                <w:color w:val="000000"/>
                <w:w w:val="90"/>
                <w:sz w:val="21"/>
                <w:szCs w:val="21"/>
                <w:bdr w:val="none" w:color="auto" w:sz="0" w:space="0"/>
              </w:rPr>
              <w:t>处</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53</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51</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40</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44</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52</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52</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40</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42</w:t>
            </w:r>
          </w:p>
        </w:tc>
        <w:tc>
          <w:tcPr>
            <w:tcW w:w="484" w:type="pct"/>
            <w:tcBorders>
              <w:top w:val="single" w:color="auto" w:sz="4" w:space="0"/>
              <w:left w:val="single" w:color="auto" w:sz="4" w:space="0"/>
              <w:bottom w:val="single" w:color="auto" w:sz="4" w:space="0"/>
              <w:right w:val="nil"/>
            </w:tcBorders>
            <w:shd w:val="clear"/>
            <w:vAlign w:val="center"/>
          </w:tcPr>
          <w:p>
            <w:pPr>
              <w:pStyle w:val="27"/>
              <w:keepNext w:val="0"/>
              <w:keepLines w:val="0"/>
              <w:widowControl/>
              <w:suppressLineNumbers w:val="0"/>
              <w:spacing w:before="0" w:beforeAutospacing="0" w:after="0" w:afterAutospacing="0" w:line="240" w:lineRule="auto"/>
              <w:ind w:left="0" w:right="0" w:firstLine="0" w:firstLineChars="0"/>
              <w:jc w:val="center"/>
              <w:rPr>
                <w:color w:val="000000"/>
                <w:sz w:val="21"/>
                <w:szCs w:val="21"/>
                <w:bdr w:val="none" w:color="auto" w:sz="0" w:space="0"/>
                <w:lang w:val="en-US"/>
              </w:rPr>
            </w:pPr>
            <w:r>
              <w:rPr>
                <w:color w:val="000000"/>
                <w:sz w:val="21"/>
                <w:szCs w:val="21"/>
                <w:bdr w:val="none" w:color="auto" w:sz="0" w:space="0"/>
                <w:lang w:val="en-US"/>
              </w:rPr>
              <w:t>dB</w:t>
            </w:r>
            <w:r>
              <w:rPr>
                <w:rFonts w:hint="eastAsia" w:ascii="Times New Roman" w:hAnsi="Times New Roman" w:eastAsia="宋体" w:cs="宋体"/>
                <w:color w:val="000000"/>
                <w:sz w:val="21"/>
                <w:szCs w:val="21"/>
                <w:bdr w:val="none" w:color="auto" w:sz="0" w:space="0"/>
              </w:rPr>
              <w:t>（</w:t>
            </w:r>
            <w:r>
              <w:rPr>
                <w:color w:val="000000"/>
                <w:sz w:val="21"/>
                <w:szCs w:val="21"/>
                <w:bdr w:val="none" w:color="auto" w:sz="0" w:space="0"/>
                <w:lang w:val="en-US"/>
              </w:rPr>
              <w:t>A</w:t>
            </w:r>
            <w:r>
              <w:rPr>
                <w:rFonts w:hint="eastAsia" w:ascii="Times New Roman" w:hAnsi="Times New Roman" w:eastAsia="宋体" w:cs="宋体"/>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7"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cs="Times New Roman"/>
                <w:color w:val="000000"/>
                <w:w w:val="90"/>
                <w:sz w:val="21"/>
                <w:szCs w:val="21"/>
                <w:bdr w:val="none" w:color="auto" w:sz="0" w:space="0"/>
                <w:lang w:val="en-US"/>
              </w:rPr>
              <w:t>2#</w:t>
            </w:r>
            <w:r>
              <w:rPr>
                <w:rFonts w:ascii="Times New Roman" w:hAnsi="Times New Roman" w:cs="Times New Roman"/>
                <w:color w:val="000000"/>
                <w:w w:val="90"/>
                <w:sz w:val="21"/>
                <w:szCs w:val="21"/>
                <w:bdr w:val="none" w:color="auto" w:sz="0" w:space="0"/>
              </w:rPr>
              <w:t>南侧厂界外</w:t>
            </w:r>
            <w:r>
              <w:rPr>
                <w:rFonts w:hint="default" w:ascii="Times New Roman" w:hAnsi="Times New Roman" w:cs="Times New Roman"/>
                <w:color w:val="000000"/>
                <w:w w:val="90"/>
                <w:sz w:val="21"/>
                <w:szCs w:val="21"/>
                <w:bdr w:val="none" w:color="auto" w:sz="0" w:space="0"/>
                <w:lang w:val="en-US"/>
              </w:rPr>
              <w:t>1m</w:t>
            </w:r>
            <w:r>
              <w:rPr>
                <w:rFonts w:ascii="Times New Roman" w:hAnsi="Times New Roman" w:cs="Times New Roman"/>
                <w:color w:val="000000"/>
                <w:w w:val="90"/>
                <w:sz w:val="21"/>
                <w:szCs w:val="21"/>
                <w:bdr w:val="none" w:color="auto" w:sz="0" w:space="0"/>
              </w:rPr>
              <w:t>处</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52</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50</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39</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42</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53</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51</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38</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43</w:t>
            </w:r>
          </w:p>
        </w:tc>
        <w:tc>
          <w:tcPr>
            <w:tcW w:w="484" w:type="pct"/>
            <w:tcBorders>
              <w:top w:val="single" w:color="auto" w:sz="4" w:space="0"/>
              <w:left w:val="single" w:color="auto" w:sz="4" w:space="0"/>
              <w:bottom w:val="single" w:color="auto" w:sz="4" w:space="0"/>
              <w:right w:val="nil"/>
            </w:tcBorders>
            <w:shd w:val="clear"/>
            <w:vAlign w:val="center"/>
          </w:tcPr>
          <w:p>
            <w:pPr>
              <w:pStyle w:val="27"/>
              <w:keepNext w:val="0"/>
              <w:keepLines w:val="0"/>
              <w:widowControl/>
              <w:suppressLineNumbers w:val="0"/>
              <w:spacing w:before="0" w:beforeAutospacing="0" w:after="0" w:afterAutospacing="0" w:line="240" w:lineRule="auto"/>
              <w:ind w:left="0" w:right="0" w:firstLine="0" w:firstLineChars="0"/>
              <w:jc w:val="center"/>
              <w:rPr>
                <w:color w:val="000000"/>
                <w:sz w:val="21"/>
                <w:szCs w:val="21"/>
                <w:bdr w:val="none" w:color="auto" w:sz="0" w:space="0"/>
                <w:lang w:val="en-US"/>
              </w:rPr>
            </w:pPr>
            <w:r>
              <w:rPr>
                <w:color w:val="000000"/>
                <w:sz w:val="21"/>
                <w:szCs w:val="21"/>
                <w:bdr w:val="none" w:color="auto" w:sz="0" w:space="0"/>
                <w:lang w:val="en-US"/>
              </w:rPr>
              <w:t>dB</w:t>
            </w:r>
            <w:r>
              <w:rPr>
                <w:rFonts w:hint="eastAsia" w:ascii="Times New Roman" w:hAnsi="Times New Roman" w:eastAsia="宋体" w:cs="宋体"/>
                <w:color w:val="000000"/>
                <w:sz w:val="21"/>
                <w:szCs w:val="21"/>
                <w:bdr w:val="none" w:color="auto" w:sz="0" w:space="0"/>
              </w:rPr>
              <w:t>（</w:t>
            </w:r>
            <w:r>
              <w:rPr>
                <w:color w:val="000000"/>
                <w:sz w:val="21"/>
                <w:szCs w:val="21"/>
                <w:bdr w:val="none" w:color="auto" w:sz="0" w:space="0"/>
                <w:lang w:val="en-US"/>
              </w:rPr>
              <w:t>A</w:t>
            </w:r>
            <w:r>
              <w:rPr>
                <w:rFonts w:hint="eastAsia" w:ascii="Times New Roman" w:hAnsi="Times New Roman" w:eastAsia="宋体" w:cs="宋体"/>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7"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cs="Times New Roman"/>
                <w:color w:val="000000"/>
                <w:w w:val="90"/>
                <w:sz w:val="21"/>
                <w:szCs w:val="21"/>
                <w:bdr w:val="none" w:color="auto" w:sz="0" w:space="0"/>
                <w:lang w:val="en-US"/>
              </w:rPr>
              <w:t>3#</w:t>
            </w:r>
            <w:r>
              <w:rPr>
                <w:rFonts w:ascii="Times New Roman" w:hAnsi="Times New Roman" w:cs="Times New Roman"/>
                <w:color w:val="000000"/>
                <w:w w:val="90"/>
                <w:sz w:val="21"/>
                <w:szCs w:val="21"/>
                <w:bdr w:val="none" w:color="auto" w:sz="0" w:space="0"/>
              </w:rPr>
              <w:t>西侧厂界外</w:t>
            </w:r>
            <w:r>
              <w:rPr>
                <w:rFonts w:hint="default" w:ascii="Times New Roman" w:hAnsi="Times New Roman" w:cs="Times New Roman"/>
                <w:color w:val="000000"/>
                <w:w w:val="90"/>
                <w:sz w:val="21"/>
                <w:szCs w:val="21"/>
                <w:bdr w:val="none" w:color="auto" w:sz="0" w:space="0"/>
                <w:lang w:val="en-US"/>
              </w:rPr>
              <w:t>1m</w:t>
            </w:r>
            <w:r>
              <w:rPr>
                <w:rFonts w:ascii="Times New Roman" w:hAnsi="Times New Roman" w:cs="Times New Roman"/>
                <w:color w:val="000000"/>
                <w:w w:val="90"/>
                <w:sz w:val="21"/>
                <w:szCs w:val="21"/>
                <w:bdr w:val="none" w:color="auto" w:sz="0" w:space="0"/>
              </w:rPr>
              <w:t>处</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54</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53</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43</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44</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55</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50</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43</w:t>
            </w:r>
          </w:p>
        </w:tc>
        <w:tc>
          <w:tcPr>
            <w:tcW w:w="42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45</w:t>
            </w:r>
          </w:p>
        </w:tc>
        <w:tc>
          <w:tcPr>
            <w:tcW w:w="484" w:type="pct"/>
            <w:tcBorders>
              <w:top w:val="single" w:color="auto" w:sz="4" w:space="0"/>
              <w:left w:val="single" w:color="auto" w:sz="4" w:space="0"/>
              <w:bottom w:val="single" w:color="auto" w:sz="4" w:space="0"/>
              <w:right w:val="nil"/>
            </w:tcBorders>
            <w:shd w:val="clear"/>
            <w:vAlign w:val="center"/>
          </w:tcPr>
          <w:p>
            <w:pPr>
              <w:pStyle w:val="27"/>
              <w:keepNext w:val="0"/>
              <w:keepLines w:val="0"/>
              <w:widowControl/>
              <w:suppressLineNumbers w:val="0"/>
              <w:spacing w:before="0" w:beforeAutospacing="0" w:after="0" w:afterAutospacing="0" w:line="240" w:lineRule="auto"/>
              <w:ind w:left="0" w:right="0" w:firstLine="0" w:firstLineChars="0"/>
              <w:jc w:val="center"/>
              <w:rPr>
                <w:color w:val="000000"/>
                <w:sz w:val="21"/>
                <w:szCs w:val="21"/>
                <w:bdr w:val="none" w:color="auto" w:sz="0" w:space="0"/>
                <w:lang w:val="en-US"/>
              </w:rPr>
            </w:pPr>
            <w:r>
              <w:rPr>
                <w:color w:val="000000"/>
                <w:sz w:val="21"/>
                <w:szCs w:val="21"/>
                <w:bdr w:val="none" w:color="auto" w:sz="0" w:space="0"/>
                <w:lang w:val="en-US"/>
              </w:rPr>
              <w:t>dB</w:t>
            </w:r>
            <w:r>
              <w:rPr>
                <w:rFonts w:hint="eastAsia" w:ascii="Times New Roman" w:hAnsi="Times New Roman" w:eastAsia="宋体" w:cs="宋体"/>
                <w:color w:val="000000"/>
                <w:sz w:val="21"/>
                <w:szCs w:val="21"/>
                <w:bdr w:val="none" w:color="auto" w:sz="0" w:space="0"/>
              </w:rPr>
              <w:t>（</w:t>
            </w:r>
            <w:r>
              <w:rPr>
                <w:color w:val="000000"/>
                <w:sz w:val="21"/>
                <w:szCs w:val="21"/>
                <w:bdr w:val="none" w:color="auto" w:sz="0" w:space="0"/>
                <w:lang w:val="en-US"/>
              </w:rPr>
              <w:t>A</w:t>
            </w:r>
            <w:r>
              <w:rPr>
                <w:rFonts w:hint="eastAsia" w:ascii="Times New Roman" w:hAnsi="Times New Roman" w:eastAsia="宋体" w:cs="宋体"/>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7" w:type="pc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cs="Times New Roman"/>
                <w:color w:val="000000"/>
                <w:w w:val="90"/>
                <w:sz w:val="21"/>
                <w:szCs w:val="21"/>
                <w:bdr w:val="none" w:color="auto" w:sz="0" w:space="0"/>
                <w:lang w:val="en-US"/>
              </w:rPr>
              <w:t>4#</w:t>
            </w:r>
            <w:r>
              <w:rPr>
                <w:rFonts w:ascii="Times New Roman" w:hAnsi="Times New Roman" w:cs="Times New Roman"/>
                <w:color w:val="000000"/>
                <w:w w:val="90"/>
                <w:sz w:val="21"/>
                <w:szCs w:val="21"/>
                <w:bdr w:val="none" w:color="auto" w:sz="0" w:space="0"/>
              </w:rPr>
              <w:t>北侧厂界外</w:t>
            </w:r>
            <w:r>
              <w:rPr>
                <w:rFonts w:hint="default" w:ascii="Times New Roman" w:hAnsi="Times New Roman" w:cs="Times New Roman"/>
                <w:color w:val="000000"/>
                <w:w w:val="90"/>
                <w:sz w:val="21"/>
                <w:szCs w:val="21"/>
                <w:bdr w:val="none" w:color="auto" w:sz="0" w:space="0"/>
                <w:lang w:val="en-US"/>
              </w:rPr>
              <w:t>1m</w:t>
            </w:r>
            <w:r>
              <w:rPr>
                <w:rFonts w:ascii="Times New Roman" w:hAnsi="Times New Roman" w:cs="Times New Roman"/>
                <w:color w:val="000000"/>
                <w:w w:val="90"/>
                <w:sz w:val="21"/>
                <w:szCs w:val="21"/>
                <w:bdr w:val="none" w:color="auto" w:sz="0" w:space="0"/>
              </w:rPr>
              <w:t>处</w:t>
            </w:r>
          </w:p>
        </w:tc>
        <w:tc>
          <w:tcPr>
            <w:tcW w:w="426"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56</w:t>
            </w:r>
          </w:p>
        </w:tc>
        <w:tc>
          <w:tcPr>
            <w:tcW w:w="426"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55</w:t>
            </w:r>
          </w:p>
        </w:tc>
        <w:tc>
          <w:tcPr>
            <w:tcW w:w="426"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47</w:t>
            </w:r>
          </w:p>
        </w:tc>
        <w:tc>
          <w:tcPr>
            <w:tcW w:w="426"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46</w:t>
            </w:r>
          </w:p>
        </w:tc>
        <w:tc>
          <w:tcPr>
            <w:tcW w:w="426"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57</w:t>
            </w:r>
          </w:p>
        </w:tc>
        <w:tc>
          <w:tcPr>
            <w:tcW w:w="426"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54</w:t>
            </w:r>
          </w:p>
        </w:tc>
        <w:tc>
          <w:tcPr>
            <w:tcW w:w="426"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45</w:t>
            </w:r>
          </w:p>
        </w:tc>
        <w:tc>
          <w:tcPr>
            <w:tcW w:w="426"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47</w:t>
            </w:r>
          </w:p>
        </w:tc>
        <w:tc>
          <w:tcPr>
            <w:tcW w:w="484" w:type="pct"/>
            <w:tcBorders>
              <w:top w:val="single" w:color="auto" w:sz="4" w:space="0"/>
              <w:left w:val="single" w:color="auto" w:sz="4" w:space="0"/>
              <w:bottom w:val="thickThinSmallGap" w:color="auto" w:sz="12" w:space="0"/>
              <w:right w:val="nil"/>
            </w:tcBorders>
            <w:shd w:val="clear"/>
            <w:vAlign w:val="center"/>
          </w:tcPr>
          <w:p>
            <w:pPr>
              <w:pStyle w:val="27"/>
              <w:keepNext w:val="0"/>
              <w:keepLines w:val="0"/>
              <w:widowControl/>
              <w:suppressLineNumbers w:val="0"/>
              <w:spacing w:before="0" w:beforeAutospacing="0" w:after="0" w:afterAutospacing="0" w:line="240" w:lineRule="auto"/>
              <w:ind w:left="0" w:right="0" w:firstLine="0" w:firstLineChars="0"/>
              <w:jc w:val="center"/>
              <w:rPr>
                <w:color w:val="000000"/>
                <w:sz w:val="21"/>
                <w:szCs w:val="21"/>
                <w:bdr w:val="none" w:color="auto" w:sz="0" w:space="0"/>
                <w:lang w:val="en-US"/>
              </w:rPr>
            </w:pPr>
            <w:r>
              <w:rPr>
                <w:color w:val="000000"/>
                <w:sz w:val="21"/>
                <w:szCs w:val="21"/>
                <w:bdr w:val="none" w:color="auto" w:sz="0" w:space="0"/>
                <w:lang w:val="en-US"/>
              </w:rPr>
              <w:t>dB</w:t>
            </w:r>
            <w:r>
              <w:rPr>
                <w:rFonts w:hint="eastAsia" w:ascii="Times New Roman" w:hAnsi="Times New Roman" w:eastAsia="宋体" w:cs="宋体"/>
                <w:color w:val="000000"/>
                <w:sz w:val="21"/>
                <w:szCs w:val="21"/>
                <w:bdr w:val="none" w:color="auto" w:sz="0" w:space="0"/>
              </w:rPr>
              <w:t>（</w:t>
            </w:r>
            <w:r>
              <w:rPr>
                <w:color w:val="000000"/>
                <w:sz w:val="21"/>
                <w:szCs w:val="21"/>
                <w:bdr w:val="none" w:color="auto" w:sz="0" w:space="0"/>
                <w:lang w:val="en-US"/>
              </w:rPr>
              <w:t>A</w:t>
            </w:r>
            <w:r>
              <w:rPr>
                <w:rFonts w:hint="eastAsia" w:ascii="Times New Roman" w:hAnsi="Times New Roman" w:eastAsia="宋体" w:cs="宋体"/>
                <w:color w:val="000000"/>
                <w:sz w:val="21"/>
                <w:szCs w:val="21"/>
                <w:bdr w:val="none" w:color="auto" w:sz="0" w:space="0"/>
              </w:rPr>
              <w:t>）</w:t>
            </w:r>
          </w:p>
        </w:tc>
      </w:tr>
    </w:tbl>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监测结果分析：</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由统计结果可以看出，本项目所在厂区四个厂界的昼间、夜间监测值均可满足排放标准要求。</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.2.3 </w:t>
      </w:r>
      <w:r>
        <w:rPr>
          <w:rFonts w:ascii="Times New Roman" w:hAnsi="Times New Roman" w:cs="Times New Roman"/>
          <w:color w:val="000000"/>
          <w:lang/>
        </w:rPr>
        <w:t>地下水环境质量现状监测与评价</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本项目地下水监测数据引用《辽宁华子玉镁铝科技有限公司低品位菱镁矿经浮选电熔后生产</w:t>
      </w:r>
      <w:r>
        <w:rPr>
          <w:rFonts w:hint="default" w:ascii="Times New Roman" w:hAnsi="Times New Roman" w:eastAsia="宋体" w:cs="Times New Roman"/>
          <w:color w:val="000000"/>
          <w:kern w:val="0"/>
          <w:sz w:val="24"/>
          <w:szCs w:val="24"/>
          <w:lang w:val="en-US" w:eastAsia="zh-CN" w:bidi="ar"/>
        </w:rPr>
        <w:t>12</w:t>
      </w:r>
      <w:r>
        <w:rPr>
          <w:rFonts w:hint="eastAsia" w:ascii="Times New Roman" w:hAnsi="Times New Roman" w:eastAsia="宋体" w:cs="Times New Roman"/>
          <w:color w:val="000000"/>
          <w:kern w:val="0"/>
          <w:sz w:val="24"/>
          <w:szCs w:val="24"/>
          <w:lang w:val="en-US" w:eastAsia="zh-CN" w:bidi="ar"/>
        </w:rPr>
        <w:t>万吨</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年镁碳砖生产线项目环境影响报告书》中的监测数据，监测单位为辽宁三川检测有限公司，监测时间为</w:t>
      </w:r>
      <w:r>
        <w:rPr>
          <w:rFonts w:hint="default" w:ascii="Times New Roman" w:hAnsi="Times New Roman" w:eastAsia="宋体" w:cs="Times New Roman"/>
          <w:color w:val="000000"/>
          <w:kern w:val="0"/>
          <w:sz w:val="24"/>
          <w:szCs w:val="24"/>
          <w:lang w:val="en-US" w:eastAsia="zh-CN" w:bidi="ar"/>
        </w:rPr>
        <w:t>2020</w:t>
      </w:r>
      <w:r>
        <w:rPr>
          <w:rFonts w:hint="eastAsia" w:ascii="Times New Roman" w:hAnsi="Times New Roman" w:eastAsia="宋体" w:cs="Times New Roman"/>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19</w:t>
      </w:r>
      <w:r>
        <w:rPr>
          <w:rFonts w:hint="eastAsia" w:ascii="Times New Roman" w:hAnsi="Times New Roman" w:eastAsia="宋体" w:cs="Times New Roman"/>
          <w:color w:val="000000"/>
          <w:kern w:val="0"/>
          <w:sz w:val="24"/>
          <w:szCs w:val="24"/>
          <w:lang w:val="en-US" w:eastAsia="zh-CN" w:bidi="ar"/>
        </w:rPr>
        <w:t>日。</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）监测项目</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color w:val="000000"/>
          <w:kern w:val="0"/>
          <w:sz w:val="24"/>
          <w:szCs w:val="24"/>
          <w:lang w:val="en-US" w:eastAsia="zh-CN" w:bidi="ar"/>
        </w:rPr>
        <w:t>地下水监测项目为：</w:t>
      </w:r>
      <w:r>
        <w:rPr>
          <w:rFonts w:hint="default" w:ascii="Times New Roman" w:hAnsi="Times New Roman" w:eastAsia="宋体" w:cs="Times New Roman"/>
          <w:color w:val="000000"/>
          <w:kern w:val="0"/>
          <w:sz w:val="24"/>
          <w:szCs w:val="24"/>
          <w:lang w:val="en-US" w:eastAsia="zh-CN" w:bidi="ar"/>
        </w:rPr>
        <w:t>pH</w:t>
      </w:r>
      <w:r>
        <w:rPr>
          <w:rFonts w:hint="eastAsia" w:ascii="Times New Roman" w:hAnsi="Times New Roman" w:eastAsia="宋体" w:cs="Times New Roman"/>
          <w:color w:val="000000"/>
          <w:kern w:val="0"/>
          <w:sz w:val="24"/>
          <w:szCs w:val="24"/>
          <w:lang w:val="en-US" w:eastAsia="zh-CN" w:bidi="ar"/>
        </w:rPr>
        <w:t>、铅、铁、锰、砷、汞、氨氮、耗氧量、挥发性酚类、石油类、亚硝酸盐、硝酸盐氮、溶解性总固体、总硬度、总大肠菌群、细菌总数、</w:t>
      </w:r>
      <w:r>
        <w:rPr>
          <w:rFonts w:hint="default" w:ascii="Times New Roman" w:hAnsi="Times New Roman" w:eastAsia="宋体" w:cs="Times New Roman"/>
          <w:color w:val="000000"/>
          <w:kern w:val="0"/>
          <w:sz w:val="24"/>
          <w:szCs w:val="24"/>
          <w:lang w:val="en-US" w:eastAsia="zh-CN" w:bidi="ar"/>
        </w:rPr>
        <w:t>K</w:t>
      </w:r>
      <w:r>
        <w:rPr>
          <w:rFonts w:hint="default" w:ascii="Times New Roman" w:hAnsi="Times New Roman" w:eastAsia="宋体" w:cs="Times New Roman"/>
          <w:color w:val="000000"/>
          <w:kern w:val="0"/>
          <w:sz w:val="24"/>
          <w:szCs w:val="24"/>
          <w:vertAlign w:val="superscript"/>
          <w:lang w:val="en-US" w:eastAsia="zh-CN" w:bidi="ar"/>
        </w:rPr>
        <w:t>+</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Na</w:t>
      </w:r>
      <w:r>
        <w:rPr>
          <w:rFonts w:hint="default" w:ascii="Times New Roman" w:hAnsi="Times New Roman" w:eastAsia="宋体" w:cs="Times New Roman"/>
          <w:color w:val="000000"/>
          <w:kern w:val="0"/>
          <w:sz w:val="24"/>
          <w:szCs w:val="24"/>
          <w:vertAlign w:val="superscript"/>
          <w:lang w:val="en-US" w:eastAsia="zh-CN" w:bidi="ar"/>
        </w:rPr>
        <w:t>+</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Ca</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Mg</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HCO</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CO</w:t>
      </w:r>
      <w:r>
        <w:rPr>
          <w:rFonts w:hint="default" w:ascii="Times New Roman" w:hAnsi="Times New Roman" w:eastAsia="宋体" w:cs="Times New Roman"/>
          <w:color w:val="000000"/>
          <w:kern w:val="0"/>
          <w:sz w:val="24"/>
          <w:szCs w:val="24"/>
          <w:vertAlign w:val="subscript"/>
          <w:lang w:val="en-US" w:eastAsia="zh-CN" w:bidi="ar"/>
        </w:rPr>
        <w:t>3</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Cl</w:t>
      </w:r>
      <w:r>
        <w:rPr>
          <w:rFonts w:hint="default" w:ascii="Times New Roman" w:hAnsi="Times New Roman" w:eastAsia="宋体" w:cs="Times New Roman"/>
          <w:color w:val="000000"/>
          <w:kern w:val="0"/>
          <w:sz w:val="24"/>
          <w:szCs w:val="24"/>
          <w:vertAlign w:val="superscript"/>
          <w:lang w:val="en-US" w:eastAsia="zh-CN" w:bidi="ar"/>
        </w:rPr>
        <w:t>-</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SO</w:t>
      </w:r>
      <w:r>
        <w:rPr>
          <w:rFonts w:hint="default" w:ascii="Times New Roman" w:hAnsi="Times New Roman" w:eastAsia="宋体" w:cs="Times New Roman"/>
          <w:color w:val="000000"/>
          <w:kern w:val="0"/>
          <w:sz w:val="24"/>
          <w:szCs w:val="24"/>
          <w:vertAlign w:val="subscript"/>
          <w:lang w:val="en-US" w:eastAsia="zh-CN" w:bidi="ar"/>
        </w:rPr>
        <w:t>4</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，共</w:t>
      </w:r>
      <w:r>
        <w:rPr>
          <w:rFonts w:hint="default" w:ascii="Times New Roman" w:hAnsi="Times New Roman" w:eastAsia="宋体" w:cs="Times New Roman"/>
          <w:color w:val="000000"/>
          <w:kern w:val="0"/>
          <w:sz w:val="24"/>
          <w:szCs w:val="24"/>
          <w:lang w:val="en-US" w:eastAsia="zh-CN" w:bidi="ar"/>
        </w:rPr>
        <w:t>24</w:t>
      </w:r>
      <w:r>
        <w:rPr>
          <w:rFonts w:hint="eastAsia" w:ascii="Times New Roman" w:hAnsi="Times New Roman" w:eastAsia="宋体" w:cs="Times New Roman"/>
          <w:color w:val="000000"/>
          <w:kern w:val="0"/>
          <w:sz w:val="24"/>
          <w:szCs w:val="24"/>
          <w:lang w:val="en-US" w:eastAsia="zh-CN" w:bidi="ar"/>
        </w:rPr>
        <w:t>项，并记录水位高度。</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）监测点位</w:t>
      </w:r>
    </w:p>
    <w:p>
      <w:pPr>
        <w:keepNext w:val="0"/>
        <w:keepLines w:val="0"/>
        <w:widowControl/>
        <w:suppressLineNumbers w:val="0"/>
        <w:spacing w:before="0" w:beforeAutospacing="0" w:after="0" w:afterAutospacing="0" w:line="500" w:lineRule="exact"/>
        <w:ind w:left="0" w:right="0" w:firstLine="48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地下水质量现状调查共设</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个监测点位，具体见表</w:t>
      </w:r>
      <w:r>
        <w:rPr>
          <w:rFonts w:hint="default" w:ascii="Times New Roman" w:hAnsi="Times New Roman" w:eastAsia="宋体" w:cs="Times New Roman"/>
          <w:color w:val="000000"/>
          <w:kern w:val="0"/>
          <w:sz w:val="24"/>
          <w:szCs w:val="24"/>
          <w:lang w:val="en-US" w:eastAsia="zh-CN" w:bidi="ar"/>
        </w:rPr>
        <w:t>4.2-8</w:t>
      </w:r>
      <w:r>
        <w:rPr>
          <w:rFonts w:hint="eastAsia" w:ascii="Times New Roman" w:hAnsi="Times New Roman" w:eastAsia="宋体" w:cs="Times New Roman"/>
          <w:color w:val="000000"/>
          <w:kern w:val="0"/>
          <w:sz w:val="24"/>
          <w:szCs w:val="24"/>
          <w:lang w:val="en-US" w:eastAsia="zh-CN" w:bidi="ar"/>
        </w:rPr>
        <w:t>及图</w:t>
      </w:r>
      <w:r>
        <w:rPr>
          <w:rFonts w:hint="default" w:ascii="Times New Roman" w:hAnsi="Times New Roman" w:eastAsia="宋体" w:cs="Times New Roman"/>
          <w:color w:val="000000"/>
          <w:kern w:val="0"/>
          <w:sz w:val="24"/>
          <w:szCs w:val="24"/>
          <w:lang w:val="en-US" w:eastAsia="zh-CN" w:bidi="ar"/>
        </w:rPr>
        <w:t>4-4</w:t>
      </w:r>
      <w:r>
        <w:rPr>
          <w:rFonts w:hint="eastAsia" w:ascii="Times New Roman" w:hAnsi="Times New Roman" w:eastAsia="宋体" w:cs="Times New Roman"/>
          <w:color w:val="000000"/>
          <w:kern w:val="0"/>
          <w:sz w:val="24"/>
          <w:szCs w:val="24"/>
          <w:lang w:val="en-US" w:eastAsia="zh-CN" w:bidi="ar"/>
        </w:rPr>
        <w:t>。</w:t>
      </w:r>
    </w:p>
    <w:p>
      <w:pPr>
        <w:pStyle w:val="88"/>
        <w:widowControl/>
        <w:adjustRightInd/>
        <w:snapToGrid/>
        <w:spacing w:line="240" w:lineRule="auto"/>
        <w:ind w:left="0" w:firstLine="0"/>
        <w:rPr>
          <w:rFonts w:hint="default" w:ascii="Times New Roman" w:hAnsi="Times New Roman" w:cs="Times New Roman"/>
          <w:color w:val="000000"/>
          <w:lang w:val="en-US"/>
        </w:rPr>
      </w:pPr>
      <w:r>
        <w:rPr>
          <w:rFonts w:ascii="Times New Roman" w:hAnsi="Times New Roman" w:cs="Times New Roman"/>
          <w:color w:val="000000"/>
          <w:lang w:eastAsia="zh-CN"/>
        </w:rPr>
        <w:t>表</w:t>
      </w:r>
      <w:r>
        <w:rPr>
          <w:rFonts w:hint="default" w:ascii="Times New Roman" w:hAnsi="Times New Roman" w:cs="Times New Roman"/>
          <w:color w:val="000000"/>
          <w:lang w:val="en-US"/>
        </w:rPr>
        <w:t xml:space="preserve">4.2-8  </w:t>
      </w:r>
      <w:r>
        <w:rPr>
          <w:rFonts w:ascii="Times New Roman" w:hAnsi="Times New Roman" w:cs="Times New Roman"/>
          <w:color w:val="000000"/>
          <w:lang w:eastAsia="zh-CN"/>
        </w:rPr>
        <w:t>地下水监测点位</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419"/>
        <w:gridCol w:w="2521"/>
        <w:gridCol w:w="2411"/>
        <w:gridCol w:w="2376"/>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cantSplit/>
          <w:trHeight w:val="397" w:hRule="atLeast"/>
          <w:tblHeader/>
          <w:jc w:val="center"/>
        </w:trPr>
        <w:tc>
          <w:tcPr>
            <w:tcW w:w="813" w:type="pct"/>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点位</w:t>
            </w:r>
          </w:p>
        </w:tc>
        <w:tc>
          <w:tcPr>
            <w:tcW w:w="1444"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监测点位名称</w:t>
            </w:r>
          </w:p>
        </w:tc>
        <w:tc>
          <w:tcPr>
            <w:tcW w:w="1381"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相对本项目方位</w:t>
            </w:r>
          </w:p>
        </w:tc>
        <w:tc>
          <w:tcPr>
            <w:tcW w:w="1361" w:type="pct"/>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相对距离距离（</w:t>
            </w:r>
            <w:r>
              <w:rPr>
                <w:rFonts w:hint="default" w:ascii="Times New Roman" w:hAnsi="Times New Roman" w:cs="Times New Roman"/>
                <w:color w:val="000000"/>
                <w:sz w:val="21"/>
                <w:szCs w:val="21"/>
                <w:bdr w:val="none" w:color="auto" w:sz="0" w:space="0"/>
                <w:lang w:val="en-US"/>
              </w:rPr>
              <w:t>m</w:t>
            </w:r>
            <w:r>
              <w:rPr>
                <w:rFonts w:ascii="Times New Roman" w:hAnsi="Times New Roman" w:cs="Times New Roman"/>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3"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144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范家峪村</w:t>
            </w:r>
          </w:p>
        </w:tc>
        <w:tc>
          <w:tcPr>
            <w:tcW w:w="138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95" w:beforeLines="20" w:beforeAutospacing="0" w:after="95" w:afterLines="20" w:afterAutospacing="0"/>
              <w:ind w:left="0" w:right="0"/>
              <w:jc w:val="center"/>
              <w:textAlignment w:val="baseline"/>
              <w:rPr>
                <w:rFonts w:hint="default" w:ascii="Times New Roman" w:hAnsi="Times New Roman" w:cs="Times New Roman"/>
                <w:snapToGrid w:val="0"/>
                <w:color w:val="000000"/>
                <w:sz w:val="21"/>
                <w:szCs w:val="21"/>
                <w:bdr w:val="none" w:color="auto" w:sz="0" w:space="0"/>
                <w:vertAlign w:val="baseline"/>
                <w:lang w:val="en-US"/>
              </w:rPr>
            </w:pPr>
            <w:r>
              <w:rPr>
                <w:rFonts w:hint="default" w:ascii="Times New Roman" w:hAnsi="Times New Roman" w:cs="Times New Roman"/>
                <w:snapToGrid w:val="0"/>
                <w:color w:val="000000"/>
                <w:sz w:val="21"/>
                <w:szCs w:val="21"/>
                <w:bdr w:val="none" w:color="auto" w:sz="0" w:space="0"/>
                <w:vertAlign w:val="baseline"/>
                <w:lang w:val="en-US"/>
              </w:rPr>
              <w:t>W</w:t>
            </w:r>
          </w:p>
        </w:tc>
        <w:tc>
          <w:tcPr>
            <w:tcW w:w="1361"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pacing w:before="95" w:beforeLines="20" w:beforeAutospacing="0" w:after="95" w:afterLines="20" w:afterAutospacing="0"/>
              <w:ind w:left="0" w:right="0"/>
              <w:jc w:val="center"/>
              <w:textAlignment w:val="baseline"/>
              <w:rPr>
                <w:rFonts w:hint="default" w:ascii="Times New Roman" w:hAnsi="Times New Roman" w:cs="Times New Roman"/>
                <w:snapToGrid w:val="0"/>
                <w:color w:val="000000"/>
                <w:sz w:val="21"/>
                <w:szCs w:val="21"/>
                <w:bdr w:val="none" w:color="auto" w:sz="0" w:space="0"/>
                <w:vertAlign w:val="baseline"/>
                <w:lang w:val="en-US"/>
              </w:rPr>
            </w:pPr>
            <w:r>
              <w:rPr>
                <w:rFonts w:hint="default" w:ascii="Times New Roman" w:hAnsi="Times New Roman" w:cs="Times New Roman"/>
                <w:snapToGrid w:val="0"/>
                <w:color w:val="000000"/>
                <w:sz w:val="21"/>
                <w:szCs w:val="21"/>
                <w:bdr w:val="none" w:color="auto" w:sz="0" w:space="0"/>
                <w:vertAlign w:val="baseline"/>
                <w:lang w:val="en-US"/>
              </w:rPr>
              <w:t>260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3"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p>
        </w:tc>
        <w:tc>
          <w:tcPr>
            <w:tcW w:w="144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华宇集团厂区</w:t>
            </w:r>
          </w:p>
        </w:tc>
        <w:tc>
          <w:tcPr>
            <w:tcW w:w="138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95" w:beforeLines="20" w:beforeAutospacing="0" w:after="95" w:afterLines="20" w:afterAutospacing="0"/>
              <w:ind w:left="0" w:right="0"/>
              <w:jc w:val="center"/>
              <w:textAlignment w:val="baseline"/>
              <w:rPr>
                <w:rFonts w:hint="default" w:ascii="Times New Roman" w:hAnsi="Times New Roman" w:cs="Times New Roman"/>
                <w:snapToGrid w:val="0"/>
                <w:color w:val="000000"/>
                <w:sz w:val="21"/>
                <w:szCs w:val="21"/>
                <w:bdr w:val="none" w:color="auto" w:sz="0" w:space="0"/>
                <w:vertAlign w:val="baseline"/>
                <w:lang w:val="en-US"/>
              </w:rPr>
            </w:pPr>
            <w:r>
              <w:rPr>
                <w:rFonts w:hint="default" w:ascii="Times New Roman" w:hAnsi="Times New Roman" w:cs="Times New Roman"/>
                <w:snapToGrid w:val="0"/>
                <w:color w:val="000000"/>
                <w:sz w:val="21"/>
                <w:szCs w:val="21"/>
                <w:bdr w:val="none" w:color="auto" w:sz="0" w:space="0"/>
                <w:vertAlign w:val="baseline"/>
                <w:lang w:val="en-US"/>
              </w:rPr>
              <w:t>N</w:t>
            </w:r>
          </w:p>
        </w:tc>
        <w:tc>
          <w:tcPr>
            <w:tcW w:w="1361"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pacing w:before="95" w:beforeLines="20" w:beforeAutospacing="0" w:after="95" w:afterLines="20" w:afterAutospacing="0"/>
              <w:ind w:left="0" w:right="0"/>
              <w:jc w:val="center"/>
              <w:textAlignment w:val="baseline"/>
              <w:rPr>
                <w:rFonts w:hint="default" w:ascii="Times New Roman" w:hAnsi="Times New Roman" w:cs="Times New Roman"/>
                <w:snapToGrid w:val="0"/>
                <w:color w:val="000000"/>
                <w:sz w:val="21"/>
                <w:szCs w:val="21"/>
                <w:bdr w:val="none" w:color="auto" w:sz="0" w:space="0"/>
                <w:vertAlign w:val="baseline"/>
                <w:lang w:val="en-US"/>
              </w:rPr>
            </w:pPr>
            <w:r>
              <w:rPr>
                <w:rFonts w:hint="default" w:ascii="Times New Roman" w:hAnsi="Times New Roman" w:cs="Times New Roman"/>
                <w:snapToGrid w:val="0"/>
                <w:color w:val="000000"/>
                <w:sz w:val="21"/>
                <w:szCs w:val="21"/>
                <w:bdr w:val="none" w:color="auto" w:sz="0" w:space="0"/>
                <w:vertAlign w:val="baseline"/>
                <w:lang w:val="en-US"/>
              </w:rPr>
              <w:t>1080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3" w:type="pc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w:t>
            </w:r>
          </w:p>
        </w:tc>
        <w:tc>
          <w:tcPr>
            <w:tcW w:w="1444"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南二道村</w:t>
            </w:r>
          </w:p>
        </w:tc>
        <w:tc>
          <w:tcPr>
            <w:tcW w:w="1381"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adjustRightInd w:val="0"/>
              <w:spacing w:before="95" w:beforeLines="20" w:beforeAutospacing="0" w:after="95" w:afterLines="20" w:afterAutospacing="0"/>
              <w:ind w:left="0" w:right="0"/>
              <w:jc w:val="center"/>
              <w:textAlignment w:val="baseline"/>
              <w:rPr>
                <w:rFonts w:hint="default" w:ascii="Times New Roman" w:hAnsi="Times New Roman" w:cs="Times New Roman"/>
                <w:snapToGrid w:val="0"/>
                <w:color w:val="000000"/>
                <w:sz w:val="21"/>
                <w:szCs w:val="21"/>
                <w:bdr w:val="none" w:color="auto" w:sz="0" w:space="0"/>
                <w:vertAlign w:val="baseline"/>
                <w:lang w:val="en-US"/>
              </w:rPr>
            </w:pPr>
            <w:r>
              <w:rPr>
                <w:rFonts w:hint="default" w:ascii="Times New Roman" w:hAnsi="Times New Roman" w:cs="Times New Roman"/>
                <w:color w:val="000000"/>
                <w:sz w:val="21"/>
                <w:szCs w:val="21"/>
                <w:bdr w:val="none" w:color="auto" w:sz="0" w:space="0"/>
                <w:vertAlign w:val="baseline"/>
                <w:lang w:val="en-US"/>
              </w:rPr>
              <w:t>N</w:t>
            </w:r>
          </w:p>
        </w:tc>
        <w:tc>
          <w:tcPr>
            <w:tcW w:w="1361"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1600</w:t>
            </w:r>
          </w:p>
        </w:tc>
      </w:tr>
    </w:tbl>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）监测时间及频次</w:t>
      </w:r>
    </w:p>
    <w:p>
      <w:pPr>
        <w:keepNext w:val="0"/>
        <w:keepLines w:val="0"/>
        <w:widowControl/>
        <w:suppressLineNumbers w:val="0"/>
        <w:spacing w:before="0" w:beforeAutospacing="0" w:after="0" w:afterAutospacing="0" w:line="500" w:lineRule="exact"/>
        <w:ind w:left="0" w:right="0" w:firstLine="48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采样时间为</w:t>
      </w:r>
      <w:r>
        <w:rPr>
          <w:rFonts w:hint="default" w:ascii="Times New Roman" w:hAnsi="Times New Roman" w:eastAsia="宋体" w:cs="Times New Roman"/>
          <w:color w:val="000000"/>
          <w:kern w:val="0"/>
          <w:sz w:val="24"/>
          <w:szCs w:val="24"/>
          <w:lang w:val="en-US" w:eastAsia="zh-CN" w:bidi="ar"/>
        </w:rPr>
        <w:t>2020</w:t>
      </w:r>
      <w:r>
        <w:rPr>
          <w:rFonts w:hint="eastAsia" w:ascii="Times New Roman" w:hAnsi="Times New Roman" w:eastAsia="宋体" w:cs="Times New Roman"/>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19</w:t>
      </w:r>
      <w:r>
        <w:rPr>
          <w:rFonts w:hint="eastAsia" w:ascii="Times New Roman" w:hAnsi="Times New Roman" w:eastAsia="宋体" w:cs="Times New Roman"/>
          <w:color w:val="000000"/>
          <w:kern w:val="0"/>
          <w:sz w:val="24"/>
          <w:szCs w:val="24"/>
          <w:lang w:val="en-US" w:eastAsia="zh-CN" w:bidi="ar"/>
        </w:rPr>
        <w:t>日，每天</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次。</w:t>
      </w:r>
    </w:p>
    <w:p>
      <w:pPr>
        <w:keepNext w:val="0"/>
        <w:keepLines w:val="0"/>
        <w:widowControl/>
        <w:suppressLineNumbers w:val="0"/>
        <w:spacing w:before="0" w:beforeAutospacing="0" w:after="0" w:afterAutospacing="0" w:line="460" w:lineRule="exact"/>
        <w:ind w:left="0" w:right="0" w:firstLine="482"/>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4</w:t>
      </w:r>
      <w:r>
        <w:rPr>
          <w:rFonts w:hint="eastAsia" w:ascii="Times New Roman" w:hAnsi="Times New Roman" w:eastAsia="宋体" w:cs="Times New Roman"/>
          <w:b/>
          <w:bCs w:val="0"/>
          <w:color w:val="000000"/>
          <w:kern w:val="0"/>
          <w:sz w:val="24"/>
          <w:szCs w:val="24"/>
          <w:lang w:val="en-US" w:eastAsia="zh-CN" w:bidi="ar"/>
        </w:rPr>
        <w:t>）分析方法</w:t>
      </w:r>
    </w:p>
    <w:p>
      <w:pPr>
        <w:keepNext w:val="0"/>
        <w:keepLines w:val="0"/>
        <w:widowControl/>
        <w:suppressLineNumbers w:val="0"/>
        <w:spacing w:before="0" w:beforeAutospacing="0" w:after="0" w:afterAutospacing="0" w:line="460" w:lineRule="exact"/>
        <w:ind w:left="0" w:right="0" w:firstLine="48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本项目地下水监测项目具体分析方法及检出限见表</w:t>
      </w:r>
      <w:r>
        <w:rPr>
          <w:rFonts w:hint="default" w:ascii="Times New Roman" w:hAnsi="Times New Roman" w:eastAsia="宋体" w:cs="Times New Roman"/>
          <w:color w:val="000000"/>
          <w:kern w:val="0"/>
          <w:sz w:val="24"/>
          <w:szCs w:val="24"/>
          <w:lang w:val="en-US" w:eastAsia="zh-CN" w:bidi="ar"/>
        </w:rPr>
        <w:t>4.2-9</w:t>
      </w:r>
      <w:r>
        <w:rPr>
          <w:rFonts w:hint="eastAsia" w:ascii="Times New Roman" w:hAnsi="Times New Roman" w:eastAsia="宋体" w:cs="Times New Roman"/>
          <w:color w:val="000000"/>
          <w:kern w:val="0"/>
          <w:sz w:val="24"/>
          <w:szCs w:val="24"/>
          <w:lang w:val="en-US" w:eastAsia="zh-CN" w:bidi="ar"/>
        </w:rPr>
        <w:t>。</w:t>
      </w:r>
    </w:p>
    <w:p>
      <w:pPr>
        <w:pStyle w:val="88"/>
        <w:widowControl/>
        <w:adjustRightInd/>
        <w:snapToGrid/>
        <w:spacing w:line="360" w:lineRule="auto"/>
        <w:ind w:left="0" w:firstLine="0"/>
        <w:rPr>
          <w:rFonts w:hint="default" w:ascii="Times New Roman" w:hAnsi="Times New Roman" w:cs="Times New Roman"/>
          <w:color w:val="000000"/>
          <w:lang w:val="en-US"/>
        </w:rPr>
      </w:pPr>
      <w:r>
        <w:rPr>
          <w:rFonts w:ascii="Times New Roman" w:hAnsi="Times New Roman" w:cs="Times New Roman"/>
          <w:color w:val="000000"/>
          <w:lang w:eastAsia="zh-CN"/>
        </w:rPr>
        <w:t>表</w:t>
      </w:r>
      <w:r>
        <w:rPr>
          <w:rFonts w:hint="default" w:ascii="Times New Roman" w:hAnsi="Times New Roman" w:cs="Times New Roman"/>
          <w:color w:val="000000"/>
          <w:lang w:val="en-US"/>
        </w:rPr>
        <w:t xml:space="preserve">4.2-9  </w:t>
      </w:r>
      <w:r>
        <w:rPr>
          <w:rFonts w:ascii="Times New Roman" w:hAnsi="Times New Roman" w:cs="Times New Roman"/>
          <w:color w:val="000000"/>
          <w:lang w:eastAsia="zh-CN"/>
        </w:rPr>
        <w:t>地下水监测项目分析方法</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242"/>
        <w:gridCol w:w="3973"/>
        <w:gridCol w:w="2128"/>
        <w:gridCol w:w="13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433" w:hRule="atLeast"/>
          <w:tblHeader/>
          <w:jc w:val="center"/>
        </w:trPr>
        <w:tc>
          <w:tcPr>
            <w:tcW w:w="712" w:type="pct"/>
            <w:tcBorders>
              <w:top w:val="thinThickSmallGap" w:color="auto" w:sz="12" w:space="0"/>
              <w:left w:val="nil"/>
              <w:bottom w:val="single" w:color="auto" w:sz="4" w:space="0"/>
              <w:right w:val="single" w:color="auto" w:sz="4" w:space="0"/>
            </w:tcBorders>
            <w:shd w:val="clear" w:color="auto" w:fill="D8D8D8"/>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检测项目</w:t>
            </w:r>
          </w:p>
        </w:tc>
        <w:tc>
          <w:tcPr>
            <w:tcW w:w="2276" w:type="pct"/>
            <w:tcBorders>
              <w:top w:val="thinThickSmallGap" w:color="auto" w:sz="12" w:space="0"/>
              <w:left w:val="single" w:color="auto" w:sz="4" w:space="0"/>
              <w:bottom w:val="single" w:color="auto" w:sz="4" w:space="0"/>
              <w:right w:val="single" w:color="auto" w:sz="4" w:space="0"/>
            </w:tcBorders>
            <w:shd w:val="clear" w:color="auto" w:fill="D8D8D8"/>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分析方法及编号</w:t>
            </w:r>
          </w:p>
        </w:tc>
        <w:tc>
          <w:tcPr>
            <w:tcW w:w="1219" w:type="pct"/>
            <w:tcBorders>
              <w:top w:val="thinThickSmallGap" w:color="auto" w:sz="12" w:space="0"/>
              <w:left w:val="single" w:color="auto" w:sz="4" w:space="0"/>
              <w:bottom w:val="single" w:color="auto" w:sz="4" w:space="0"/>
              <w:right w:val="single" w:color="auto" w:sz="4" w:space="0"/>
            </w:tcBorders>
            <w:shd w:val="clear" w:color="auto" w:fill="D8D8D8"/>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仪器及编号</w:t>
            </w:r>
          </w:p>
        </w:tc>
        <w:tc>
          <w:tcPr>
            <w:tcW w:w="793" w:type="pct"/>
            <w:tcBorders>
              <w:top w:val="thinThickSmallGap" w:color="auto" w:sz="12" w:space="0"/>
              <w:left w:val="single" w:color="auto" w:sz="4" w:space="0"/>
              <w:bottom w:val="single" w:color="auto" w:sz="4" w:space="0"/>
              <w:right w:val="nil"/>
            </w:tcBorders>
            <w:shd w:val="clear" w:color="auto" w:fill="D8D8D8"/>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最低检出限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000000"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pH</w:t>
            </w:r>
            <w:r>
              <w:rPr>
                <w:rFonts w:ascii="Times New Roman" w:hAnsi="Times New Roman" w:cs="Times New Roman"/>
                <w:color w:val="000000"/>
                <w:sz w:val="21"/>
                <w:szCs w:val="24"/>
                <w:bdr w:val="none" w:color="auto" w:sz="0" w:space="0"/>
              </w:rPr>
              <w:t>值</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生活饮用水标准检验方法感官性状和物理指标</w:t>
            </w:r>
            <w:r>
              <w:rPr>
                <w:rFonts w:hint="default" w:ascii="Times New Roman" w:hAnsi="Times New Roman" w:cs="Times New Roman"/>
                <w:color w:val="000000"/>
                <w:sz w:val="21"/>
                <w:szCs w:val="24"/>
                <w:bdr w:val="none" w:color="auto" w:sz="0" w:space="0"/>
                <w:lang w:val="en-US"/>
              </w:rPr>
              <w:t>GB/T 5750.4-2006(5.1)</w:t>
            </w:r>
            <w:r>
              <w:rPr>
                <w:rFonts w:ascii="Times New Roman" w:hAnsi="Times New Roman" w:cs="Times New Roman"/>
                <w:color w:val="000000"/>
                <w:sz w:val="21"/>
                <w:szCs w:val="24"/>
                <w:bdr w:val="none" w:color="auto" w:sz="0" w:space="0"/>
              </w:rPr>
              <w:t>玻璃电极法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pH</w:t>
            </w:r>
            <w:r>
              <w:rPr>
                <w:rFonts w:hint="eastAsia" w:ascii="Times New Roman" w:hAnsi="Times New Roman" w:eastAsia="宋体" w:cs="Times New Roman"/>
                <w:color w:val="000000"/>
                <w:kern w:val="0"/>
                <w:sz w:val="21"/>
                <w:szCs w:val="24"/>
                <w:bdr w:val="none" w:color="auto" w:sz="0" w:space="0"/>
                <w:lang w:val="en-US" w:eastAsia="zh-CN" w:bidi="ar"/>
              </w:rPr>
              <w:t>，氟离子，电导率三合一检测仪</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scjc-hj-025</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w:t>
            </w:r>
            <w:r>
              <w:rPr>
                <w:rFonts w:ascii="Times New Roman" w:hAnsi="Times New Roman" w:cs="Times New Roman"/>
                <w:color w:val="000000"/>
                <w:sz w:val="21"/>
                <w:szCs w:val="24"/>
                <w:bdr w:val="none" w:color="auto" w:sz="0" w:space="0"/>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auto" w:sz="4" w:space="0"/>
              <w:left w:val="nil"/>
              <w:bottom w:val="single" w:color="000000"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总硬度</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生活饮用水标准检验方法感官性状和物理指标</w:t>
            </w:r>
            <w:r>
              <w:rPr>
                <w:rFonts w:hint="default" w:ascii="Times New Roman" w:hAnsi="Times New Roman" w:eastAsia="宋体" w:cs="Times New Roman"/>
                <w:color w:val="000000"/>
                <w:kern w:val="0"/>
                <w:sz w:val="21"/>
                <w:szCs w:val="24"/>
                <w:bdr w:val="none" w:color="auto" w:sz="0" w:space="0"/>
                <w:lang w:val="en-US" w:eastAsia="zh-CN" w:bidi="ar"/>
              </w:rPr>
              <w:t>GB/T 5750.4-2006(7.1)</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乙二胺四乙酸二钠滴定法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50ml</w:t>
            </w:r>
            <w:r>
              <w:rPr>
                <w:rFonts w:ascii="Times New Roman" w:hAnsi="Times New Roman" w:cs="Times New Roman"/>
                <w:color w:val="000000"/>
                <w:sz w:val="21"/>
                <w:szCs w:val="24"/>
                <w:bdr w:val="none" w:color="auto" w:sz="0" w:space="0"/>
              </w:rPr>
              <w:t>滴定管</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000000" w:sz="4" w:space="0"/>
              <w:left w:val="nil"/>
              <w:bottom w:val="single" w:color="000000"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铅</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生活饮用水标准检验方法</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金属指标</w:t>
            </w:r>
            <w:r>
              <w:rPr>
                <w:rFonts w:hint="default" w:ascii="Times New Roman" w:hAnsi="Times New Roman" w:eastAsia="宋体" w:cs="Times New Roman"/>
                <w:color w:val="000000"/>
                <w:kern w:val="0"/>
                <w:sz w:val="21"/>
                <w:szCs w:val="24"/>
                <w:bdr w:val="none" w:color="auto" w:sz="0" w:space="0"/>
                <w:lang w:val="en-US" w:eastAsia="zh-CN" w:bidi="ar"/>
              </w:rPr>
              <w:t xml:space="preserve"> GB/T 5750.6-2006(11.1)</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无火焰原子吸收分光光度法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原子吸收石墨炉分光光度计</w:t>
            </w:r>
            <w:r>
              <w:rPr>
                <w:rFonts w:hint="default" w:ascii="Times New Roman" w:hAnsi="Times New Roman" w:cs="Times New Roman"/>
                <w:color w:val="000000"/>
                <w:sz w:val="21"/>
                <w:szCs w:val="24"/>
                <w:bdr w:val="none" w:color="auto" w:sz="0" w:space="0"/>
                <w:lang w:val="en-US"/>
              </w:rPr>
              <w:t>scjc-hj-026</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2.5μg/L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000000" w:sz="4" w:space="0"/>
              <w:left w:val="nil"/>
              <w:bottom w:val="single" w:color="000000"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铁</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生活饮用水标准检验方法</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金属指标</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GB/T 5750.6-2006(2.1)</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原子吸收分光光度法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原子吸收分光光度计</w:t>
            </w:r>
            <w:r>
              <w:rPr>
                <w:rFonts w:hint="default" w:ascii="Times New Roman" w:hAnsi="Times New Roman" w:cs="Times New Roman"/>
                <w:color w:val="000000"/>
                <w:sz w:val="21"/>
                <w:szCs w:val="24"/>
                <w:bdr w:val="none" w:color="auto" w:sz="0" w:space="0"/>
                <w:lang w:val="en-US"/>
              </w:rPr>
              <w:t>scjc-hj-028</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000000" w:sz="4" w:space="0"/>
              <w:left w:val="nil"/>
              <w:bottom w:val="single" w:color="000000"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锰</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生活饮用水标准检验方法</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金属指标</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GB/T 5750.6-2006(3.1)</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无火焰原子吸收分光光度法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原子吸收分光光度计</w:t>
            </w:r>
            <w:r>
              <w:rPr>
                <w:rFonts w:hint="default" w:ascii="Times New Roman" w:hAnsi="Times New Roman" w:cs="Times New Roman"/>
                <w:color w:val="000000"/>
                <w:sz w:val="21"/>
                <w:szCs w:val="24"/>
                <w:bdr w:val="none" w:color="auto" w:sz="0" w:space="0"/>
                <w:lang w:val="en-US"/>
              </w:rPr>
              <w:t>scjc-hj-028</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000000" w:sz="4" w:space="0"/>
              <w:left w:val="nil"/>
              <w:bottom w:val="single" w:color="000000"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汞</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生活饮用水标准检验方法</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金属指标</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GB/T 5750.6-2006(8.1)</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原子荧光法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原子荧光光度计</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scjc-hj-027</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0.1μg/L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000000" w:sz="4" w:space="0"/>
              <w:left w:val="nil"/>
              <w:bottom w:val="single" w:color="000000"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砷</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生活饮用水标准检验方法</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金属指标</w:t>
            </w:r>
            <w:r>
              <w:rPr>
                <w:rFonts w:hint="default" w:ascii="Times New Roman" w:hAnsi="Times New Roman" w:eastAsia="宋体" w:cs="Times New Roman"/>
                <w:color w:val="000000"/>
                <w:kern w:val="0"/>
                <w:sz w:val="21"/>
                <w:szCs w:val="24"/>
                <w:bdr w:val="none" w:color="auto" w:sz="0" w:space="0"/>
                <w:lang w:val="en-US" w:eastAsia="zh-CN" w:bidi="ar"/>
              </w:rPr>
              <w:t>GB/T 5750.6-2006(6.1)</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氢化物原子荧光法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原子荧光光度计</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scjc-hj-027</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1.0μg/L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000000" w:sz="4" w:space="0"/>
              <w:left w:val="nil"/>
              <w:bottom w:val="single" w:color="000000"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氨氮</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生活饮用水标准检验方法</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无机非金属指标</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GB/T 5750.5-2006(9.1)</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纳氏试剂分光光度法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紫外可见分光光度计</w:t>
            </w:r>
            <w:r>
              <w:rPr>
                <w:rFonts w:hint="default" w:ascii="Times New Roman" w:hAnsi="Times New Roman" w:cs="Times New Roman"/>
                <w:color w:val="000000"/>
                <w:sz w:val="21"/>
                <w:szCs w:val="24"/>
                <w:bdr w:val="none" w:color="auto" w:sz="0" w:space="0"/>
                <w:lang w:val="en-US"/>
              </w:rPr>
              <w:t>scjc-hj-030</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000000" w:sz="4" w:space="0"/>
              <w:left w:val="nil"/>
              <w:bottom w:val="single" w:color="000000"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耗氧量</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生活饮用水标准检验方法</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 xml:space="preserve"> </w:t>
            </w:r>
            <w:r>
              <w:rPr>
                <w:rFonts w:ascii="Times New Roman" w:hAnsi="Times New Roman" w:cs="Times New Roman"/>
                <w:color w:val="000000"/>
                <w:sz w:val="21"/>
                <w:szCs w:val="24"/>
                <w:bdr w:val="none" w:color="auto" w:sz="0" w:space="0"/>
              </w:rPr>
              <w:t>有机综合指标</w:t>
            </w:r>
            <w:r>
              <w:rPr>
                <w:rFonts w:hint="default" w:ascii="Times New Roman" w:hAnsi="Times New Roman" w:cs="Times New Roman"/>
                <w:color w:val="000000"/>
                <w:sz w:val="21"/>
                <w:szCs w:val="24"/>
                <w:bdr w:val="none" w:color="auto" w:sz="0" w:space="0"/>
                <w:lang w:val="en-US"/>
              </w:rPr>
              <w:t>GB/T5750.7-2006</w:t>
            </w:r>
            <w:r>
              <w:rPr>
                <w:rFonts w:ascii="Times New Roman" w:hAnsi="Times New Roman" w:cs="Times New Roman"/>
                <w:color w:val="000000"/>
                <w:sz w:val="21"/>
                <w:szCs w:val="24"/>
                <w:bdr w:val="none" w:color="auto" w:sz="0" w:space="0"/>
              </w:rPr>
              <w:t>（</w:t>
            </w:r>
            <w:r>
              <w:rPr>
                <w:rFonts w:hint="default" w:ascii="Times New Roman" w:hAnsi="Times New Roman" w:cs="Times New Roman"/>
                <w:color w:val="000000"/>
                <w:sz w:val="21"/>
                <w:szCs w:val="24"/>
                <w:bdr w:val="none" w:color="auto" w:sz="0" w:space="0"/>
                <w:lang w:val="en-US"/>
              </w:rPr>
              <w:t>1.1</w:t>
            </w:r>
            <w:r>
              <w:rPr>
                <w:rFonts w:ascii="Times New Roman" w:hAnsi="Times New Roman" w:cs="Times New Roman"/>
                <w:color w:val="000000"/>
                <w:sz w:val="21"/>
                <w:szCs w:val="24"/>
                <w:bdr w:val="none" w:color="auto" w:sz="0" w:space="0"/>
              </w:rPr>
              <w:t>）酸性高锰酸钾法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50ml</w:t>
            </w:r>
            <w:r>
              <w:rPr>
                <w:rFonts w:ascii="Times New Roman" w:hAnsi="Times New Roman" w:cs="Times New Roman"/>
                <w:color w:val="000000"/>
                <w:sz w:val="21"/>
                <w:szCs w:val="24"/>
                <w:bdr w:val="none" w:color="auto" w:sz="0" w:space="0"/>
              </w:rPr>
              <w:t>滴定管</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000000" w:sz="4" w:space="0"/>
              <w:left w:val="nil"/>
              <w:bottom w:val="single" w:color="000000"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挥发酚类</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生活饮用水标准检验方法</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感官性状和物理指标</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GB/T 5750.4-2006(9.1)</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4-</w:t>
            </w:r>
            <w:r>
              <w:rPr>
                <w:rFonts w:ascii="Times New Roman" w:hAnsi="Times New Roman" w:cs="Times New Roman"/>
                <w:color w:val="000000"/>
                <w:sz w:val="21"/>
                <w:szCs w:val="24"/>
                <w:bdr w:val="none" w:color="auto" w:sz="0" w:space="0"/>
              </w:rPr>
              <w:t>氨基安替吡啉三氯甲烷萃取分光光度法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紫外可见分光光度计</w:t>
            </w:r>
            <w:r>
              <w:rPr>
                <w:rFonts w:hint="default" w:ascii="Times New Roman" w:hAnsi="Times New Roman" w:cs="Times New Roman"/>
                <w:color w:val="000000"/>
                <w:sz w:val="21"/>
                <w:szCs w:val="24"/>
                <w:bdr w:val="none" w:color="auto" w:sz="0" w:space="0"/>
                <w:lang w:val="en-US"/>
              </w:rPr>
              <w:t>scjc-hj-030</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000000" w:sz="4" w:space="0"/>
              <w:left w:val="nil"/>
              <w:bottom w:val="single" w:color="000000"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石油类</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水质</w:t>
            </w:r>
            <w:r>
              <w:rPr>
                <w:rFonts w:hint="default" w:ascii="Times New Roman" w:hAnsi="Times New Roman" w:eastAsia="宋体" w:cs="Times New Roman"/>
                <w:color w:val="000000"/>
                <w:kern w:val="0"/>
                <w:sz w:val="21"/>
                <w:szCs w:val="24"/>
                <w:bdr w:val="none" w:color="auto" w:sz="0" w:space="0"/>
                <w:lang w:val="en-US" w:eastAsia="zh-CN" w:bidi="ar"/>
              </w:rPr>
              <w:t xml:space="preserve"> </w:t>
            </w:r>
            <w:r>
              <w:rPr>
                <w:rFonts w:hint="eastAsia" w:ascii="Times New Roman" w:hAnsi="Times New Roman" w:eastAsia="宋体" w:cs="Times New Roman"/>
                <w:color w:val="000000"/>
                <w:kern w:val="0"/>
                <w:sz w:val="21"/>
                <w:szCs w:val="24"/>
                <w:bdr w:val="none" w:color="auto" w:sz="0" w:space="0"/>
                <w:lang w:val="en-US" w:eastAsia="zh-CN" w:bidi="ar"/>
              </w:rPr>
              <w:t>石油类和动植物油的测定</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紫外分光光度法</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HJ 970-2018</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紫外可见分光光度计</w:t>
            </w:r>
            <w:r>
              <w:rPr>
                <w:rFonts w:hint="default" w:ascii="Times New Roman" w:hAnsi="Times New Roman" w:cs="Times New Roman"/>
                <w:color w:val="000000"/>
                <w:sz w:val="21"/>
                <w:szCs w:val="24"/>
                <w:bdr w:val="none" w:color="auto" w:sz="0" w:space="0"/>
                <w:lang w:val="en-US"/>
              </w:rPr>
              <w:t>scjc-hj-030</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000000"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亚硝酸盐氮</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生活饮用水标准检验方法</w:t>
            </w:r>
            <w:r>
              <w:rPr>
                <w:rFonts w:hint="default" w:ascii="Times New Roman" w:hAnsi="Times New Roman" w:cs="Times New Roman"/>
                <w:color w:val="000000"/>
                <w:sz w:val="21"/>
                <w:szCs w:val="24"/>
                <w:bdr w:val="none" w:color="auto" w:sz="0" w:space="0"/>
              </w:rPr>
              <w:t xml:space="preserve"> </w:t>
            </w:r>
            <w:r>
              <w:rPr>
                <w:rFonts w:ascii="Times New Roman" w:hAnsi="Times New Roman" w:cs="Times New Roman"/>
                <w:color w:val="000000"/>
                <w:sz w:val="21"/>
                <w:szCs w:val="24"/>
                <w:bdr w:val="none" w:color="auto" w:sz="0" w:space="0"/>
              </w:rPr>
              <w:t>无机非金属指标</w:t>
            </w:r>
            <w:r>
              <w:rPr>
                <w:rFonts w:hint="default" w:ascii="Times New Roman" w:hAnsi="Times New Roman" w:cs="Times New Roman"/>
                <w:color w:val="000000"/>
                <w:sz w:val="21"/>
                <w:szCs w:val="24"/>
                <w:bdr w:val="none" w:color="auto" w:sz="0" w:space="0"/>
                <w:lang w:val="en-US"/>
              </w:rPr>
              <w:t xml:space="preserve"> GB/T 5750.5-2006</w:t>
            </w:r>
            <w:r>
              <w:rPr>
                <w:rFonts w:ascii="Times New Roman" w:hAnsi="Times New Roman" w:cs="Times New Roman"/>
                <w:color w:val="000000"/>
                <w:sz w:val="21"/>
                <w:szCs w:val="24"/>
                <w:bdr w:val="none" w:color="auto" w:sz="0" w:space="0"/>
              </w:rPr>
              <w:t>（</w:t>
            </w:r>
            <w:r>
              <w:rPr>
                <w:rFonts w:hint="default" w:ascii="Times New Roman" w:hAnsi="Times New Roman" w:cs="Times New Roman"/>
                <w:color w:val="000000"/>
                <w:sz w:val="21"/>
                <w:szCs w:val="24"/>
                <w:bdr w:val="none" w:color="auto" w:sz="0" w:space="0"/>
                <w:lang w:val="en-US"/>
              </w:rPr>
              <w:t>10.1</w:t>
            </w:r>
            <w:r>
              <w:rPr>
                <w:rFonts w:ascii="Times New Roman" w:hAnsi="Times New Roman" w:cs="Times New Roman"/>
                <w:color w:val="000000"/>
                <w:sz w:val="21"/>
                <w:szCs w:val="24"/>
                <w:bdr w:val="none" w:color="auto" w:sz="0" w:space="0"/>
              </w:rPr>
              <w:t>）重氮偶合分光光度法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紫外可见分光光度计</w:t>
            </w:r>
            <w:r>
              <w:rPr>
                <w:rFonts w:hint="default" w:ascii="Times New Roman" w:hAnsi="Times New Roman" w:cs="Times New Roman"/>
                <w:color w:val="000000"/>
                <w:sz w:val="21"/>
                <w:szCs w:val="24"/>
                <w:bdr w:val="none" w:color="auto" w:sz="0" w:space="0"/>
                <w:lang w:val="en-US"/>
              </w:rPr>
              <w:t>scjc-hj-030</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硝酸盐氮</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生活饮用水标准检验方法</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无机非金属指标</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GB/T 5750.5-2006</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5.1</w:t>
            </w:r>
            <w:r>
              <w:rPr>
                <w:rFonts w:hint="eastAsia" w:ascii="Times New Roman" w:hAnsi="Times New Roman" w:eastAsia="宋体" w:cs="Times New Roman"/>
                <w:color w:val="000000"/>
                <w:kern w:val="0"/>
                <w:sz w:val="21"/>
                <w:szCs w:val="24"/>
                <w:bdr w:val="none" w:color="auto" w:sz="0" w:space="0"/>
                <w:lang w:val="en-US" w:eastAsia="zh-CN" w:bidi="ar"/>
              </w:rPr>
              <w:t>）</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麝香草酚分光光度法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紫外可见分光光度计</w:t>
            </w:r>
            <w:r>
              <w:rPr>
                <w:rFonts w:hint="default" w:ascii="Times New Roman" w:hAnsi="Times New Roman" w:cs="Times New Roman"/>
                <w:color w:val="000000"/>
                <w:sz w:val="21"/>
                <w:szCs w:val="24"/>
                <w:bdr w:val="none" w:color="auto" w:sz="0" w:space="0"/>
                <w:lang w:val="en-US"/>
              </w:rPr>
              <w:t>scjc-hj-030</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溶解性总固体</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生活饮用水标准检验方法</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感官性状和物理指标</w:t>
            </w:r>
            <w:r>
              <w:rPr>
                <w:rFonts w:hint="default" w:ascii="Times New Roman" w:hAnsi="Times New Roman" w:cs="Times New Roman"/>
                <w:color w:val="000000"/>
                <w:sz w:val="21"/>
                <w:szCs w:val="24"/>
                <w:bdr w:val="none" w:color="auto" w:sz="0" w:space="0"/>
                <w:lang w:val="en-US"/>
              </w:rPr>
              <w:t>GB/T 5750.4-2006(8.1)</w:t>
            </w:r>
            <w:r>
              <w:rPr>
                <w:rFonts w:ascii="Times New Roman" w:hAnsi="Times New Roman" w:cs="Times New Roman"/>
                <w:color w:val="000000"/>
                <w:sz w:val="21"/>
                <w:szCs w:val="24"/>
                <w:bdr w:val="none" w:color="auto" w:sz="0" w:space="0"/>
              </w:rPr>
              <w:t>称量法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分析电子天平</w:t>
            </w:r>
            <w:r>
              <w:rPr>
                <w:rFonts w:hint="default" w:ascii="Times New Roman" w:hAnsi="Times New Roman" w:cs="Times New Roman"/>
                <w:color w:val="000000"/>
                <w:sz w:val="21"/>
                <w:szCs w:val="24"/>
                <w:bdr w:val="none" w:color="auto" w:sz="0" w:space="0"/>
                <w:lang w:val="en-US"/>
              </w:rPr>
              <w:t>scjc-hj-007</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钾</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水质</w:t>
            </w:r>
            <w:r>
              <w:rPr>
                <w:rFonts w:hint="default" w:ascii="Times New Roman" w:hAnsi="Times New Roman" w:eastAsia="宋体" w:cs="Times New Roman"/>
                <w:color w:val="000000"/>
                <w:kern w:val="0"/>
                <w:sz w:val="21"/>
                <w:szCs w:val="24"/>
                <w:bdr w:val="none" w:color="auto" w:sz="0" w:space="0"/>
                <w:lang w:val="en-US" w:eastAsia="zh-CN" w:bidi="ar"/>
              </w:rPr>
              <w:t xml:space="preserve"> </w:t>
            </w:r>
            <w:r>
              <w:rPr>
                <w:rFonts w:hint="eastAsia" w:ascii="Times New Roman" w:hAnsi="Times New Roman" w:eastAsia="宋体" w:cs="Times New Roman"/>
                <w:color w:val="000000"/>
                <w:kern w:val="0"/>
                <w:sz w:val="21"/>
                <w:szCs w:val="24"/>
                <w:bdr w:val="none" w:color="auto" w:sz="0" w:space="0"/>
                <w:lang w:val="en-US" w:eastAsia="zh-CN" w:bidi="ar"/>
              </w:rPr>
              <w:t>钾和钠的测定</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火焰原子吸收分光光度法</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GB/T 11904-1989</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原子吸收分光光度计</w:t>
            </w:r>
            <w:r>
              <w:rPr>
                <w:rFonts w:hint="default" w:ascii="Times New Roman" w:hAnsi="Times New Roman" w:cs="Times New Roman"/>
                <w:color w:val="000000"/>
                <w:sz w:val="21"/>
                <w:szCs w:val="24"/>
                <w:bdr w:val="none" w:color="auto" w:sz="0" w:space="0"/>
                <w:lang w:val="en-US"/>
              </w:rPr>
              <w:t>scjc-hj-028</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钠</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水质</w:t>
            </w:r>
            <w:r>
              <w:rPr>
                <w:rFonts w:hint="default" w:ascii="Times New Roman" w:hAnsi="Times New Roman" w:eastAsia="宋体" w:cs="Times New Roman"/>
                <w:color w:val="000000"/>
                <w:kern w:val="0"/>
                <w:sz w:val="21"/>
                <w:szCs w:val="24"/>
                <w:bdr w:val="none" w:color="auto" w:sz="0" w:space="0"/>
                <w:lang w:val="en-US" w:eastAsia="zh-CN" w:bidi="ar"/>
              </w:rPr>
              <w:t xml:space="preserve"> </w:t>
            </w:r>
            <w:r>
              <w:rPr>
                <w:rFonts w:hint="eastAsia" w:ascii="Times New Roman" w:hAnsi="Times New Roman" w:eastAsia="宋体" w:cs="Times New Roman"/>
                <w:color w:val="000000"/>
                <w:kern w:val="0"/>
                <w:sz w:val="21"/>
                <w:szCs w:val="24"/>
                <w:bdr w:val="none" w:color="auto" w:sz="0" w:space="0"/>
                <w:lang w:val="en-US" w:eastAsia="zh-CN" w:bidi="ar"/>
              </w:rPr>
              <w:t>钾和钠的测定</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火焰原子吸收分光光度法</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GB/T11904-1989</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原子吸收分光光度计</w:t>
            </w:r>
            <w:r>
              <w:rPr>
                <w:rFonts w:hint="default" w:ascii="Times New Roman" w:hAnsi="Times New Roman" w:cs="Times New Roman"/>
                <w:color w:val="000000"/>
                <w:sz w:val="21"/>
                <w:szCs w:val="24"/>
                <w:bdr w:val="none" w:color="auto" w:sz="0" w:space="0"/>
                <w:lang w:val="en-US"/>
              </w:rPr>
              <w:t>scjc-hj-028</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钙</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水质</w:t>
            </w:r>
            <w:r>
              <w:rPr>
                <w:rFonts w:hint="default" w:ascii="Times New Roman" w:hAnsi="Times New Roman" w:eastAsia="宋体" w:cs="Times New Roman"/>
                <w:color w:val="000000"/>
                <w:kern w:val="0"/>
                <w:sz w:val="21"/>
                <w:szCs w:val="24"/>
                <w:bdr w:val="none" w:color="auto" w:sz="0" w:space="0"/>
                <w:lang w:val="en-US" w:eastAsia="zh-CN" w:bidi="ar"/>
              </w:rPr>
              <w:t xml:space="preserve"> </w:t>
            </w:r>
            <w:r>
              <w:rPr>
                <w:rFonts w:hint="eastAsia" w:ascii="Times New Roman" w:hAnsi="Times New Roman" w:eastAsia="宋体" w:cs="Times New Roman"/>
                <w:color w:val="000000"/>
                <w:kern w:val="0"/>
                <w:sz w:val="21"/>
                <w:szCs w:val="24"/>
                <w:bdr w:val="none" w:color="auto" w:sz="0" w:space="0"/>
                <w:lang w:val="en-US" w:eastAsia="zh-CN" w:bidi="ar"/>
              </w:rPr>
              <w:t>钙和镁的测定</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原子吸收分光光度法</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GB/T 11905-1989</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原子吸收分光光度计</w:t>
            </w:r>
            <w:r>
              <w:rPr>
                <w:rFonts w:hint="default" w:ascii="Times New Roman" w:hAnsi="Times New Roman" w:cs="Times New Roman"/>
                <w:color w:val="000000"/>
                <w:sz w:val="21"/>
                <w:szCs w:val="24"/>
                <w:bdr w:val="none" w:color="auto" w:sz="0" w:space="0"/>
                <w:lang w:val="en-US"/>
              </w:rPr>
              <w:t>scjc-hj-028</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镁</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水质</w:t>
            </w:r>
            <w:r>
              <w:rPr>
                <w:rFonts w:hint="default" w:ascii="Times New Roman" w:hAnsi="Times New Roman" w:eastAsia="宋体" w:cs="Times New Roman"/>
                <w:color w:val="000000"/>
                <w:kern w:val="0"/>
                <w:sz w:val="21"/>
                <w:szCs w:val="24"/>
                <w:bdr w:val="none" w:color="auto" w:sz="0" w:space="0"/>
                <w:lang w:val="en-US" w:eastAsia="zh-CN" w:bidi="ar"/>
              </w:rPr>
              <w:t xml:space="preserve"> </w:t>
            </w:r>
            <w:r>
              <w:rPr>
                <w:rFonts w:hint="eastAsia" w:ascii="Times New Roman" w:hAnsi="Times New Roman" w:eastAsia="宋体" w:cs="Times New Roman"/>
                <w:color w:val="000000"/>
                <w:kern w:val="0"/>
                <w:sz w:val="21"/>
                <w:szCs w:val="24"/>
                <w:bdr w:val="none" w:color="auto" w:sz="0" w:space="0"/>
                <w:lang w:val="en-US" w:eastAsia="zh-CN" w:bidi="ar"/>
              </w:rPr>
              <w:t>钙和镁的测定</w:t>
            </w:r>
            <w:r>
              <w:rPr>
                <w:rFonts w:hint="default" w:ascii="Times New Roman" w:hAnsi="Times New Roman" w:eastAsia="宋体" w:cs="Times New Roman"/>
                <w:color w:val="000000"/>
                <w:kern w:val="0"/>
                <w:sz w:val="21"/>
                <w:szCs w:val="24"/>
                <w:bdr w:val="none" w:color="auto" w:sz="0" w:space="0"/>
                <w:lang w:val="en-US" w:eastAsia="zh-CN" w:bidi="ar"/>
              </w:rPr>
              <w:t xml:space="preserve"> </w:t>
            </w:r>
            <w:r>
              <w:rPr>
                <w:rFonts w:hint="eastAsia" w:ascii="Times New Roman" w:hAnsi="Times New Roman" w:eastAsia="宋体" w:cs="Times New Roman"/>
                <w:color w:val="000000"/>
                <w:kern w:val="0"/>
                <w:sz w:val="21"/>
                <w:szCs w:val="24"/>
                <w:bdr w:val="none" w:color="auto" w:sz="0" w:space="0"/>
                <w:lang w:val="en-US" w:eastAsia="zh-CN" w:bidi="ar"/>
              </w:rPr>
              <w:t>原子吸收分光光度法</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GB/T11905-1989</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原子吸收分光光度计</w:t>
            </w:r>
            <w:r>
              <w:rPr>
                <w:rFonts w:hint="default" w:ascii="Times New Roman" w:hAnsi="Times New Roman" w:cs="Times New Roman"/>
                <w:color w:val="000000"/>
                <w:sz w:val="21"/>
                <w:szCs w:val="24"/>
                <w:bdr w:val="none" w:color="auto" w:sz="0" w:space="0"/>
                <w:lang w:val="en-US"/>
              </w:rPr>
              <w:t>scjc-hj-028</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HCO</w:t>
            </w:r>
            <w:r>
              <w:rPr>
                <w:rFonts w:hint="default" w:ascii="Times New Roman" w:hAnsi="Times New Roman" w:cs="Times New Roman"/>
                <w:color w:val="000000"/>
                <w:sz w:val="21"/>
                <w:szCs w:val="24"/>
                <w:bdr w:val="none" w:color="auto" w:sz="0" w:space="0"/>
                <w:vertAlign w:val="superscript"/>
                <w:lang w:val="en-US"/>
              </w:rPr>
              <w:t>3-</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《水和废水监测分析方法》（增补版）国家环境保护总局（</w:t>
            </w:r>
            <w:r>
              <w:rPr>
                <w:rFonts w:hint="default" w:ascii="Times New Roman" w:hAnsi="Times New Roman" w:cs="Times New Roman"/>
                <w:color w:val="000000"/>
                <w:sz w:val="21"/>
                <w:szCs w:val="24"/>
                <w:bdr w:val="none" w:color="auto" w:sz="0" w:space="0"/>
                <w:lang w:val="en-US"/>
              </w:rPr>
              <w:t>2002</w:t>
            </w:r>
            <w:r>
              <w:rPr>
                <w:rFonts w:ascii="Times New Roman" w:hAnsi="Times New Roman" w:cs="Times New Roman"/>
                <w:color w:val="000000"/>
                <w:sz w:val="21"/>
                <w:szCs w:val="24"/>
                <w:bdr w:val="none" w:color="auto" w:sz="0" w:space="0"/>
              </w:rPr>
              <w:t>年）第三篇第一章十二（一）酸碱指示剂滴定法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50ml</w:t>
            </w:r>
            <w:r>
              <w:rPr>
                <w:rFonts w:ascii="Times New Roman" w:hAnsi="Times New Roman" w:cs="Times New Roman"/>
                <w:color w:val="000000"/>
                <w:sz w:val="21"/>
                <w:szCs w:val="24"/>
                <w:bdr w:val="none" w:color="auto" w:sz="0" w:space="0"/>
              </w:rPr>
              <w:t>滴定管</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CO</w:t>
            </w:r>
            <w:r>
              <w:rPr>
                <w:rFonts w:hint="default" w:ascii="Times New Roman" w:hAnsi="Times New Roman" w:cs="Times New Roman"/>
                <w:color w:val="000000"/>
                <w:sz w:val="21"/>
                <w:szCs w:val="24"/>
                <w:bdr w:val="none" w:color="auto" w:sz="0" w:space="0"/>
                <w:vertAlign w:val="subscript"/>
                <w:lang w:val="en-US"/>
              </w:rPr>
              <w:t>3</w:t>
            </w:r>
            <w:r>
              <w:rPr>
                <w:rFonts w:hint="default" w:ascii="Times New Roman" w:hAnsi="Times New Roman" w:cs="Times New Roman"/>
                <w:color w:val="000000"/>
                <w:sz w:val="21"/>
                <w:szCs w:val="24"/>
                <w:bdr w:val="none" w:color="auto" w:sz="0" w:space="0"/>
                <w:vertAlign w:val="superscript"/>
                <w:lang w:val="en-US"/>
              </w:rPr>
              <w:t>2-</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《水和废水监测分析方法》（增补版）国家环境保护总局（</w:t>
            </w:r>
            <w:r>
              <w:rPr>
                <w:rFonts w:hint="default" w:ascii="Times New Roman" w:hAnsi="Times New Roman" w:cs="Times New Roman"/>
                <w:color w:val="000000"/>
                <w:sz w:val="21"/>
                <w:szCs w:val="24"/>
                <w:bdr w:val="none" w:color="auto" w:sz="0" w:space="0"/>
                <w:lang w:val="en-US"/>
              </w:rPr>
              <w:t>2002</w:t>
            </w:r>
            <w:r>
              <w:rPr>
                <w:rFonts w:ascii="Times New Roman" w:hAnsi="Times New Roman" w:cs="Times New Roman"/>
                <w:color w:val="000000"/>
                <w:sz w:val="21"/>
                <w:szCs w:val="24"/>
                <w:bdr w:val="none" w:color="auto" w:sz="0" w:space="0"/>
              </w:rPr>
              <w:t>年）第三篇第一章十二（一）酸碱指示剂滴定法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50ml</w:t>
            </w:r>
            <w:r>
              <w:rPr>
                <w:rFonts w:ascii="Times New Roman" w:hAnsi="Times New Roman" w:cs="Times New Roman"/>
                <w:color w:val="000000"/>
                <w:sz w:val="21"/>
                <w:szCs w:val="24"/>
                <w:bdr w:val="none" w:color="auto" w:sz="0" w:space="0"/>
              </w:rPr>
              <w:t>滴定管</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Cl</w:t>
            </w:r>
            <w:r>
              <w:rPr>
                <w:rFonts w:hint="default" w:ascii="Times New Roman" w:hAnsi="Times New Roman" w:cs="Times New Roman"/>
                <w:color w:val="000000"/>
                <w:sz w:val="21"/>
                <w:szCs w:val="24"/>
                <w:bdr w:val="none" w:color="auto" w:sz="0" w:space="0"/>
                <w:vertAlign w:val="superscript"/>
                <w:lang w:val="en-US"/>
              </w:rPr>
              <w:t>-</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生活饮用水标准检验方法</w:t>
            </w:r>
            <w:r>
              <w:rPr>
                <w:rFonts w:hint="default" w:ascii="Times New Roman" w:hAnsi="Times New Roman" w:eastAsia="宋体" w:cs="Times New Roman"/>
                <w:color w:val="000000"/>
                <w:kern w:val="0"/>
                <w:sz w:val="21"/>
                <w:szCs w:val="24"/>
                <w:bdr w:val="none" w:color="auto" w:sz="0" w:space="0"/>
                <w:lang w:val="en-US" w:eastAsia="zh-CN" w:bidi="ar"/>
              </w:rPr>
              <w:t xml:space="preserve"> </w:t>
            </w:r>
            <w:r>
              <w:rPr>
                <w:rFonts w:hint="eastAsia" w:ascii="Times New Roman" w:hAnsi="Times New Roman" w:eastAsia="宋体" w:cs="Times New Roman"/>
                <w:color w:val="000000"/>
                <w:kern w:val="0"/>
                <w:sz w:val="21"/>
                <w:szCs w:val="24"/>
                <w:bdr w:val="none" w:color="auto" w:sz="0" w:space="0"/>
                <w:lang w:val="en-US" w:eastAsia="zh-CN" w:bidi="ar"/>
              </w:rPr>
              <w:t>无机非金属指标</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GB/T 5750.5-2006</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2.1</w:t>
            </w:r>
            <w:r>
              <w:rPr>
                <w:rFonts w:hint="eastAsia" w:ascii="Times New Roman" w:hAnsi="Times New Roman" w:eastAsia="宋体" w:cs="Times New Roman"/>
                <w:color w:val="000000"/>
                <w:kern w:val="0"/>
                <w:sz w:val="21"/>
                <w:szCs w:val="24"/>
                <w:bdr w:val="none" w:color="auto" w:sz="0" w:space="0"/>
                <w:lang w:val="en-US" w:eastAsia="zh-CN" w:bidi="ar"/>
              </w:rPr>
              <w:t>）</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硝酸银容量法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50ml</w:t>
            </w:r>
            <w:r>
              <w:rPr>
                <w:rFonts w:ascii="Times New Roman" w:hAnsi="Times New Roman" w:cs="Times New Roman"/>
                <w:color w:val="000000"/>
                <w:sz w:val="21"/>
                <w:szCs w:val="24"/>
                <w:bdr w:val="none" w:color="auto" w:sz="0" w:space="0"/>
              </w:rPr>
              <w:t>滴定管</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SO</w:t>
            </w:r>
            <w:r>
              <w:rPr>
                <w:rFonts w:hint="default" w:ascii="Times New Roman" w:hAnsi="Times New Roman" w:cs="Times New Roman"/>
                <w:color w:val="000000"/>
                <w:sz w:val="21"/>
                <w:szCs w:val="24"/>
                <w:bdr w:val="none" w:color="auto" w:sz="0" w:space="0"/>
                <w:vertAlign w:val="subscript"/>
                <w:lang w:val="en-US"/>
              </w:rPr>
              <w:t>4</w:t>
            </w:r>
            <w:r>
              <w:rPr>
                <w:rFonts w:hint="default" w:ascii="Times New Roman" w:hAnsi="Times New Roman" w:cs="Times New Roman"/>
                <w:color w:val="000000"/>
                <w:sz w:val="21"/>
                <w:szCs w:val="24"/>
                <w:bdr w:val="none" w:color="auto" w:sz="0" w:space="0"/>
                <w:vertAlign w:val="superscript"/>
                <w:lang w:val="en-US"/>
              </w:rPr>
              <w:t>2-</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生活饮用水标准检验方法</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无机非金属指标</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GB/T 5750.5-2006</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1.3</w:t>
            </w:r>
            <w:r>
              <w:rPr>
                <w:rFonts w:hint="eastAsia" w:ascii="Times New Roman" w:hAnsi="Times New Roman" w:eastAsia="宋体" w:cs="Times New Roman"/>
                <w:color w:val="000000"/>
                <w:kern w:val="0"/>
                <w:sz w:val="21"/>
                <w:szCs w:val="24"/>
                <w:bdr w:val="none" w:color="auto" w:sz="0" w:space="0"/>
                <w:lang w:val="en-US" w:eastAsia="zh-CN" w:bidi="ar"/>
              </w:rPr>
              <w:t>）</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铬酸钡分光光度法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紫外可见分光光度计</w:t>
            </w:r>
            <w:r>
              <w:rPr>
                <w:rFonts w:hint="default" w:ascii="Times New Roman" w:hAnsi="Times New Roman" w:cs="Times New Roman"/>
                <w:color w:val="000000"/>
                <w:sz w:val="21"/>
                <w:szCs w:val="24"/>
                <w:bdr w:val="none" w:color="auto" w:sz="0" w:space="0"/>
                <w:lang w:val="en-US"/>
              </w:rPr>
              <w:t>scjc-hj-030</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总大肠菌群</w:t>
            </w:r>
            <w:r>
              <w:rPr>
                <w:rFonts w:hint="default" w:ascii="Times New Roman" w:hAnsi="Times New Roman" w:cs="Times New Roman"/>
                <w:color w:val="000000"/>
                <w:sz w:val="21"/>
                <w:szCs w:val="24"/>
                <w:bdr w:val="none" w:color="auto" w:sz="0" w:space="0"/>
                <w:lang w:val="en-US"/>
              </w:rPr>
              <w:t>*</w:t>
            </w:r>
          </w:p>
        </w:tc>
        <w:tc>
          <w:tcPr>
            <w:tcW w:w="227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GB/T 5750.12-2006</w:t>
            </w:r>
          </w:p>
          <w:p>
            <w:pPr>
              <w:pStyle w:val="27"/>
              <w:keepNext w:val="0"/>
              <w:keepLines w:val="0"/>
              <w:widowControl w:val="0"/>
              <w:suppressLineNumbers w:val="0"/>
              <w:adjustRightInd w:val="0"/>
              <w:snapToGrid w:val="0"/>
              <w:spacing w:before="0" w:beforeAutospacing="0" w:after="0" w:afterAutospacing="0" w:line="240" w:lineRule="auto"/>
              <w:ind w:left="0" w:right="0" w:firstLine="0" w:firstLineChars="0"/>
              <w:jc w:val="center"/>
              <w:rPr>
                <w:color w:val="000000"/>
                <w:sz w:val="21"/>
                <w:szCs w:val="21"/>
                <w:bdr w:val="none" w:color="auto" w:sz="0" w:space="0"/>
                <w:lang w:val="en-US"/>
              </w:rPr>
            </w:pPr>
            <w:r>
              <w:rPr>
                <w:rFonts w:hint="eastAsia" w:ascii="Times New Roman" w:hAnsi="Times New Roman" w:eastAsia="宋体" w:cs="宋体"/>
                <w:color w:val="000000"/>
                <w:sz w:val="21"/>
                <w:szCs w:val="21"/>
                <w:bdr w:val="none" w:color="auto" w:sz="0" w:space="0"/>
              </w:rPr>
              <w:t>多管发酵法</w:t>
            </w:r>
          </w:p>
        </w:tc>
        <w:tc>
          <w:tcPr>
            <w:tcW w:w="121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DH5000Ⅱ</w:t>
            </w:r>
            <w:r>
              <w:rPr>
                <w:rFonts w:hint="eastAsia" w:ascii="Times New Roman" w:hAnsi="Times New Roman" w:eastAsia="宋体" w:cs="Times New Roman"/>
                <w:color w:val="000000"/>
                <w:kern w:val="0"/>
                <w:sz w:val="21"/>
                <w:szCs w:val="24"/>
                <w:bdr w:val="none" w:color="auto" w:sz="0" w:space="0"/>
                <w:lang w:val="en-US" w:eastAsia="zh-CN" w:bidi="ar"/>
              </w:rPr>
              <w:t>型</w:t>
            </w:r>
          </w:p>
          <w:p>
            <w:pPr>
              <w:pStyle w:val="27"/>
              <w:keepNext w:val="0"/>
              <w:keepLines w:val="0"/>
              <w:widowControl w:val="0"/>
              <w:suppressLineNumbers w:val="0"/>
              <w:adjustRightInd w:val="0"/>
              <w:snapToGrid w:val="0"/>
              <w:spacing w:before="0" w:beforeAutospacing="0" w:after="0" w:afterAutospacing="0" w:line="240" w:lineRule="auto"/>
              <w:ind w:left="0" w:right="0" w:firstLine="0" w:firstLineChars="0"/>
              <w:jc w:val="center"/>
              <w:rPr>
                <w:color w:val="000000"/>
                <w:sz w:val="21"/>
                <w:szCs w:val="21"/>
                <w:bdr w:val="none" w:color="auto" w:sz="0" w:space="0"/>
                <w:lang w:val="en-US"/>
              </w:rPr>
            </w:pPr>
            <w:r>
              <w:rPr>
                <w:rFonts w:hint="eastAsia" w:ascii="Times New Roman" w:hAnsi="Times New Roman" w:eastAsia="宋体" w:cs="宋体"/>
                <w:color w:val="000000"/>
                <w:kern w:val="0"/>
                <w:sz w:val="21"/>
                <w:szCs w:val="21"/>
                <w:bdr w:val="none" w:color="auto" w:sz="0" w:space="0"/>
                <w:lang w:val="en-US" w:eastAsia="zh-CN" w:bidi="ar"/>
              </w:rPr>
              <w:t>电热恒温培养箱</w:t>
            </w:r>
          </w:p>
          <w:p>
            <w:pPr>
              <w:pStyle w:val="27"/>
              <w:keepNext w:val="0"/>
              <w:keepLines w:val="0"/>
              <w:widowControl w:val="0"/>
              <w:suppressLineNumbers w:val="0"/>
              <w:adjustRightInd w:val="0"/>
              <w:snapToGrid w:val="0"/>
              <w:spacing w:before="0" w:beforeAutospacing="0" w:after="0" w:afterAutospacing="0" w:line="240" w:lineRule="auto"/>
              <w:ind w:left="0" w:right="0" w:firstLine="0" w:firstLineChars="0"/>
              <w:jc w:val="center"/>
              <w:rPr>
                <w:color w:val="000000"/>
                <w:sz w:val="21"/>
                <w:szCs w:val="21"/>
                <w:bdr w:val="none" w:color="auto" w:sz="0" w:space="0"/>
                <w:lang w:val="en-US"/>
              </w:rPr>
            </w:pPr>
            <w:r>
              <w:rPr>
                <w:rFonts w:hint="eastAsia" w:ascii="Times New Roman" w:hAnsi="Times New Roman" w:eastAsia="宋体" w:cs="宋体"/>
                <w:color w:val="000000"/>
                <w:sz w:val="21"/>
                <w:szCs w:val="21"/>
                <w:bdr w:val="none" w:color="auto" w:sz="0" w:space="0"/>
              </w:rPr>
              <w:t>（</w:t>
            </w:r>
            <w:r>
              <w:rPr>
                <w:color w:val="000000"/>
                <w:sz w:val="21"/>
                <w:szCs w:val="21"/>
                <w:bdr w:val="none" w:color="auto" w:sz="0" w:space="0"/>
                <w:lang w:val="en-US"/>
              </w:rPr>
              <w:t>10037</w:t>
            </w:r>
            <w:r>
              <w:rPr>
                <w:rFonts w:hint="eastAsia" w:ascii="Times New Roman" w:hAnsi="Times New Roman" w:eastAsia="宋体" w:cs="宋体"/>
                <w:color w:val="000000"/>
                <w:sz w:val="21"/>
                <w:szCs w:val="21"/>
                <w:bdr w:val="none" w:color="auto" w:sz="0" w:space="0"/>
              </w:rPr>
              <w:t>）</w:t>
            </w:r>
          </w:p>
        </w:tc>
        <w:tc>
          <w:tcPr>
            <w:tcW w:w="7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2MPN/100ml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2" w:type="pc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细菌总数</w:t>
            </w:r>
            <w:r>
              <w:rPr>
                <w:rFonts w:hint="default" w:ascii="Times New Roman" w:hAnsi="Times New Roman" w:cs="Times New Roman"/>
                <w:color w:val="000000"/>
                <w:sz w:val="21"/>
                <w:szCs w:val="24"/>
                <w:bdr w:val="none" w:color="auto" w:sz="0" w:space="0"/>
                <w:lang w:val="en-US"/>
              </w:rPr>
              <w:t>*</w:t>
            </w:r>
          </w:p>
        </w:tc>
        <w:tc>
          <w:tcPr>
            <w:tcW w:w="2276"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平板计数法</w:t>
            </w:r>
            <w:r>
              <w:rPr>
                <w:rFonts w:hint="default" w:ascii="Times New Roman" w:hAnsi="Times New Roman" w:eastAsia="宋体" w:cs="Times New Roman"/>
                <w:color w:val="000000"/>
                <w:kern w:val="0"/>
                <w:sz w:val="21"/>
                <w:szCs w:val="24"/>
                <w:bdr w:val="none" w:color="auto" w:sz="0" w:space="0"/>
                <w:lang w:val="en-US" w:eastAsia="zh-CN" w:bidi="ar"/>
              </w:rPr>
              <w:t xml:space="preserve"> </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GB/T 5750.12-2006</w:t>
            </w:r>
          </w:p>
        </w:tc>
        <w:tc>
          <w:tcPr>
            <w:tcW w:w="1219"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DH5000Ⅱ</w:t>
            </w:r>
            <w:r>
              <w:rPr>
                <w:rFonts w:hint="eastAsia" w:ascii="Times New Roman" w:hAnsi="Times New Roman" w:eastAsia="宋体" w:cs="Times New Roman"/>
                <w:color w:val="000000"/>
                <w:kern w:val="0"/>
                <w:sz w:val="21"/>
                <w:szCs w:val="24"/>
                <w:bdr w:val="none" w:color="auto" w:sz="0" w:space="0"/>
                <w:lang w:val="en-US" w:eastAsia="zh-CN" w:bidi="ar"/>
              </w:rPr>
              <w:t>型</w:t>
            </w:r>
          </w:p>
          <w:p>
            <w:pPr>
              <w:pStyle w:val="27"/>
              <w:keepNext w:val="0"/>
              <w:keepLines w:val="0"/>
              <w:widowControl w:val="0"/>
              <w:suppressLineNumbers w:val="0"/>
              <w:adjustRightInd w:val="0"/>
              <w:snapToGrid w:val="0"/>
              <w:spacing w:before="0" w:beforeAutospacing="0" w:after="0" w:afterAutospacing="0" w:line="240" w:lineRule="auto"/>
              <w:ind w:left="0" w:right="0" w:firstLine="0" w:firstLineChars="0"/>
              <w:jc w:val="center"/>
              <w:rPr>
                <w:color w:val="000000"/>
                <w:sz w:val="21"/>
                <w:szCs w:val="21"/>
                <w:bdr w:val="none" w:color="auto" w:sz="0" w:space="0"/>
                <w:lang w:val="en-US"/>
              </w:rPr>
            </w:pPr>
            <w:r>
              <w:rPr>
                <w:rFonts w:hint="eastAsia" w:ascii="Times New Roman" w:hAnsi="Times New Roman" w:eastAsia="宋体" w:cs="宋体"/>
                <w:color w:val="000000"/>
                <w:kern w:val="0"/>
                <w:sz w:val="21"/>
                <w:szCs w:val="21"/>
                <w:bdr w:val="none" w:color="auto" w:sz="0" w:space="0"/>
                <w:lang w:val="en-US" w:eastAsia="zh-CN" w:bidi="ar"/>
              </w:rPr>
              <w:t>电热恒温培养箱</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w:t>
            </w:r>
            <w:r>
              <w:rPr>
                <w:rFonts w:hint="default" w:ascii="Times New Roman" w:hAnsi="Times New Roman" w:cs="Times New Roman"/>
                <w:color w:val="000000"/>
                <w:sz w:val="21"/>
                <w:szCs w:val="24"/>
                <w:bdr w:val="none" w:color="auto" w:sz="0" w:space="0"/>
                <w:lang w:val="en-US"/>
              </w:rPr>
              <w:t>10037</w:t>
            </w:r>
            <w:r>
              <w:rPr>
                <w:rFonts w:ascii="Times New Roman" w:hAnsi="Times New Roman" w:cs="Times New Roman"/>
                <w:color w:val="000000"/>
                <w:sz w:val="21"/>
                <w:szCs w:val="24"/>
                <w:bdr w:val="none" w:color="auto" w:sz="0" w:space="0"/>
              </w:rPr>
              <w:t>）</w:t>
            </w:r>
          </w:p>
        </w:tc>
        <w:tc>
          <w:tcPr>
            <w:tcW w:w="793"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w:t>
            </w:r>
          </w:p>
        </w:tc>
      </w:tr>
    </w:tbl>
    <w:p>
      <w:pPr>
        <w:keepNext w:val="0"/>
        <w:keepLines w:val="0"/>
        <w:widowControl/>
        <w:suppressLineNumbers w:val="0"/>
        <w:spacing w:before="0" w:beforeAutospacing="0" w:after="240" w:afterAutospacing="0" w:line="500" w:lineRule="exact"/>
        <w:ind w:left="0" w:right="0" w:firstLine="482"/>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5</w:t>
      </w:r>
      <w:r>
        <w:rPr>
          <w:rFonts w:hint="eastAsia" w:ascii="Times New Roman" w:hAnsi="Times New Roman" w:eastAsia="宋体" w:cs="Times New Roman"/>
          <w:b/>
          <w:bCs w:val="0"/>
          <w:color w:val="000000"/>
          <w:kern w:val="0"/>
          <w:sz w:val="24"/>
          <w:szCs w:val="24"/>
          <w:lang w:val="en-US" w:eastAsia="zh-CN" w:bidi="ar"/>
        </w:rPr>
        <w:t>）评价方法</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依据《环境影响评价技术导则</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地下水环境》（</w:t>
      </w:r>
      <w:r>
        <w:rPr>
          <w:rFonts w:hint="default" w:ascii="Times New Roman" w:hAnsi="Times New Roman" w:eastAsia="宋体" w:cs="Times New Roman"/>
          <w:color w:val="000000"/>
          <w:kern w:val="0"/>
          <w:sz w:val="24"/>
          <w:szCs w:val="24"/>
          <w:lang w:val="en-US" w:eastAsia="zh-CN" w:bidi="ar"/>
        </w:rPr>
        <w:t>HJ610-2016</w:t>
      </w:r>
      <w:r>
        <w:rPr>
          <w:rFonts w:hint="eastAsia" w:ascii="Times New Roman" w:hAnsi="Times New Roman" w:eastAsia="宋体" w:cs="Times New Roman"/>
          <w:color w:val="000000"/>
          <w:kern w:val="0"/>
          <w:sz w:val="24"/>
          <w:szCs w:val="24"/>
          <w:lang w:val="en-US" w:eastAsia="zh-CN" w:bidi="ar"/>
        </w:rPr>
        <w:t>）和《地下水质量标准》（</w:t>
      </w:r>
      <w:r>
        <w:rPr>
          <w:rFonts w:hint="default" w:ascii="Times New Roman" w:hAnsi="Times New Roman" w:eastAsia="宋体" w:cs="Times New Roman"/>
          <w:color w:val="000000"/>
          <w:kern w:val="0"/>
          <w:sz w:val="24"/>
          <w:szCs w:val="24"/>
          <w:lang w:val="en-US" w:eastAsia="zh-CN" w:bidi="ar"/>
        </w:rPr>
        <w:t>GB/T14848-2017</w:t>
      </w:r>
      <w:r>
        <w:rPr>
          <w:rFonts w:hint="eastAsia" w:ascii="Times New Roman" w:hAnsi="Times New Roman" w:eastAsia="宋体" w:cs="Times New Roman"/>
          <w:color w:val="000000"/>
          <w:kern w:val="0"/>
          <w:sz w:val="24"/>
          <w:szCs w:val="24"/>
          <w:lang w:val="en-US" w:eastAsia="zh-CN" w:bidi="ar"/>
        </w:rPr>
        <w:t>）的规定，采用标准指数法进行地下水水质的评价。</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）对于评价标准为定值的水质因子，其标准指数计算公式为：</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center"/>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object>
          <v:shape id="_x0000_i1040" o:spt="75" type="#_x0000_t75" style="height:18.75pt;width:60.75pt;" o:ole="t" filled="f" o:preferrelative="t" stroked="f" coordsize="21600,21600">
            <v:path/>
            <v:fill on="f" focussize="0,0"/>
            <v:stroke on="f" joinstyle="miter"/>
            <v:imagedata r:id="rId45" o:title=""/>
            <o:lock v:ext="edit" aspectratio="t"/>
            <w10:wrap type="none"/>
            <w10:anchorlock/>
          </v:shape>
          <o:OLEObject Type="Embed" ProgID="Equation.3" ShapeID="_x0000_i1040" DrawAspect="Content" ObjectID="_1468075737" r:id="rId44">
            <o:LockedField>false</o:LockedField>
          </o:OLEObject>
        </w:objec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式中：</w:t>
      </w:r>
      <w:r>
        <w:rPr>
          <w:rFonts w:hint="default" w:ascii="Times New Roman" w:hAnsi="Times New Roman" w:eastAsia="宋体" w:cs="Times New Roman"/>
          <w:color w:val="000000"/>
          <w:kern w:val="0"/>
          <w:sz w:val="24"/>
          <w:szCs w:val="24"/>
          <w:lang w:val="en-US" w:eastAsia="zh-CN" w:bidi="ar"/>
        </w:rPr>
        <w:t>P</w:t>
      </w:r>
      <w:r>
        <w:rPr>
          <w:rFonts w:hint="default" w:ascii="Times New Roman" w:hAnsi="Times New Roman" w:eastAsia="宋体" w:cs="Times New Roman"/>
          <w:color w:val="000000"/>
          <w:kern w:val="0"/>
          <w:sz w:val="24"/>
          <w:szCs w:val="24"/>
          <w:vertAlign w:val="subscript"/>
          <w:lang w:val="en-US" w:eastAsia="zh-CN" w:bidi="ar"/>
        </w:rPr>
        <w:t>i</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第</w:t>
      </w:r>
      <w:r>
        <w:rPr>
          <w:rFonts w:hint="default" w:ascii="Times New Roman" w:hAnsi="Times New Roman" w:eastAsia="宋体" w:cs="Times New Roman"/>
          <w:color w:val="000000"/>
          <w:kern w:val="0"/>
          <w:sz w:val="24"/>
          <w:szCs w:val="24"/>
          <w:lang w:val="en-US" w:eastAsia="zh-CN" w:bidi="ar"/>
        </w:rPr>
        <w:t>i</w:t>
      </w:r>
      <w:r>
        <w:rPr>
          <w:rFonts w:hint="eastAsia" w:ascii="Times New Roman" w:hAnsi="Times New Roman" w:eastAsia="宋体" w:cs="Times New Roman"/>
          <w:color w:val="000000"/>
          <w:kern w:val="0"/>
          <w:sz w:val="24"/>
          <w:szCs w:val="24"/>
          <w:lang w:val="en-US" w:eastAsia="zh-CN" w:bidi="ar"/>
        </w:rPr>
        <w:t>个水质因子的标准指数，无量纲；</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C</w:t>
      </w:r>
      <w:r>
        <w:rPr>
          <w:rFonts w:hint="default" w:ascii="Times New Roman" w:hAnsi="Times New Roman" w:eastAsia="宋体" w:cs="Times New Roman"/>
          <w:color w:val="000000"/>
          <w:kern w:val="0"/>
          <w:sz w:val="24"/>
          <w:szCs w:val="24"/>
          <w:vertAlign w:val="subscript"/>
          <w:lang w:val="en-US" w:eastAsia="zh-CN" w:bidi="ar"/>
        </w:rPr>
        <w:t>i</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第</w:t>
      </w:r>
      <w:r>
        <w:rPr>
          <w:rFonts w:hint="default" w:ascii="Times New Roman" w:hAnsi="Times New Roman" w:eastAsia="宋体" w:cs="Times New Roman"/>
          <w:color w:val="000000"/>
          <w:kern w:val="0"/>
          <w:sz w:val="24"/>
          <w:szCs w:val="24"/>
          <w:lang w:val="en-US" w:eastAsia="zh-CN" w:bidi="ar"/>
        </w:rPr>
        <w:t>i</w:t>
      </w:r>
      <w:r>
        <w:rPr>
          <w:rFonts w:hint="eastAsia" w:ascii="Times New Roman" w:hAnsi="Times New Roman" w:eastAsia="宋体" w:cs="Times New Roman"/>
          <w:color w:val="000000"/>
          <w:kern w:val="0"/>
          <w:sz w:val="24"/>
          <w:szCs w:val="24"/>
          <w:lang w:val="en-US" w:eastAsia="zh-CN" w:bidi="ar"/>
        </w:rPr>
        <w:t>个水质因子的监测浓度值，</w:t>
      </w:r>
      <w:r>
        <w:rPr>
          <w:rFonts w:hint="default" w:ascii="Times New Roman" w:hAnsi="Times New Roman" w:eastAsia="宋体" w:cs="Times New Roman"/>
          <w:color w:val="000000"/>
          <w:kern w:val="0"/>
          <w:sz w:val="24"/>
          <w:szCs w:val="24"/>
          <w:lang w:val="en-US" w:eastAsia="zh-CN" w:bidi="ar"/>
        </w:rPr>
        <w:t>mg/L</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C</w:t>
      </w:r>
      <w:r>
        <w:rPr>
          <w:rFonts w:hint="default" w:ascii="Times New Roman" w:hAnsi="Times New Roman" w:eastAsia="宋体" w:cs="Times New Roman"/>
          <w:color w:val="000000"/>
          <w:kern w:val="0"/>
          <w:sz w:val="24"/>
          <w:szCs w:val="24"/>
          <w:vertAlign w:val="subscript"/>
          <w:lang w:val="en-US" w:eastAsia="zh-CN" w:bidi="ar"/>
        </w:rPr>
        <w:t>si</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第</w:t>
      </w:r>
      <w:r>
        <w:rPr>
          <w:rFonts w:hint="default" w:ascii="Times New Roman" w:hAnsi="Times New Roman" w:eastAsia="宋体" w:cs="Times New Roman"/>
          <w:color w:val="000000"/>
          <w:kern w:val="0"/>
          <w:sz w:val="24"/>
          <w:szCs w:val="24"/>
          <w:lang w:val="en-US" w:eastAsia="zh-CN" w:bidi="ar"/>
        </w:rPr>
        <w:t>i</w:t>
      </w:r>
      <w:r>
        <w:rPr>
          <w:rFonts w:hint="eastAsia" w:ascii="Times New Roman" w:hAnsi="Times New Roman" w:eastAsia="宋体" w:cs="Times New Roman"/>
          <w:color w:val="000000"/>
          <w:kern w:val="0"/>
          <w:sz w:val="24"/>
          <w:szCs w:val="24"/>
          <w:lang w:val="en-US" w:eastAsia="zh-CN" w:bidi="ar"/>
        </w:rPr>
        <w:t>个水质因子的标准浓度值，</w:t>
      </w:r>
      <w:r>
        <w:rPr>
          <w:rFonts w:hint="default" w:ascii="Times New Roman" w:hAnsi="Times New Roman" w:eastAsia="宋体" w:cs="Times New Roman"/>
          <w:color w:val="000000"/>
          <w:kern w:val="0"/>
          <w:sz w:val="24"/>
          <w:szCs w:val="24"/>
          <w:lang w:val="en-US" w:eastAsia="zh-CN" w:bidi="ar"/>
        </w:rPr>
        <w:t>mg/L</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b</w:t>
      </w:r>
      <w:r>
        <w:rPr>
          <w:rFonts w:hint="eastAsia" w:ascii="Times New Roman" w:hAnsi="Times New Roman" w:eastAsia="宋体" w:cs="Times New Roman"/>
          <w:color w:val="000000"/>
          <w:kern w:val="0"/>
          <w:sz w:val="24"/>
          <w:szCs w:val="24"/>
          <w:lang w:val="en-US" w:eastAsia="zh-CN" w:bidi="ar"/>
        </w:rPr>
        <w:t>）对于评价标准为区间值的水质因子（如</w:t>
      </w:r>
      <w:r>
        <w:rPr>
          <w:rFonts w:hint="default" w:ascii="Times New Roman" w:hAnsi="Times New Roman" w:eastAsia="宋体" w:cs="Times New Roman"/>
          <w:color w:val="000000"/>
          <w:kern w:val="0"/>
          <w:sz w:val="24"/>
          <w:szCs w:val="24"/>
          <w:lang w:val="en-US" w:eastAsia="zh-CN" w:bidi="ar"/>
        </w:rPr>
        <w:t>pH</w:t>
      </w:r>
      <w:r>
        <w:rPr>
          <w:rFonts w:hint="eastAsia" w:ascii="Times New Roman" w:hAnsi="Times New Roman" w:eastAsia="宋体" w:cs="Times New Roman"/>
          <w:color w:val="000000"/>
          <w:kern w:val="0"/>
          <w:sz w:val="24"/>
          <w:szCs w:val="24"/>
          <w:lang w:val="en-US" w:eastAsia="zh-CN" w:bidi="ar"/>
        </w:rPr>
        <w:t>值），其标准指数计算公式为：</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center"/>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object>
          <v:shape id="_x0000_i1041" o:spt="75" type="#_x0000_t75" style="height:18.75pt;width:11.25pt;" o:ole="t" filled="f" o:preferrelative="t" stroked="f" coordsize="21600,21600">
            <v:path/>
            <v:fill on="f" focussize="0,0"/>
            <v:stroke on="f" joinstyle="miter"/>
            <v:imagedata r:id="rId47" o:title=""/>
            <o:lock v:ext="edit" aspectratio="t"/>
            <w10:wrap type="none"/>
            <w10:anchorlock/>
          </v:shape>
          <o:OLEObject Type="Embed" ProgID="Equation.3" ShapeID="_x0000_i1041" DrawAspect="Content" ObjectID="_1468075738" r:id="rId46">
            <o:LockedField>false</o:LockedField>
          </o:OLEObject>
        </w:object>
      </w: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QUOTE </w:instrText>
      </w:r>
      <w:r>
        <w:rPr>
          <w:rFonts w:hint="default" w:ascii="Times New Roman" w:hAnsi="Times New Roman" w:eastAsia="宋体" w:cs="Times New Roman"/>
          <w:color w:val="000000"/>
          <w:kern w:val="0"/>
          <w:position w:val="-17"/>
          <w:sz w:val="24"/>
          <w:szCs w:val="24"/>
          <w:lang w:val="en-US" w:eastAsia="zh-CN" w:bidi="ar"/>
        </w:rPr>
        <w:drawing>
          <wp:inline distT="0" distB="0" distL="114300" distR="114300">
            <wp:extent cx="2047875" cy="304800"/>
            <wp:effectExtent l="0" t="0" r="9525" b="0"/>
            <wp:docPr id="5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8"/>
                    <pic:cNvPicPr>
                      <a:picLocks noChangeAspect="1"/>
                    </pic:cNvPicPr>
                  </pic:nvPicPr>
                  <pic:blipFill>
                    <a:blip r:embed="rId48">
                      <a:clrChange>
                        <a:clrFrom>
                          <a:srgbClr val="FFFFFF"/>
                        </a:clrFrom>
                        <a:clrTo>
                          <a:srgbClr val="FFFFFF">
                            <a:alpha val="0"/>
                          </a:srgbClr>
                        </a:clrTo>
                      </a:clrChange>
                    </a:blip>
                    <a:stretch>
                      <a:fillRect/>
                    </a:stretch>
                  </pic:blipFill>
                  <pic:spPr>
                    <a:xfrm>
                      <a:off x="0" y="0"/>
                      <a:ext cx="2047875" cy="304800"/>
                    </a:xfrm>
                    <a:prstGeom prst="rect">
                      <a:avLst/>
                    </a:prstGeom>
                    <a:noFill/>
                    <a:ln>
                      <a:noFill/>
                    </a:ln>
                  </pic:spPr>
                </pic:pic>
              </a:graphicData>
            </a:graphic>
          </wp:inline>
        </w:drawing>
      </w:r>
      <w:r>
        <w:rPr>
          <w:rFonts w:hint="default" w:ascii="Times New Roman" w:hAnsi="Times New Roman" w:eastAsia="宋体" w:cs="Times New Roman"/>
          <w:color w:val="000000"/>
          <w:kern w:val="0"/>
          <w:sz w:val="24"/>
          <w:szCs w:val="24"/>
          <w:lang w:val="en-US" w:eastAsia="zh-CN" w:bidi="ar"/>
        </w:rPr>
        <w:instrText xml:space="preserve"> </w:instrText>
      </w:r>
      <w:r>
        <w:rPr>
          <w:rFonts w:hint="default" w:ascii="Times New Roman" w:hAnsi="Times New Roman" w:eastAsia="宋体" w:cs="Times New Roman"/>
          <w:color w:val="000000"/>
          <w:kern w:val="0"/>
          <w:sz w:val="24"/>
          <w:szCs w:val="24"/>
          <w:lang w:val="en-US" w:eastAsia="zh-CN" w:bidi="ar"/>
        </w:rPr>
        <w:fldChar w:fldCharType="separate"/>
      </w:r>
      <w:r>
        <w:rPr>
          <w:rFonts w:hint="default" w:ascii="Times New Roman" w:hAnsi="Times New Roman" w:eastAsia="宋体" w:cs="Times New Roman"/>
          <w:color w:val="000000"/>
          <w:kern w:val="0"/>
          <w:position w:val="-17"/>
          <w:sz w:val="24"/>
          <w:szCs w:val="24"/>
          <w:lang w:val="en-US" w:eastAsia="zh-CN" w:bidi="ar"/>
        </w:rPr>
        <w:drawing>
          <wp:inline distT="0" distB="0" distL="114300" distR="114300">
            <wp:extent cx="2047875" cy="304800"/>
            <wp:effectExtent l="0" t="0" r="9525" b="0"/>
            <wp:docPr id="5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9"/>
                    <pic:cNvPicPr>
                      <a:picLocks noChangeAspect="1"/>
                    </pic:cNvPicPr>
                  </pic:nvPicPr>
                  <pic:blipFill>
                    <a:blip r:embed="rId48">
                      <a:clrChange>
                        <a:clrFrom>
                          <a:srgbClr val="FFFFFF"/>
                        </a:clrFrom>
                        <a:clrTo>
                          <a:srgbClr val="FFFFFF">
                            <a:alpha val="0"/>
                          </a:srgbClr>
                        </a:clrTo>
                      </a:clrChange>
                    </a:blip>
                    <a:stretch>
                      <a:fillRect/>
                    </a:stretch>
                  </pic:blipFill>
                  <pic:spPr>
                    <a:xfrm>
                      <a:off x="0" y="0"/>
                      <a:ext cx="2047875" cy="304800"/>
                    </a:xfrm>
                    <a:prstGeom prst="rect">
                      <a:avLst/>
                    </a:prstGeom>
                    <a:noFill/>
                    <a:ln>
                      <a:noFill/>
                    </a:ln>
                  </pic:spPr>
                </pic:pic>
              </a:graphicData>
            </a:graphic>
          </wp:inline>
        </w:drawing>
      </w:r>
      <w:r>
        <w:rPr>
          <w:rFonts w:hint="eastAsia" w:ascii="宋体" w:hAnsi="宋体" w:eastAsia="宋体" w:cs="宋体"/>
          <w:kern w:val="0"/>
          <w:sz w:val="24"/>
          <w:szCs w:val="24"/>
          <w:lang w:val="en-US" w:eastAsia="zh-CN" w:bidi="ar"/>
        </w:rPr>
        <w:fldChar w:fldCharType="end"/>
      </w:r>
      <w:r>
        <w:rPr>
          <w:rFonts w:hint="default" w:ascii="Times New Roman" w:hAnsi="Times New Roman" w:eastAsia="宋体" w:cs="Times New Roman"/>
          <w:color w:val="000000"/>
          <w:kern w:val="0"/>
          <w:sz w:val="24"/>
          <w:szCs w:val="24"/>
          <w:lang w:val="en-US" w:eastAsia="zh-CN" w:bidi="ar"/>
        </w:rPr>
        <w:t xml:space="preserve">    pH≤7</w:t>
      </w:r>
      <w:r>
        <w:rPr>
          <w:rFonts w:hint="eastAsia" w:ascii="Times New Roman" w:hAnsi="Times New Roman" w:eastAsia="宋体" w:cs="Times New Roman"/>
          <w:color w:val="000000"/>
          <w:kern w:val="0"/>
          <w:sz w:val="24"/>
          <w:szCs w:val="24"/>
          <w:lang w:val="en-US" w:eastAsia="zh-CN" w:bidi="ar"/>
        </w:rPr>
        <w:t>时</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center"/>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QUOTE </w:instrText>
      </w:r>
      <w:r>
        <w:rPr>
          <w:rFonts w:hint="default" w:ascii="Times New Roman" w:hAnsi="Times New Roman" w:eastAsia="宋体" w:cs="Times New Roman"/>
          <w:color w:val="000000"/>
          <w:kern w:val="0"/>
          <w:position w:val="-17"/>
          <w:sz w:val="24"/>
          <w:szCs w:val="24"/>
          <w:lang w:val="en-US" w:eastAsia="zh-CN" w:bidi="ar"/>
        </w:rPr>
        <w:drawing>
          <wp:inline distT="0" distB="0" distL="114300" distR="114300">
            <wp:extent cx="2047875" cy="304800"/>
            <wp:effectExtent l="0" t="0" r="9525" b="0"/>
            <wp:docPr id="6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0"/>
                    <pic:cNvPicPr>
                      <a:picLocks noChangeAspect="1"/>
                    </pic:cNvPicPr>
                  </pic:nvPicPr>
                  <pic:blipFill>
                    <a:blip r:embed="rId49">
                      <a:clrChange>
                        <a:clrFrom>
                          <a:srgbClr val="FFFFFF"/>
                        </a:clrFrom>
                        <a:clrTo>
                          <a:srgbClr val="FFFFFF">
                            <a:alpha val="0"/>
                          </a:srgbClr>
                        </a:clrTo>
                      </a:clrChange>
                    </a:blip>
                    <a:stretch>
                      <a:fillRect/>
                    </a:stretch>
                  </pic:blipFill>
                  <pic:spPr>
                    <a:xfrm>
                      <a:off x="0" y="0"/>
                      <a:ext cx="2047875" cy="304800"/>
                    </a:xfrm>
                    <a:prstGeom prst="rect">
                      <a:avLst/>
                    </a:prstGeom>
                    <a:noFill/>
                    <a:ln>
                      <a:noFill/>
                    </a:ln>
                  </pic:spPr>
                </pic:pic>
              </a:graphicData>
            </a:graphic>
          </wp:inline>
        </w:drawing>
      </w:r>
      <w:r>
        <w:rPr>
          <w:rFonts w:hint="default" w:ascii="Times New Roman" w:hAnsi="Times New Roman" w:eastAsia="宋体" w:cs="Times New Roman"/>
          <w:color w:val="000000"/>
          <w:kern w:val="0"/>
          <w:sz w:val="24"/>
          <w:szCs w:val="24"/>
          <w:lang w:val="en-US" w:eastAsia="zh-CN" w:bidi="ar"/>
        </w:rPr>
        <w:instrText xml:space="preserve"> </w:instrText>
      </w:r>
      <w:r>
        <w:rPr>
          <w:rFonts w:hint="default" w:ascii="Times New Roman" w:hAnsi="Times New Roman" w:eastAsia="宋体" w:cs="Times New Roman"/>
          <w:color w:val="000000"/>
          <w:kern w:val="0"/>
          <w:sz w:val="24"/>
          <w:szCs w:val="24"/>
          <w:lang w:val="en-US" w:eastAsia="zh-CN" w:bidi="ar"/>
        </w:rPr>
        <w:fldChar w:fldCharType="separate"/>
      </w:r>
      <w:r>
        <w:rPr>
          <w:rFonts w:hint="default" w:ascii="Times New Roman" w:hAnsi="Times New Roman" w:eastAsia="宋体" w:cs="Times New Roman"/>
          <w:color w:val="000000"/>
          <w:kern w:val="0"/>
          <w:position w:val="-17"/>
          <w:sz w:val="24"/>
          <w:szCs w:val="24"/>
          <w:lang w:val="en-US" w:eastAsia="zh-CN" w:bidi="ar"/>
        </w:rPr>
        <w:drawing>
          <wp:inline distT="0" distB="0" distL="114300" distR="114300">
            <wp:extent cx="2047875" cy="304800"/>
            <wp:effectExtent l="0" t="0" r="9525" b="0"/>
            <wp:docPr id="6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1"/>
                    <pic:cNvPicPr>
                      <a:picLocks noChangeAspect="1"/>
                    </pic:cNvPicPr>
                  </pic:nvPicPr>
                  <pic:blipFill>
                    <a:blip r:embed="rId49">
                      <a:clrChange>
                        <a:clrFrom>
                          <a:srgbClr val="FFFFFF"/>
                        </a:clrFrom>
                        <a:clrTo>
                          <a:srgbClr val="FFFFFF">
                            <a:alpha val="0"/>
                          </a:srgbClr>
                        </a:clrTo>
                      </a:clrChange>
                    </a:blip>
                    <a:stretch>
                      <a:fillRect/>
                    </a:stretch>
                  </pic:blipFill>
                  <pic:spPr>
                    <a:xfrm>
                      <a:off x="0" y="0"/>
                      <a:ext cx="2047875" cy="304800"/>
                    </a:xfrm>
                    <a:prstGeom prst="rect">
                      <a:avLst/>
                    </a:prstGeom>
                    <a:noFill/>
                    <a:ln>
                      <a:noFill/>
                    </a:ln>
                  </pic:spPr>
                </pic:pic>
              </a:graphicData>
            </a:graphic>
          </wp:inline>
        </w:drawing>
      </w:r>
      <w:r>
        <w:rPr>
          <w:rFonts w:hint="eastAsia" w:ascii="宋体" w:hAnsi="宋体" w:eastAsia="宋体" w:cs="宋体"/>
          <w:kern w:val="0"/>
          <w:sz w:val="24"/>
          <w:szCs w:val="24"/>
          <w:lang w:val="en-US" w:eastAsia="zh-CN" w:bidi="ar"/>
        </w:rPr>
        <w:fldChar w:fldCharType="end"/>
      </w:r>
      <w:r>
        <w:rPr>
          <w:rFonts w:hint="default" w:ascii="Times New Roman" w:hAnsi="Times New Roman" w:eastAsia="宋体" w:cs="Times New Roman"/>
          <w:color w:val="000000"/>
          <w:kern w:val="0"/>
          <w:sz w:val="24"/>
          <w:szCs w:val="24"/>
          <w:lang w:val="en-US" w:eastAsia="zh-CN" w:bidi="ar"/>
        </w:rPr>
        <w:t xml:space="preserve"> pH≥7</w:t>
      </w:r>
      <w:r>
        <w:rPr>
          <w:rFonts w:hint="eastAsia" w:ascii="Times New Roman" w:hAnsi="Times New Roman" w:eastAsia="宋体" w:cs="Times New Roman"/>
          <w:color w:val="000000"/>
          <w:kern w:val="0"/>
          <w:sz w:val="24"/>
          <w:szCs w:val="24"/>
          <w:lang w:val="en-US" w:eastAsia="zh-CN" w:bidi="ar"/>
        </w:rPr>
        <w:t>时</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式中：</w:t>
      </w:r>
      <w:r>
        <w:rPr>
          <w:rFonts w:hint="default" w:ascii="Times New Roman" w:hAnsi="Times New Roman" w:eastAsia="宋体" w:cs="Times New Roman"/>
          <w:color w:val="000000"/>
          <w:kern w:val="0"/>
          <w:sz w:val="24"/>
          <w:szCs w:val="24"/>
          <w:lang w:val="en-US" w:eastAsia="zh-CN" w:bidi="ar"/>
        </w:rPr>
        <w:t>P</w:t>
      </w:r>
      <w:r>
        <w:rPr>
          <w:rFonts w:hint="default" w:ascii="Times New Roman" w:hAnsi="Times New Roman" w:eastAsia="宋体" w:cs="Times New Roman"/>
          <w:color w:val="000000"/>
          <w:kern w:val="0"/>
          <w:sz w:val="24"/>
          <w:szCs w:val="24"/>
          <w:vertAlign w:val="subscript"/>
          <w:lang w:val="en-US" w:eastAsia="zh-CN" w:bidi="ar"/>
        </w:rPr>
        <w:t>pH</w:t>
      </w:r>
      <w:r>
        <w:rPr>
          <w:rFonts w:hint="default" w:ascii="Times New Roman" w:hAnsi="Times New Roman" w:eastAsia="宋体" w:cs="Times New Roman"/>
          <w:color w:val="000000"/>
          <w:kern w:val="0"/>
          <w:sz w:val="24"/>
          <w:szCs w:val="24"/>
          <w:lang w:val="en-US" w:eastAsia="zh-CN" w:bidi="ar"/>
        </w:rPr>
        <w:t>——pH</w:t>
      </w:r>
      <w:r>
        <w:rPr>
          <w:rFonts w:hint="eastAsia" w:ascii="Times New Roman" w:hAnsi="Times New Roman" w:eastAsia="宋体" w:cs="Times New Roman"/>
          <w:color w:val="000000"/>
          <w:kern w:val="0"/>
          <w:sz w:val="24"/>
          <w:szCs w:val="24"/>
          <w:lang w:val="en-US" w:eastAsia="zh-CN" w:bidi="ar"/>
        </w:rPr>
        <w:t>的标准指数，无量纲；</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pH——pH</w:t>
      </w:r>
      <w:r>
        <w:rPr>
          <w:rFonts w:hint="eastAsia" w:ascii="Times New Roman" w:hAnsi="Times New Roman" w:eastAsia="宋体" w:cs="Times New Roman"/>
          <w:color w:val="000000"/>
          <w:kern w:val="0"/>
          <w:sz w:val="24"/>
          <w:szCs w:val="24"/>
          <w:lang w:val="en-US" w:eastAsia="zh-CN" w:bidi="ar"/>
        </w:rPr>
        <w:t>的监测值；</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pH</w:t>
      </w:r>
      <w:r>
        <w:rPr>
          <w:rFonts w:hint="default" w:ascii="Times New Roman" w:hAnsi="Times New Roman" w:eastAsia="宋体" w:cs="Times New Roman"/>
          <w:color w:val="000000"/>
          <w:kern w:val="0"/>
          <w:sz w:val="24"/>
          <w:szCs w:val="24"/>
          <w:vertAlign w:val="subscript"/>
          <w:lang w:val="en-US" w:eastAsia="zh-CN" w:bidi="ar"/>
        </w:rPr>
        <w:t>su</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标准中</w:t>
      </w:r>
      <w:r>
        <w:rPr>
          <w:rFonts w:hint="default" w:ascii="Times New Roman" w:hAnsi="Times New Roman" w:eastAsia="宋体" w:cs="Times New Roman"/>
          <w:color w:val="000000"/>
          <w:kern w:val="0"/>
          <w:sz w:val="24"/>
          <w:szCs w:val="24"/>
          <w:lang w:val="en-US" w:eastAsia="zh-CN" w:bidi="ar"/>
        </w:rPr>
        <w:t>pH</w:t>
      </w:r>
      <w:r>
        <w:rPr>
          <w:rFonts w:hint="eastAsia" w:ascii="Times New Roman" w:hAnsi="Times New Roman" w:eastAsia="宋体" w:cs="Times New Roman"/>
          <w:color w:val="000000"/>
          <w:kern w:val="0"/>
          <w:sz w:val="24"/>
          <w:szCs w:val="24"/>
          <w:lang w:val="en-US" w:eastAsia="zh-CN" w:bidi="ar"/>
        </w:rPr>
        <w:t>的上限值；</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pH</w:t>
      </w:r>
      <w:r>
        <w:rPr>
          <w:rFonts w:hint="default" w:ascii="Times New Roman" w:hAnsi="Times New Roman" w:eastAsia="宋体" w:cs="Times New Roman"/>
          <w:color w:val="000000"/>
          <w:kern w:val="0"/>
          <w:sz w:val="24"/>
          <w:szCs w:val="24"/>
          <w:vertAlign w:val="subscript"/>
          <w:lang w:val="en-US" w:eastAsia="zh-CN" w:bidi="ar"/>
        </w:rPr>
        <w:t>sd</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标准中</w:t>
      </w:r>
      <w:r>
        <w:rPr>
          <w:rFonts w:hint="default" w:ascii="Times New Roman" w:hAnsi="Times New Roman" w:eastAsia="宋体" w:cs="Times New Roman"/>
          <w:color w:val="000000"/>
          <w:kern w:val="0"/>
          <w:sz w:val="24"/>
          <w:szCs w:val="24"/>
          <w:lang w:val="en-US" w:eastAsia="zh-CN" w:bidi="ar"/>
        </w:rPr>
        <w:t>pH</w:t>
      </w:r>
      <w:r>
        <w:rPr>
          <w:rFonts w:hint="eastAsia" w:ascii="Times New Roman" w:hAnsi="Times New Roman" w:eastAsia="宋体" w:cs="Times New Roman"/>
          <w:color w:val="000000"/>
          <w:kern w:val="0"/>
          <w:sz w:val="24"/>
          <w:szCs w:val="24"/>
          <w:lang w:val="en-US" w:eastAsia="zh-CN" w:bidi="ar"/>
        </w:rPr>
        <w:t>的下限值。</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b/>
          <w:bCs w:val="0"/>
          <w:color w:val="000000"/>
          <w:lang w:val="en-US"/>
        </w:rPr>
      </w:pPr>
      <w:r>
        <w:rPr>
          <w:rFonts w:hint="default" w:ascii="Times New Roman" w:hAnsi="Times New Roman" w:eastAsia="宋体" w:cs="Times New Roman"/>
          <w:color w:val="000000"/>
          <w:kern w:val="0"/>
          <w:sz w:val="24"/>
          <w:szCs w:val="24"/>
          <w:lang w:val="en-US" w:eastAsia="zh-CN" w:bidi="ar"/>
        </w:rPr>
        <w:t>P</w:t>
      </w:r>
      <w:r>
        <w:rPr>
          <w:rFonts w:hint="default" w:ascii="Times New Roman" w:hAnsi="Times New Roman" w:eastAsia="宋体" w:cs="Times New Roman"/>
          <w:color w:val="000000"/>
          <w:kern w:val="0"/>
          <w:sz w:val="24"/>
          <w:szCs w:val="24"/>
          <w:vertAlign w:val="subscript"/>
          <w:lang w:val="en-US" w:eastAsia="zh-CN" w:bidi="ar"/>
        </w:rPr>
        <w:t>i</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为符合标准；</w:t>
      </w:r>
      <w:r>
        <w:rPr>
          <w:rFonts w:hint="default" w:ascii="Times New Roman" w:hAnsi="Times New Roman" w:eastAsia="宋体" w:cs="Times New Roman"/>
          <w:color w:val="000000"/>
          <w:kern w:val="0"/>
          <w:sz w:val="24"/>
          <w:szCs w:val="24"/>
          <w:lang w:val="en-US" w:eastAsia="zh-CN" w:bidi="ar"/>
        </w:rPr>
        <w:t>P</w:t>
      </w:r>
      <w:r>
        <w:rPr>
          <w:rFonts w:hint="default" w:ascii="Times New Roman" w:hAnsi="Times New Roman" w:eastAsia="宋体" w:cs="Times New Roman"/>
          <w:color w:val="000000"/>
          <w:kern w:val="0"/>
          <w:sz w:val="24"/>
          <w:szCs w:val="24"/>
          <w:vertAlign w:val="subscript"/>
          <w:lang w:val="en-US" w:eastAsia="zh-CN" w:bidi="ar"/>
        </w:rPr>
        <w:t>i</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为超标，说明该水质已超过规定标准，将会对人体健康产生危害。</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6</w:t>
      </w:r>
      <w:r>
        <w:rPr>
          <w:rFonts w:hint="eastAsia" w:ascii="Times New Roman" w:hAnsi="Times New Roman" w:eastAsia="宋体" w:cs="Times New Roman"/>
          <w:b/>
          <w:bCs w:val="0"/>
          <w:color w:val="000000"/>
          <w:kern w:val="0"/>
          <w:sz w:val="24"/>
          <w:szCs w:val="24"/>
          <w:lang w:val="en-US" w:eastAsia="zh-CN" w:bidi="ar"/>
        </w:rPr>
        <w:t>）监测结果与评价</w:t>
      </w:r>
    </w:p>
    <w:p>
      <w:pPr>
        <w:keepNext w:val="0"/>
        <w:keepLines w:val="0"/>
        <w:widowControl/>
        <w:suppressLineNumbers w:val="0"/>
        <w:spacing w:before="0" w:beforeAutospacing="0" w:after="0" w:afterAutospacing="0" w:line="500" w:lineRule="exact"/>
        <w:ind w:left="0" w:right="0" w:firstLine="48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监测结果及地下水水质判定结果见表</w:t>
      </w:r>
      <w:r>
        <w:rPr>
          <w:rFonts w:hint="default" w:ascii="Times New Roman" w:hAnsi="Times New Roman" w:eastAsia="宋体" w:cs="Times New Roman"/>
          <w:color w:val="000000"/>
          <w:kern w:val="0"/>
          <w:sz w:val="24"/>
          <w:szCs w:val="24"/>
          <w:lang w:val="en-US" w:eastAsia="zh-CN" w:bidi="ar"/>
        </w:rPr>
        <w:t>4.2-10</w:t>
      </w:r>
      <w:r>
        <w:rPr>
          <w:rFonts w:hint="eastAsia" w:ascii="Times New Roman" w:hAnsi="Times New Roman" w:eastAsia="宋体" w:cs="Times New Roman"/>
          <w:color w:val="000000"/>
          <w:kern w:val="0"/>
          <w:sz w:val="24"/>
          <w:szCs w:val="24"/>
          <w:lang w:val="en-US" w:eastAsia="zh-CN" w:bidi="ar"/>
        </w:rPr>
        <w:t>。</w:t>
      </w:r>
    </w:p>
    <w:p>
      <w:pPr>
        <w:pStyle w:val="88"/>
        <w:widowControl/>
        <w:adjustRightInd/>
        <w:snapToGrid/>
        <w:spacing w:line="360" w:lineRule="auto"/>
        <w:ind w:left="0" w:firstLine="0"/>
        <w:rPr>
          <w:rFonts w:hint="default" w:ascii="Times New Roman" w:hAnsi="Times New Roman" w:cs="Times New Roman"/>
          <w:color w:val="000000"/>
          <w:lang w:val="en-US"/>
        </w:rPr>
      </w:pPr>
      <w:r>
        <w:rPr>
          <w:rFonts w:ascii="Times New Roman" w:hAnsi="Times New Roman" w:cs="Times New Roman"/>
          <w:color w:val="000000"/>
          <w:lang w:eastAsia="zh-CN"/>
        </w:rPr>
        <w:t>表</w:t>
      </w:r>
      <w:r>
        <w:rPr>
          <w:rFonts w:hint="default" w:ascii="Times New Roman" w:hAnsi="Times New Roman" w:cs="Times New Roman"/>
          <w:color w:val="000000"/>
          <w:lang w:val="en-US"/>
        </w:rPr>
        <w:t xml:space="preserve">4.2-10  </w:t>
      </w:r>
      <w:r>
        <w:rPr>
          <w:rFonts w:ascii="Times New Roman" w:hAnsi="Times New Roman" w:cs="Times New Roman"/>
          <w:color w:val="000000"/>
          <w:lang w:eastAsia="zh-CN"/>
        </w:rPr>
        <w:t>地下水监测及水质判定结果</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684"/>
        <w:gridCol w:w="1597"/>
        <w:gridCol w:w="1157"/>
        <w:gridCol w:w="1032"/>
        <w:gridCol w:w="857"/>
        <w:gridCol w:w="944"/>
        <w:gridCol w:w="803"/>
        <w:gridCol w:w="869"/>
        <w:gridCol w:w="784"/>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40" w:hRule="atLeast"/>
          <w:tblHeader/>
        </w:trPr>
        <w:tc>
          <w:tcPr>
            <w:tcW w:w="392" w:type="pct"/>
            <w:vMerge w:val="restart"/>
            <w:tcBorders>
              <w:top w:val="thinThickSmallGap" w:color="auto" w:sz="12" w:space="0"/>
              <w:left w:val="nil"/>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日期</w:t>
            </w:r>
          </w:p>
        </w:tc>
        <w:tc>
          <w:tcPr>
            <w:tcW w:w="915" w:type="pct"/>
            <w:vMerge w:val="restar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监测因子</w:t>
            </w:r>
          </w:p>
        </w:tc>
        <w:tc>
          <w:tcPr>
            <w:tcW w:w="663" w:type="pct"/>
            <w:vMerge w:val="restar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标准值</w:t>
            </w:r>
          </w:p>
        </w:tc>
        <w:tc>
          <w:tcPr>
            <w:tcW w:w="3030" w:type="pct"/>
            <w:gridSpan w:val="6"/>
            <w:tcBorders>
              <w:top w:val="thinThickSmallGap" w:color="auto" w:sz="12" w:space="0"/>
              <w:left w:val="single" w:color="auto" w:sz="4" w:space="0"/>
              <w:bottom w:val="single" w:color="auto" w:sz="4" w:space="0"/>
              <w:right w:val="nil"/>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b/>
                <w:bCs w:val="0"/>
                <w:color w:val="000000"/>
                <w:sz w:val="21"/>
                <w:szCs w:val="21"/>
                <w:bdr w:val="none" w:color="auto" w:sz="0" w:space="0"/>
                <w:vertAlign w:val="baseline"/>
                <w:lang w:val="en-US"/>
              </w:rPr>
            </w:pPr>
            <w:r>
              <w:rPr>
                <w:rFonts w:ascii="Times New Roman" w:hAnsi="Times New Roman" w:cs="Times New Roman"/>
                <w:b/>
                <w:bCs w:val="0"/>
                <w:color w:val="000000"/>
                <w:sz w:val="21"/>
                <w:szCs w:val="21"/>
                <w:bdr w:val="none" w:color="auto" w:sz="0" w:space="0"/>
                <w:vertAlign w:val="baseline"/>
              </w:rPr>
              <w:t>监测点位</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92" w:type="pct"/>
            <w:vMerge w:val="continue"/>
            <w:tcBorders>
              <w:top w:val="thinThickSmallGap" w:color="auto" w:sz="12" w:space="0"/>
              <w:left w:val="nil"/>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915"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663"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1082" w:type="pct"/>
            <w:gridSpan w:val="2"/>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b/>
                <w:bCs w:val="0"/>
                <w:color w:val="000000"/>
                <w:sz w:val="21"/>
                <w:szCs w:val="21"/>
                <w:bdr w:val="none" w:color="auto" w:sz="0" w:space="0"/>
                <w:vertAlign w:val="baseline"/>
                <w:lang w:val="en-US"/>
              </w:rPr>
            </w:pPr>
            <w:r>
              <w:rPr>
                <w:rFonts w:hint="default" w:ascii="Times New Roman" w:hAnsi="Times New Roman" w:cs="Times New Roman"/>
                <w:b/>
                <w:bCs w:val="0"/>
                <w:color w:val="000000"/>
                <w:sz w:val="21"/>
                <w:szCs w:val="21"/>
                <w:bdr w:val="none" w:color="auto" w:sz="0" w:space="0"/>
                <w:vertAlign w:val="baseline"/>
                <w:lang w:val="en-US"/>
              </w:rPr>
              <w:t>1#</w:t>
            </w:r>
            <w:r>
              <w:rPr>
                <w:rFonts w:ascii="Times New Roman" w:hAnsi="Times New Roman" w:cs="Times New Roman"/>
                <w:b/>
                <w:bCs w:val="0"/>
                <w:color w:val="000000"/>
                <w:sz w:val="21"/>
                <w:szCs w:val="21"/>
                <w:bdr w:val="none" w:color="auto" w:sz="0" w:space="0"/>
                <w:vertAlign w:val="baseline"/>
              </w:rPr>
              <w:t>（范峪村）</w:t>
            </w:r>
          </w:p>
        </w:tc>
        <w:tc>
          <w:tcPr>
            <w:tcW w:w="1001" w:type="pct"/>
            <w:gridSpan w:val="2"/>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2#</w:t>
            </w:r>
            <w:r>
              <w:rPr>
                <w:rFonts w:ascii="Times New Roman" w:hAnsi="Times New Roman" w:cs="Times New Roman"/>
                <w:b/>
                <w:bCs w:val="0"/>
                <w:color w:val="000000"/>
                <w:sz w:val="21"/>
                <w:szCs w:val="21"/>
                <w:bdr w:val="none" w:color="auto" w:sz="0" w:space="0"/>
              </w:rPr>
              <w:t>（</w:t>
            </w:r>
            <w:r>
              <w:rPr>
                <w:rFonts w:ascii="Times New Roman" w:hAnsi="Times New Roman" w:cs="Times New Roman"/>
                <w:b/>
                <w:bCs/>
                <w:color w:val="000000"/>
                <w:sz w:val="21"/>
                <w:szCs w:val="21"/>
                <w:bdr w:val="none" w:color="auto" w:sz="0" w:space="0"/>
              </w:rPr>
              <w:t>项目厂区</w:t>
            </w:r>
            <w:r>
              <w:rPr>
                <w:rFonts w:ascii="Times New Roman" w:hAnsi="Times New Roman" w:cs="Times New Roman"/>
                <w:b/>
                <w:bCs w:val="0"/>
                <w:color w:val="000000"/>
                <w:sz w:val="21"/>
                <w:szCs w:val="21"/>
                <w:bdr w:val="none" w:color="auto" w:sz="0" w:space="0"/>
              </w:rPr>
              <w:t>）</w:t>
            </w:r>
          </w:p>
        </w:tc>
        <w:tc>
          <w:tcPr>
            <w:tcW w:w="947" w:type="pct"/>
            <w:gridSpan w:val="2"/>
            <w:tcBorders>
              <w:top w:val="single" w:color="auto" w:sz="4" w:space="0"/>
              <w:left w:val="single" w:color="auto" w:sz="4" w:space="0"/>
              <w:bottom w:val="single" w:color="auto" w:sz="4" w:space="0"/>
              <w:right w:val="nil"/>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color w:val="000000"/>
                <w:sz w:val="21"/>
                <w:szCs w:val="21"/>
                <w:bdr w:val="none" w:color="auto" w:sz="0" w:space="0"/>
                <w:lang w:val="en-US"/>
              </w:rPr>
              <w:t>3#</w:t>
            </w:r>
            <w:r>
              <w:rPr>
                <w:rFonts w:ascii="Times New Roman" w:hAnsi="Times New Roman" w:cs="Times New Roman"/>
                <w:b/>
                <w:color w:val="000000"/>
                <w:sz w:val="21"/>
                <w:szCs w:val="21"/>
                <w:bdr w:val="none" w:color="auto" w:sz="0" w:space="0"/>
              </w:rPr>
              <w:t>（南二道村）</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92" w:type="pct"/>
            <w:vMerge w:val="continue"/>
            <w:tcBorders>
              <w:top w:val="thinThickSmallGap" w:color="auto" w:sz="12" w:space="0"/>
              <w:left w:val="nil"/>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915"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663"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591"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监测值</w:t>
            </w:r>
            <w:r>
              <w:rPr>
                <w:rFonts w:hint="default" w:ascii="Times New Roman" w:hAnsi="Times New Roman" w:cs="Times New Roman"/>
                <w:b/>
                <w:bCs w:val="0"/>
                <w:color w:val="000000"/>
                <w:sz w:val="21"/>
                <w:szCs w:val="21"/>
                <w:bdr w:val="none" w:color="auto" w:sz="0" w:space="0"/>
                <w:lang w:val="en-US"/>
              </w:rPr>
              <w:t>mg/L</w:t>
            </w:r>
          </w:p>
        </w:tc>
        <w:tc>
          <w:tcPr>
            <w:tcW w:w="491"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eastAsia" w:ascii="Times New Roman" w:hAnsi="Times New Roman" w:eastAsia="宋体" w:cs="Times New Roman"/>
                <w:b/>
                <w:bCs w:val="0"/>
                <w:color w:val="000000"/>
                <w:kern w:val="0"/>
                <w:sz w:val="21"/>
                <w:szCs w:val="21"/>
                <w:bdr w:val="none" w:color="auto" w:sz="0" w:space="0"/>
                <w:lang w:val="en-US" w:eastAsia="zh-CN" w:bidi="ar"/>
              </w:rPr>
              <w:t>标准</w:t>
            </w:r>
          </w:p>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指数</w:t>
            </w:r>
          </w:p>
        </w:tc>
        <w:tc>
          <w:tcPr>
            <w:tcW w:w="541"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监测值</w:t>
            </w:r>
            <w:r>
              <w:rPr>
                <w:rFonts w:hint="default" w:ascii="Times New Roman" w:hAnsi="Times New Roman" w:cs="Times New Roman"/>
                <w:b/>
                <w:bCs w:val="0"/>
                <w:color w:val="000000"/>
                <w:sz w:val="21"/>
                <w:szCs w:val="21"/>
                <w:bdr w:val="none" w:color="auto" w:sz="0" w:space="0"/>
                <w:lang w:val="en-US"/>
              </w:rPr>
              <w:t>mg/L</w:t>
            </w:r>
          </w:p>
        </w:tc>
        <w:tc>
          <w:tcPr>
            <w:tcW w:w="460"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eastAsia" w:ascii="Times New Roman" w:hAnsi="Times New Roman" w:eastAsia="宋体" w:cs="Times New Roman"/>
                <w:b/>
                <w:bCs w:val="0"/>
                <w:color w:val="000000"/>
                <w:kern w:val="0"/>
                <w:sz w:val="21"/>
                <w:szCs w:val="21"/>
                <w:bdr w:val="none" w:color="auto" w:sz="0" w:space="0"/>
                <w:lang w:val="en-US" w:eastAsia="zh-CN" w:bidi="ar"/>
              </w:rPr>
              <w:t>标准</w:t>
            </w:r>
          </w:p>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指数</w:t>
            </w:r>
          </w:p>
        </w:tc>
        <w:tc>
          <w:tcPr>
            <w:tcW w:w="498"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监测值</w:t>
            </w:r>
            <w:r>
              <w:rPr>
                <w:rFonts w:hint="default" w:ascii="Times New Roman" w:hAnsi="Times New Roman" w:cs="Times New Roman"/>
                <w:b/>
                <w:bCs w:val="0"/>
                <w:color w:val="000000"/>
                <w:sz w:val="21"/>
                <w:szCs w:val="21"/>
                <w:bdr w:val="none" w:color="auto" w:sz="0" w:space="0"/>
                <w:lang w:val="en-US"/>
              </w:rPr>
              <w:t>mg/L</w:t>
            </w:r>
          </w:p>
        </w:tc>
        <w:tc>
          <w:tcPr>
            <w:tcW w:w="449" w:type="pct"/>
            <w:tcBorders>
              <w:top w:val="single" w:color="auto" w:sz="4" w:space="0"/>
              <w:left w:val="single" w:color="auto" w:sz="4" w:space="0"/>
              <w:bottom w:val="single" w:color="auto" w:sz="4" w:space="0"/>
              <w:right w:val="nil"/>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eastAsia" w:ascii="Times New Roman" w:hAnsi="Times New Roman" w:eastAsia="宋体" w:cs="Times New Roman"/>
                <w:b/>
                <w:bCs w:val="0"/>
                <w:color w:val="000000"/>
                <w:kern w:val="0"/>
                <w:sz w:val="21"/>
                <w:szCs w:val="21"/>
                <w:bdr w:val="none" w:color="auto" w:sz="0" w:space="0"/>
                <w:lang w:val="en-US" w:eastAsia="zh-CN" w:bidi="ar"/>
              </w:rPr>
              <w:t>标准</w:t>
            </w:r>
          </w:p>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指数</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restart"/>
            <w:tcBorders>
              <w:top w:val="single" w:color="auto" w:sz="4" w:space="0"/>
              <w:left w:val="nil"/>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r>
              <w:rPr>
                <w:rFonts w:ascii="Times New Roman" w:hAnsi="Times New Roman" w:cs="Times New Roman"/>
                <w:color w:val="000000"/>
                <w:sz w:val="21"/>
                <w:szCs w:val="21"/>
                <w:bdr w:val="none" w:color="auto" w:sz="0" w:space="0"/>
              </w:rPr>
              <w:t>月</w:t>
            </w:r>
            <w:r>
              <w:rPr>
                <w:rFonts w:hint="default" w:ascii="Times New Roman" w:hAnsi="Times New Roman" w:cs="Times New Roman"/>
                <w:color w:val="000000"/>
                <w:sz w:val="21"/>
                <w:szCs w:val="21"/>
                <w:bdr w:val="none" w:color="auto" w:sz="0" w:space="0"/>
                <w:lang w:val="en-US"/>
              </w:rPr>
              <w:t>19</w:t>
            </w:r>
            <w:r>
              <w:rPr>
                <w:rFonts w:ascii="Times New Roman" w:hAnsi="Times New Roman" w:cs="Times New Roman"/>
                <w:color w:val="000000"/>
                <w:sz w:val="21"/>
                <w:szCs w:val="21"/>
                <w:bdr w:val="none" w:color="auto" w:sz="0" w:space="0"/>
              </w:rPr>
              <w:t>日</w:t>
            </w: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pH</w:t>
            </w:r>
            <w:r>
              <w:rPr>
                <w:rFonts w:ascii="Times New Roman" w:hAnsi="Times New Roman" w:cs="Times New Roman"/>
                <w:color w:val="000000"/>
                <w:sz w:val="21"/>
                <w:szCs w:val="21"/>
                <w:bdr w:val="none" w:color="auto" w:sz="0" w:space="0"/>
              </w:rPr>
              <w:t>（无量纲）</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6.5</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8.5</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7.15</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0.1</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6.85</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0.15</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7.23</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cs="Times New Roman"/>
                <w:color w:val="000000"/>
                <w:sz w:val="21"/>
                <w:szCs w:val="21"/>
                <w:bdr w:val="none" w:color="auto" w:sz="0" w:space="0"/>
                <w:vertAlign w:val="baseline"/>
                <w:lang w:val="en-US"/>
              </w:rPr>
              <w:t>0.15</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总硬度</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≤450</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726.73</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1.61</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778.78</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1.73</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464.46</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1.03</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铅</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≤0.01</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cs="Times New Roman"/>
                <w:color w:val="000000"/>
                <w:w w:val="90"/>
                <w:sz w:val="21"/>
                <w:szCs w:val="21"/>
                <w:bdr w:val="none" w:color="auto" w:sz="0" w:space="0"/>
                <w:lang w:val="en-US"/>
              </w:rPr>
              <w:t>0.0025L</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cs="Times New Roman"/>
                <w:color w:val="000000"/>
                <w:w w:val="90"/>
                <w:sz w:val="21"/>
                <w:szCs w:val="21"/>
                <w:bdr w:val="none" w:color="auto" w:sz="0" w:space="0"/>
                <w:lang w:val="en-US"/>
              </w:rPr>
              <w:t>0.0025L</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cs="Times New Roman"/>
                <w:color w:val="000000"/>
                <w:w w:val="90"/>
                <w:sz w:val="21"/>
                <w:szCs w:val="21"/>
                <w:bdr w:val="none" w:color="auto" w:sz="0" w:space="0"/>
                <w:lang w:val="en-US"/>
              </w:rPr>
              <w:t>0.0025L</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铁</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0.3L</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0.3L</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0.3L</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锰</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≤0.1</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0.05L</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0.05L</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0.05L</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汞</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≤0.001</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cs="Times New Roman"/>
                <w:color w:val="000000"/>
                <w:w w:val="90"/>
                <w:sz w:val="21"/>
                <w:szCs w:val="21"/>
                <w:bdr w:val="none" w:color="auto" w:sz="0" w:space="0"/>
                <w:lang w:val="en-US"/>
              </w:rPr>
              <w:t>0.0001L</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cs="Times New Roman"/>
                <w:color w:val="000000"/>
                <w:w w:val="90"/>
                <w:sz w:val="21"/>
                <w:szCs w:val="21"/>
                <w:bdr w:val="none" w:color="auto" w:sz="0" w:space="0"/>
                <w:lang w:val="en-US"/>
              </w:rPr>
              <w:t>0.0001L</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cs="Times New Roman"/>
                <w:color w:val="000000"/>
                <w:w w:val="90"/>
                <w:sz w:val="21"/>
                <w:szCs w:val="21"/>
                <w:bdr w:val="none" w:color="auto" w:sz="0" w:space="0"/>
                <w:lang w:val="en-US"/>
              </w:rPr>
              <w:t>0.0001L</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砷</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≤0.01</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cs="Times New Roman"/>
                <w:color w:val="000000"/>
                <w:w w:val="90"/>
                <w:sz w:val="21"/>
                <w:szCs w:val="21"/>
                <w:bdr w:val="none" w:color="auto" w:sz="0" w:space="0"/>
                <w:lang w:val="en-US"/>
              </w:rPr>
              <w:t>0.001L</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w w:val="90"/>
                <w:sz w:val="21"/>
                <w:szCs w:val="21"/>
                <w:bdr w:val="none" w:color="auto" w:sz="0" w:space="0"/>
                <w:lang w:val="en-US"/>
              </w:rPr>
              <w:t>0.001L</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w w:val="90"/>
                <w:sz w:val="21"/>
                <w:szCs w:val="21"/>
                <w:bdr w:val="none" w:color="auto" w:sz="0" w:space="0"/>
                <w:lang w:val="en-US"/>
              </w:rPr>
              <w:t>0.001L</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氨氮</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≤0.5</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0.17</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0.34</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0.18</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0.36</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0.19</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0.38</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耗氧量</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2.57</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0.86</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2.82</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0.94</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2.35</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0.78</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挥发性酚类</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≤0.002</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0.002L</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未检出</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0.002L</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0.002L</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石油类</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≤0.05</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0.032</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0.64</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0.044</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0.88</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0.019</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0.38</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亚硝酸盐</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0.537</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0.54</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0.043</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0.04</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0.048</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0.05</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硝酸盐氮</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17.985</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0.9</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5.567</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0.28</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18.896</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0.94</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溶解性总固体</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≤1000</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183</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0.18</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241</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0.24</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225</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0.23</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钾</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3.371</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2.654</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2.139</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钠</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11.299</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11.739</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11.919</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钙</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69.705</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64.162</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63.106</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镁</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41.673</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83.109</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62.884</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HCO</w:t>
            </w:r>
            <w:r>
              <w:rPr>
                <w:rFonts w:hint="default" w:ascii="Times New Roman" w:hAnsi="Times New Roman" w:cs="Times New Roman"/>
                <w:color w:val="000000"/>
                <w:sz w:val="21"/>
                <w:szCs w:val="21"/>
                <w:bdr w:val="none" w:color="auto" w:sz="0" w:space="0"/>
                <w:vertAlign w:val="superscript"/>
                <w:lang w:val="en-US"/>
              </w:rPr>
              <w:t>3-</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CO</w:t>
            </w:r>
            <w:r>
              <w:rPr>
                <w:rFonts w:hint="default" w:ascii="Times New Roman" w:hAnsi="Times New Roman" w:cs="Times New Roman"/>
                <w:color w:val="000000"/>
                <w:sz w:val="21"/>
                <w:szCs w:val="21"/>
                <w:bdr w:val="none" w:color="auto" w:sz="0" w:space="0"/>
                <w:vertAlign w:val="subscript"/>
                <w:lang w:val="en-US"/>
              </w:rPr>
              <w:t>3</w:t>
            </w:r>
            <w:r>
              <w:rPr>
                <w:rFonts w:hint="default" w:ascii="Times New Roman" w:hAnsi="Times New Roman" w:cs="Times New Roman"/>
                <w:color w:val="000000"/>
                <w:sz w:val="21"/>
                <w:szCs w:val="21"/>
                <w:bdr w:val="none" w:color="auto" w:sz="0" w:space="0"/>
                <w:vertAlign w:val="superscript"/>
                <w:lang w:val="en-US"/>
              </w:rPr>
              <w:t>2-</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66</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90</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42</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Cl-</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58.90</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75.97</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60.97</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SO</w:t>
            </w:r>
            <w:r>
              <w:rPr>
                <w:rFonts w:hint="default" w:ascii="Times New Roman" w:hAnsi="Times New Roman" w:cs="Times New Roman"/>
                <w:color w:val="000000"/>
                <w:sz w:val="21"/>
                <w:szCs w:val="21"/>
                <w:bdr w:val="none" w:color="auto" w:sz="0" w:space="0"/>
                <w:vertAlign w:val="subscript"/>
                <w:lang w:val="en-US"/>
              </w:rPr>
              <w:t>4</w:t>
            </w:r>
            <w:r>
              <w:rPr>
                <w:rFonts w:hint="default" w:ascii="Times New Roman" w:hAnsi="Times New Roman" w:cs="Times New Roman"/>
                <w:color w:val="000000"/>
                <w:sz w:val="21"/>
                <w:szCs w:val="21"/>
                <w:bdr w:val="none" w:color="auto" w:sz="0" w:space="0"/>
                <w:vertAlign w:val="superscript"/>
                <w:lang w:val="en-US"/>
              </w:rPr>
              <w:t>2-</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5L</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5L</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5L</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总大肠菌群</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&lt;2</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&lt;2</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&lt;2</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w w:val="90"/>
                <w:sz w:val="21"/>
                <w:szCs w:val="21"/>
                <w:bdr w:val="none" w:color="auto" w:sz="0" w:space="0"/>
              </w:rPr>
              <w:t>未检出</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细菌总数</w:t>
            </w:r>
          </w:p>
        </w:tc>
        <w:tc>
          <w:tcPr>
            <w:tcW w:w="6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≤100</w:t>
            </w:r>
          </w:p>
        </w:tc>
        <w:tc>
          <w:tcPr>
            <w:tcW w:w="5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35</w:t>
            </w:r>
          </w:p>
        </w:tc>
        <w:tc>
          <w:tcPr>
            <w:tcW w:w="49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0.35</w:t>
            </w:r>
          </w:p>
        </w:tc>
        <w:tc>
          <w:tcPr>
            <w:tcW w:w="541"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w:t>
            </w:r>
          </w:p>
        </w:tc>
        <w:tc>
          <w:tcPr>
            <w:tcW w:w="46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w:t>
            </w:r>
          </w:p>
        </w:tc>
        <w:tc>
          <w:tcPr>
            <w:tcW w:w="49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w:t>
            </w:r>
          </w:p>
        </w:tc>
        <w:tc>
          <w:tcPr>
            <w:tcW w:w="44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915"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水位</w:t>
            </w:r>
          </w:p>
        </w:tc>
        <w:tc>
          <w:tcPr>
            <w:tcW w:w="663"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91"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p>
        </w:tc>
        <w:tc>
          <w:tcPr>
            <w:tcW w:w="491"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541"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40</w:t>
            </w:r>
          </w:p>
        </w:tc>
        <w:tc>
          <w:tcPr>
            <w:tcW w:w="460"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498"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w:t>
            </w:r>
          </w:p>
        </w:tc>
        <w:tc>
          <w:tcPr>
            <w:tcW w:w="449" w:type="pct"/>
            <w:tcBorders>
              <w:top w:val="single" w:color="auto" w:sz="4" w:space="0"/>
              <w:left w:val="single" w:color="auto" w:sz="4" w:space="0"/>
              <w:bottom w:val="thickThinSmallGap" w:color="auto" w:sz="12"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bl>
    <w:p>
      <w:pPr>
        <w:keepNext w:val="0"/>
        <w:keepLines w:val="0"/>
        <w:widowControl/>
        <w:suppressLineNumbers w:val="0"/>
        <w:spacing w:before="0" w:beforeAutospacing="0" w:after="0" w:afterAutospacing="0" w:line="500" w:lineRule="exact"/>
        <w:ind w:left="0" w:right="0" w:firstLine="48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根据统计结果，由于区域地质原因</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各监测点位总硬度均超标，石油类满足《地表水环境质量标准》（</w:t>
      </w:r>
      <w:r>
        <w:rPr>
          <w:rFonts w:hint="default" w:ascii="Times New Roman" w:hAnsi="Times New Roman" w:eastAsia="宋体" w:cs="Times New Roman"/>
          <w:color w:val="000000"/>
          <w:kern w:val="0"/>
          <w:sz w:val="24"/>
          <w:szCs w:val="24"/>
          <w:lang w:val="en-US" w:eastAsia="zh-CN" w:bidi="ar"/>
        </w:rPr>
        <w:t>GB 3838-2002</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Ⅲ</w:t>
      </w:r>
      <w:r>
        <w:rPr>
          <w:rFonts w:hint="eastAsia" w:ascii="Times New Roman" w:hAnsi="Times New Roman" w:eastAsia="宋体" w:cs="Times New Roman"/>
          <w:color w:val="000000"/>
          <w:kern w:val="0"/>
          <w:sz w:val="24"/>
          <w:szCs w:val="24"/>
          <w:lang w:val="en-US" w:eastAsia="zh-CN" w:bidi="ar"/>
        </w:rPr>
        <w:t>类水质指标，其余指标均满足《地下水质量标准》（</w:t>
      </w:r>
      <w:r>
        <w:rPr>
          <w:rFonts w:hint="default" w:ascii="Times New Roman" w:hAnsi="Times New Roman" w:eastAsia="宋体" w:cs="Times New Roman"/>
          <w:color w:val="000000"/>
          <w:kern w:val="0"/>
          <w:sz w:val="24"/>
          <w:szCs w:val="24"/>
          <w:lang w:val="en-US" w:eastAsia="zh-CN" w:bidi="ar"/>
        </w:rPr>
        <w:t>GB/T 14848-2017</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Ⅲ</w:t>
      </w:r>
      <w:r>
        <w:rPr>
          <w:rFonts w:hint="eastAsia" w:ascii="Times New Roman" w:hAnsi="Times New Roman" w:eastAsia="宋体" w:cs="Times New Roman"/>
          <w:color w:val="000000"/>
          <w:kern w:val="0"/>
          <w:sz w:val="24"/>
          <w:szCs w:val="24"/>
          <w:lang w:val="en-US" w:eastAsia="zh-CN" w:bidi="ar"/>
        </w:rPr>
        <w:t>类标准。该区域地下水质量较好，综合类判定为</w:t>
      </w:r>
      <w:r>
        <w:rPr>
          <w:rFonts w:hint="default" w:ascii="Times New Roman" w:hAnsi="Times New Roman" w:eastAsia="宋体" w:cs="Times New Roman"/>
          <w:color w:val="000000"/>
          <w:kern w:val="0"/>
          <w:sz w:val="24"/>
          <w:szCs w:val="24"/>
          <w:lang w:val="en-US" w:eastAsia="zh-CN" w:bidi="ar"/>
        </w:rPr>
        <w:t>Ⅲ</w:t>
      </w:r>
      <w:r>
        <w:rPr>
          <w:rFonts w:hint="eastAsia" w:ascii="Times New Roman" w:hAnsi="Times New Roman" w:eastAsia="宋体" w:cs="Times New Roman"/>
          <w:color w:val="000000"/>
          <w:kern w:val="0"/>
          <w:sz w:val="24"/>
          <w:szCs w:val="24"/>
          <w:lang w:val="en-US" w:eastAsia="zh-CN" w:bidi="ar"/>
        </w:rPr>
        <w:t>类。</w:t>
      </w:r>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p>
    <w:p>
      <w:pPr>
        <w:pStyle w:val="8"/>
        <w:widowControl/>
        <w:rPr>
          <w:color w:val="000000"/>
          <w:lang/>
        </w:rPr>
      </w:pPr>
      <w:bookmarkStart w:id="173" w:name="_Toc41656139"/>
      <w:r>
        <w:rPr>
          <w:color w:val="000000"/>
          <w:lang/>
        </w:rPr>
        <w:t xml:space="preserve">4.3 </w:t>
      </w:r>
      <w:r>
        <w:rPr>
          <w:rFonts w:hint="eastAsia" w:ascii="Times New Roman" w:hAnsi="Times New Roman" w:eastAsia="宋体" w:cs="宋体"/>
          <w:color w:val="000000"/>
          <w:lang w:eastAsia="zh-CN"/>
        </w:rPr>
        <w:t>区域污染源调查</w:t>
      </w:r>
      <w:bookmarkEnd w:id="173"/>
    </w:p>
    <w:p>
      <w:pPr>
        <w:keepNext w:val="0"/>
        <w:keepLines w:val="0"/>
        <w:widowControl/>
        <w:suppressLineNumbers w:val="0"/>
        <w:tabs>
          <w:tab w:val="left" w:pos="6580"/>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通过现场调查并调阅鞍山环保部门审批公示资料，</w:t>
      </w:r>
      <w:r>
        <w:rPr>
          <w:rFonts w:hint="default" w:ascii="Times New Roman" w:hAnsi="Times New Roman" w:eastAsia="宋体" w:cs="Times New Roman"/>
          <w:color w:val="000000"/>
          <w:kern w:val="0"/>
          <w:sz w:val="24"/>
          <w:szCs w:val="24"/>
          <w:lang w:val="en-US" w:eastAsia="zh-CN" w:bidi="ar"/>
        </w:rPr>
        <w:t>2019</w:t>
      </w:r>
      <w:r>
        <w:rPr>
          <w:rFonts w:hint="eastAsia" w:ascii="Times New Roman" w:hAnsi="Times New Roman" w:eastAsia="宋体" w:cs="Times New Roman"/>
          <w:color w:val="000000"/>
          <w:kern w:val="0"/>
          <w:sz w:val="24"/>
          <w:szCs w:val="24"/>
          <w:lang w:val="en-US" w:eastAsia="zh-CN" w:bidi="ar"/>
        </w:rPr>
        <w:t>年至今本项目评价范围内与本项目排放污染物有关的其它在建项目、已批复环评文件的拟建项目污染源相关情况见表</w:t>
      </w:r>
      <w:r>
        <w:rPr>
          <w:rFonts w:hint="default" w:ascii="Times New Roman" w:hAnsi="Times New Roman" w:eastAsia="宋体" w:cs="Times New Roman"/>
          <w:color w:val="000000"/>
          <w:kern w:val="0"/>
          <w:sz w:val="24"/>
          <w:szCs w:val="24"/>
          <w:lang w:val="en-US" w:eastAsia="zh-CN" w:bidi="ar"/>
        </w:rPr>
        <w:t>4.3-1</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4.3-1  </w:t>
      </w:r>
      <w:r>
        <w:rPr>
          <w:rFonts w:hint="eastAsia" w:ascii="Times New Roman" w:hAnsi="Times New Roman" w:eastAsia="黑体" w:cs="Times New Roman"/>
          <w:color w:val="000000"/>
          <w:kern w:val="0"/>
          <w:sz w:val="24"/>
          <w:szCs w:val="24"/>
          <w:lang w:val="en-US" w:eastAsia="zh-CN" w:bidi="ar"/>
        </w:rPr>
        <w:t>区域污染源在建、拟建项目调查统计</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524"/>
        <w:gridCol w:w="3131"/>
        <w:gridCol w:w="993"/>
        <w:gridCol w:w="1278"/>
        <w:gridCol w:w="967"/>
        <w:gridCol w:w="1019"/>
        <w:gridCol w:w="815"/>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75" w:hRule="atLeast"/>
          <w:tblHeader/>
        </w:trPr>
        <w:tc>
          <w:tcPr>
            <w:tcW w:w="300" w:type="pct"/>
            <w:vMerge w:val="restart"/>
            <w:tcBorders>
              <w:top w:val="thinThickSmallGap" w:color="auto" w:sz="12" w:space="0"/>
              <w:left w:val="nil"/>
              <w:bottom w:val="single" w:color="auto" w:sz="4" w:space="0"/>
              <w:right w:val="single" w:color="auto" w:sz="4" w:space="0"/>
            </w:tcBorders>
            <w:shd w:val="clear" w:color="auto" w:fill="E0E0E0"/>
            <w:vAlign w:val="center"/>
          </w:tcPr>
          <w:p>
            <w:pPr>
              <w:pStyle w:val="256"/>
              <w:widowControl/>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lang/>
              </w:rPr>
              <w:t>序号</w:t>
            </w:r>
          </w:p>
        </w:tc>
        <w:tc>
          <w:tcPr>
            <w:tcW w:w="1794" w:type="pct"/>
            <w:vMerge w:val="restart"/>
            <w:tcBorders>
              <w:top w:val="thinThickSmallGap" w:color="auto" w:sz="12" w:space="0"/>
              <w:left w:val="single" w:color="auto" w:sz="4" w:space="0"/>
              <w:bottom w:val="single" w:color="auto" w:sz="4" w:space="0"/>
              <w:right w:val="single" w:color="auto" w:sz="4" w:space="0"/>
            </w:tcBorders>
            <w:shd w:val="clear" w:color="auto" w:fill="E0E0E0"/>
            <w:vAlign w:val="center"/>
          </w:tcPr>
          <w:p>
            <w:pPr>
              <w:pStyle w:val="256"/>
              <w:widowControl/>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lang/>
              </w:rPr>
              <w:t>企业</w:t>
            </w:r>
            <w:r>
              <w:rPr>
                <w:rFonts w:hint="default" w:ascii="Times New Roman" w:hAnsi="Times New Roman" w:cs="Times New Roman"/>
                <w:color w:val="000000"/>
                <w:sz w:val="21"/>
                <w:szCs w:val="21"/>
                <w:bdr w:val="none" w:color="auto" w:sz="0" w:space="0"/>
                <w:lang w:eastAsia="zh-CN"/>
              </w:rPr>
              <w:t>/</w:t>
            </w:r>
            <w:r>
              <w:rPr>
                <w:rFonts w:ascii="Times New Roman" w:hAnsi="Times New Roman" w:cs="Times New Roman"/>
                <w:color w:val="000000"/>
                <w:sz w:val="21"/>
                <w:szCs w:val="21"/>
                <w:bdr w:val="none" w:color="auto" w:sz="0" w:space="0"/>
                <w:lang w:eastAsia="zh-CN"/>
              </w:rPr>
              <w:t>项目</w:t>
            </w:r>
            <w:r>
              <w:rPr>
                <w:rFonts w:ascii="Times New Roman" w:hAnsi="Times New Roman" w:cs="Times New Roman"/>
                <w:color w:val="000000"/>
                <w:sz w:val="21"/>
                <w:szCs w:val="21"/>
                <w:bdr w:val="none" w:color="auto" w:sz="0" w:space="0"/>
                <w:lang/>
              </w:rPr>
              <w:t>名称</w:t>
            </w:r>
          </w:p>
        </w:tc>
        <w:tc>
          <w:tcPr>
            <w:tcW w:w="1300" w:type="pct"/>
            <w:gridSpan w:val="2"/>
            <w:tcBorders>
              <w:top w:val="thinThickSmallGap" w:color="auto" w:sz="12" w:space="0"/>
              <w:left w:val="single" w:color="auto" w:sz="4" w:space="0"/>
              <w:bottom w:val="single" w:color="auto" w:sz="4" w:space="0"/>
              <w:right w:val="single" w:color="auto" w:sz="4" w:space="0"/>
            </w:tcBorders>
            <w:shd w:val="clear" w:color="auto" w:fill="E0E0E0"/>
            <w:vAlign w:val="center"/>
          </w:tcPr>
          <w:p>
            <w:pPr>
              <w:pStyle w:val="256"/>
              <w:widowControl/>
              <w:spacing w:before="60" w:beforeAutospacing="0" w:after="60" w:afterAutospacing="0"/>
              <w:ind w:left="-170" w:right="-170"/>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lang/>
              </w:rPr>
              <w:t>相对本项目</w:t>
            </w:r>
          </w:p>
        </w:tc>
        <w:tc>
          <w:tcPr>
            <w:tcW w:w="1606" w:type="pct"/>
            <w:gridSpan w:val="3"/>
            <w:tcBorders>
              <w:top w:val="thinThickSmallGap" w:color="auto" w:sz="12" w:space="0"/>
              <w:left w:val="single" w:color="auto" w:sz="4" w:space="0"/>
              <w:bottom w:val="single" w:color="auto" w:sz="4" w:space="0"/>
              <w:right w:val="nil"/>
            </w:tcBorders>
            <w:shd w:val="clear" w:color="auto" w:fill="E0E0E0"/>
            <w:vAlign w:val="top"/>
          </w:tcPr>
          <w:p>
            <w:pPr>
              <w:pStyle w:val="256"/>
              <w:widowControl/>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lang/>
              </w:rPr>
              <w:t>污染物排放量（</w:t>
            </w:r>
            <w:r>
              <w:rPr>
                <w:rFonts w:hint="default" w:ascii="Times New Roman" w:hAnsi="Times New Roman" w:cs="Times New Roman"/>
                <w:color w:val="000000"/>
                <w:sz w:val="21"/>
                <w:szCs w:val="21"/>
                <w:bdr w:val="none" w:color="auto" w:sz="0" w:space="0"/>
                <w:lang/>
              </w:rPr>
              <w:t>t/a</w:t>
            </w:r>
            <w:r>
              <w:rPr>
                <w:rFonts w:ascii="Times New Roman" w:hAnsi="Times New Roman" w:cs="Times New Roman"/>
                <w:color w:val="000000"/>
                <w:sz w:val="21"/>
                <w:szCs w:val="21"/>
                <w:bdr w:val="none" w:color="auto" w:sz="0" w:space="0"/>
                <w:lang/>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75" w:hRule="atLeast"/>
          <w:tblHeader/>
        </w:trPr>
        <w:tc>
          <w:tcPr>
            <w:tcW w:w="300" w:type="pct"/>
            <w:vMerge w:val="continue"/>
            <w:tcBorders>
              <w:top w:val="thinThickSmallGap" w:color="auto" w:sz="12" w:space="0"/>
              <w:left w:val="nil"/>
              <w:bottom w:val="single" w:color="auto" w:sz="4" w:space="0"/>
              <w:right w:val="single" w:color="auto" w:sz="4" w:space="0"/>
            </w:tcBorders>
            <w:shd w:val="clear" w:color="auto" w:fill="E0E0E0"/>
            <w:vAlign w:val="center"/>
          </w:tcPr>
          <w:p>
            <w:pPr>
              <w:rPr>
                <w:rFonts w:hint="default" w:ascii="Times New Roman" w:hAnsi="Times New Roman" w:cs="Times New Roman"/>
                <w:sz w:val="20"/>
                <w:szCs w:val="20"/>
              </w:rPr>
            </w:pPr>
          </w:p>
        </w:tc>
        <w:tc>
          <w:tcPr>
            <w:tcW w:w="1794" w:type="pct"/>
            <w:vMerge w:val="continue"/>
            <w:tcBorders>
              <w:top w:val="thinThickSmallGap" w:color="auto" w:sz="12" w:space="0"/>
              <w:left w:val="single" w:color="auto" w:sz="4" w:space="0"/>
              <w:bottom w:val="single" w:color="auto" w:sz="4" w:space="0"/>
              <w:right w:val="single" w:color="auto" w:sz="4" w:space="0"/>
            </w:tcBorders>
            <w:shd w:val="clear" w:color="auto" w:fill="E0E0E0"/>
            <w:vAlign w:val="center"/>
          </w:tcPr>
          <w:p>
            <w:pPr>
              <w:rPr>
                <w:rFonts w:hint="default" w:ascii="Times New Roman" w:hAnsi="Times New Roman" w:cs="Times New Roman"/>
                <w:sz w:val="20"/>
                <w:szCs w:val="20"/>
              </w:rPr>
            </w:pPr>
          </w:p>
        </w:tc>
        <w:tc>
          <w:tcPr>
            <w:tcW w:w="569" w:type="pct"/>
            <w:tcBorders>
              <w:top w:val="single" w:color="auto" w:sz="4" w:space="0"/>
              <w:left w:val="single" w:color="auto" w:sz="4" w:space="0"/>
              <w:bottom w:val="single" w:color="auto" w:sz="4" w:space="0"/>
              <w:right w:val="single" w:color="auto" w:sz="4" w:space="0"/>
            </w:tcBorders>
            <w:shd w:val="clear" w:color="auto" w:fill="E0E0E0"/>
            <w:vAlign w:val="center"/>
          </w:tcPr>
          <w:p>
            <w:pPr>
              <w:pStyle w:val="256"/>
              <w:widowControl/>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lang/>
              </w:rPr>
              <w:t>方位</w:t>
            </w:r>
          </w:p>
        </w:tc>
        <w:tc>
          <w:tcPr>
            <w:tcW w:w="732" w:type="pct"/>
            <w:tcBorders>
              <w:top w:val="single" w:color="auto" w:sz="4" w:space="0"/>
              <w:left w:val="single" w:color="auto" w:sz="4" w:space="0"/>
              <w:bottom w:val="single" w:color="auto" w:sz="4" w:space="0"/>
              <w:right w:val="single" w:color="auto" w:sz="4" w:space="0"/>
            </w:tcBorders>
            <w:shd w:val="clear" w:color="auto" w:fill="E0E0E0"/>
            <w:vAlign w:val="center"/>
          </w:tcPr>
          <w:p>
            <w:pPr>
              <w:pStyle w:val="256"/>
              <w:widowControl/>
              <w:spacing w:before="0" w:beforeAutospacing="0" w:after="0" w:afterAutospacing="0"/>
              <w:ind w:left="-113" w:right="-113"/>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lang/>
              </w:rPr>
              <w:t>距离（</w:t>
            </w:r>
            <w:r>
              <w:rPr>
                <w:rFonts w:hint="default" w:ascii="Times New Roman" w:hAnsi="Times New Roman" w:cs="Times New Roman"/>
                <w:color w:val="000000"/>
                <w:sz w:val="21"/>
                <w:szCs w:val="21"/>
                <w:bdr w:val="none" w:color="auto" w:sz="0" w:space="0"/>
                <w:lang/>
              </w:rPr>
              <w:t>km</w:t>
            </w:r>
            <w:r>
              <w:rPr>
                <w:rFonts w:ascii="Times New Roman" w:hAnsi="Times New Roman" w:cs="Times New Roman"/>
                <w:color w:val="000000"/>
                <w:sz w:val="21"/>
                <w:szCs w:val="21"/>
                <w:bdr w:val="none" w:color="auto" w:sz="0" w:space="0"/>
                <w:lang/>
              </w:rPr>
              <w:t>）</w:t>
            </w:r>
          </w:p>
        </w:tc>
        <w:tc>
          <w:tcPr>
            <w:tcW w:w="554" w:type="pct"/>
            <w:tcBorders>
              <w:top w:val="single" w:color="auto" w:sz="4" w:space="0"/>
              <w:left w:val="single" w:color="auto" w:sz="4" w:space="0"/>
              <w:bottom w:val="single" w:color="auto" w:sz="4" w:space="0"/>
              <w:right w:val="single" w:color="auto" w:sz="4" w:space="0"/>
            </w:tcBorders>
            <w:shd w:val="clear" w:color="auto" w:fill="E0E0E0"/>
            <w:vAlign w:val="center"/>
          </w:tcPr>
          <w:p>
            <w:pPr>
              <w:pStyle w:val="256"/>
              <w:widowControl/>
              <w:ind w:left="0"/>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lang/>
              </w:rPr>
              <w:t>颗粒物</w:t>
            </w:r>
          </w:p>
        </w:tc>
        <w:tc>
          <w:tcPr>
            <w:tcW w:w="584" w:type="pct"/>
            <w:tcBorders>
              <w:top w:val="single" w:color="auto" w:sz="4" w:space="0"/>
              <w:left w:val="single" w:color="auto" w:sz="4" w:space="0"/>
              <w:bottom w:val="single" w:color="auto" w:sz="4" w:space="0"/>
              <w:right w:val="single" w:color="auto" w:sz="4" w:space="0"/>
            </w:tcBorders>
            <w:shd w:val="clear" w:color="auto" w:fill="E0E0E0"/>
            <w:vAlign w:val="center"/>
          </w:tcPr>
          <w:p>
            <w:pPr>
              <w:pStyle w:val="256"/>
              <w:widowControl/>
              <w:ind w:left="0"/>
              <w:rPr>
                <w:rFonts w:hint="default" w:ascii="Times New Roman" w:hAnsi="Times New Roman" w:cs="Times New Roman"/>
                <w:color w:val="000000"/>
                <w:sz w:val="21"/>
                <w:szCs w:val="21"/>
                <w:bdr w:val="none" w:color="auto" w:sz="0" w:space="0"/>
                <w:lang/>
              </w:rPr>
            </w:pPr>
            <w:r>
              <w:rPr>
                <w:rFonts w:hint="default" w:ascii="Times New Roman" w:hAnsi="Times New Roman" w:cs="Times New Roman"/>
                <w:color w:val="000000"/>
                <w:sz w:val="21"/>
                <w:szCs w:val="21"/>
                <w:bdr w:val="none" w:color="auto" w:sz="0" w:space="0"/>
                <w:lang/>
              </w:rPr>
              <w:t>COD</w:t>
            </w:r>
          </w:p>
        </w:tc>
        <w:tc>
          <w:tcPr>
            <w:tcW w:w="467" w:type="pct"/>
            <w:tcBorders>
              <w:top w:val="single" w:color="auto" w:sz="4" w:space="0"/>
              <w:left w:val="single" w:color="auto" w:sz="4" w:space="0"/>
              <w:bottom w:val="single" w:color="auto" w:sz="4" w:space="0"/>
              <w:right w:val="nil"/>
            </w:tcBorders>
            <w:shd w:val="clear" w:color="auto" w:fill="E0E0E0"/>
            <w:vAlign w:val="center"/>
          </w:tcPr>
          <w:p>
            <w:pPr>
              <w:pStyle w:val="256"/>
              <w:widowControl/>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lang/>
              </w:rPr>
              <w:t>氨氮</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300" w:type="pct"/>
            <w:tcBorders>
              <w:top w:val="single" w:color="auto" w:sz="4" w:space="0"/>
              <w:left w:val="nil"/>
              <w:bottom w:val="thickThinSmallGap" w:color="auto" w:sz="12" w:space="0"/>
              <w:right w:val="single" w:color="auto" w:sz="4" w:space="0"/>
            </w:tcBorders>
            <w:shd w:val="clear"/>
            <w:vAlign w:val="center"/>
          </w:tcPr>
          <w:p>
            <w:pPr>
              <w:pStyle w:val="138"/>
              <w:widowControl/>
              <w:spacing w:before="0" w:beforeAutospacing="0" w:after="0" w:afterAutospacing="0"/>
              <w:ind w:left="-57" w:right="-57"/>
              <w:rPr>
                <w:rFonts w:hint="default" w:ascii="Times New Roman" w:hAnsi="Times New Roman" w:cs="Times New Roman"/>
                <w:szCs w:val="21"/>
                <w:bdr w:val="none" w:color="auto" w:sz="0" w:space="0"/>
                <w:lang/>
              </w:rPr>
            </w:pPr>
            <w:r>
              <w:rPr>
                <w:rFonts w:hint="default" w:ascii="Times New Roman" w:hAnsi="Times New Roman" w:cs="Times New Roman"/>
                <w:szCs w:val="21"/>
                <w:bdr w:val="none" w:color="auto" w:sz="0" w:space="0"/>
                <w:lang w:eastAsia="zh-CN"/>
              </w:rPr>
              <w:t>1</w:t>
            </w:r>
          </w:p>
        </w:tc>
        <w:tc>
          <w:tcPr>
            <w:tcW w:w="1794" w:type="pct"/>
            <w:tcBorders>
              <w:top w:val="single" w:color="auto" w:sz="4" w:space="0"/>
              <w:left w:val="single" w:color="auto" w:sz="4" w:space="0"/>
              <w:bottom w:val="thickThinSmallGap" w:color="auto" w:sz="12" w:space="0"/>
              <w:right w:val="single" w:color="auto" w:sz="4" w:space="0"/>
            </w:tcBorders>
            <w:shd w:val="clear"/>
            <w:vAlign w:val="center"/>
          </w:tcPr>
          <w:p>
            <w:pPr>
              <w:pStyle w:val="138"/>
              <w:widowControl/>
              <w:spacing w:before="0" w:beforeAutospacing="0" w:after="0" w:afterAutospacing="0"/>
              <w:ind w:left="-105" w:leftChars="-50" w:right="-105" w:rightChars="-50"/>
              <w:rPr>
                <w:rFonts w:hint="default" w:ascii="Times New Roman" w:hAnsi="Times New Roman" w:cs="Times New Roman"/>
                <w:szCs w:val="21"/>
                <w:bdr w:val="none" w:color="auto" w:sz="0" w:space="0"/>
                <w:lang w:eastAsia="zh-CN"/>
              </w:rPr>
            </w:pPr>
            <w:r>
              <w:rPr>
                <w:rFonts w:ascii="Times New Roman" w:hAnsi="Times New Roman" w:cs="Times New Roman"/>
                <w:bdr w:val="none" w:color="auto" w:sz="0" w:space="0"/>
                <w:lang/>
              </w:rPr>
              <w:t>辽宁华子玉镁铝科技有限公司低品位菱镁矿经浮选电熔后生产</w:t>
            </w:r>
            <w:r>
              <w:rPr>
                <w:rFonts w:hint="default" w:ascii="Times New Roman" w:hAnsi="Times New Roman" w:cs="Times New Roman"/>
                <w:bdr w:val="none" w:color="auto" w:sz="0" w:space="0"/>
                <w:lang/>
              </w:rPr>
              <w:t>12</w:t>
            </w:r>
            <w:r>
              <w:rPr>
                <w:rFonts w:ascii="Times New Roman" w:hAnsi="Times New Roman" w:cs="Times New Roman"/>
                <w:bdr w:val="none" w:color="auto" w:sz="0" w:space="0"/>
                <w:lang/>
              </w:rPr>
              <w:t>万吨</w:t>
            </w:r>
            <w:r>
              <w:rPr>
                <w:rFonts w:hint="default" w:ascii="Times New Roman" w:hAnsi="Times New Roman" w:cs="Times New Roman"/>
                <w:bdr w:val="none" w:color="auto" w:sz="0" w:space="0"/>
                <w:lang/>
              </w:rPr>
              <w:t>/</w:t>
            </w:r>
            <w:r>
              <w:rPr>
                <w:rFonts w:ascii="Times New Roman" w:hAnsi="Times New Roman" w:cs="Times New Roman"/>
                <w:bdr w:val="none" w:color="auto" w:sz="0" w:space="0"/>
                <w:lang/>
              </w:rPr>
              <w:t>年镁碳砖生产线项目</w:t>
            </w:r>
          </w:p>
        </w:tc>
        <w:tc>
          <w:tcPr>
            <w:tcW w:w="569" w:type="pct"/>
            <w:tcBorders>
              <w:top w:val="single" w:color="auto" w:sz="4" w:space="0"/>
              <w:left w:val="single" w:color="auto" w:sz="4" w:space="0"/>
              <w:bottom w:val="thickThinSmallGap" w:color="auto" w:sz="12" w:space="0"/>
              <w:right w:val="single" w:color="auto" w:sz="4" w:space="0"/>
            </w:tcBorders>
            <w:shd w:val="clear"/>
            <w:vAlign w:val="center"/>
          </w:tcPr>
          <w:p>
            <w:pPr>
              <w:pStyle w:val="138"/>
              <w:widowControl/>
              <w:spacing w:before="0" w:beforeAutospacing="0" w:after="0" w:afterAutospacing="0"/>
              <w:ind w:left="-57" w:right="-57"/>
              <w:rPr>
                <w:rFonts w:hint="default" w:ascii="Times New Roman" w:hAnsi="Times New Roman" w:cs="Times New Roman"/>
                <w:szCs w:val="21"/>
                <w:bdr w:val="none" w:color="auto" w:sz="0" w:space="0"/>
                <w:lang w:eastAsia="zh-CN"/>
              </w:rPr>
            </w:pPr>
            <w:r>
              <w:rPr>
                <w:rFonts w:hint="default" w:ascii="Times New Roman" w:hAnsi="Times New Roman" w:cs="Times New Roman"/>
                <w:szCs w:val="21"/>
                <w:bdr w:val="none" w:color="auto" w:sz="0" w:space="0"/>
                <w:lang w:eastAsia="zh-CN"/>
              </w:rPr>
              <w:t>NE</w:t>
            </w:r>
          </w:p>
        </w:tc>
        <w:tc>
          <w:tcPr>
            <w:tcW w:w="732" w:type="pct"/>
            <w:tcBorders>
              <w:top w:val="single" w:color="auto" w:sz="4" w:space="0"/>
              <w:left w:val="single" w:color="auto" w:sz="4" w:space="0"/>
              <w:bottom w:val="thickThinSmallGap" w:color="auto" w:sz="12" w:space="0"/>
              <w:right w:val="single" w:color="auto" w:sz="4" w:space="0"/>
            </w:tcBorders>
            <w:shd w:val="clear"/>
            <w:vAlign w:val="center"/>
          </w:tcPr>
          <w:p>
            <w:pPr>
              <w:pStyle w:val="138"/>
              <w:widowControl/>
              <w:spacing w:before="0" w:beforeAutospacing="0" w:after="0" w:afterAutospacing="0"/>
              <w:ind w:left="-57" w:right="-57"/>
              <w:rPr>
                <w:rFonts w:hint="default" w:ascii="Times New Roman" w:hAnsi="Times New Roman" w:cs="Times New Roman"/>
                <w:szCs w:val="21"/>
                <w:bdr w:val="none" w:color="auto" w:sz="0" w:space="0"/>
                <w:lang w:eastAsia="zh-CN"/>
              </w:rPr>
            </w:pPr>
            <w:r>
              <w:rPr>
                <w:rFonts w:hint="default" w:ascii="Times New Roman" w:hAnsi="Times New Roman" w:cs="Times New Roman"/>
                <w:szCs w:val="21"/>
                <w:bdr w:val="none" w:color="auto" w:sz="0" w:space="0"/>
                <w:lang w:eastAsia="zh-CN"/>
              </w:rPr>
              <w:t>0.98</w:t>
            </w:r>
          </w:p>
        </w:tc>
        <w:tc>
          <w:tcPr>
            <w:tcW w:w="554" w:type="pct"/>
            <w:tcBorders>
              <w:top w:val="single" w:color="auto" w:sz="4" w:space="0"/>
              <w:left w:val="single" w:color="auto" w:sz="4" w:space="0"/>
              <w:bottom w:val="thickThinSmallGap" w:color="auto" w:sz="12" w:space="0"/>
              <w:right w:val="single" w:color="auto" w:sz="4" w:space="0"/>
            </w:tcBorders>
            <w:shd w:val="clear"/>
            <w:vAlign w:val="center"/>
          </w:tcPr>
          <w:p>
            <w:pPr>
              <w:pStyle w:val="138"/>
              <w:widowControl/>
              <w:spacing w:before="0" w:beforeAutospacing="0" w:after="0" w:afterAutospacing="0"/>
              <w:ind w:left="-105" w:leftChars="-50" w:right="-105" w:rightChars="-50"/>
              <w:rPr>
                <w:rFonts w:hint="default" w:ascii="Times New Roman" w:hAnsi="Times New Roman" w:cs="Times New Roman"/>
                <w:szCs w:val="21"/>
                <w:bdr w:val="none" w:color="auto" w:sz="0" w:space="0"/>
                <w:lang w:eastAsia="zh-CN"/>
              </w:rPr>
            </w:pPr>
            <w:r>
              <w:rPr>
                <w:rFonts w:hint="default" w:ascii="Times New Roman" w:hAnsi="Times New Roman" w:cs="Times New Roman"/>
                <w:szCs w:val="21"/>
                <w:bdr w:val="none" w:color="auto" w:sz="0" w:space="0"/>
                <w:lang w:eastAsia="zh-CN"/>
              </w:rPr>
              <w:t>29.94</w:t>
            </w:r>
          </w:p>
        </w:tc>
        <w:tc>
          <w:tcPr>
            <w:tcW w:w="584" w:type="pct"/>
            <w:tcBorders>
              <w:top w:val="single" w:color="auto" w:sz="4" w:space="0"/>
              <w:left w:val="single" w:color="auto" w:sz="4" w:space="0"/>
              <w:bottom w:val="thickThinSmallGap" w:color="auto" w:sz="12" w:space="0"/>
              <w:right w:val="single" w:color="auto" w:sz="4" w:space="0"/>
            </w:tcBorders>
            <w:shd w:val="clear"/>
            <w:vAlign w:val="center"/>
          </w:tcPr>
          <w:p>
            <w:pPr>
              <w:pStyle w:val="138"/>
              <w:widowControl/>
              <w:spacing w:before="0" w:beforeAutospacing="0" w:after="0" w:afterAutospacing="0"/>
              <w:ind w:left="-105" w:leftChars="-50" w:right="-105" w:rightChars="-50"/>
              <w:rPr>
                <w:rFonts w:hint="default" w:ascii="Times New Roman" w:hAnsi="Times New Roman" w:cs="Times New Roman"/>
                <w:szCs w:val="21"/>
                <w:bdr w:val="none" w:color="auto" w:sz="0" w:space="0"/>
                <w:lang w:eastAsia="zh-CN"/>
              </w:rPr>
            </w:pPr>
            <w:r>
              <w:rPr>
                <w:rFonts w:hint="default" w:ascii="Times New Roman" w:hAnsi="Times New Roman" w:cs="Times New Roman"/>
                <w:szCs w:val="21"/>
                <w:bdr w:val="none" w:color="auto" w:sz="0" w:space="0"/>
                <w:lang w:eastAsia="zh-CN"/>
              </w:rPr>
              <w:t>0</w:t>
            </w:r>
          </w:p>
        </w:tc>
        <w:tc>
          <w:tcPr>
            <w:tcW w:w="467" w:type="pct"/>
            <w:tcBorders>
              <w:top w:val="single" w:color="auto" w:sz="4" w:space="0"/>
              <w:left w:val="single" w:color="auto" w:sz="4" w:space="0"/>
              <w:bottom w:val="thickThinSmallGap" w:color="auto" w:sz="12" w:space="0"/>
              <w:right w:val="nil"/>
            </w:tcBorders>
            <w:shd w:val="clear"/>
            <w:vAlign w:val="center"/>
          </w:tcPr>
          <w:p>
            <w:pPr>
              <w:pStyle w:val="138"/>
              <w:widowControl/>
              <w:spacing w:before="0" w:beforeAutospacing="0" w:after="0" w:afterAutospacing="0"/>
              <w:ind w:left="-105" w:leftChars="-50" w:right="-105" w:rightChars="-50"/>
              <w:rPr>
                <w:rFonts w:hint="default" w:ascii="Times New Roman" w:hAnsi="Times New Roman" w:cs="Times New Roman"/>
                <w:szCs w:val="21"/>
                <w:bdr w:val="none" w:color="auto" w:sz="0" w:space="0"/>
                <w:lang w:eastAsia="zh-CN"/>
              </w:rPr>
            </w:pPr>
            <w:r>
              <w:rPr>
                <w:rFonts w:hint="default" w:ascii="Times New Roman" w:hAnsi="Times New Roman" w:cs="Times New Roman"/>
                <w:szCs w:val="21"/>
                <w:bdr w:val="none" w:color="auto" w:sz="0" w:space="0"/>
                <w:lang w:eastAsia="zh-CN"/>
              </w:rPr>
              <w:t>0</w:t>
            </w:r>
          </w:p>
        </w:tc>
      </w:tr>
    </w:tbl>
    <w:p>
      <w:pPr>
        <w:keepNext w:val="0"/>
        <w:keepLines w:val="0"/>
        <w:widowControl/>
        <w:suppressLineNumbers w:val="0"/>
        <w:spacing w:before="0" w:beforeAutospacing="0" w:after="0" w:afterAutospacing="0" w:line="500" w:lineRule="exact"/>
        <w:ind w:left="0" w:right="0" w:firstLine="310" w:firstLineChars="147"/>
        <w:jc w:val="left"/>
        <w:rPr>
          <w:rFonts w:hint="default" w:ascii="Times New Roman" w:hAnsi="Times New Roman" w:cs="Times New Roman"/>
          <w:b/>
          <w:bCs w:val="0"/>
          <w:color w:val="000000"/>
          <w:lang w:val="en-US"/>
        </w:rPr>
      </w:pPr>
    </w:p>
    <w:p>
      <w:pPr>
        <w:rPr>
          <w:rFonts w:hint="default" w:ascii="Times New Roman" w:hAnsi="Times New Roman" w:eastAsia="宋体" w:cs="Times New Roman"/>
          <w:b/>
          <w:bCs w:val="0"/>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p>
      <w:pPr>
        <w:pStyle w:val="7"/>
        <w:widowControl/>
        <w:rPr>
          <w:rFonts w:hint="default" w:ascii="Times New Roman" w:hAnsi="Times New Roman" w:cs="Times New Roman"/>
          <w:color w:val="000000"/>
          <w:lang/>
        </w:rPr>
      </w:pPr>
      <w:bookmarkStart w:id="174" w:name="_Toc175714276"/>
      <w:bookmarkStart w:id="175" w:name="_Toc175711443"/>
      <w:bookmarkStart w:id="176" w:name="_Toc41656140"/>
      <w:r>
        <w:rPr>
          <w:rFonts w:hint="default" w:ascii="Times New Roman" w:hAnsi="Times New Roman" w:cs="Times New Roman"/>
          <w:color w:val="000000"/>
          <w:lang w:eastAsia="zh-CN"/>
        </w:rPr>
        <w:t>5</w:t>
      </w:r>
      <w:r>
        <w:rPr>
          <w:rFonts w:hint="default" w:ascii="Times New Roman" w:hAnsi="Times New Roman" w:cs="Times New Roman"/>
          <w:color w:val="000000"/>
          <w:lang/>
        </w:rPr>
        <w:t xml:space="preserve">. </w:t>
      </w:r>
      <w:r>
        <w:rPr>
          <w:rFonts w:ascii="Times New Roman" w:hAnsi="Times New Roman" w:cs="Times New Roman"/>
          <w:color w:val="000000"/>
          <w:lang/>
        </w:rPr>
        <w:t>环境影响预测与</w:t>
      </w:r>
      <w:bookmarkEnd w:id="174"/>
      <w:bookmarkEnd w:id="175"/>
      <w:r>
        <w:rPr>
          <w:rFonts w:ascii="Times New Roman" w:hAnsi="Times New Roman" w:cs="Times New Roman"/>
          <w:color w:val="000000"/>
          <w:lang/>
        </w:rPr>
        <w:t>评价</w:t>
      </w:r>
      <w:bookmarkEnd w:id="176"/>
    </w:p>
    <w:p>
      <w:pPr>
        <w:pStyle w:val="8"/>
        <w:widowControl/>
        <w:rPr>
          <w:color w:val="000000"/>
          <w:lang/>
        </w:rPr>
      </w:pPr>
      <w:bookmarkStart w:id="177" w:name="_Toc41656141"/>
      <w:r>
        <w:rPr>
          <w:color w:val="000000"/>
          <w:lang/>
        </w:rPr>
        <w:t xml:space="preserve">5.1 </w:t>
      </w:r>
      <w:r>
        <w:rPr>
          <w:rFonts w:hint="eastAsia" w:ascii="Times New Roman" w:hAnsi="Times New Roman" w:eastAsia="宋体" w:cs="宋体"/>
          <w:color w:val="000000"/>
          <w:lang w:eastAsia="zh-CN"/>
        </w:rPr>
        <w:t>施工期环境影响评价</w:t>
      </w:r>
      <w:bookmarkEnd w:id="177"/>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5.1.1</w:t>
      </w:r>
      <w:r>
        <w:rPr>
          <w:rFonts w:hint="default" w:ascii="Times New Roman" w:hAnsi="Times New Roman" w:cs="Times New Roman"/>
          <w:color w:val="000000"/>
          <w:lang/>
        </w:rPr>
        <w:t xml:space="preserve"> </w:t>
      </w:r>
      <w:r>
        <w:rPr>
          <w:rFonts w:ascii="Times New Roman" w:hAnsi="Times New Roman" w:cs="Times New Roman"/>
          <w:color w:val="000000"/>
          <w:lang w:eastAsia="zh-CN"/>
        </w:rPr>
        <w:t>施工期环境空气影响分析</w:t>
      </w:r>
    </w:p>
    <w:p>
      <w:pPr>
        <w:pStyle w:val="27"/>
        <w:keepNext w:val="0"/>
        <w:keepLines w:val="0"/>
        <w:widowControl/>
        <w:suppressLineNumbers w:val="0"/>
        <w:adjustRightInd w:val="0"/>
        <w:snapToGrid w:val="0"/>
        <w:spacing w:before="0" w:beforeAutospacing="0" w:after="0" w:afterAutospacing="0" w:line="520" w:lineRule="exact"/>
        <w:ind w:left="0" w:right="0" w:firstLine="480" w:firstLineChars="200"/>
        <w:jc w:val="left"/>
        <w:rPr>
          <w:rFonts w:hint="default" w:ascii="Times New Roman" w:hAnsi="Times New Roman" w:cs="宋体"/>
          <w:color w:val="000000"/>
          <w:lang/>
        </w:rPr>
      </w:pPr>
      <w:r>
        <w:rPr>
          <w:rFonts w:hint="eastAsia" w:ascii="Times New Roman" w:hAnsi="宋体" w:eastAsia="宋体" w:cs="宋体"/>
          <w:color w:val="000000"/>
          <w:kern w:val="0"/>
          <w:sz w:val="24"/>
          <w:szCs w:val="24"/>
          <w:lang w:eastAsia="zh-CN" w:bidi="ar"/>
        </w:rPr>
        <w:t>根据本项目工程分析，本项目施工时间较长，施工期间平整场地及开挖基槽、场地夯实、裸露地面、建构筑物施工建设等会产生扬尘污染，建材装卸及运输、粉状原料堆放及施工车辆行驶等也会产生扬尘污染；施工机械车辆燃烧柴油或汽油排放的尾气，会产生机动车尾气污染。不同施工阶段的主要大气污染源及排放的污染物列于表</w:t>
      </w:r>
      <w:r>
        <w:rPr>
          <w:rFonts w:hint="default" w:ascii="Times New Roman" w:hAnsi="Times New Roman" w:eastAsia="宋体" w:cs="宋体"/>
          <w:color w:val="000000"/>
          <w:kern w:val="0"/>
          <w:sz w:val="24"/>
          <w:szCs w:val="24"/>
          <w:lang w:eastAsia="zh-CN" w:bidi="ar"/>
        </w:rPr>
        <w:t>5.1-1</w:t>
      </w:r>
      <w:r>
        <w:rPr>
          <w:rFonts w:hint="eastAsia" w:ascii="Times New Roman" w:hAnsi="宋体" w:eastAsia="宋体" w:cs="宋体"/>
          <w:color w:val="000000"/>
          <w:kern w:val="0"/>
          <w:sz w:val="24"/>
          <w:szCs w:val="24"/>
          <w:lang w:eastAsia="zh-CN" w:bidi="ar"/>
        </w:rPr>
        <w:t>。</w:t>
      </w:r>
    </w:p>
    <w:p>
      <w:pPr>
        <w:keepNext w:val="0"/>
        <w:keepLines w:val="0"/>
        <w:widowControl/>
        <w:suppressLineNumbers w:val="0"/>
        <w:autoSpaceDE w:val="0"/>
        <w:autoSpaceDN w:val="0"/>
        <w:snapToGri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5.1-1    </w:t>
      </w:r>
      <w:r>
        <w:rPr>
          <w:rFonts w:hint="eastAsia" w:ascii="Times New Roman" w:hAnsi="Times New Roman" w:eastAsia="黑体" w:cs="Times New Roman"/>
          <w:color w:val="000000"/>
          <w:kern w:val="0"/>
          <w:sz w:val="24"/>
          <w:szCs w:val="24"/>
          <w:lang w:val="en-US" w:eastAsia="zh-CN" w:bidi="ar"/>
        </w:rPr>
        <w:t>不同施工阶段的主要大气污染源及污染物</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1818"/>
        <w:gridCol w:w="4554"/>
        <w:gridCol w:w="2132"/>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rPr>
        <w:tc>
          <w:tcPr>
            <w:tcW w:w="1818" w:type="dxa"/>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建筑施工阶段</w:t>
            </w:r>
          </w:p>
        </w:tc>
        <w:tc>
          <w:tcPr>
            <w:tcW w:w="4554"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主要污染源</w:t>
            </w:r>
          </w:p>
        </w:tc>
        <w:tc>
          <w:tcPr>
            <w:tcW w:w="2132" w:type="dxa"/>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主要污染物</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18"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平整场地</w:t>
            </w:r>
          </w:p>
        </w:tc>
        <w:tc>
          <w:tcPr>
            <w:tcW w:w="455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挖掘装载机、运输卡车等</w:t>
            </w:r>
          </w:p>
        </w:tc>
        <w:tc>
          <w:tcPr>
            <w:tcW w:w="2132"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粉尘、</w:t>
            </w:r>
            <w:r>
              <w:rPr>
                <w:rFonts w:hint="default" w:ascii="Times New Roman" w:hAnsi="Times New Roman" w:eastAsia="宋体" w:cs="Times New Roman"/>
                <w:color w:val="000000"/>
                <w:kern w:val="0"/>
                <w:sz w:val="21"/>
                <w:szCs w:val="24"/>
                <w:bdr w:val="none" w:color="auto" w:sz="0" w:space="0"/>
                <w:lang w:val="en-US" w:eastAsia="zh-CN" w:bidi="ar"/>
              </w:rPr>
              <w:t>NO</w:t>
            </w:r>
            <w:r>
              <w:rPr>
                <w:rFonts w:hint="default" w:ascii="Times New Roman" w:hAnsi="Times New Roman" w:eastAsia="宋体" w:cs="Times New Roman"/>
                <w:color w:val="000000"/>
                <w:kern w:val="0"/>
                <w:sz w:val="21"/>
                <w:szCs w:val="24"/>
                <w:bdr w:val="none" w:color="auto" w:sz="0" w:space="0"/>
                <w:vertAlign w:val="subscript"/>
                <w:lang w:val="en-US" w:eastAsia="zh-CN" w:bidi="ar"/>
              </w:rPr>
              <w:t>X</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CO</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HC</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18" w:type="dxa"/>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挖基础</w:t>
            </w:r>
          </w:p>
        </w:tc>
        <w:tc>
          <w:tcPr>
            <w:tcW w:w="455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宋体" w:hAnsi="宋体" w:eastAsia="宋体" w:cs="宋体"/>
                <w:color w:val="000000"/>
                <w:kern w:val="0"/>
                <w:sz w:val="21"/>
                <w:szCs w:val="24"/>
                <w:bdr w:val="none" w:color="auto" w:sz="0" w:space="0"/>
                <w:lang w:val="en-US" w:eastAsia="zh-CN" w:bidi="ar"/>
              </w:rPr>
              <w:t>①</w:t>
            </w:r>
            <w:r>
              <w:rPr>
                <w:rFonts w:hint="eastAsia" w:ascii="Times New Roman" w:hAnsi="Times New Roman" w:eastAsia="宋体" w:cs="Times New Roman"/>
                <w:color w:val="000000"/>
                <w:kern w:val="0"/>
                <w:sz w:val="21"/>
                <w:szCs w:val="24"/>
                <w:bdr w:val="none" w:color="auto" w:sz="0" w:space="0"/>
                <w:lang w:val="en-US" w:eastAsia="zh-CN" w:bidi="ar"/>
              </w:rPr>
              <w:t>裸露地面、土方堆场、道路扬尘、建材堆场等</w:t>
            </w:r>
          </w:p>
        </w:tc>
        <w:tc>
          <w:tcPr>
            <w:tcW w:w="2132" w:type="dxa"/>
            <w:vMerge w:val="restar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粉尘、</w:t>
            </w:r>
            <w:r>
              <w:rPr>
                <w:rFonts w:hint="default" w:ascii="Times New Roman" w:hAnsi="Times New Roman" w:eastAsia="宋体" w:cs="Times New Roman"/>
                <w:color w:val="000000"/>
                <w:kern w:val="0"/>
                <w:sz w:val="21"/>
                <w:szCs w:val="24"/>
                <w:bdr w:val="none" w:color="auto" w:sz="0" w:space="0"/>
                <w:lang w:val="en-US" w:eastAsia="zh-CN" w:bidi="ar"/>
              </w:rPr>
              <w:t>NO</w:t>
            </w:r>
            <w:r>
              <w:rPr>
                <w:rFonts w:hint="default" w:ascii="Times New Roman" w:hAnsi="Times New Roman" w:eastAsia="宋体" w:cs="Times New Roman"/>
                <w:color w:val="000000"/>
                <w:kern w:val="0"/>
                <w:sz w:val="21"/>
                <w:szCs w:val="24"/>
                <w:bdr w:val="none" w:color="auto" w:sz="0" w:space="0"/>
                <w:vertAlign w:val="subscript"/>
                <w:lang w:val="en-US" w:eastAsia="zh-CN" w:bidi="ar"/>
              </w:rPr>
              <w:t>X</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CO</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HC</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18"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455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宋体" w:hAnsi="宋体" w:eastAsia="宋体" w:cs="宋体"/>
                <w:color w:val="000000"/>
                <w:kern w:val="0"/>
                <w:sz w:val="21"/>
                <w:szCs w:val="24"/>
                <w:bdr w:val="none" w:color="auto" w:sz="0" w:space="0"/>
                <w:lang w:val="en-US" w:eastAsia="zh-CN" w:bidi="ar"/>
              </w:rPr>
              <w:t>②</w:t>
            </w:r>
            <w:r>
              <w:rPr>
                <w:rFonts w:hint="eastAsia" w:ascii="Times New Roman" w:hAnsi="Times New Roman" w:eastAsia="宋体" w:cs="Times New Roman"/>
                <w:color w:val="000000"/>
                <w:kern w:val="0"/>
                <w:sz w:val="21"/>
                <w:szCs w:val="24"/>
                <w:bdr w:val="none" w:color="auto" w:sz="0" w:space="0"/>
                <w:lang w:val="en-US" w:eastAsia="zh-CN" w:bidi="ar"/>
              </w:rPr>
              <w:t>挖掘装载机、运输卡车等</w:t>
            </w:r>
          </w:p>
        </w:tc>
        <w:tc>
          <w:tcPr>
            <w:tcW w:w="2132" w:type="dxa"/>
            <w:vMerge w:val="continue"/>
            <w:tcBorders>
              <w:top w:val="single" w:color="auto" w:sz="6" w:space="0"/>
              <w:left w:val="single" w:color="auto" w:sz="6" w:space="0"/>
              <w:bottom w:val="single" w:color="auto" w:sz="6"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18" w:type="dxa"/>
            <w:vMerge w:val="restar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基础、建筑物构筑</w:t>
            </w:r>
          </w:p>
        </w:tc>
        <w:tc>
          <w:tcPr>
            <w:tcW w:w="4554"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宋体" w:hAnsi="宋体" w:eastAsia="宋体" w:cs="宋体"/>
                <w:color w:val="000000"/>
                <w:kern w:val="0"/>
                <w:sz w:val="21"/>
                <w:szCs w:val="24"/>
                <w:bdr w:val="none" w:color="auto" w:sz="0" w:space="0"/>
                <w:lang w:val="en-US" w:eastAsia="zh-CN" w:bidi="ar"/>
              </w:rPr>
              <w:t>①</w:t>
            </w:r>
            <w:r>
              <w:rPr>
                <w:rFonts w:hint="eastAsia" w:ascii="Times New Roman" w:hAnsi="Times New Roman" w:eastAsia="宋体" w:cs="Times New Roman"/>
                <w:color w:val="000000"/>
                <w:kern w:val="0"/>
                <w:sz w:val="21"/>
                <w:szCs w:val="24"/>
                <w:bdr w:val="none" w:color="auto" w:sz="0" w:space="0"/>
                <w:lang w:val="en-US" w:eastAsia="zh-CN" w:bidi="ar"/>
              </w:rPr>
              <w:t>建材堆场、建材装卸、地面和道路扬尘等</w:t>
            </w:r>
          </w:p>
        </w:tc>
        <w:tc>
          <w:tcPr>
            <w:tcW w:w="2132" w:type="dxa"/>
            <w:vMerge w:val="restar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粉尘、</w:t>
            </w:r>
            <w:r>
              <w:rPr>
                <w:rFonts w:hint="default" w:ascii="Times New Roman" w:hAnsi="Times New Roman" w:eastAsia="宋体" w:cs="Times New Roman"/>
                <w:color w:val="000000"/>
                <w:kern w:val="0"/>
                <w:sz w:val="21"/>
                <w:szCs w:val="24"/>
                <w:bdr w:val="none" w:color="auto" w:sz="0" w:space="0"/>
                <w:lang w:val="en-US" w:eastAsia="zh-CN" w:bidi="ar"/>
              </w:rPr>
              <w:t>NO</w:t>
            </w:r>
            <w:r>
              <w:rPr>
                <w:rFonts w:hint="default" w:ascii="Times New Roman" w:hAnsi="Times New Roman" w:eastAsia="宋体" w:cs="Times New Roman"/>
                <w:color w:val="000000"/>
                <w:kern w:val="0"/>
                <w:sz w:val="21"/>
                <w:szCs w:val="24"/>
                <w:bdr w:val="none" w:color="auto" w:sz="0" w:space="0"/>
                <w:vertAlign w:val="subscript"/>
                <w:lang w:val="en-US" w:eastAsia="zh-CN" w:bidi="ar"/>
              </w:rPr>
              <w:t>X</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CO</w:t>
            </w:r>
            <w:r>
              <w:rPr>
                <w:rFonts w:hint="eastAsia" w:ascii="Times New Roman" w:hAnsi="Times New Roman" w:eastAsia="宋体" w:cs="Times New Roman"/>
                <w:color w:val="000000"/>
                <w:kern w:val="0"/>
                <w:sz w:val="21"/>
                <w:szCs w:val="24"/>
                <w:bdr w:val="none" w:color="auto" w:sz="0" w:space="0"/>
                <w:lang w:val="en-US" w:eastAsia="zh-CN" w:bidi="ar"/>
              </w:rPr>
              <w:t>、</w:t>
            </w:r>
            <w:r>
              <w:rPr>
                <w:rFonts w:hint="default" w:ascii="Times New Roman" w:hAnsi="Times New Roman" w:eastAsia="宋体" w:cs="Times New Roman"/>
                <w:color w:val="000000"/>
                <w:kern w:val="0"/>
                <w:sz w:val="21"/>
                <w:szCs w:val="24"/>
                <w:bdr w:val="none" w:color="auto" w:sz="0" w:space="0"/>
                <w:lang w:val="en-US" w:eastAsia="zh-CN" w:bidi="ar"/>
              </w:rPr>
              <w:t>HC</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18" w:type="dxa"/>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4554"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宋体" w:hAnsi="宋体" w:eastAsia="宋体" w:cs="宋体"/>
                <w:color w:val="000000"/>
                <w:kern w:val="0"/>
                <w:sz w:val="21"/>
                <w:szCs w:val="24"/>
                <w:bdr w:val="none" w:color="auto" w:sz="0" w:space="0"/>
                <w:lang w:val="en-US" w:eastAsia="zh-CN" w:bidi="ar"/>
              </w:rPr>
              <w:t>②</w:t>
            </w:r>
            <w:r>
              <w:rPr>
                <w:rFonts w:hint="eastAsia" w:ascii="Times New Roman" w:hAnsi="Times New Roman" w:eastAsia="宋体" w:cs="Times New Roman"/>
                <w:color w:val="000000"/>
                <w:kern w:val="0"/>
                <w:sz w:val="21"/>
                <w:szCs w:val="24"/>
                <w:bdr w:val="none" w:color="auto" w:sz="0" w:space="0"/>
                <w:lang w:val="en-US" w:eastAsia="zh-CN" w:bidi="ar"/>
              </w:rPr>
              <w:t>运输卡车</w:t>
            </w:r>
          </w:p>
        </w:tc>
        <w:tc>
          <w:tcPr>
            <w:tcW w:w="2132"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bl>
    <w:p>
      <w:pPr>
        <w:pStyle w:val="27"/>
        <w:keepNext w:val="0"/>
        <w:keepLines w:val="0"/>
        <w:widowControl/>
        <w:suppressLineNumbers w:val="0"/>
        <w:adjustRightInd w:val="0"/>
        <w:snapToGrid/>
        <w:spacing w:before="0" w:beforeAutospacing="0" w:after="0" w:afterAutospacing="0" w:line="520" w:lineRule="exact"/>
        <w:ind w:left="0" w:right="0" w:firstLine="480" w:firstLineChars="200"/>
        <w:jc w:val="left"/>
        <w:rPr>
          <w:rFonts w:hint="default" w:ascii="Times New Roman" w:hAnsi="Times New Roman" w:cs="宋体"/>
          <w:color w:val="000000"/>
          <w:lang/>
        </w:rPr>
      </w:pPr>
      <w:bookmarkStart w:id="178" w:name="_Toc49828593"/>
      <w:bookmarkStart w:id="179" w:name="_Toc58657614"/>
      <w:r>
        <w:rPr>
          <w:rFonts w:hint="eastAsia" w:ascii="Times New Roman" w:hAnsi="Times New Roman" w:eastAsia="宋体" w:cs="宋体"/>
          <w:color w:val="000000"/>
          <w:kern w:val="0"/>
          <w:sz w:val="24"/>
          <w:szCs w:val="24"/>
          <w:lang w:eastAsia="zh-CN" w:bidi="ar"/>
        </w:rPr>
        <w:t>从表</w:t>
      </w:r>
      <w:r>
        <w:rPr>
          <w:rFonts w:hint="default" w:ascii="Times New Roman" w:hAnsi="Times New Roman" w:eastAsia="宋体" w:cs="宋体"/>
          <w:color w:val="000000"/>
          <w:kern w:val="0"/>
          <w:sz w:val="24"/>
          <w:szCs w:val="24"/>
          <w:lang w:eastAsia="zh-CN" w:bidi="ar"/>
        </w:rPr>
        <w:t>5.1-1</w:t>
      </w:r>
      <w:r>
        <w:rPr>
          <w:rFonts w:hint="eastAsia" w:ascii="Times New Roman" w:hAnsi="Times New Roman" w:eastAsia="宋体" w:cs="宋体"/>
          <w:color w:val="000000"/>
          <w:kern w:val="0"/>
          <w:sz w:val="24"/>
          <w:szCs w:val="24"/>
          <w:lang w:eastAsia="zh-CN" w:bidi="ar"/>
        </w:rPr>
        <w:t>可以看出，本项目施工期扬尘污染源数量较多，如建材堆场扬尘及车辆行驶产生的道路扬尘在各个施工阶段都存在，既有面源，也有流动源。废气污染主要是机动车尾气污染，为流动源。施工期对周围环境空气的影响主要是扬尘。</w:t>
      </w:r>
    </w:p>
    <w:p>
      <w:pPr>
        <w:pStyle w:val="27"/>
        <w:keepNext w:val="0"/>
        <w:keepLines w:val="0"/>
        <w:widowControl/>
        <w:suppressLineNumbers w:val="0"/>
        <w:adjustRightInd w:val="0"/>
        <w:snapToGrid/>
        <w:spacing w:before="0" w:beforeAutospacing="0" w:after="0" w:afterAutospacing="0" w:line="520" w:lineRule="exact"/>
        <w:ind w:left="0" w:right="0" w:firstLine="480" w:firstLineChars="200"/>
        <w:jc w:val="left"/>
        <w:rPr>
          <w:rFonts w:hint="default" w:ascii="Times New Roman" w:hAnsi="Times New Roman" w:cs="宋体"/>
          <w:color w:val="000000"/>
          <w:lang/>
        </w:rPr>
      </w:pPr>
      <w:r>
        <w:rPr>
          <w:rFonts w:hint="eastAsia" w:ascii="Times New Roman" w:hAnsi="宋体" w:eastAsia="宋体" w:cs="宋体"/>
          <w:color w:val="000000"/>
          <w:kern w:val="0"/>
          <w:sz w:val="24"/>
          <w:szCs w:val="24"/>
          <w:lang w:eastAsia="zh-CN" w:bidi="ar"/>
        </w:rPr>
        <w:t>（</w:t>
      </w:r>
      <w:r>
        <w:rPr>
          <w:rFonts w:hint="default" w:ascii="Times New Roman" w:hAnsi="Times New Roman" w:eastAsia="宋体" w:cs="宋体"/>
          <w:color w:val="000000"/>
          <w:kern w:val="0"/>
          <w:sz w:val="24"/>
          <w:szCs w:val="24"/>
          <w:lang w:eastAsia="zh-CN" w:bidi="ar"/>
        </w:rPr>
        <w:t>1</w:t>
      </w:r>
      <w:r>
        <w:rPr>
          <w:rFonts w:hint="eastAsia" w:ascii="Times New Roman" w:hAnsi="宋体" w:eastAsia="宋体" w:cs="宋体"/>
          <w:color w:val="000000"/>
          <w:kern w:val="0"/>
          <w:sz w:val="24"/>
          <w:szCs w:val="24"/>
          <w:lang w:eastAsia="zh-CN" w:bidi="ar"/>
        </w:rPr>
        <w:t>）施工期扬尘影响分析</w:t>
      </w:r>
      <w:bookmarkEnd w:id="178"/>
      <w:bookmarkEnd w:id="179"/>
    </w:p>
    <w:p>
      <w:pPr>
        <w:pStyle w:val="27"/>
        <w:keepNext w:val="0"/>
        <w:keepLines w:val="0"/>
        <w:widowControl/>
        <w:suppressLineNumbers w:val="0"/>
        <w:adjustRightInd w:val="0"/>
        <w:snapToGrid/>
        <w:spacing w:before="0" w:beforeAutospacing="0" w:after="0" w:afterAutospacing="0" w:line="520" w:lineRule="exact"/>
        <w:ind w:left="0" w:right="0" w:firstLine="480" w:firstLineChars="200"/>
        <w:jc w:val="left"/>
        <w:rPr>
          <w:rFonts w:hint="default" w:ascii="Times New Roman" w:hAnsi="Times New Roman" w:cs="宋体"/>
          <w:color w:val="000000"/>
          <w:lang/>
        </w:rPr>
      </w:pPr>
      <w:r>
        <w:rPr>
          <w:rFonts w:hint="eastAsia" w:ascii="Times New Roman" w:hAnsi="宋体" w:eastAsia="宋体" w:cs="宋体"/>
          <w:color w:val="000000"/>
          <w:kern w:val="0"/>
          <w:sz w:val="24"/>
          <w:szCs w:val="24"/>
          <w:lang w:eastAsia="zh-CN" w:bidi="ar"/>
        </w:rPr>
        <w:t>施工期扬尘受天气和施工场地状况及管理等多因素影响，变化大，随机性强，但总体上可以把施工现场作为一个大的面源考虑。本评价采用类比法，利用现有的施工场地实测资料进行分析。</w:t>
      </w:r>
    </w:p>
    <w:p>
      <w:pPr>
        <w:pStyle w:val="27"/>
        <w:keepNext w:val="0"/>
        <w:keepLines w:val="0"/>
        <w:widowControl/>
        <w:suppressLineNumbers w:val="0"/>
        <w:adjustRightInd w:val="0"/>
        <w:snapToGrid/>
        <w:spacing w:before="0" w:beforeAutospacing="0" w:after="0" w:afterAutospacing="0" w:line="520" w:lineRule="exact"/>
        <w:ind w:left="0" w:right="0" w:firstLine="480" w:firstLineChars="200"/>
        <w:jc w:val="left"/>
        <w:rPr>
          <w:rFonts w:hint="default" w:ascii="Times New Roman" w:hAnsi="Times New Roman" w:cs="宋体"/>
          <w:color w:val="000000"/>
          <w:lang/>
        </w:rPr>
      </w:pPr>
      <w:r>
        <w:rPr>
          <w:rFonts w:hint="eastAsia" w:ascii="Times New Roman" w:hAnsi="宋体" w:eastAsia="宋体" w:cs="宋体"/>
          <w:color w:val="000000"/>
          <w:kern w:val="0"/>
          <w:sz w:val="24"/>
          <w:szCs w:val="24"/>
          <w:lang w:eastAsia="zh-CN" w:bidi="ar"/>
        </w:rPr>
        <w:t>鞍山市环境监测中心站曾对建筑施工工地平整场地阶段的扬尘情况进行了测定，结果如下：</w:t>
      </w:r>
    </w:p>
    <w:p>
      <w:pPr>
        <w:pStyle w:val="27"/>
        <w:keepNext w:val="0"/>
        <w:keepLines w:val="0"/>
        <w:widowControl/>
        <w:suppressLineNumbers w:val="0"/>
        <w:adjustRightInd w:val="0"/>
        <w:snapToGrid/>
        <w:spacing w:before="0" w:beforeAutospacing="0" w:after="0" w:afterAutospacing="0" w:line="520" w:lineRule="exact"/>
        <w:ind w:left="0" w:right="0" w:firstLine="480" w:firstLineChars="200"/>
        <w:jc w:val="left"/>
        <w:rPr>
          <w:rFonts w:hint="default" w:ascii="Times New Roman" w:hAnsi="Times New Roman" w:cs="宋体"/>
          <w:color w:val="000000"/>
          <w:lang/>
        </w:rPr>
      </w:pPr>
      <w:r>
        <w:rPr>
          <w:rFonts w:hint="eastAsia" w:ascii="Times New Roman" w:hAnsi="宋体" w:eastAsia="宋体" w:cs="宋体"/>
          <w:color w:val="000000"/>
          <w:kern w:val="0"/>
          <w:sz w:val="24"/>
          <w:szCs w:val="24"/>
          <w:lang w:eastAsia="zh-CN" w:bidi="ar"/>
        </w:rPr>
        <w:t>测点：距施工工地边缘约</w:t>
      </w:r>
      <w:r>
        <w:rPr>
          <w:rFonts w:hint="default" w:ascii="Times New Roman" w:hAnsi="Times New Roman" w:eastAsia="宋体" w:cs="宋体"/>
          <w:color w:val="000000"/>
          <w:kern w:val="0"/>
          <w:sz w:val="24"/>
          <w:szCs w:val="24"/>
          <w:lang w:eastAsia="zh-CN" w:bidi="ar"/>
        </w:rPr>
        <w:t>80m</w:t>
      </w:r>
      <w:r>
        <w:rPr>
          <w:rFonts w:hint="eastAsia" w:ascii="Times New Roman" w:hAnsi="宋体" w:eastAsia="宋体" w:cs="宋体"/>
          <w:color w:val="000000"/>
          <w:kern w:val="0"/>
          <w:sz w:val="24"/>
          <w:szCs w:val="24"/>
          <w:lang w:eastAsia="zh-CN" w:bidi="ar"/>
        </w:rPr>
        <w:t>左右。</w:t>
      </w:r>
    </w:p>
    <w:p>
      <w:pPr>
        <w:pStyle w:val="27"/>
        <w:keepNext w:val="0"/>
        <w:keepLines w:val="0"/>
        <w:widowControl/>
        <w:suppressLineNumbers w:val="0"/>
        <w:adjustRightInd w:val="0"/>
        <w:snapToGrid/>
        <w:spacing w:before="0" w:beforeAutospacing="0" w:after="0" w:afterAutospacing="0" w:line="520" w:lineRule="exact"/>
        <w:ind w:left="0" w:right="0" w:firstLine="480" w:firstLineChars="200"/>
        <w:jc w:val="left"/>
        <w:rPr>
          <w:rFonts w:hint="default" w:ascii="Times New Roman" w:hAnsi="Times New Roman" w:cs="宋体"/>
          <w:color w:val="000000"/>
          <w:lang/>
        </w:rPr>
      </w:pPr>
      <w:r>
        <w:rPr>
          <w:rFonts w:hint="eastAsia" w:ascii="Times New Roman" w:hAnsi="宋体" w:eastAsia="宋体" w:cs="宋体"/>
          <w:color w:val="000000"/>
          <w:kern w:val="0"/>
          <w:sz w:val="24"/>
          <w:szCs w:val="24"/>
          <w:lang w:eastAsia="zh-CN" w:bidi="ar"/>
        </w:rPr>
        <w:t>风速：</w:t>
      </w:r>
      <w:r>
        <w:rPr>
          <w:rFonts w:hint="default" w:ascii="Times New Roman" w:hAnsi="Times New Roman" w:eastAsia="宋体" w:cs="宋体"/>
          <w:color w:val="000000"/>
          <w:kern w:val="0"/>
          <w:sz w:val="24"/>
          <w:szCs w:val="24"/>
          <w:lang w:eastAsia="zh-CN" w:bidi="ar"/>
        </w:rPr>
        <w:t>0</w:t>
      </w:r>
      <w:r>
        <w:rPr>
          <w:rFonts w:hint="eastAsia" w:ascii="Times New Roman" w:hAnsi="宋体" w:eastAsia="宋体" w:cs="宋体"/>
          <w:color w:val="000000"/>
          <w:kern w:val="0"/>
          <w:sz w:val="24"/>
          <w:szCs w:val="24"/>
          <w:lang w:eastAsia="zh-CN" w:bidi="ar"/>
        </w:rPr>
        <w:t>～</w:t>
      </w:r>
      <w:r>
        <w:rPr>
          <w:rFonts w:hint="default" w:ascii="Times New Roman" w:hAnsi="Times New Roman" w:eastAsia="宋体" w:cs="宋体"/>
          <w:color w:val="000000"/>
          <w:kern w:val="0"/>
          <w:sz w:val="24"/>
          <w:szCs w:val="24"/>
          <w:lang w:eastAsia="zh-CN" w:bidi="ar"/>
        </w:rPr>
        <w:t>2.7m/s</w:t>
      </w:r>
      <w:r>
        <w:rPr>
          <w:rFonts w:hint="eastAsia" w:ascii="Times New Roman" w:hAnsi="宋体" w:eastAsia="宋体" w:cs="宋体"/>
          <w:color w:val="000000"/>
          <w:kern w:val="0"/>
          <w:sz w:val="24"/>
          <w:szCs w:val="24"/>
          <w:lang w:eastAsia="zh-CN" w:bidi="ar"/>
        </w:rPr>
        <w:t>。</w:t>
      </w:r>
    </w:p>
    <w:p>
      <w:pPr>
        <w:pStyle w:val="27"/>
        <w:keepNext w:val="0"/>
        <w:keepLines w:val="0"/>
        <w:widowControl/>
        <w:suppressLineNumbers w:val="0"/>
        <w:adjustRightInd w:val="0"/>
        <w:snapToGrid/>
        <w:spacing w:before="0" w:beforeAutospacing="0" w:after="0" w:afterAutospacing="0" w:line="520" w:lineRule="exact"/>
        <w:ind w:left="0" w:right="0" w:firstLine="480" w:firstLineChars="200"/>
        <w:jc w:val="left"/>
        <w:rPr>
          <w:rFonts w:hint="default" w:ascii="Times New Roman" w:hAnsi="Times New Roman" w:cs="宋体"/>
          <w:color w:val="000000"/>
          <w:lang/>
        </w:rPr>
      </w:pPr>
      <w:r>
        <w:rPr>
          <w:rFonts w:hint="eastAsia" w:ascii="Times New Roman" w:hAnsi="宋体" w:eastAsia="宋体" w:cs="宋体"/>
          <w:color w:val="000000"/>
          <w:kern w:val="0"/>
          <w:sz w:val="24"/>
          <w:szCs w:val="24"/>
          <w:lang w:eastAsia="zh-CN" w:bidi="ar"/>
        </w:rPr>
        <w:t>监测结果：</w:t>
      </w:r>
      <w:r>
        <w:rPr>
          <w:rFonts w:hint="default" w:ascii="Times New Roman" w:hAnsi="Times New Roman" w:eastAsia="宋体" w:cs="宋体"/>
          <w:color w:val="000000"/>
          <w:kern w:val="0"/>
          <w:sz w:val="24"/>
          <w:szCs w:val="24"/>
          <w:lang w:eastAsia="zh-CN" w:bidi="ar"/>
        </w:rPr>
        <w:t>TSP</w:t>
      </w:r>
      <w:r>
        <w:rPr>
          <w:rFonts w:hint="eastAsia" w:ascii="Times New Roman" w:hAnsi="宋体" w:eastAsia="宋体" w:cs="宋体"/>
          <w:color w:val="000000"/>
          <w:kern w:val="0"/>
          <w:sz w:val="24"/>
          <w:szCs w:val="24"/>
          <w:lang w:eastAsia="zh-CN" w:bidi="ar"/>
        </w:rPr>
        <w:t>浓度为</w:t>
      </w:r>
      <w:r>
        <w:rPr>
          <w:rFonts w:hint="default" w:ascii="Times New Roman" w:hAnsi="Times New Roman" w:eastAsia="宋体" w:cs="宋体"/>
          <w:color w:val="000000"/>
          <w:kern w:val="0"/>
          <w:sz w:val="24"/>
          <w:szCs w:val="24"/>
          <w:lang w:eastAsia="zh-CN" w:bidi="ar"/>
        </w:rPr>
        <w:t>0.134</w:t>
      </w:r>
      <w:r>
        <w:rPr>
          <w:rFonts w:hint="eastAsia" w:ascii="Times New Roman" w:hAnsi="宋体" w:eastAsia="宋体" w:cs="宋体"/>
          <w:color w:val="000000"/>
          <w:kern w:val="0"/>
          <w:sz w:val="24"/>
          <w:szCs w:val="24"/>
          <w:lang w:eastAsia="zh-CN" w:bidi="ar"/>
        </w:rPr>
        <w:t>～</w:t>
      </w:r>
      <w:r>
        <w:rPr>
          <w:rFonts w:hint="default" w:ascii="Times New Roman" w:hAnsi="Times New Roman" w:eastAsia="宋体" w:cs="宋体"/>
          <w:color w:val="000000"/>
          <w:kern w:val="0"/>
          <w:sz w:val="24"/>
          <w:szCs w:val="24"/>
          <w:lang w:eastAsia="zh-CN" w:bidi="ar"/>
        </w:rPr>
        <w:t>0.997mg/m</w:t>
      </w:r>
      <w:r>
        <w:rPr>
          <w:rFonts w:hint="default" w:ascii="Times New Roman" w:hAnsi="Times New Roman" w:eastAsia="宋体" w:cs="宋体"/>
          <w:color w:val="000000"/>
          <w:kern w:val="0"/>
          <w:sz w:val="24"/>
          <w:szCs w:val="24"/>
          <w:vertAlign w:val="superscript"/>
          <w:lang w:eastAsia="zh-CN" w:bidi="ar"/>
        </w:rPr>
        <w:t>3</w:t>
      </w:r>
      <w:r>
        <w:rPr>
          <w:rFonts w:hint="eastAsia" w:ascii="Times New Roman" w:hAnsi="宋体" w:eastAsia="宋体" w:cs="宋体"/>
          <w:color w:val="000000"/>
          <w:kern w:val="0"/>
          <w:sz w:val="24"/>
          <w:szCs w:val="24"/>
          <w:lang w:eastAsia="zh-CN" w:bidi="ar"/>
        </w:rPr>
        <w:t>，最大值相当于环境空气标准日均值的</w:t>
      </w:r>
      <w:r>
        <w:rPr>
          <w:rFonts w:hint="default" w:ascii="Times New Roman" w:hAnsi="Times New Roman" w:eastAsia="宋体" w:cs="宋体"/>
          <w:color w:val="000000"/>
          <w:kern w:val="0"/>
          <w:sz w:val="24"/>
          <w:szCs w:val="24"/>
          <w:lang w:eastAsia="zh-CN" w:bidi="ar"/>
        </w:rPr>
        <w:t>3.3</w:t>
      </w:r>
      <w:r>
        <w:rPr>
          <w:rFonts w:hint="eastAsia" w:ascii="Times New Roman" w:hAnsi="宋体" w:eastAsia="宋体" w:cs="宋体"/>
          <w:color w:val="000000"/>
          <w:kern w:val="0"/>
          <w:sz w:val="24"/>
          <w:szCs w:val="24"/>
          <w:lang w:eastAsia="zh-CN" w:bidi="ar"/>
        </w:rPr>
        <w:t>倍。</w:t>
      </w:r>
    </w:p>
    <w:p>
      <w:pPr>
        <w:pStyle w:val="27"/>
        <w:keepNext w:val="0"/>
        <w:keepLines w:val="0"/>
        <w:widowControl/>
        <w:suppressLineNumbers w:val="0"/>
        <w:adjustRightInd w:val="0"/>
        <w:snapToGrid/>
        <w:spacing w:before="0" w:beforeAutospacing="0" w:after="0" w:afterAutospacing="0" w:line="520" w:lineRule="exact"/>
        <w:ind w:left="0" w:right="0" w:firstLine="480" w:firstLineChars="200"/>
        <w:jc w:val="left"/>
        <w:rPr>
          <w:rFonts w:hint="default" w:ascii="Times New Roman" w:hAnsi="Times New Roman" w:cs="宋体"/>
          <w:color w:val="000000"/>
          <w:lang/>
        </w:rPr>
      </w:pPr>
      <w:r>
        <w:rPr>
          <w:rFonts w:hint="eastAsia" w:ascii="Times New Roman" w:hAnsi="宋体" w:eastAsia="宋体" w:cs="宋体"/>
          <w:color w:val="000000"/>
          <w:kern w:val="0"/>
          <w:sz w:val="24"/>
          <w:szCs w:val="24"/>
          <w:lang w:eastAsia="zh-CN" w:bidi="ar"/>
        </w:rPr>
        <w:t>北京市环科院曾对</w:t>
      </w:r>
      <w:r>
        <w:rPr>
          <w:rFonts w:hint="default" w:ascii="Times New Roman" w:hAnsi="Times New Roman" w:eastAsia="宋体" w:cs="宋体"/>
          <w:color w:val="000000"/>
          <w:kern w:val="0"/>
          <w:sz w:val="24"/>
          <w:szCs w:val="24"/>
          <w:lang w:eastAsia="zh-CN" w:bidi="ar"/>
        </w:rPr>
        <w:t>7</w:t>
      </w:r>
      <w:r>
        <w:rPr>
          <w:rFonts w:hint="eastAsia" w:ascii="Times New Roman" w:hAnsi="宋体" w:eastAsia="宋体" w:cs="宋体"/>
          <w:color w:val="000000"/>
          <w:kern w:val="0"/>
          <w:sz w:val="24"/>
          <w:szCs w:val="24"/>
          <w:lang w:eastAsia="zh-CN" w:bidi="ar"/>
        </w:rPr>
        <w:t>个建筑施工工地的扬尘情况进行了测定，结果如下：</w:t>
      </w:r>
      <w:r>
        <w:rPr>
          <w:rFonts w:hint="default" w:ascii="Times New Roman" w:hAnsi="Times New Roman" w:eastAsia="宋体" w:cs="宋体"/>
          <w:color w:val="000000"/>
          <w:kern w:val="0"/>
          <w:sz w:val="24"/>
          <w:szCs w:val="24"/>
          <w:lang w:eastAsia="zh-CN" w:bidi="ar"/>
        </w:rPr>
        <w:t xml:space="preserve"> </w:t>
      </w:r>
    </w:p>
    <w:p>
      <w:pPr>
        <w:pStyle w:val="27"/>
        <w:keepNext w:val="0"/>
        <w:keepLines w:val="0"/>
        <w:widowControl/>
        <w:suppressLineNumbers w:val="0"/>
        <w:adjustRightInd w:val="0"/>
        <w:snapToGrid/>
        <w:spacing w:before="0" w:beforeAutospacing="0" w:after="0" w:afterAutospacing="0" w:line="520" w:lineRule="exact"/>
        <w:ind w:left="0" w:right="0" w:firstLine="480" w:firstLineChars="200"/>
        <w:jc w:val="left"/>
        <w:rPr>
          <w:rFonts w:hint="default" w:ascii="Times New Roman" w:hAnsi="Times New Roman" w:cs="宋体"/>
          <w:color w:val="000000"/>
          <w:lang/>
        </w:rPr>
      </w:pPr>
      <w:r>
        <w:rPr>
          <w:rFonts w:hint="eastAsia" w:ascii="Times New Roman" w:hAnsi="宋体" w:eastAsia="宋体" w:cs="宋体"/>
          <w:color w:val="000000"/>
          <w:kern w:val="0"/>
          <w:sz w:val="24"/>
          <w:szCs w:val="24"/>
          <w:lang w:eastAsia="zh-CN" w:bidi="ar"/>
        </w:rPr>
        <w:t>风速：</w:t>
      </w:r>
      <w:r>
        <w:rPr>
          <w:rFonts w:hint="default" w:ascii="Times New Roman" w:hAnsi="Times New Roman" w:eastAsia="宋体" w:cs="宋体"/>
          <w:color w:val="000000"/>
          <w:kern w:val="0"/>
          <w:sz w:val="24"/>
          <w:szCs w:val="24"/>
          <w:lang w:eastAsia="zh-CN" w:bidi="ar"/>
        </w:rPr>
        <w:t>2.4 m/s</w:t>
      </w:r>
      <w:r>
        <w:rPr>
          <w:rFonts w:hint="eastAsia" w:ascii="Times New Roman" w:hAnsi="宋体" w:eastAsia="宋体" w:cs="宋体"/>
          <w:color w:val="000000"/>
          <w:kern w:val="0"/>
          <w:sz w:val="24"/>
          <w:szCs w:val="24"/>
          <w:lang w:eastAsia="zh-CN" w:bidi="ar"/>
        </w:rPr>
        <w:t>。</w:t>
      </w:r>
    </w:p>
    <w:p>
      <w:pPr>
        <w:pStyle w:val="27"/>
        <w:keepNext w:val="0"/>
        <w:keepLines w:val="0"/>
        <w:widowControl/>
        <w:suppressLineNumbers w:val="0"/>
        <w:adjustRightInd w:val="0"/>
        <w:snapToGrid/>
        <w:spacing w:before="0" w:beforeAutospacing="0" w:after="0" w:afterAutospacing="0" w:line="520" w:lineRule="exact"/>
        <w:ind w:left="0" w:right="0" w:firstLine="480" w:firstLineChars="200"/>
        <w:jc w:val="left"/>
        <w:rPr>
          <w:rFonts w:hint="default" w:ascii="Times New Roman" w:hAnsi="Times New Roman" w:cs="宋体"/>
          <w:color w:val="000000"/>
          <w:lang/>
        </w:rPr>
      </w:pPr>
      <w:r>
        <w:rPr>
          <w:rFonts w:hint="eastAsia" w:ascii="Times New Roman" w:hAnsi="宋体" w:eastAsia="宋体" w:cs="宋体"/>
          <w:color w:val="000000"/>
          <w:kern w:val="0"/>
          <w:sz w:val="24"/>
          <w:szCs w:val="24"/>
          <w:lang w:eastAsia="zh-CN" w:bidi="ar"/>
        </w:rPr>
        <w:t>测点：上风向对照点、工地内、下风向</w:t>
      </w:r>
      <w:r>
        <w:rPr>
          <w:rFonts w:hint="default" w:ascii="Times New Roman" w:hAnsi="Times New Roman" w:eastAsia="宋体" w:cs="宋体"/>
          <w:color w:val="000000"/>
          <w:kern w:val="0"/>
          <w:sz w:val="24"/>
          <w:szCs w:val="24"/>
          <w:lang w:eastAsia="zh-CN" w:bidi="ar"/>
        </w:rPr>
        <w:t>150m</w:t>
      </w:r>
      <w:r>
        <w:rPr>
          <w:rFonts w:hint="eastAsia" w:ascii="Times New Roman" w:hAnsi="宋体" w:eastAsia="宋体" w:cs="宋体"/>
          <w:color w:val="000000"/>
          <w:kern w:val="0"/>
          <w:sz w:val="24"/>
          <w:szCs w:val="24"/>
          <w:lang w:eastAsia="zh-CN" w:bidi="ar"/>
        </w:rPr>
        <w:t>之内。</w:t>
      </w:r>
    </w:p>
    <w:p>
      <w:pPr>
        <w:pStyle w:val="27"/>
        <w:keepNext w:val="0"/>
        <w:keepLines w:val="0"/>
        <w:widowControl/>
        <w:suppressLineNumbers w:val="0"/>
        <w:adjustRightInd w:val="0"/>
        <w:snapToGrid/>
        <w:spacing w:before="0" w:beforeAutospacing="0" w:after="0" w:afterAutospacing="0" w:line="520" w:lineRule="exact"/>
        <w:ind w:left="0" w:right="0" w:firstLine="480" w:firstLineChars="200"/>
        <w:jc w:val="left"/>
        <w:rPr>
          <w:rFonts w:hint="default" w:ascii="Times New Roman" w:hAnsi="Times New Roman" w:cs="宋体"/>
          <w:color w:val="000000"/>
          <w:lang/>
        </w:rPr>
      </w:pPr>
      <w:r>
        <w:rPr>
          <w:rFonts w:hint="eastAsia" w:ascii="Times New Roman" w:hAnsi="宋体" w:eastAsia="宋体" w:cs="宋体"/>
          <w:color w:val="000000"/>
          <w:kern w:val="0"/>
          <w:sz w:val="24"/>
          <w:szCs w:val="24"/>
          <w:lang w:eastAsia="zh-CN" w:bidi="ar"/>
        </w:rPr>
        <w:t>监测结果：上风向对照点的</w:t>
      </w:r>
      <w:r>
        <w:rPr>
          <w:rFonts w:hint="default" w:ascii="Times New Roman" w:hAnsi="Times New Roman" w:eastAsia="宋体" w:cs="宋体"/>
          <w:color w:val="000000"/>
          <w:kern w:val="0"/>
          <w:sz w:val="24"/>
          <w:szCs w:val="24"/>
          <w:lang w:eastAsia="zh-CN" w:bidi="ar"/>
        </w:rPr>
        <w:t>TSP</w:t>
      </w:r>
      <w:r>
        <w:rPr>
          <w:rFonts w:hint="eastAsia" w:ascii="Times New Roman" w:hAnsi="宋体" w:eastAsia="宋体" w:cs="宋体"/>
          <w:color w:val="000000"/>
          <w:kern w:val="0"/>
          <w:sz w:val="24"/>
          <w:szCs w:val="24"/>
          <w:lang w:eastAsia="zh-CN" w:bidi="ar"/>
        </w:rPr>
        <w:t>浓度为</w:t>
      </w:r>
      <w:r>
        <w:rPr>
          <w:rFonts w:hint="default" w:ascii="Times New Roman" w:hAnsi="Times New Roman" w:eastAsia="宋体" w:cs="宋体"/>
          <w:color w:val="000000"/>
          <w:kern w:val="0"/>
          <w:sz w:val="24"/>
          <w:szCs w:val="24"/>
          <w:lang w:eastAsia="zh-CN" w:bidi="ar"/>
        </w:rPr>
        <w:t>0.28</w:t>
      </w:r>
      <w:r>
        <w:rPr>
          <w:rFonts w:hint="eastAsia" w:ascii="Times New Roman" w:hAnsi="宋体" w:eastAsia="宋体" w:cs="宋体"/>
          <w:color w:val="000000"/>
          <w:kern w:val="0"/>
          <w:sz w:val="24"/>
          <w:szCs w:val="24"/>
          <w:lang w:eastAsia="zh-CN" w:bidi="ar"/>
        </w:rPr>
        <w:t>～</w:t>
      </w:r>
      <w:r>
        <w:rPr>
          <w:rFonts w:hint="default" w:ascii="Times New Roman" w:hAnsi="Times New Roman" w:eastAsia="宋体" w:cs="宋体"/>
          <w:color w:val="000000"/>
          <w:kern w:val="0"/>
          <w:sz w:val="24"/>
          <w:szCs w:val="24"/>
          <w:lang w:eastAsia="zh-CN" w:bidi="ar"/>
        </w:rPr>
        <w:t>0.33 mg/m</w:t>
      </w:r>
      <w:r>
        <w:rPr>
          <w:rFonts w:hint="default" w:ascii="Times New Roman" w:hAnsi="Times New Roman" w:eastAsia="宋体" w:cs="宋体"/>
          <w:color w:val="000000"/>
          <w:kern w:val="0"/>
          <w:sz w:val="24"/>
          <w:szCs w:val="24"/>
          <w:vertAlign w:val="superscript"/>
          <w:lang w:eastAsia="zh-CN" w:bidi="ar"/>
        </w:rPr>
        <w:t>3</w:t>
      </w:r>
      <w:r>
        <w:rPr>
          <w:rFonts w:hint="eastAsia" w:ascii="Times New Roman" w:hAnsi="宋体" w:eastAsia="宋体" w:cs="宋体"/>
          <w:color w:val="000000"/>
          <w:kern w:val="0"/>
          <w:sz w:val="24"/>
          <w:szCs w:val="24"/>
          <w:lang w:eastAsia="zh-CN" w:bidi="ar"/>
        </w:rPr>
        <w:t>，平均为</w:t>
      </w:r>
      <w:r>
        <w:rPr>
          <w:rFonts w:hint="default" w:ascii="Times New Roman" w:hAnsi="Times New Roman" w:eastAsia="宋体" w:cs="宋体"/>
          <w:color w:val="000000"/>
          <w:kern w:val="0"/>
          <w:sz w:val="24"/>
          <w:szCs w:val="24"/>
          <w:lang w:eastAsia="zh-CN" w:bidi="ar"/>
        </w:rPr>
        <w:t>0.31 mg/m</w:t>
      </w:r>
      <w:r>
        <w:rPr>
          <w:rFonts w:hint="default" w:ascii="Times New Roman" w:hAnsi="Times New Roman" w:eastAsia="宋体" w:cs="宋体"/>
          <w:color w:val="000000"/>
          <w:kern w:val="0"/>
          <w:sz w:val="24"/>
          <w:szCs w:val="24"/>
          <w:vertAlign w:val="superscript"/>
          <w:lang w:eastAsia="zh-CN" w:bidi="ar"/>
        </w:rPr>
        <w:t>3</w:t>
      </w:r>
      <w:r>
        <w:rPr>
          <w:rFonts w:hint="eastAsia" w:ascii="Times New Roman" w:hAnsi="宋体" w:eastAsia="宋体" w:cs="宋体"/>
          <w:color w:val="000000"/>
          <w:kern w:val="0"/>
          <w:sz w:val="24"/>
          <w:szCs w:val="24"/>
          <w:lang w:eastAsia="zh-CN" w:bidi="ar"/>
        </w:rPr>
        <w:t>。工地内的</w:t>
      </w:r>
      <w:r>
        <w:rPr>
          <w:rFonts w:hint="default" w:ascii="Times New Roman" w:hAnsi="Times New Roman" w:eastAsia="宋体" w:cs="宋体"/>
          <w:color w:val="000000"/>
          <w:kern w:val="0"/>
          <w:sz w:val="24"/>
          <w:szCs w:val="24"/>
          <w:lang w:eastAsia="zh-CN" w:bidi="ar"/>
        </w:rPr>
        <w:t>TSP</w:t>
      </w:r>
      <w:r>
        <w:rPr>
          <w:rFonts w:hint="eastAsia" w:ascii="Times New Roman" w:hAnsi="宋体" w:eastAsia="宋体" w:cs="宋体"/>
          <w:color w:val="000000"/>
          <w:kern w:val="0"/>
          <w:sz w:val="24"/>
          <w:szCs w:val="24"/>
          <w:lang w:eastAsia="zh-CN" w:bidi="ar"/>
        </w:rPr>
        <w:t>浓度为</w:t>
      </w:r>
      <w:r>
        <w:rPr>
          <w:rFonts w:hint="default" w:ascii="Times New Roman" w:hAnsi="Times New Roman" w:eastAsia="宋体" w:cs="宋体"/>
          <w:color w:val="000000"/>
          <w:kern w:val="0"/>
          <w:sz w:val="24"/>
          <w:szCs w:val="24"/>
          <w:lang w:eastAsia="zh-CN" w:bidi="ar"/>
        </w:rPr>
        <w:t>0.42</w:t>
      </w:r>
      <w:r>
        <w:rPr>
          <w:rFonts w:hint="eastAsia" w:ascii="Times New Roman" w:hAnsi="宋体" w:eastAsia="宋体" w:cs="宋体"/>
          <w:color w:val="000000"/>
          <w:kern w:val="0"/>
          <w:sz w:val="24"/>
          <w:szCs w:val="24"/>
          <w:lang w:eastAsia="zh-CN" w:bidi="ar"/>
        </w:rPr>
        <w:t>～</w:t>
      </w:r>
      <w:r>
        <w:rPr>
          <w:rFonts w:hint="default" w:ascii="Times New Roman" w:hAnsi="Times New Roman" w:eastAsia="宋体" w:cs="宋体"/>
          <w:color w:val="000000"/>
          <w:kern w:val="0"/>
          <w:sz w:val="24"/>
          <w:szCs w:val="24"/>
          <w:lang w:eastAsia="zh-CN" w:bidi="ar"/>
        </w:rPr>
        <w:t>0.75 mg/m</w:t>
      </w:r>
      <w:r>
        <w:rPr>
          <w:rFonts w:hint="default" w:ascii="Times New Roman" w:hAnsi="Times New Roman" w:eastAsia="宋体" w:cs="宋体"/>
          <w:color w:val="000000"/>
          <w:kern w:val="0"/>
          <w:sz w:val="24"/>
          <w:szCs w:val="24"/>
          <w:vertAlign w:val="superscript"/>
          <w:lang w:eastAsia="zh-CN" w:bidi="ar"/>
        </w:rPr>
        <w:t>3</w:t>
      </w:r>
      <w:r>
        <w:rPr>
          <w:rFonts w:hint="eastAsia" w:ascii="Times New Roman" w:hAnsi="宋体" w:eastAsia="宋体" w:cs="宋体"/>
          <w:color w:val="000000"/>
          <w:kern w:val="0"/>
          <w:sz w:val="24"/>
          <w:szCs w:val="24"/>
          <w:lang w:eastAsia="zh-CN" w:bidi="ar"/>
        </w:rPr>
        <w:t>，平均</w:t>
      </w:r>
      <w:r>
        <w:rPr>
          <w:rFonts w:hint="default" w:ascii="Times New Roman" w:hAnsi="Times New Roman" w:eastAsia="宋体" w:cs="宋体"/>
          <w:color w:val="000000"/>
          <w:kern w:val="0"/>
          <w:sz w:val="24"/>
          <w:szCs w:val="24"/>
          <w:lang w:eastAsia="zh-CN" w:bidi="ar"/>
        </w:rPr>
        <w:t>0.59 mg/m</w:t>
      </w:r>
      <w:r>
        <w:rPr>
          <w:rFonts w:hint="default" w:ascii="Times New Roman" w:hAnsi="Times New Roman" w:eastAsia="宋体" w:cs="宋体"/>
          <w:color w:val="000000"/>
          <w:kern w:val="0"/>
          <w:sz w:val="24"/>
          <w:szCs w:val="24"/>
          <w:vertAlign w:val="superscript"/>
          <w:lang w:eastAsia="zh-CN" w:bidi="ar"/>
        </w:rPr>
        <w:t>3</w:t>
      </w:r>
      <w:r>
        <w:rPr>
          <w:rFonts w:hint="eastAsia" w:ascii="Times New Roman" w:hAnsi="宋体" w:eastAsia="宋体" w:cs="宋体"/>
          <w:color w:val="000000"/>
          <w:kern w:val="0"/>
          <w:sz w:val="24"/>
          <w:szCs w:val="24"/>
          <w:lang w:eastAsia="zh-CN" w:bidi="ar"/>
        </w:rPr>
        <w:t>，是上风向对照点的</w:t>
      </w:r>
      <w:r>
        <w:rPr>
          <w:rFonts w:hint="default" w:ascii="Times New Roman" w:hAnsi="Times New Roman" w:eastAsia="宋体" w:cs="宋体"/>
          <w:color w:val="000000"/>
          <w:kern w:val="0"/>
          <w:sz w:val="24"/>
          <w:szCs w:val="24"/>
          <w:lang w:eastAsia="zh-CN" w:bidi="ar"/>
        </w:rPr>
        <w:t>1.5</w:t>
      </w:r>
      <w:r>
        <w:rPr>
          <w:rFonts w:hint="eastAsia" w:ascii="Times New Roman" w:hAnsi="宋体" w:eastAsia="宋体" w:cs="宋体"/>
          <w:color w:val="000000"/>
          <w:kern w:val="0"/>
          <w:sz w:val="24"/>
          <w:szCs w:val="24"/>
          <w:lang w:eastAsia="zh-CN" w:bidi="ar"/>
        </w:rPr>
        <w:t>～</w:t>
      </w:r>
      <w:r>
        <w:rPr>
          <w:rFonts w:hint="default" w:ascii="Times New Roman" w:hAnsi="Times New Roman" w:eastAsia="宋体" w:cs="宋体"/>
          <w:color w:val="000000"/>
          <w:kern w:val="0"/>
          <w:sz w:val="24"/>
          <w:szCs w:val="24"/>
          <w:lang w:eastAsia="zh-CN" w:bidi="ar"/>
        </w:rPr>
        <w:t>2.3</w:t>
      </w:r>
      <w:r>
        <w:rPr>
          <w:rFonts w:hint="eastAsia" w:ascii="Times New Roman" w:hAnsi="宋体" w:eastAsia="宋体" w:cs="宋体"/>
          <w:color w:val="000000"/>
          <w:kern w:val="0"/>
          <w:sz w:val="24"/>
          <w:szCs w:val="24"/>
          <w:lang w:eastAsia="zh-CN" w:bidi="ar"/>
        </w:rPr>
        <w:t>倍，平均</w:t>
      </w:r>
      <w:r>
        <w:rPr>
          <w:rFonts w:hint="default" w:ascii="Times New Roman" w:hAnsi="Times New Roman" w:eastAsia="宋体" w:cs="宋体"/>
          <w:color w:val="000000"/>
          <w:kern w:val="0"/>
          <w:sz w:val="24"/>
          <w:szCs w:val="24"/>
          <w:lang w:eastAsia="zh-CN" w:bidi="ar"/>
        </w:rPr>
        <w:t>1.9</w:t>
      </w:r>
      <w:r>
        <w:rPr>
          <w:rFonts w:hint="eastAsia" w:ascii="Times New Roman" w:hAnsi="宋体" w:eastAsia="宋体" w:cs="宋体"/>
          <w:color w:val="000000"/>
          <w:kern w:val="0"/>
          <w:sz w:val="24"/>
          <w:szCs w:val="24"/>
          <w:lang w:eastAsia="zh-CN" w:bidi="ar"/>
        </w:rPr>
        <w:t>倍，相当于环境空气标准日均值的</w:t>
      </w:r>
      <w:r>
        <w:rPr>
          <w:rFonts w:hint="default" w:ascii="Times New Roman" w:hAnsi="Times New Roman" w:eastAsia="宋体" w:cs="宋体"/>
          <w:color w:val="000000"/>
          <w:kern w:val="0"/>
          <w:sz w:val="24"/>
          <w:szCs w:val="24"/>
          <w:lang w:eastAsia="zh-CN" w:bidi="ar"/>
        </w:rPr>
        <w:t>1.4</w:t>
      </w:r>
      <w:r>
        <w:rPr>
          <w:rFonts w:hint="eastAsia" w:ascii="Times New Roman" w:hAnsi="宋体" w:eastAsia="宋体" w:cs="宋体"/>
          <w:color w:val="000000"/>
          <w:kern w:val="0"/>
          <w:sz w:val="24"/>
          <w:szCs w:val="24"/>
          <w:lang w:eastAsia="zh-CN" w:bidi="ar"/>
        </w:rPr>
        <w:t>～</w:t>
      </w:r>
      <w:r>
        <w:rPr>
          <w:rFonts w:hint="default" w:ascii="Times New Roman" w:hAnsi="Times New Roman" w:eastAsia="宋体" w:cs="宋体"/>
          <w:color w:val="000000"/>
          <w:kern w:val="0"/>
          <w:sz w:val="24"/>
          <w:szCs w:val="24"/>
          <w:lang w:eastAsia="zh-CN" w:bidi="ar"/>
        </w:rPr>
        <w:t>2.5</w:t>
      </w:r>
      <w:r>
        <w:rPr>
          <w:rFonts w:hint="eastAsia" w:ascii="Times New Roman" w:hAnsi="宋体" w:eastAsia="宋体" w:cs="宋体"/>
          <w:color w:val="000000"/>
          <w:kern w:val="0"/>
          <w:sz w:val="24"/>
          <w:szCs w:val="24"/>
          <w:lang w:eastAsia="zh-CN" w:bidi="ar"/>
        </w:rPr>
        <w:t>倍，平均</w:t>
      </w:r>
      <w:r>
        <w:rPr>
          <w:rFonts w:hint="default" w:ascii="Times New Roman" w:hAnsi="Times New Roman" w:eastAsia="宋体" w:cs="宋体"/>
          <w:color w:val="000000"/>
          <w:kern w:val="0"/>
          <w:sz w:val="24"/>
          <w:szCs w:val="24"/>
          <w:lang w:eastAsia="zh-CN" w:bidi="ar"/>
        </w:rPr>
        <w:t>1.97</w:t>
      </w:r>
      <w:r>
        <w:rPr>
          <w:rFonts w:hint="eastAsia" w:ascii="Times New Roman" w:hAnsi="宋体" w:eastAsia="宋体" w:cs="宋体"/>
          <w:color w:val="000000"/>
          <w:kern w:val="0"/>
          <w:sz w:val="24"/>
          <w:szCs w:val="24"/>
          <w:lang w:eastAsia="zh-CN" w:bidi="ar"/>
        </w:rPr>
        <w:t>倍。下风向</w:t>
      </w:r>
      <w:r>
        <w:rPr>
          <w:rFonts w:hint="default" w:ascii="Times New Roman" w:hAnsi="Times New Roman" w:eastAsia="宋体" w:cs="宋体"/>
          <w:color w:val="000000"/>
          <w:kern w:val="0"/>
          <w:sz w:val="24"/>
          <w:szCs w:val="24"/>
          <w:lang w:eastAsia="zh-CN" w:bidi="ar"/>
        </w:rPr>
        <w:t>150m</w:t>
      </w:r>
      <w:r>
        <w:rPr>
          <w:rFonts w:hint="eastAsia" w:ascii="Times New Roman" w:hAnsi="宋体" w:eastAsia="宋体" w:cs="宋体"/>
          <w:color w:val="000000"/>
          <w:kern w:val="0"/>
          <w:sz w:val="24"/>
          <w:szCs w:val="24"/>
          <w:lang w:eastAsia="zh-CN" w:bidi="ar"/>
        </w:rPr>
        <w:t>之内的</w:t>
      </w:r>
      <w:r>
        <w:rPr>
          <w:rFonts w:hint="default" w:ascii="Times New Roman" w:hAnsi="Times New Roman" w:eastAsia="宋体" w:cs="宋体"/>
          <w:color w:val="000000"/>
          <w:kern w:val="0"/>
          <w:sz w:val="24"/>
          <w:szCs w:val="24"/>
          <w:lang w:eastAsia="zh-CN" w:bidi="ar"/>
        </w:rPr>
        <w:t>TSP</w:t>
      </w:r>
      <w:r>
        <w:rPr>
          <w:rFonts w:hint="eastAsia" w:ascii="Times New Roman" w:hAnsi="宋体" w:eastAsia="宋体" w:cs="宋体"/>
          <w:color w:val="000000"/>
          <w:kern w:val="0"/>
          <w:sz w:val="24"/>
          <w:szCs w:val="24"/>
          <w:lang w:eastAsia="zh-CN" w:bidi="ar"/>
        </w:rPr>
        <w:t>平均浓度为</w:t>
      </w:r>
      <w:r>
        <w:rPr>
          <w:rFonts w:hint="default" w:ascii="Times New Roman" w:hAnsi="Times New Roman" w:eastAsia="宋体" w:cs="宋体"/>
          <w:color w:val="000000"/>
          <w:kern w:val="0"/>
          <w:sz w:val="24"/>
          <w:szCs w:val="24"/>
          <w:lang w:eastAsia="zh-CN" w:bidi="ar"/>
        </w:rPr>
        <w:t>0.49 mg/m</w:t>
      </w:r>
      <w:r>
        <w:rPr>
          <w:rFonts w:hint="default" w:ascii="Times New Roman" w:hAnsi="Times New Roman" w:eastAsia="宋体" w:cs="宋体"/>
          <w:color w:val="000000"/>
          <w:kern w:val="0"/>
          <w:sz w:val="24"/>
          <w:szCs w:val="24"/>
          <w:vertAlign w:val="superscript"/>
          <w:lang w:eastAsia="zh-CN" w:bidi="ar"/>
        </w:rPr>
        <w:t>3</w:t>
      </w:r>
      <w:r>
        <w:rPr>
          <w:rFonts w:hint="eastAsia" w:ascii="Times New Roman" w:hAnsi="宋体" w:eastAsia="宋体" w:cs="宋体"/>
          <w:color w:val="000000"/>
          <w:kern w:val="0"/>
          <w:sz w:val="24"/>
          <w:szCs w:val="24"/>
          <w:lang w:eastAsia="zh-CN" w:bidi="ar"/>
        </w:rPr>
        <w:t>，是上风向对照点的</w:t>
      </w:r>
      <w:r>
        <w:rPr>
          <w:rFonts w:hint="default" w:ascii="Times New Roman" w:hAnsi="Times New Roman" w:eastAsia="宋体" w:cs="宋体"/>
          <w:color w:val="000000"/>
          <w:kern w:val="0"/>
          <w:sz w:val="24"/>
          <w:szCs w:val="24"/>
          <w:lang w:eastAsia="zh-CN" w:bidi="ar"/>
        </w:rPr>
        <w:t>1.6</w:t>
      </w:r>
      <w:r>
        <w:rPr>
          <w:rFonts w:hint="eastAsia" w:ascii="Times New Roman" w:hAnsi="宋体" w:eastAsia="宋体" w:cs="宋体"/>
          <w:color w:val="000000"/>
          <w:kern w:val="0"/>
          <w:sz w:val="24"/>
          <w:szCs w:val="24"/>
          <w:lang w:eastAsia="zh-CN" w:bidi="ar"/>
        </w:rPr>
        <w:t>倍，相当于环境空气标准日均值的</w:t>
      </w:r>
      <w:r>
        <w:rPr>
          <w:rFonts w:hint="default" w:ascii="Times New Roman" w:hAnsi="Times New Roman" w:eastAsia="宋体" w:cs="宋体"/>
          <w:color w:val="000000"/>
          <w:kern w:val="0"/>
          <w:sz w:val="24"/>
          <w:szCs w:val="24"/>
          <w:lang w:eastAsia="zh-CN" w:bidi="ar"/>
        </w:rPr>
        <w:t>1.6</w:t>
      </w:r>
      <w:r>
        <w:rPr>
          <w:rFonts w:hint="eastAsia" w:ascii="Times New Roman" w:hAnsi="宋体" w:eastAsia="宋体" w:cs="宋体"/>
          <w:color w:val="000000"/>
          <w:kern w:val="0"/>
          <w:sz w:val="24"/>
          <w:szCs w:val="24"/>
          <w:lang w:eastAsia="zh-CN" w:bidi="ar"/>
        </w:rPr>
        <w:t>倍。</w:t>
      </w:r>
    </w:p>
    <w:p>
      <w:pPr>
        <w:pStyle w:val="27"/>
        <w:keepNext w:val="0"/>
        <w:keepLines w:val="0"/>
        <w:widowControl/>
        <w:suppressLineNumbers w:val="0"/>
        <w:adjustRightInd w:val="0"/>
        <w:snapToGrid/>
        <w:spacing w:before="0" w:beforeAutospacing="0" w:after="0" w:afterAutospacing="0" w:line="520" w:lineRule="exact"/>
        <w:ind w:left="0" w:right="0" w:firstLine="480" w:firstLineChars="200"/>
        <w:jc w:val="left"/>
        <w:rPr>
          <w:rFonts w:hint="default" w:ascii="Times New Roman" w:hAnsi="Times New Roman" w:cs="宋体"/>
          <w:color w:val="000000"/>
          <w:lang/>
        </w:rPr>
      </w:pPr>
      <w:r>
        <w:rPr>
          <w:rFonts w:hint="eastAsia" w:ascii="Times New Roman" w:hAnsi="宋体" w:eastAsia="宋体" w:cs="宋体"/>
          <w:color w:val="000000"/>
          <w:kern w:val="0"/>
          <w:sz w:val="24"/>
          <w:szCs w:val="24"/>
          <w:lang w:eastAsia="zh-CN" w:bidi="ar"/>
        </w:rPr>
        <w:t>以上结果表明，建筑施工扬尘严重，但影响范围有限。地面堆场和道路扬尘由于排放高度有限，一般最大影响范围在下风向</w:t>
      </w:r>
      <w:r>
        <w:rPr>
          <w:rFonts w:hint="default" w:ascii="Times New Roman" w:hAnsi="Times New Roman" w:eastAsia="宋体" w:cs="宋体"/>
          <w:color w:val="000000"/>
          <w:kern w:val="0"/>
          <w:sz w:val="24"/>
          <w:szCs w:val="24"/>
          <w:lang w:eastAsia="zh-CN" w:bidi="ar"/>
        </w:rPr>
        <w:t>100</w:t>
      </w:r>
      <w:r>
        <w:rPr>
          <w:rFonts w:hint="eastAsia" w:ascii="Times New Roman" w:hAnsi="宋体" w:eastAsia="宋体" w:cs="宋体"/>
          <w:color w:val="000000"/>
          <w:kern w:val="0"/>
          <w:sz w:val="24"/>
          <w:szCs w:val="24"/>
          <w:lang w:eastAsia="zh-CN" w:bidi="ar"/>
        </w:rPr>
        <w:t>～</w:t>
      </w:r>
      <w:r>
        <w:rPr>
          <w:rFonts w:hint="default" w:ascii="Times New Roman" w:hAnsi="Times New Roman" w:eastAsia="宋体" w:cs="宋体"/>
          <w:color w:val="000000"/>
          <w:kern w:val="0"/>
          <w:sz w:val="24"/>
          <w:szCs w:val="24"/>
          <w:lang w:eastAsia="zh-CN" w:bidi="ar"/>
        </w:rPr>
        <w:t>200m</w:t>
      </w:r>
      <w:r>
        <w:rPr>
          <w:rFonts w:hint="eastAsia" w:ascii="Times New Roman" w:hAnsi="宋体" w:eastAsia="宋体" w:cs="宋体"/>
          <w:color w:val="000000"/>
          <w:kern w:val="0"/>
          <w:sz w:val="24"/>
          <w:szCs w:val="24"/>
          <w:lang w:eastAsia="zh-CN" w:bidi="ar"/>
        </w:rPr>
        <w:t>以内的区域。</w:t>
      </w:r>
      <w:bookmarkStart w:id="180" w:name="_Toc58657615"/>
      <w:bookmarkStart w:id="181" w:name="_Toc49828594"/>
    </w:p>
    <w:p>
      <w:pPr>
        <w:pStyle w:val="27"/>
        <w:keepNext w:val="0"/>
        <w:keepLines w:val="0"/>
        <w:widowControl/>
        <w:suppressLineNumbers w:val="0"/>
        <w:adjustRightInd w:val="0"/>
        <w:snapToGrid/>
        <w:spacing w:before="0" w:beforeAutospacing="0" w:after="0" w:afterAutospacing="0" w:line="520" w:lineRule="exact"/>
        <w:ind w:left="0" w:right="0" w:firstLine="480" w:firstLineChars="200"/>
        <w:jc w:val="left"/>
        <w:rPr>
          <w:rFonts w:hint="default" w:ascii="Times New Roman" w:hAnsi="Times New Roman" w:cs="宋体"/>
          <w:color w:val="000000"/>
          <w:lang/>
        </w:rPr>
      </w:pPr>
      <w:r>
        <w:rPr>
          <w:rFonts w:hint="eastAsia" w:ascii="Times New Roman" w:hAnsi="宋体" w:eastAsia="宋体" w:cs="宋体"/>
          <w:color w:val="000000"/>
          <w:kern w:val="0"/>
          <w:sz w:val="24"/>
          <w:szCs w:val="24"/>
          <w:lang w:eastAsia="zh-CN" w:bidi="ar"/>
        </w:rPr>
        <w:t>（</w:t>
      </w:r>
      <w:r>
        <w:rPr>
          <w:rFonts w:hint="default" w:ascii="Times New Roman" w:hAnsi="Times New Roman" w:eastAsia="宋体" w:cs="宋体"/>
          <w:color w:val="000000"/>
          <w:kern w:val="0"/>
          <w:sz w:val="24"/>
          <w:szCs w:val="24"/>
          <w:lang w:eastAsia="zh-CN" w:bidi="ar"/>
        </w:rPr>
        <w:t>2</w:t>
      </w:r>
      <w:r>
        <w:rPr>
          <w:rFonts w:hint="eastAsia" w:ascii="Times New Roman" w:hAnsi="宋体" w:eastAsia="宋体" w:cs="宋体"/>
          <w:color w:val="000000"/>
          <w:kern w:val="0"/>
          <w:sz w:val="24"/>
          <w:szCs w:val="24"/>
          <w:lang w:eastAsia="zh-CN" w:bidi="ar"/>
        </w:rPr>
        <w:t>）施工期尾气影响分析</w:t>
      </w:r>
      <w:bookmarkEnd w:id="180"/>
      <w:bookmarkEnd w:id="181"/>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宋体" w:eastAsia="宋体" w:cs="宋体"/>
          <w:color w:val="000000"/>
          <w:kern w:val="0"/>
          <w:sz w:val="24"/>
          <w:szCs w:val="24"/>
          <w:lang w:val="en-US" w:eastAsia="zh-CN" w:bidi="ar"/>
        </w:rPr>
        <w:t>施工期尾气污染源主要是各种施工车辆。在土石方和结构施工阶段，施工作业车辆相对较多，是污染物排放较集中的阶段，主要污染源是大型运输车，主要污染物是</w:t>
      </w:r>
      <w:r>
        <w:rPr>
          <w:rFonts w:hint="default" w:ascii="Times New Roman" w:hAnsi="Times New Roman" w:eastAsia="宋体" w:cs="宋体"/>
          <w:color w:val="000000"/>
          <w:kern w:val="0"/>
          <w:sz w:val="24"/>
          <w:szCs w:val="24"/>
          <w:lang w:val="en-US" w:eastAsia="zh-CN" w:bidi="ar"/>
        </w:rPr>
        <w:t>NO</w:t>
      </w:r>
      <w:r>
        <w:rPr>
          <w:rFonts w:hint="default" w:ascii="Times New Roman" w:hAnsi="Times New Roman" w:eastAsia="宋体" w:cs="宋体"/>
          <w:color w:val="000000"/>
          <w:kern w:val="0"/>
          <w:sz w:val="24"/>
          <w:szCs w:val="24"/>
          <w:vertAlign w:val="subscript"/>
          <w:lang w:val="en-US" w:eastAsia="zh-CN" w:bidi="ar"/>
        </w:rPr>
        <w:t>X</w:t>
      </w:r>
      <w:r>
        <w:rPr>
          <w:rFonts w:hint="eastAsia" w:ascii="Times New Roman" w:hAnsi="宋体" w:eastAsia="宋体" w:cs="宋体"/>
          <w:color w:val="000000"/>
          <w:kern w:val="0"/>
          <w:sz w:val="24"/>
          <w:szCs w:val="24"/>
          <w:lang w:val="en-US" w:eastAsia="zh-CN" w:bidi="ar"/>
        </w:rPr>
        <w:t>、</w:t>
      </w:r>
      <w:r>
        <w:rPr>
          <w:rFonts w:hint="default" w:ascii="Times New Roman" w:hAnsi="Times New Roman" w:eastAsia="宋体" w:cs="宋体"/>
          <w:color w:val="000000"/>
          <w:kern w:val="0"/>
          <w:sz w:val="24"/>
          <w:szCs w:val="24"/>
          <w:lang w:val="en-US" w:eastAsia="zh-CN" w:bidi="ar"/>
        </w:rPr>
        <w:t>CO</w:t>
      </w:r>
      <w:r>
        <w:rPr>
          <w:rFonts w:hint="eastAsia" w:ascii="Times New Roman" w:hAnsi="宋体" w:eastAsia="宋体" w:cs="宋体"/>
          <w:color w:val="000000"/>
          <w:kern w:val="0"/>
          <w:sz w:val="24"/>
          <w:szCs w:val="24"/>
          <w:lang w:val="en-US" w:eastAsia="zh-CN" w:bidi="ar"/>
        </w:rPr>
        <w:t>、</w:t>
      </w:r>
      <w:r>
        <w:rPr>
          <w:rFonts w:hint="default" w:ascii="Times New Roman" w:hAnsi="Times New Roman" w:eastAsia="宋体" w:cs="宋体"/>
          <w:color w:val="000000"/>
          <w:kern w:val="0"/>
          <w:sz w:val="24"/>
          <w:szCs w:val="24"/>
          <w:lang w:val="en-US" w:eastAsia="zh-CN" w:bidi="ar"/>
        </w:rPr>
        <w:t>HC</w:t>
      </w:r>
      <w:r>
        <w:rPr>
          <w:rFonts w:hint="eastAsia" w:ascii="Times New Roman" w:hAnsi="宋体" w:eastAsia="宋体" w:cs="宋体"/>
          <w:color w:val="000000"/>
          <w:kern w:val="0"/>
          <w:sz w:val="24"/>
          <w:szCs w:val="24"/>
          <w:lang w:val="en-US" w:eastAsia="zh-CN" w:bidi="ar"/>
        </w:rPr>
        <w:t>等。</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5.1.2</w:t>
      </w:r>
      <w:r>
        <w:rPr>
          <w:rFonts w:hint="default" w:ascii="Times New Roman" w:hAnsi="Times New Roman" w:cs="Times New Roman"/>
          <w:color w:val="000000"/>
          <w:lang/>
        </w:rPr>
        <w:t xml:space="preserve"> </w:t>
      </w:r>
      <w:r>
        <w:rPr>
          <w:rFonts w:ascii="Times New Roman" w:hAnsi="Times New Roman" w:cs="Times New Roman"/>
          <w:color w:val="000000"/>
          <w:lang w:eastAsia="zh-CN"/>
        </w:rPr>
        <w:t>施工期噪声影响分析</w:t>
      </w:r>
    </w:p>
    <w:p>
      <w:pPr>
        <w:pStyle w:val="27"/>
        <w:keepNext w:val="0"/>
        <w:keepLines w:val="0"/>
        <w:widowControl/>
        <w:suppressLineNumbers w:val="0"/>
        <w:adjustRightInd/>
        <w:snapToGrid/>
        <w:spacing w:before="0" w:beforeAutospacing="0" w:after="0" w:afterAutospacing="0" w:line="52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1</w:t>
      </w:r>
      <w:r>
        <w:rPr>
          <w:rFonts w:hint="eastAsia" w:ascii="Times New Roman" w:hAnsi="Times New Roman" w:eastAsia="宋体" w:cs="Times New Roman"/>
          <w:color w:val="000000"/>
          <w:kern w:val="0"/>
          <w:sz w:val="24"/>
          <w:szCs w:val="24"/>
          <w:lang w:eastAsia="zh-CN" w:bidi="ar"/>
        </w:rPr>
        <w:t>）施工厂界噪声预测</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宋体" w:cs="宋体"/>
          <w:color w:val="000000"/>
          <w:lang w:val="en-US"/>
        </w:rPr>
      </w:pPr>
      <w:r>
        <w:rPr>
          <w:rFonts w:hint="eastAsia" w:ascii="Times New Roman" w:hAnsi="宋体" w:eastAsia="宋体" w:cs="宋体"/>
          <w:color w:val="000000"/>
          <w:kern w:val="0"/>
          <w:sz w:val="24"/>
          <w:szCs w:val="24"/>
          <w:lang w:val="en-US" w:eastAsia="zh-CN" w:bidi="ar"/>
        </w:rPr>
        <w:t>本项目施工噪声主要来源于施工机械设备噪声（包括挖掘机、推土机、卡车、搅拌机等），据有关类比监测资料表明，施工现场边界噪声值为</w:t>
      </w:r>
      <w:r>
        <w:rPr>
          <w:rFonts w:hint="default" w:ascii="Times New Roman" w:hAnsi="宋体" w:eastAsia="宋体" w:cs="宋体"/>
          <w:color w:val="000000"/>
          <w:kern w:val="0"/>
          <w:sz w:val="24"/>
          <w:szCs w:val="24"/>
          <w:lang w:val="en-US" w:eastAsia="zh-CN" w:bidi="ar"/>
        </w:rPr>
        <w:t>85~95dB(A)</w:t>
      </w:r>
      <w:r>
        <w:rPr>
          <w:rFonts w:hint="eastAsia" w:ascii="Times New Roman" w:hAnsi="宋体" w:eastAsia="宋体" w:cs="宋体"/>
          <w:color w:val="000000"/>
          <w:kern w:val="0"/>
          <w:sz w:val="24"/>
          <w:szCs w:val="24"/>
          <w:lang w:val="en-US" w:eastAsia="zh-CN" w:bidi="ar"/>
        </w:rPr>
        <w:t>，施工噪声源可近似视为点声源，根据点声源噪声衰减模式，可计算出各施工设备的影响半径。点声源衰减模式如下：</w:t>
      </w:r>
    </w:p>
    <w:p>
      <w:pPr>
        <w:pStyle w:val="14"/>
        <w:widowControl/>
        <w:spacing w:line="480" w:lineRule="exact"/>
        <w:ind w:left="0" w:firstLine="420" w:firstLineChars="200"/>
        <w:rPr>
          <w:rFonts w:hint="default" w:ascii="Times New Roman" w:hAnsi="Times New Roman" w:cs="宋体"/>
          <w:color w:val="000000"/>
          <w:lang w:val="en-US"/>
        </w:rPr>
      </w:pPr>
      <w:r>
        <w:rPr>
          <w:rFonts w:hint="default" w:ascii="Times New Roman" w:hAnsi="Times New Roman" w:cs="宋体"/>
          <w:color w:val="000000"/>
          <w:lang w:val="en-US"/>
        </w:rPr>
        <w:t xml:space="preserve">        </w:t>
      </w:r>
      <w:r>
        <w:rPr>
          <w:rFonts w:hint="default" w:ascii="Times New Roman" w:hAnsi="Times New Roman" w:cs="宋体"/>
          <w:color w:val="000000"/>
          <w:position w:val="-14"/>
          <w:lang w:val="en-US"/>
        </w:rPr>
        <w:object>
          <v:shape id="_x0000_i1046" o:spt="75" type="#_x0000_t75" style="height:18.75pt;width:134.25pt;" o:ole="t" fillcolor="#6D6D6D" filled="f" o:preferrelative="t" stroked="f" coordsize="21600,21600">
            <v:path/>
            <v:fill on="f" focussize="0,0"/>
            <v:stroke on="f" joinstyle="miter"/>
            <v:imagedata r:id="rId51" o:title=""/>
            <o:lock v:ext="edit" aspectratio="t"/>
            <w10:wrap type="none"/>
            <w10:anchorlock/>
          </v:shape>
          <o:OLEObject Type="Embed" ProgID="Equation.3" ShapeID="_x0000_i1046" DrawAspect="Content" ObjectID="_1468075739" r:id="rId50">
            <o:LockedField>false</o:LockedField>
          </o:OLEObject>
        </w:object>
      </w:r>
      <w:r>
        <w:rPr>
          <w:rFonts w:hint="default" w:ascii="Times New Roman" w:hAnsi="Times New Roman" w:cs="宋体"/>
          <w:color w:val="000000"/>
          <w:lang w:val="en-US"/>
        </w:rPr>
        <w:t xml:space="preserve"> </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宋体" w:cs="宋体"/>
          <w:color w:val="000000"/>
          <w:lang w:val="en-US"/>
        </w:rPr>
      </w:pPr>
      <w:r>
        <w:rPr>
          <w:rFonts w:hint="default" w:ascii="Times New Roman" w:hAnsi="Times New Roman" w:eastAsia="宋体" w:cs="宋体"/>
          <w:color w:val="000000"/>
          <w:kern w:val="0"/>
          <w:sz w:val="24"/>
          <w:szCs w:val="24"/>
          <w:lang w:val="en-US" w:eastAsia="zh-CN" w:bidi="ar"/>
        </w:rPr>
        <w:t xml:space="preserve"> </w:t>
      </w:r>
      <w:r>
        <w:rPr>
          <w:rFonts w:hint="default" w:ascii="Times New Roman" w:hAnsi="宋体" w:eastAsia="宋体" w:cs="宋体"/>
          <w:color w:val="000000"/>
          <w:kern w:val="0"/>
          <w:sz w:val="24"/>
          <w:szCs w:val="24"/>
          <w:lang w:val="en-US" w:eastAsia="zh-CN" w:bidi="ar"/>
        </w:rPr>
        <w:t xml:space="preserve"> </w:t>
      </w:r>
      <w:r>
        <w:rPr>
          <w:rFonts w:hint="eastAsia" w:ascii="Times New Roman" w:hAnsi="宋体" w:eastAsia="宋体" w:cs="宋体"/>
          <w:color w:val="000000"/>
          <w:kern w:val="0"/>
          <w:sz w:val="24"/>
          <w:szCs w:val="24"/>
          <w:lang w:val="en-US" w:eastAsia="zh-CN" w:bidi="ar"/>
        </w:rPr>
        <w:t>式中：</w:t>
      </w:r>
      <w:r>
        <w:rPr>
          <w:rFonts w:hint="default" w:ascii="Times New Roman" w:hAnsi="宋体" w:eastAsia="宋体" w:cs="宋体"/>
          <w:i/>
          <w:color w:val="000000"/>
          <w:kern w:val="0"/>
          <w:sz w:val="24"/>
          <w:szCs w:val="24"/>
          <w:lang w:val="en-US" w:eastAsia="zh-CN" w:bidi="ar"/>
        </w:rPr>
        <w:t>L</w:t>
      </w:r>
      <w:r>
        <w:rPr>
          <w:rFonts w:hint="default" w:ascii="Times New Roman" w:hAnsi="宋体" w:eastAsia="宋体" w:cs="宋体"/>
          <w:i/>
          <w:color w:val="000000"/>
          <w:kern w:val="0"/>
          <w:sz w:val="24"/>
          <w:szCs w:val="24"/>
          <w:vertAlign w:val="subscript"/>
          <w:lang w:val="en-US" w:eastAsia="zh-CN" w:bidi="ar"/>
        </w:rPr>
        <w:t>P</w:t>
      </w:r>
      <w:r>
        <w:rPr>
          <w:rFonts w:hint="eastAsia" w:ascii="Times New Roman" w:hAnsi="宋体" w:eastAsia="宋体" w:cs="宋体"/>
          <w:color w:val="000000"/>
          <w:kern w:val="0"/>
          <w:sz w:val="24"/>
          <w:szCs w:val="24"/>
          <w:lang w:val="en-US" w:eastAsia="zh-CN" w:bidi="ar"/>
        </w:rPr>
        <w:t>—距声源</w:t>
      </w:r>
      <w:r>
        <w:rPr>
          <w:rFonts w:hint="default" w:ascii="Times New Roman" w:hAnsi="宋体" w:eastAsia="宋体" w:cs="宋体"/>
          <w:color w:val="000000"/>
          <w:kern w:val="0"/>
          <w:sz w:val="24"/>
          <w:szCs w:val="24"/>
          <w:lang w:val="en-US" w:eastAsia="zh-CN" w:bidi="ar"/>
        </w:rPr>
        <w:t>r(m)</w:t>
      </w:r>
      <w:r>
        <w:rPr>
          <w:rFonts w:hint="eastAsia" w:ascii="Times New Roman" w:hAnsi="宋体" w:eastAsia="宋体" w:cs="宋体"/>
          <w:color w:val="000000"/>
          <w:kern w:val="0"/>
          <w:sz w:val="24"/>
          <w:szCs w:val="24"/>
          <w:lang w:val="en-US" w:eastAsia="zh-CN" w:bidi="ar"/>
        </w:rPr>
        <w:t>处声压级，</w:t>
      </w:r>
      <w:r>
        <w:rPr>
          <w:rFonts w:hint="default" w:ascii="Times New Roman" w:hAnsi="宋体" w:eastAsia="宋体" w:cs="宋体"/>
          <w:color w:val="000000"/>
          <w:kern w:val="0"/>
          <w:sz w:val="24"/>
          <w:szCs w:val="24"/>
          <w:lang w:val="en-US" w:eastAsia="zh-CN" w:bidi="ar"/>
        </w:rPr>
        <w:t>dB(A)</w:t>
      </w:r>
      <w:r>
        <w:rPr>
          <w:rFonts w:hint="eastAsia" w:ascii="Times New Roman" w:hAnsi="宋体" w:eastAsia="宋体" w:cs="宋体"/>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宋体" w:cs="宋体"/>
          <w:color w:val="000000"/>
          <w:lang w:val="en-US"/>
        </w:rPr>
      </w:pPr>
      <w:r>
        <w:rPr>
          <w:rFonts w:hint="default" w:ascii="Times New Roman" w:hAnsi="宋体" w:eastAsia="宋体" w:cs="宋体"/>
          <w:i/>
          <w:color w:val="000000"/>
          <w:kern w:val="0"/>
          <w:sz w:val="24"/>
          <w:szCs w:val="24"/>
          <w:lang w:val="en-US" w:eastAsia="zh-CN" w:bidi="ar"/>
        </w:rPr>
        <w:t>L</w:t>
      </w:r>
      <w:r>
        <w:rPr>
          <w:rFonts w:hint="default" w:ascii="Times New Roman" w:hAnsi="宋体" w:eastAsia="宋体" w:cs="宋体"/>
          <w:i/>
          <w:color w:val="000000"/>
          <w:kern w:val="0"/>
          <w:sz w:val="24"/>
          <w:szCs w:val="24"/>
          <w:vertAlign w:val="subscript"/>
          <w:lang w:val="en-US" w:eastAsia="zh-CN" w:bidi="ar"/>
        </w:rPr>
        <w:t>PO</w:t>
      </w:r>
      <w:r>
        <w:rPr>
          <w:rFonts w:hint="eastAsia" w:ascii="Times New Roman" w:hAnsi="宋体" w:eastAsia="宋体" w:cs="宋体"/>
          <w:color w:val="000000"/>
          <w:kern w:val="0"/>
          <w:sz w:val="24"/>
          <w:szCs w:val="24"/>
          <w:lang w:val="en-US" w:eastAsia="zh-CN" w:bidi="ar"/>
        </w:rPr>
        <w:t>—距声源</w:t>
      </w:r>
      <w:r>
        <w:rPr>
          <w:rFonts w:hint="default" w:ascii="Times New Roman" w:hAnsi="宋体" w:eastAsia="宋体" w:cs="宋体"/>
          <w:color w:val="000000"/>
          <w:kern w:val="0"/>
          <w:sz w:val="24"/>
          <w:szCs w:val="24"/>
          <w:lang w:val="en-US" w:eastAsia="zh-CN" w:bidi="ar"/>
        </w:rPr>
        <w:t>ro(m)</w:t>
      </w:r>
      <w:r>
        <w:rPr>
          <w:rFonts w:hint="eastAsia" w:ascii="Times New Roman" w:hAnsi="宋体" w:eastAsia="宋体" w:cs="宋体"/>
          <w:color w:val="000000"/>
          <w:kern w:val="0"/>
          <w:sz w:val="24"/>
          <w:szCs w:val="24"/>
          <w:lang w:val="en-US" w:eastAsia="zh-CN" w:bidi="ar"/>
        </w:rPr>
        <w:t>处声压级</w:t>
      </w:r>
      <w:r>
        <w:rPr>
          <w:rFonts w:hint="default" w:ascii="Times New Roman" w:hAnsi="宋体" w:eastAsia="宋体" w:cs="宋体"/>
          <w:color w:val="000000"/>
          <w:kern w:val="0"/>
          <w:sz w:val="24"/>
          <w:szCs w:val="24"/>
          <w:lang w:val="en-US" w:eastAsia="zh-CN" w:bidi="ar"/>
        </w:rPr>
        <w:t xml:space="preserve"> </w:t>
      </w:r>
      <w:r>
        <w:rPr>
          <w:rFonts w:hint="eastAsia" w:ascii="Times New Roman" w:hAnsi="宋体" w:eastAsia="宋体" w:cs="宋体"/>
          <w:color w:val="000000"/>
          <w:kern w:val="0"/>
          <w:sz w:val="24"/>
          <w:szCs w:val="24"/>
          <w:lang w:val="en-US" w:eastAsia="zh-CN" w:bidi="ar"/>
        </w:rPr>
        <w:t>，</w:t>
      </w:r>
      <w:r>
        <w:rPr>
          <w:rFonts w:hint="default" w:ascii="Times New Roman" w:hAnsi="宋体" w:eastAsia="宋体" w:cs="宋体"/>
          <w:color w:val="000000"/>
          <w:kern w:val="0"/>
          <w:sz w:val="24"/>
          <w:szCs w:val="24"/>
          <w:lang w:val="en-US" w:eastAsia="zh-CN" w:bidi="ar"/>
        </w:rPr>
        <w:t>dB(A)</w:t>
      </w:r>
      <w:r>
        <w:rPr>
          <w:rFonts w:hint="eastAsia" w:ascii="Times New Roman" w:hAnsi="宋体" w:eastAsia="宋体" w:cs="宋体"/>
          <w:color w:val="000000"/>
          <w:kern w:val="0"/>
          <w:sz w:val="24"/>
          <w:szCs w:val="24"/>
          <w:lang w:val="en-US" w:eastAsia="zh-CN" w:bidi="ar"/>
        </w:rPr>
        <w:t>；</w:t>
      </w:r>
      <w:r>
        <w:rPr>
          <w:rFonts w:hint="default" w:ascii="Times New Roman" w:hAnsi="宋体" w:eastAsia="宋体" w:cs="宋体"/>
          <w:color w:val="000000"/>
          <w:kern w:val="0"/>
          <w:sz w:val="24"/>
          <w:szCs w:val="24"/>
          <w:lang w:val="en-US" w:eastAsia="zh-CN" w:bidi="ar"/>
        </w:rPr>
        <w:t xml:space="preserve"> </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宋体" w:cs="宋体"/>
          <w:color w:val="000000"/>
          <w:lang w:val="en-US"/>
        </w:rPr>
      </w:pPr>
      <w:r>
        <w:rPr>
          <w:rFonts w:hint="default" w:ascii="Times New Roman" w:hAnsi="宋体" w:eastAsia="宋体" w:cs="宋体"/>
          <w:color w:val="000000"/>
          <w:kern w:val="0"/>
          <w:sz w:val="24"/>
          <w:szCs w:val="24"/>
          <w:lang w:val="en-US" w:eastAsia="zh-CN" w:bidi="ar"/>
        </w:rPr>
        <w:object>
          <v:shape id="_x0000_i1047" o:spt="75" type="#_x0000_t75" style="height:12.75pt;width:17.25pt;" o:ole="t" filled="f" o:preferrelative="t" stroked="f" coordsize="21600,21600">
            <v:path/>
            <v:fill on="f" focussize="0,0"/>
            <v:stroke on="f" joinstyle="miter"/>
            <v:imagedata r:id="rId53" o:title=""/>
            <o:lock v:ext="edit" aspectratio="f"/>
            <w10:wrap type="none"/>
            <w10:anchorlock/>
          </v:shape>
          <o:OLEObject Type="Embed" ProgID="Equation.3" ShapeID="_x0000_i1047" DrawAspect="Content" ObjectID="_1468075740" r:id="rId52">
            <o:LockedField>false</o:LockedField>
          </o:OLEObject>
        </w:object>
      </w:r>
      <w:r>
        <w:rPr>
          <w:rFonts w:hint="eastAsia" w:ascii="Times New Roman" w:hAnsi="宋体" w:eastAsia="宋体" w:cs="宋体"/>
          <w:color w:val="000000"/>
          <w:kern w:val="0"/>
          <w:sz w:val="24"/>
          <w:szCs w:val="24"/>
          <w:lang w:val="en-US" w:eastAsia="zh-CN" w:bidi="ar"/>
        </w:rPr>
        <w:t>—各种衰减量（除发散衰减外），</w:t>
      </w:r>
      <w:r>
        <w:rPr>
          <w:rFonts w:hint="default" w:ascii="Times New Roman" w:hAnsi="宋体" w:eastAsia="宋体" w:cs="宋体"/>
          <w:color w:val="000000"/>
          <w:kern w:val="0"/>
          <w:sz w:val="24"/>
          <w:szCs w:val="24"/>
          <w:lang w:val="en-US" w:eastAsia="zh-CN" w:bidi="ar"/>
        </w:rPr>
        <w:t>dB(A)</w:t>
      </w:r>
      <w:r>
        <w:rPr>
          <w:rFonts w:hint="eastAsia" w:ascii="Times New Roman" w:hAnsi="宋体" w:eastAsia="宋体" w:cs="宋体"/>
          <w:color w:val="000000"/>
          <w:kern w:val="0"/>
          <w:sz w:val="24"/>
          <w:szCs w:val="24"/>
          <w:lang w:val="en-US" w:eastAsia="zh-CN" w:bidi="ar"/>
        </w:rPr>
        <w:t>。室外噪声源</w:t>
      </w:r>
      <w:r>
        <w:rPr>
          <w:rFonts w:hint="default" w:ascii="Times New Roman" w:hAnsi="宋体" w:eastAsia="宋体" w:cs="宋体"/>
          <w:color w:val="000000"/>
          <w:kern w:val="0"/>
          <w:sz w:val="24"/>
          <w:szCs w:val="24"/>
          <w:lang w:val="en-US" w:eastAsia="zh-CN" w:bidi="ar"/>
        </w:rPr>
        <w:object>
          <v:shape id="_x0000_i1048" o:spt="75" type="#_x0000_t75" style="height:12.75pt;width:17.25pt;" o:ole="t" filled="f" o:preferrelative="t" stroked="f" coordsize="21600,21600">
            <v:path/>
            <v:fill on="f" focussize="0,0"/>
            <v:stroke on="f" joinstyle="miter"/>
            <v:imagedata r:id="rId53" o:title=""/>
            <o:lock v:ext="edit" aspectratio="f"/>
            <w10:wrap type="none"/>
            <w10:anchorlock/>
          </v:shape>
          <o:OLEObject Type="Embed" ProgID="Equation.3" ShapeID="_x0000_i1048" DrawAspect="Content" ObjectID="_1468075741" r:id="rId54">
            <o:LockedField>false</o:LockedField>
          </o:OLEObject>
        </w:object>
      </w:r>
      <w:r>
        <w:rPr>
          <w:rFonts w:hint="eastAsia" w:ascii="Times New Roman" w:hAnsi="宋体" w:eastAsia="宋体" w:cs="宋体"/>
          <w:color w:val="000000"/>
          <w:kern w:val="0"/>
          <w:sz w:val="24"/>
          <w:szCs w:val="24"/>
          <w:lang w:val="en-US" w:eastAsia="zh-CN" w:bidi="ar"/>
        </w:rPr>
        <w:t>取为零。</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）预测结果</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宋体" w:eastAsia="宋体" w:cs="宋体"/>
          <w:color w:val="000000"/>
          <w:kern w:val="0"/>
          <w:sz w:val="24"/>
          <w:szCs w:val="24"/>
          <w:lang w:val="en-US" w:eastAsia="zh-CN" w:bidi="ar"/>
        </w:rPr>
        <w:t>在不考虑树林及建筑物的噪声衰减量的情况下，各类施工机械在不同距离处的噪声值（未与现状值叠加）预测结果见下表</w:t>
      </w:r>
      <w:r>
        <w:rPr>
          <w:rFonts w:hint="default" w:ascii="Times New Roman" w:hAnsi="Times New Roman" w:eastAsia="宋体" w:cs="Times New Roman"/>
          <w:color w:val="000000"/>
          <w:kern w:val="0"/>
          <w:sz w:val="24"/>
          <w:szCs w:val="24"/>
          <w:lang w:val="en-US" w:eastAsia="zh-CN" w:bidi="ar"/>
        </w:rPr>
        <w:t>5.1-2</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utoSpaceDE w:val="0"/>
        <w:autoSpaceDN w:val="0"/>
        <w:snapToGri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5.1-2    </w:t>
      </w:r>
      <w:r>
        <w:rPr>
          <w:rFonts w:hint="eastAsia" w:ascii="Times New Roman" w:hAnsi="Times New Roman" w:eastAsia="黑体" w:cs="Times New Roman"/>
          <w:color w:val="000000"/>
          <w:kern w:val="0"/>
          <w:sz w:val="24"/>
          <w:szCs w:val="24"/>
          <w:lang w:val="en-US" w:eastAsia="zh-CN" w:bidi="ar"/>
        </w:rPr>
        <w:t>主要施工机械噪声源强度及其影响预测</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4"/>
          <w:szCs w:val="24"/>
          <w:lang w:val="en-US" w:eastAsia="zh-CN" w:bidi="ar"/>
        </w:rPr>
        <w:t>单位：</w:t>
      </w:r>
      <w:r>
        <w:rPr>
          <w:rFonts w:hint="default" w:ascii="Times New Roman" w:hAnsi="Times New Roman" w:eastAsia="黑体" w:cs="Times New Roman"/>
          <w:color w:val="000000"/>
          <w:kern w:val="0"/>
          <w:sz w:val="24"/>
          <w:szCs w:val="24"/>
          <w:lang w:val="en-US" w:eastAsia="zh-CN" w:bidi="ar"/>
        </w:rPr>
        <w:t>dB(A)</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133"/>
        <w:gridCol w:w="2091"/>
        <w:gridCol w:w="758"/>
        <w:gridCol w:w="986"/>
        <w:gridCol w:w="984"/>
        <w:gridCol w:w="986"/>
        <w:gridCol w:w="986"/>
        <w:gridCol w:w="803"/>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rPr>
        <w:tc>
          <w:tcPr>
            <w:tcW w:w="649" w:type="pct"/>
            <w:vMerge w:val="restar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施工阶段</w:t>
            </w:r>
          </w:p>
        </w:tc>
        <w:tc>
          <w:tcPr>
            <w:tcW w:w="1198" w:type="pct"/>
            <w:vMerge w:val="restar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主要噪声源</w:t>
            </w:r>
          </w:p>
        </w:tc>
        <w:tc>
          <w:tcPr>
            <w:tcW w:w="434" w:type="pct"/>
            <w:vMerge w:val="restar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声级</w:t>
            </w:r>
          </w:p>
        </w:tc>
        <w:tc>
          <w:tcPr>
            <w:tcW w:w="2718" w:type="pct"/>
            <w:gridSpan w:val="5"/>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距声源距离（</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49" w:type="pct"/>
            <w:vMerge w:val="continue"/>
            <w:tcBorders>
              <w:top w:val="thinThickSmallGap" w:color="auto" w:sz="12" w:space="0"/>
              <w:left w:val="nil"/>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1198" w:type="pct"/>
            <w:vMerge w:val="continue"/>
            <w:tcBorders>
              <w:top w:val="thinThickSmallGap" w:color="auto" w:sz="12" w:space="0"/>
              <w:left w:val="single" w:color="auto" w:sz="6" w:space="0"/>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434" w:type="pct"/>
            <w:vMerge w:val="continue"/>
            <w:tcBorders>
              <w:top w:val="thinThickSmallGap" w:color="auto" w:sz="12" w:space="0"/>
              <w:left w:val="single" w:color="auto" w:sz="6" w:space="0"/>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565" w:type="pct"/>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w:t>
            </w:r>
          </w:p>
        </w:tc>
        <w:tc>
          <w:tcPr>
            <w:tcW w:w="564" w:type="pct"/>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40</w:t>
            </w:r>
          </w:p>
        </w:tc>
        <w:tc>
          <w:tcPr>
            <w:tcW w:w="565" w:type="pct"/>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60</w:t>
            </w:r>
          </w:p>
        </w:tc>
        <w:tc>
          <w:tcPr>
            <w:tcW w:w="565" w:type="pct"/>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80</w:t>
            </w:r>
          </w:p>
        </w:tc>
        <w:tc>
          <w:tcPr>
            <w:tcW w:w="458" w:type="pct"/>
            <w:tcBorders>
              <w:top w:val="single" w:color="auto" w:sz="6" w:space="0"/>
              <w:left w:val="single" w:color="auto" w:sz="6" w:space="0"/>
              <w:bottom w:val="single" w:color="auto" w:sz="6" w:space="0"/>
              <w:right w:val="nil"/>
            </w:tcBorders>
            <w:shd w:val="clear" w:color="auto" w:fill="D9D9D9"/>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49"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105" w:leftChars="-50" w:right="-105" w:rightChars="-5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施工阶段</w:t>
            </w:r>
          </w:p>
        </w:tc>
        <w:tc>
          <w:tcPr>
            <w:tcW w:w="119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推土机、挖掘机等</w:t>
            </w:r>
          </w:p>
        </w:tc>
        <w:tc>
          <w:tcPr>
            <w:tcW w:w="434"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87-102</w:t>
            </w:r>
          </w:p>
        </w:tc>
        <w:tc>
          <w:tcPr>
            <w:tcW w:w="565"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69-84</w:t>
            </w:r>
          </w:p>
        </w:tc>
        <w:tc>
          <w:tcPr>
            <w:tcW w:w="564"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55-70</w:t>
            </w:r>
          </w:p>
        </w:tc>
        <w:tc>
          <w:tcPr>
            <w:tcW w:w="565"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51-66</w:t>
            </w:r>
          </w:p>
        </w:tc>
        <w:tc>
          <w:tcPr>
            <w:tcW w:w="565"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49-64</w:t>
            </w:r>
          </w:p>
        </w:tc>
        <w:tc>
          <w:tcPr>
            <w:tcW w:w="458"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47-62</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46" w:type="pct"/>
            <w:gridSpan w:val="2"/>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《建筑施工厂界环境噪声排放标准》（</w:t>
            </w:r>
            <w:r>
              <w:rPr>
                <w:rFonts w:hint="default" w:ascii="Times New Roman" w:hAnsi="Times New Roman" w:eastAsia="宋体" w:cs="Times New Roman"/>
                <w:color w:val="000000"/>
                <w:kern w:val="0"/>
                <w:sz w:val="21"/>
                <w:szCs w:val="21"/>
                <w:bdr w:val="none" w:color="auto" w:sz="0" w:space="0"/>
                <w:lang w:val="en-US" w:eastAsia="zh-CN" w:bidi="ar"/>
              </w:rPr>
              <w:t>GB12523-2011</w:t>
            </w:r>
            <w:r>
              <w:rPr>
                <w:rFonts w:hint="eastAsia" w:ascii="Times New Roman" w:hAnsi="Times New Roman" w:eastAsia="宋体" w:cs="Times New Roman"/>
                <w:color w:val="000000"/>
                <w:kern w:val="0"/>
                <w:sz w:val="21"/>
                <w:szCs w:val="21"/>
                <w:bdr w:val="none" w:color="auto" w:sz="0" w:space="0"/>
                <w:lang w:val="en-US" w:eastAsia="zh-CN" w:bidi="ar"/>
              </w:rPr>
              <w:t>）标准</w:t>
            </w:r>
          </w:p>
        </w:tc>
        <w:tc>
          <w:tcPr>
            <w:tcW w:w="3153" w:type="pct"/>
            <w:gridSpan w:val="6"/>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113" w:right="-113"/>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昼间</w:t>
            </w:r>
            <w:r>
              <w:rPr>
                <w:rFonts w:hint="default" w:ascii="Times New Roman" w:hAnsi="Times New Roman" w:eastAsia="宋体" w:cs="Times New Roman"/>
                <w:color w:val="000000"/>
                <w:kern w:val="0"/>
                <w:sz w:val="21"/>
                <w:szCs w:val="21"/>
                <w:bdr w:val="none" w:color="auto" w:sz="0" w:space="0"/>
                <w:lang w:val="en-US" w:eastAsia="zh-CN" w:bidi="ar"/>
              </w:rPr>
              <w:t>70</w:t>
            </w:r>
            <w:r>
              <w:rPr>
                <w:rFonts w:hint="eastAsia" w:ascii="Times New Roman" w:hAnsi="Times New Roman" w:eastAsia="宋体" w:cs="Times New Roman"/>
                <w:color w:val="000000"/>
                <w:kern w:val="0"/>
                <w:sz w:val="21"/>
                <w:szCs w:val="21"/>
                <w:bdr w:val="none" w:color="auto" w:sz="0" w:space="0"/>
                <w:lang w:val="en-US" w:eastAsia="zh-CN" w:bidi="ar"/>
              </w:rPr>
              <w:t>，夜间</w:t>
            </w:r>
            <w:r>
              <w:rPr>
                <w:rFonts w:hint="default" w:ascii="Times New Roman" w:hAnsi="Times New Roman" w:eastAsia="宋体" w:cs="Times New Roman"/>
                <w:color w:val="000000"/>
                <w:kern w:val="0"/>
                <w:sz w:val="21"/>
                <w:szCs w:val="21"/>
                <w:bdr w:val="none" w:color="auto" w:sz="0" w:space="0"/>
                <w:lang w:val="en-US" w:eastAsia="zh-CN" w:bidi="ar"/>
              </w:rPr>
              <w:t>55</w:t>
            </w:r>
          </w:p>
        </w:tc>
      </w:tr>
    </w:tbl>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本项目位于华宇集团现有厂区，最近居民距离</w:t>
      </w:r>
      <w:r>
        <w:rPr>
          <w:rFonts w:hint="default" w:ascii="Times New Roman" w:hAnsi="Times New Roman" w:eastAsia="宋体" w:cs="Times New Roman"/>
          <w:color w:val="000000"/>
          <w:kern w:val="0"/>
          <w:sz w:val="24"/>
          <w:szCs w:val="24"/>
          <w:lang w:val="en-US" w:eastAsia="zh-CN" w:bidi="ar"/>
        </w:rPr>
        <w:t>260m</w:t>
      </w:r>
      <w:r>
        <w:rPr>
          <w:rFonts w:hint="eastAsia" w:ascii="Times New Roman" w:hAnsi="Times New Roman" w:eastAsia="宋体" w:cs="Times New Roman"/>
          <w:color w:val="000000"/>
          <w:kern w:val="0"/>
          <w:sz w:val="24"/>
          <w:szCs w:val="24"/>
          <w:lang w:val="en-US" w:eastAsia="zh-CN" w:bidi="ar"/>
        </w:rPr>
        <w:t>，因此本项目施工期噪声对周围环境影响较小。</w:t>
      </w:r>
    </w:p>
    <w:p>
      <w:pPr>
        <w:pStyle w:val="27"/>
        <w:keepNext w:val="0"/>
        <w:keepLines w:val="0"/>
        <w:widowControl/>
        <w:suppressLineNumbers w:val="0"/>
        <w:adjustRightInd/>
        <w:snapToGrid/>
        <w:spacing w:before="0" w:beforeAutospacing="0" w:after="0" w:afterAutospacing="0" w:line="52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2</w:t>
      </w:r>
      <w:r>
        <w:rPr>
          <w:rFonts w:hint="eastAsia" w:ascii="Times New Roman" w:hAnsi="Times New Roman" w:eastAsia="宋体" w:cs="Times New Roman"/>
          <w:color w:val="000000"/>
          <w:kern w:val="0"/>
          <w:sz w:val="24"/>
          <w:szCs w:val="24"/>
          <w:lang w:eastAsia="zh-CN" w:bidi="ar"/>
        </w:rPr>
        <w:t>）施工期运输车辆噪声的影响分析</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根据工程分析，施工期运输车辆噪声一般在</w:t>
      </w:r>
      <w:r>
        <w:rPr>
          <w:rFonts w:hint="default" w:ascii="Times New Roman" w:hAnsi="Times New Roman" w:eastAsia="宋体" w:cs="Times New Roman"/>
          <w:color w:val="000000"/>
          <w:kern w:val="0"/>
          <w:sz w:val="24"/>
          <w:szCs w:val="24"/>
          <w:lang w:val="en-US" w:eastAsia="zh-CN" w:bidi="ar"/>
        </w:rPr>
        <w:t>75</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95dB(A)</w:t>
      </w:r>
      <w:r>
        <w:rPr>
          <w:rFonts w:hint="eastAsia" w:ascii="Times New Roman" w:hAnsi="Times New Roman" w:eastAsia="宋体" w:cs="Times New Roman"/>
          <w:color w:val="000000"/>
          <w:kern w:val="0"/>
          <w:sz w:val="24"/>
          <w:szCs w:val="24"/>
          <w:lang w:val="en-US" w:eastAsia="zh-CN" w:bidi="ar"/>
        </w:rPr>
        <w:t>，如行驶路线选择不合理，将会对敏感点居民产生较大影响。本项目施工期运输车辆在工地外的运输道路选择时，应尽量避开居民区。</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5.1.3</w:t>
      </w:r>
      <w:r>
        <w:rPr>
          <w:rFonts w:hint="default" w:ascii="Times New Roman" w:hAnsi="Times New Roman" w:cs="Times New Roman"/>
          <w:color w:val="000000"/>
          <w:lang/>
        </w:rPr>
        <w:t xml:space="preserve"> </w:t>
      </w:r>
      <w:r>
        <w:rPr>
          <w:rFonts w:ascii="Times New Roman" w:hAnsi="Times New Roman" w:cs="Times New Roman"/>
          <w:color w:val="000000"/>
          <w:lang w:eastAsia="zh-CN"/>
        </w:rPr>
        <w:t>施工期水环境影响分析</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本工程施工废水主要为施工生产废水及生活污水。根据工程量施工废水日产生量约为</w:t>
      </w:r>
      <w:r>
        <w:rPr>
          <w:rFonts w:hint="default" w:ascii="Times New Roman" w:hAnsi="Times New Roman" w:eastAsia="宋体" w:cs="Times New Roman"/>
          <w:color w:val="000000"/>
          <w:kern w:val="0"/>
          <w:sz w:val="24"/>
          <w:szCs w:val="24"/>
          <w:lang w:val="en-US" w:eastAsia="zh-CN" w:bidi="ar"/>
        </w:rPr>
        <w:t>3t/d</w:t>
      </w:r>
      <w:r>
        <w:rPr>
          <w:rFonts w:hint="eastAsia" w:ascii="Times New Roman" w:hAnsi="Times New Roman" w:eastAsia="宋体" w:cs="Times New Roman"/>
          <w:color w:val="000000"/>
          <w:kern w:val="0"/>
          <w:sz w:val="24"/>
          <w:szCs w:val="24"/>
          <w:lang w:val="en-US" w:eastAsia="zh-CN" w:bidi="ar"/>
        </w:rPr>
        <w:t>，施工废水主要包括施工机械的冲洗水、土建废水等，施工机械的冲洗水可能含有石油类和悬浮物；为控制施工废水污染，应采取必要的污染防治措施：</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生活污水排放量较小，排入旱厕并定期清淘，不外排。</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检修、清洗施工机械和车辆必须定点设置，场地须有防渗地坪，并将清洗、检修水收集后经沉淀后排放。</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对施工车辆和设备严格管理，防止发生漏油等污染事故，特别是基坑开挖阶段，要能防止污染物滞留在基坑底部。</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5.1.3</w:t>
      </w:r>
      <w:r>
        <w:rPr>
          <w:rFonts w:hint="default" w:ascii="Times New Roman" w:hAnsi="Times New Roman" w:cs="Times New Roman"/>
          <w:color w:val="000000"/>
          <w:lang/>
        </w:rPr>
        <w:t xml:space="preserve"> </w:t>
      </w:r>
      <w:r>
        <w:rPr>
          <w:rFonts w:ascii="Times New Roman" w:hAnsi="Times New Roman" w:cs="Times New Roman"/>
          <w:color w:val="000000"/>
          <w:lang w:eastAsia="zh-CN"/>
        </w:rPr>
        <w:t>施工期固体废物环境影响分析</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施工期固体废物包括施工期间产生的土石方等施工废料、施工人员产生的生活垃圾和渣土等。</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对施工人员产生的生活垃圾应加以收集，定期由环卫部门清运处理。</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工程施工期间将挖掘、回填大量土方，如果不及时清运回填将影响施工区环境，而且在遇大风干燥天气时将产生扬尘，对周围环境产生一定的不利影响。建议残土部分回填土方，剩余将运至政府规定的残土堆放场用于填坑造地。</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施工废料和建筑垃圾，对有利于价值的进行回收利用，不能利用的运至垃圾填埋场处理。</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施工期固体废物在采取合理措施处置的情况下，对周边环境影响较小。</w:t>
      </w:r>
    </w:p>
    <w:p>
      <w:pPr>
        <w:pStyle w:val="8"/>
        <w:widowControl/>
        <w:rPr>
          <w:color w:val="000000"/>
          <w:lang/>
        </w:rPr>
      </w:pPr>
      <w:bookmarkStart w:id="182" w:name="_Toc41656142"/>
      <w:r>
        <w:rPr>
          <w:color w:val="000000"/>
          <w:lang/>
        </w:rPr>
        <w:t xml:space="preserve">5.2 </w:t>
      </w:r>
      <w:r>
        <w:rPr>
          <w:rFonts w:hint="eastAsia" w:ascii="Times New Roman" w:hAnsi="Times New Roman" w:eastAsia="宋体" w:cs="宋体"/>
          <w:color w:val="000000"/>
          <w:lang w:eastAsia="zh-CN"/>
        </w:rPr>
        <w:t>运营期大气环境影响预测与评价</w:t>
      </w:r>
      <w:bookmarkEnd w:id="182"/>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5.2.1</w:t>
      </w:r>
      <w:r>
        <w:rPr>
          <w:rFonts w:hint="default" w:ascii="Times New Roman" w:hAnsi="Times New Roman" w:cs="Times New Roman"/>
          <w:color w:val="000000"/>
          <w:lang/>
        </w:rPr>
        <w:t xml:space="preserve"> </w:t>
      </w:r>
      <w:r>
        <w:rPr>
          <w:rFonts w:ascii="Times New Roman" w:hAnsi="Times New Roman" w:cs="Times New Roman"/>
          <w:color w:val="000000"/>
          <w:lang w:eastAsia="zh-CN"/>
        </w:rPr>
        <w:t>预测因子</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根据大气导则要求，预测因子根据评价因子而定，选取有环境质量标准的评价因子作为预测因子，综合工程分析结果，本次评价选取颗粒物</w:t>
      </w:r>
      <w:r>
        <w:rPr>
          <w:rFonts w:hint="default" w:ascii="Times New Roman" w:hAnsi="Times New Roman" w:eastAsia="宋体" w:cs="Times New Roman"/>
          <w:color w:val="000000"/>
          <w:kern w:val="0"/>
          <w:sz w:val="24"/>
          <w:szCs w:val="24"/>
          <w:lang w:val="en-US" w:eastAsia="zh-CN" w:bidi="ar"/>
        </w:rPr>
        <w:t>TSP</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PM</w:t>
      </w:r>
      <w:r>
        <w:rPr>
          <w:rFonts w:hint="default" w:ascii="Times New Roman" w:hAnsi="Times New Roman" w:eastAsia="宋体" w:cs="Times New Roman"/>
          <w:color w:val="000000"/>
          <w:kern w:val="0"/>
          <w:sz w:val="24"/>
          <w:szCs w:val="24"/>
          <w:vertAlign w:val="subscript"/>
          <w:lang w:val="en-US" w:eastAsia="zh-CN" w:bidi="ar"/>
        </w:rPr>
        <w:t>10</w:t>
      </w:r>
      <w:r>
        <w:rPr>
          <w:rFonts w:hint="eastAsia" w:ascii="Times New Roman" w:hAnsi="Times New Roman" w:eastAsia="宋体" w:cs="Times New Roman"/>
          <w:color w:val="000000"/>
          <w:kern w:val="0"/>
          <w:sz w:val="24"/>
          <w:szCs w:val="24"/>
          <w:lang w:val="en-US" w:eastAsia="zh-CN" w:bidi="ar"/>
        </w:rPr>
        <w:t>为预测因子。</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5.2.2</w:t>
      </w:r>
      <w:r>
        <w:rPr>
          <w:rFonts w:hint="default" w:ascii="Times New Roman" w:hAnsi="Times New Roman" w:cs="Times New Roman"/>
          <w:color w:val="000000"/>
          <w:lang/>
        </w:rPr>
        <w:t xml:space="preserve"> </w:t>
      </w:r>
      <w:r>
        <w:rPr>
          <w:rFonts w:ascii="Times New Roman" w:hAnsi="Times New Roman" w:cs="Times New Roman"/>
          <w:color w:val="000000"/>
          <w:lang w:eastAsia="zh-CN"/>
        </w:rPr>
        <w:t>预测周期</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选取评价基准年</w:t>
      </w:r>
      <w:r>
        <w:rPr>
          <w:rFonts w:hint="default" w:ascii="Times New Roman" w:hAnsi="Times New Roman" w:eastAsia="宋体" w:cs="Times New Roman"/>
          <w:color w:val="000000"/>
          <w:kern w:val="0"/>
          <w:sz w:val="24"/>
          <w:szCs w:val="24"/>
          <w:lang w:val="en-US" w:eastAsia="zh-CN" w:bidi="ar"/>
        </w:rPr>
        <w:t>2018</w:t>
      </w:r>
      <w:r>
        <w:rPr>
          <w:rFonts w:hint="eastAsia" w:ascii="Times New Roman" w:hAnsi="Times New Roman" w:eastAsia="宋体" w:cs="Times New Roman"/>
          <w:color w:val="000000"/>
          <w:kern w:val="0"/>
          <w:sz w:val="24"/>
          <w:szCs w:val="24"/>
          <w:lang w:val="en-US" w:eastAsia="zh-CN" w:bidi="ar"/>
        </w:rPr>
        <w:t>年作为预测周期，预测时段取连续一年。</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5.2.3</w:t>
      </w:r>
      <w:r>
        <w:rPr>
          <w:rFonts w:hint="default" w:ascii="Times New Roman" w:hAnsi="Times New Roman" w:cs="Times New Roman"/>
          <w:color w:val="000000"/>
          <w:lang/>
        </w:rPr>
        <w:t xml:space="preserve"> </w:t>
      </w:r>
      <w:r>
        <w:rPr>
          <w:rFonts w:ascii="Times New Roman" w:hAnsi="Times New Roman" w:cs="Times New Roman"/>
          <w:color w:val="000000"/>
          <w:lang w:eastAsia="zh-CN"/>
        </w:rPr>
        <w:t>预测模型</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根据评价等级判定结果，本次大气环境影响评价等级为一级，根据《环境影响评价技术导则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大气环境》（</w:t>
      </w:r>
      <w:r>
        <w:rPr>
          <w:rFonts w:hint="default" w:ascii="Times New Roman" w:hAnsi="Times New Roman" w:eastAsia="宋体" w:cs="Times New Roman"/>
          <w:color w:val="000000"/>
          <w:kern w:val="0"/>
          <w:sz w:val="24"/>
          <w:szCs w:val="24"/>
          <w:lang w:val="en-US" w:eastAsia="zh-CN" w:bidi="ar"/>
        </w:rPr>
        <w:t>HJ2.2-2018</w:t>
      </w:r>
      <w:r>
        <w:rPr>
          <w:rFonts w:hint="eastAsia" w:ascii="Times New Roman" w:hAnsi="Times New Roman" w:eastAsia="宋体" w:cs="Times New Roman"/>
          <w:color w:val="000000"/>
          <w:kern w:val="0"/>
          <w:sz w:val="24"/>
          <w:szCs w:val="24"/>
          <w:lang w:val="en-US" w:eastAsia="zh-CN" w:bidi="ar"/>
        </w:rPr>
        <w:t>）要求，应采用进一步预测模型开展大气环境影响预测与评价。根据导则中推荐模型使用范围，满足本项目进一步预测的模型有</w:t>
      </w:r>
      <w:r>
        <w:rPr>
          <w:rFonts w:hint="default" w:ascii="Times New Roman" w:hAnsi="Times New Roman" w:eastAsia="宋体" w:cs="Times New Roman"/>
          <w:color w:val="000000"/>
          <w:kern w:val="0"/>
          <w:sz w:val="24"/>
          <w:szCs w:val="24"/>
          <w:lang w:val="en-US" w:eastAsia="zh-CN" w:bidi="ar"/>
        </w:rPr>
        <w:t>AERMOD</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ADMS</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CALPUFF</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color w:val="000000"/>
          <w:kern w:val="0"/>
          <w:sz w:val="24"/>
          <w:szCs w:val="24"/>
          <w:lang w:val="en-US" w:eastAsia="zh-CN" w:bidi="ar"/>
        </w:rPr>
        <w:t>根据近</w:t>
      </w:r>
      <w:r>
        <w:rPr>
          <w:rFonts w:hint="default" w:ascii="Times New Roman" w:hAnsi="Times New Roman" w:eastAsia="宋体" w:cs="Times New Roman"/>
          <w:color w:val="000000"/>
          <w:kern w:val="0"/>
          <w:sz w:val="24"/>
          <w:szCs w:val="24"/>
          <w:lang w:val="en-US" w:eastAsia="zh-CN" w:bidi="ar"/>
        </w:rPr>
        <w:t>30</w:t>
      </w:r>
      <w:r>
        <w:rPr>
          <w:rFonts w:hint="eastAsia" w:ascii="Times New Roman" w:hAnsi="Times New Roman" w:eastAsia="宋体" w:cs="Times New Roman"/>
          <w:color w:val="000000"/>
          <w:kern w:val="0"/>
          <w:sz w:val="24"/>
          <w:szCs w:val="24"/>
          <w:lang w:val="en-US" w:eastAsia="zh-CN" w:bidi="ar"/>
        </w:rPr>
        <w:t>年海城市气象站统计的气象资料，全年静风频率为</w:t>
      </w:r>
      <w:r>
        <w:rPr>
          <w:rFonts w:hint="default" w:ascii="Times New Roman" w:hAnsi="Times New Roman" w:eastAsia="宋体" w:cs="Times New Roman"/>
          <w:color w:val="000000"/>
          <w:kern w:val="0"/>
          <w:sz w:val="24"/>
          <w:szCs w:val="24"/>
          <w:lang w:val="en-US" w:eastAsia="zh-CN" w:bidi="ar"/>
        </w:rPr>
        <w:t>10%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35%</w:t>
      </w:r>
      <w:r>
        <w:rPr>
          <w:rFonts w:hint="eastAsia" w:ascii="Times New Roman" w:hAnsi="Times New Roman" w:eastAsia="宋体" w:cs="Times New Roman"/>
          <w:color w:val="000000"/>
          <w:kern w:val="0"/>
          <w:sz w:val="24"/>
          <w:szCs w:val="24"/>
          <w:lang w:val="en-US" w:eastAsia="zh-CN" w:bidi="ar"/>
        </w:rPr>
        <w:t>，且评价基准年</w:t>
      </w:r>
      <w:r>
        <w:rPr>
          <w:rFonts w:hint="default" w:ascii="Times New Roman" w:hAnsi="Times New Roman" w:eastAsia="宋体" w:cs="Times New Roman"/>
          <w:color w:val="000000"/>
          <w:kern w:val="0"/>
          <w:sz w:val="24"/>
          <w:szCs w:val="24"/>
          <w:lang w:val="en-US" w:eastAsia="zh-CN" w:bidi="ar"/>
        </w:rPr>
        <w:t>2018</w:t>
      </w:r>
      <w:r>
        <w:rPr>
          <w:rFonts w:hint="eastAsia" w:ascii="Times New Roman" w:hAnsi="Times New Roman" w:eastAsia="宋体" w:cs="Times New Roman"/>
          <w:color w:val="000000"/>
          <w:kern w:val="0"/>
          <w:sz w:val="24"/>
          <w:szCs w:val="24"/>
          <w:lang w:val="en-US" w:eastAsia="zh-CN" w:bidi="ar"/>
        </w:rPr>
        <w:t>年内存在风速</w:t>
      </w:r>
      <w:r>
        <w:rPr>
          <w:rFonts w:hint="default" w:ascii="Times New Roman" w:hAnsi="Times New Roman" w:eastAsia="宋体" w:cs="Times New Roman"/>
          <w:color w:val="000000"/>
          <w:kern w:val="0"/>
          <w:sz w:val="24"/>
          <w:szCs w:val="24"/>
          <w:lang w:val="en-US" w:eastAsia="zh-CN" w:bidi="ar"/>
        </w:rPr>
        <w:t>≤0.5m/s</w:t>
      </w:r>
      <w:r>
        <w:rPr>
          <w:rFonts w:hint="eastAsia" w:ascii="Times New Roman" w:hAnsi="Times New Roman" w:eastAsia="宋体" w:cs="Times New Roman"/>
          <w:color w:val="000000"/>
          <w:kern w:val="0"/>
          <w:sz w:val="24"/>
          <w:szCs w:val="24"/>
          <w:lang w:val="en-US" w:eastAsia="zh-CN" w:bidi="ar"/>
        </w:rPr>
        <w:t>的持续时间为</w:t>
      </w:r>
      <w:r>
        <w:rPr>
          <w:rFonts w:hint="default" w:ascii="Times New Roman" w:hAnsi="Times New Roman" w:eastAsia="宋体" w:cs="Times New Roman"/>
          <w:color w:val="000000"/>
          <w:kern w:val="0"/>
          <w:sz w:val="24"/>
          <w:szCs w:val="24"/>
          <w:lang w:val="en-US" w:eastAsia="zh-CN" w:bidi="ar"/>
        </w:rPr>
        <w:t>20h</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72h</w:t>
      </w:r>
      <w:r>
        <w:rPr>
          <w:rFonts w:hint="eastAsia" w:ascii="Times New Roman" w:hAnsi="Times New Roman" w:eastAsia="宋体" w:cs="Times New Roman"/>
          <w:color w:val="000000"/>
          <w:kern w:val="0"/>
          <w:sz w:val="24"/>
          <w:szCs w:val="24"/>
          <w:lang w:val="en-US" w:eastAsia="zh-CN" w:bidi="ar"/>
        </w:rPr>
        <w:t>。根据估算模型判定不会发生熏烟现象，故本次选取《环境影响评价技术导则大气环境》（</w:t>
      </w:r>
      <w:r>
        <w:rPr>
          <w:rFonts w:hint="default" w:ascii="Times New Roman" w:hAnsi="Times New Roman" w:eastAsia="宋体" w:cs="Times New Roman"/>
          <w:color w:val="000000"/>
          <w:kern w:val="0"/>
          <w:sz w:val="24"/>
          <w:szCs w:val="24"/>
          <w:lang w:val="en-US" w:eastAsia="zh-CN" w:bidi="ar"/>
        </w:rPr>
        <w:t>HJ2.2-2018</w:t>
      </w:r>
      <w:r>
        <w:rPr>
          <w:rFonts w:hint="eastAsia" w:ascii="Times New Roman" w:hAnsi="Times New Roman" w:eastAsia="宋体" w:cs="Times New Roman"/>
          <w:color w:val="000000"/>
          <w:kern w:val="0"/>
          <w:sz w:val="24"/>
          <w:szCs w:val="24"/>
          <w:lang w:val="en-US" w:eastAsia="zh-CN" w:bidi="ar"/>
        </w:rPr>
        <w:t>）推荐采用的</w:t>
      </w:r>
      <w:r>
        <w:rPr>
          <w:rFonts w:hint="default" w:ascii="Times New Roman" w:hAnsi="Times New Roman" w:eastAsia="宋体" w:cs="Times New Roman"/>
          <w:bCs/>
          <w:color w:val="000000"/>
          <w:kern w:val="0"/>
          <w:sz w:val="24"/>
          <w:szCs w:val="24"/>
          <w:lang w:val="en-US" w:eastAsia="zh-CN" w:bidi="ar"/>
        </w:rPr>
        <w:t>AERMOD</w:t>
      </w:r>
      <w:r>
        <w:rPr>
          <w:rFonts w:hint="eastAsia" w:ascii="Times New Roman" w:hAnsi="Times New Roman" w:eastAsia="宋体" w:cs="Times New Roman"/>
          <w:bCs/>
          <w:color w:val="000000"/>
          <w:kern w:val="0"/>
          <w:sz w:val="24"/>
          <w:szCs w:val="24"/>
          <w:lang w:val="en-US" w:eastAsia="zh-CN" w:bidi="ar"/>
        </w:rPr>
        <w:t>模型进行进一步预测。</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bCs/>
          <w:color w:val="000000"/>
          <w:lang w:val="en-US"/>
        </w:rPr>
      </w:pPr>
      <w:r>
        <w:rPr>
          <w:rFonts w:hint="default" w:ascii="Times New Roman" w:hAnsi="Times New Roman" w:eastAsia="宋体" w:cs="Times New Roman"/>
          <w:bCs/>
          <w:color w:val="000000"/>
          <w:kern w:val="0"/>
          <w:sz w:val="24"/>
          <w:szCs w:val="24"/>
          <w:lang w:val="en-US" w:eastAsia="zh-CN" w:bidi="ar"/>
        </w:rPr>
        <w:t>AERMOD</w:t>
      </w:r>
      <w:r>
        <w:rPr>
          <w:rFonts w:hint="eastAsia" w:ascii="Times New Roman" w:hAnsi="Times New Roman" w:eastAsia="宋体" w:cs="Times New Roman"/>
          <w:bCs/>
          <w:color w:val="000000"/>
          <w:kern w:val="0"/>
          <w:sz w:val="24"/>
          <w:szCs w:val="24"/>
          <w:lang w:val="en-US" w:eastAsia="zh-CN" w:bidi="ar"/>
        </w:rPr>
        <w:t>属于静态烟羽模型，适用于评价范围较小、且气场稳定的区域的污染物扩散模拟。</w:t>
      </w:r>
      <w:r>
        <w:rPr>
          <w:rFonts w:hint="default" w:ascii="Times New Roman" w:hAnsi="Times New Roman" w:eastAsia="宋体" w:cs="Times New Roman"/>
          <w:bCs/>
          <w:color w:val="000000"/>
          <w:kern w:val="0"/>
          <w:sz w:val="24"/>
          <w:szCs w:val="24"/>
          <w:lang w:val="en-US" w:eastAsia="zh-CN" w:bidi="ar"/>
        </w:rPr>
        <w:t>AERMOD</w:t>
      </w:r>
      <w:r>
        <w:rPr>
          <w:rFonts w:hint="eastAsia" w:ascii="Times New Roman" w:hAnsi="Times New Roman" w:eastAsia="宋体" w:cs="Times New Roman"/>
          <w:bCs/>
          <w:color w:val="000000"/>
          <w:kern w:val="0"/>
          <w:sz w:val="24"/>
          <w:szCs w:val="24"/>
          <w:lang w:val="en-US" w:eastAsia="zh-CN" w:bidi="ar"/>
        </w:rPr>
        <w:t>模型是美国国家环保署与美国气象学会联合开发的新扩散模型，主要包括三个模块：</w:t>
      </w:r>
      <w:r>
        <w:rPr>
          <w:rFonts w:hint="default" w:ascii="Times New Roman" w:hAnsi="Times New Roman" w:eastAsia="宋体" w:cs="Times New Roman"/>
          <w:bCs/>
          <w:color w:val="000000"/>
          <w:kern w:val="0"/>
          <w:sz w:val="24"/>
          <w:szCs w:val="24"/>
          <w:lang w:val="en-US" w:eastAsia="zh-CN" w:bidi="ar"/>
        </w:rPr>
        <w:t>AERMOD</w:t>
      </w: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AERMIC</w:t>
      </w:r>
      <w:r>
        <w:rPr>
          <w:rFonts w:hint="eastAsia" w:ascii="Times New Roman" w:hAnsi="Times New Roman" w:eastAsia="宋体" w:cs="Times New Roman"/>
          <w:bCs/>
          <w:color w:val="000000"/>
          <w:kern w:val="0"/>
          <w:sz w:val="24"/>
          <w:szCs w:val="24"/>
          <w:lang w:val="en-US" w:eastAsia="zh-CN" w:bidi="ar"/>
        </w:rPr>
        <w:t>扩散模型）、</w:t>
      </w:r>
      <w:r>
        <w:rPr>
          <w:rFonts w:hint="default" w:ascii="Times New Roman" w:hAnsi="Times New Roman" w:eastAsia="宋体" w:cs="Times New Roman"/>
          <w:bCs/>
          <w:color w:val="000000"/>
          <w:kern w:val="0"/>
          <w:sz w:val="24"/>
          <w:szCs w:val="24"/>
          <w:lang w:val="en-US" w:eastAsia="zh-CN" w:bidi="ar"/>
        </w:rPr>
        <w:t>AERMAP</w:t>
      </w: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AERMOD</w:t>
      </w:r>
      <w:r>
        <w:rPr>
          <w:rFonts w:hint="eastAsia" w:ascii="Times New Roman" w:hAnsi="Times New Roman" w:eastAsia="宋体" w:cs="Times New Roman"/>
          <w:bCs/>
          <w:color w:val="000000"/>
          <w:kern w:val="0"/>
          <w:sz w:val="24"/>
          <w:szCs w:val="24"/>
          <w:lang w:val="en-US" w:eastAsia="zh-CN" w:bidi="ar"/>
        </w:rPr>
        <w:t>地形预处理）和</w:t>
      </w:r>
      <w:r>
        <w:rPr>
          <w:rFonts w:hint="default" w:ascii="Times New Roman" w:hAnsi="Times New Roman" w:eastAsia="宋体" w:cs="Times New Roman"/>
          <w:bCs/>
          <w:color w:val="000000"/>
          <w:kern w:val="0"/>
          <w:sz w:val="24"/>
          <w:szCs w:val="24"/>
          <w:lang w:val="en-US" w:eastAsia="zh-CN" w:bidi="ar"/>
        </w:rPr>
        <w:t>AERMET</w:t>
      </w: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AERMOD</w:t>
      </w:r>
      <w:r>
        <w:rPr>
          <w:rFonts w:hint="eastAsia" w:ascii="Times New Roman" w:hAnsi="Times New Roman" w:eastAsia="宋体" w:cs="Times New Roman"/>
          <w:bCs/>
          <w:color w:val="000000"/>
          <w:kern w:val="0"/>
          <w:sz w:val="24"/>
          <w:szCs w:val="24"/>
          <w:lang w:val="en-US" w:eastAsia="zh-CN" w:bidi="ar"/>
        </w:rPr>
        <w:t>气象预处理），可基于大气边界层数据特征模拟点源、面源、体源等排放出的污染物在短期（小时平均、日平均）、长期（年平均）的浓度分布，适用于农村或城市地区、简单或复杂地形。</w:t>
      </w:r>
      <w:r>
        <w:rPr>
          <w:rFonts w:hint="default" w:ascii="Times New Roman" w:hAnsi="Times New Roman" w:eastAsia="宋体" w:cs="Times New Roman"/>
          <w:bCs/>
          <w:color w:val="000000"/>
          <w:kern w:val="0"/>
          <w:sz w:val="24"/>
          <w:szCs w:val="24"/>
          <w:lang w:val="en-US" w:eastAsia="zh-CN" w:bidi="ar"/>
        </w:rPr>
        <w:t>AERMOD</w:t>
      </w:r>
      <w:r>
        <w:rPr>
          <w:rFonts w:hint="eastAsia" w:ascii="Times New Roman" w:hAnsi="Times New Roman" w:eastAsia="宋体" w:cs="Times New Roman"/>
          <w:bCs/>
          <w:color w:val="000000"/>
          <w:kern w:val="0"/>
          <w:sz w:val="24"/>
          <w:szCs w:val="24"/>
          <w:lang w:val="en-US" w:eastAsia="zh-CN" w:bidi="ar"/>
        </w:rPr>
        <w:t>考虑了建筑物尾流的影响，即烟羽下洗。模式使用每小时连续预处理气象数据模拟大于等于</w:t>
      </w:r>
      <w:r>
        <w:rPr>
          <w:rFonts w:hint="default" w:ascii="Times New Roman" w:hAnsi="Times New Roman" w:eastAsia="宋体" w:cs="Times New Roman"/>
          <w:bCs/>
          <w:color w:val="000000"/>
          <w:kern w:val="0"/>
          <w:sz w:val="24"/>
          <w:szCs w:val="24"/>
          <w:lang w:val="en-US" w:eastAsia="zh-CN" w:bidi="ar"/>
        </w:rPr>
        <w:t>1</w:t>
      </w:r>
      <w:r>
        <w:rPr>
          <w:rFonts w:hint="eastAsia" w:ascii="Times New Roman" w:hAnsi="Times New Roman" w:eastAsia="宋体" w:cs="Times New Roman"/>
          <w:bCs/>
          <w:color w:val="000000"/>
          <w:kern w:val="0"/>
          <w:sz w:val="24"/>
          <w:szCs w:val="24"/>
          <w:lang w:val="en-US" w:eastAsia="zh-CN" w:bidi="ar"/>
        </w:rPr>
        <w:t>小时平均时间的浓度分布。</w:t>
      </w:r>
      <w:r>
        <w:rPr>
          <w:rFonts w:hint="default" w:ascii="Times New Roman" w:hAnsi="Times New Roman" w:eastAsia="宋体" w:cs="Times New Roman"/>
          <w:bCs/>
          <w:color w:val="000000"/>
          <w:kern w:val="0"/>
          <w:sz w:val="24"/>
          <w:szCs w:val="24"/>
          <w:lang w:val="en-US" w:eastAsia="zh-CN" w:bidi="ar"/>
        </w:rPr>
        <w:t>AERMOD</w:t>
      </w:r>
      <w:r>
        <w:rPr>
          <w:rFonts w:hint="eastAsia" w:ascii="Times New Roman" w:hAnsi="Times New Roman" w:eastAsia="宋体" w:cs="Times New Roman"/>
          <w:bCs/>
          <w:color w:val="000000"/>
          <w:kern w:val="0"/>
          <w:sz w:val="24"/>
          <w:szCs w:val="24"/>
          <w:lang w:val="en-US" w:eastAsia="zh-CN" w:bidi="ar"/>
        </w:rPr>
        <w:t>包括两个预处理模式，即</w:t>
      </w:r>
      <w:r>
        <w:rPr>
          <w:rFonts w:hint="default" w:ascii="Times New Roman" w:hAnsi="Times New Roman" w:eastAsia="宋体" w:cs="Times New Roman"/>
          <w:bCs/>
          <w:color w:val="000000"/>
          <w:kern w:val="0"/>
          <w:sz w:val="24"/>
          <w:szCs w:val="24"/>
          <w:lang w:val="en-US" w:eastAsia="zh-CN" w:bidi="ar"/>
        </w:rPr>
        <w:t>AERMET</w:t>
      </w:r>
      <w:r>
        <w:rPr>
          <w:rFonts w:hint="eastAsia" w:ascii="Times New Roman" w:hAnsi="Times New Roman" w:eastAsia="宋体" w:cs="Times New Roman"/>
          <w:bCs/>
          <w:color w:val="000000"/>
          <w:kern w:val="0"/>
          <w:sz w:val="24"/>
          <w:szCs w:val="24"/>
          <w:lang w:val="en-US" w:eastAsia="zh-CN" w:bidi="ar"/>
        </w:rPr>
        <w:t>气象预处理和</w:t>
      </w:r>
      <w:r>
        <w:rPr>
          <w:rFonts w:hint="default" w:ascii="Times New Roman" w:hAnsi="Times New Roman" w:eastAsia="宋体" w:cs="Times New Roman"/>
          <w:bCs/>
          <w:color w:val="000000"/>
          <w:kern w:val="0"/>
          <w:sz w:val="24"/>
          <w:szCs w:val="24"/>
          <w:lang w:val="en-US" w:eastAsia="zh-CN" w:bidi="ar"/>
        </w:rPr>
        <w:t>AERMAP</w:t>
      </w:r>
      <w:r>
        <w:rPr>
          <w:rFonts w:hint="eastAsia" w:ascii="Times New Roman" w:hAnsi="Times New Roman" w:eastAsia="宋体" w:cs="Times New Roman"/>
          <w:bCs/>
          <w:color w:val="000000"/>
          <w:kern w:val="0"/>
          <w:sz w:val="24"/>
          <w:szCs w:val="24"/>
          <w:lang w:val="en-US" w:eastAsia="zh-CN" w:bidi="ar"/>
        </w:rPr>
        <w:t>地形预处理模式。</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5.2.4</w:t>
      </w:r>
      <w:r>
        <w:rPr>
          <w:rFonts w:hint="default" w:ascii="Times New Roman" w:hAnsi="Times New Roman" w:cs="Times New Roman"/>
          <w:color w:val="000000"/>
          <w:lang/>
        </w:rPr>
        <w:t xml:space="preserve"> </w:t>
      </w:r>
      <w:r>
        <w:rPr>
          <w:rFonts w:ascii="Times New Roman" w:hAnsi="Times New Roman" w:cs="Times New Roman"/>
          <w:color w:val="000000"/>
          <w:lang w:eastAsia="zh-CN"/>
        </w:rPr>
        <w:t>气象参数</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本次预测所采用的气象数据主要为地面气象数据和高空气象数据两种。</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）地面常规气象数据</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根据</w:t>
      </w:r>
      <w:r>
        <w:rPr>
          <w:rFonts w:hint="default" w:ascii="Times New Roman" w:hAnsi="Times New Roman" w:eastAsia="宋体" w:cs="Times New Roman"/>
          <w:bCs/>
          <w:color w:val="000000"/>
          <w:kern w:val="0"/>
          <w:sz w:val="24"/>
          <w:szCs w:val="24"/>
          <w:lang w:val="en-US" w:eastAsia="zh-CN" w:bidi="ar"/>
        </w:rPr>
        <w:t>HJ2.2-2018</w:t>
      </w:r>
      <w:r>
        <w:rPr>
          <w:rFonts w:hint="eastAsia" w:ascii="Times New Roman" w:hAnsi="Times New Roman" w:eastAsia="宋体" w:cs="Times New Roman"/>
          <w:bCs/>
          <w:color w:val="000000"/>
          <w:kern w:val="0"/>
          <w:sz w:val="24"/>
          <w:szCs w:val="24"/>
          <w:lang w:val="en-US" w:eastAsia="zh-CN" w:bidi="ar"/>
        </w:rPr>
        <w:t>要求，本次评价采用鞍山站</w:t>
      </w:r>
      <w:r>
        <w:rPr>
          <w:rFonts w:hint="default" w:ascii="Times New Roman" w:hAnsi="Times New Roman" w:eastAsia="宋体" w:cs="Times New Roman"/>
          <w:bCs/>
          <w:color w:val="000000"/>
          <w:kern w:val="0"/>
          <w:sz w:val="24"/>
          <w:szCs w:val="24"/>
          <w:lang w:val="en-US" w:eastAsia="zh-CN" w:bidi="ar"/>
        </w:rPr>
        <w:t>2018</w:t>
      </w:r>
      <w:r>
        <w:rPr>
          <w:rFonts w:hint="eastAsia" w:ascii="Times New Roman" w:hAnsi="Times New Roman" w:eastAsia="宋体" w:cs="Times New Roman"/>
          <w:bCs/>
          <w:color w:val="000000"/>
          <w:kern w:val="0"/>
          <w:sz w:val="24"/>
          <w:szCs w:val="24"/>
          <w:lang w:val="en-US" w:eastAsia="zh-CN" w:bidi="ar"/>
        </w:rPr>
        <w:t>年全年逐日逐时的地面常规气象观测资料，具体参数包括时间（年、月、日、时）、风速、风向、干球温度、总云量。该地面观测站地理坐标为</w:t>
      </w:r>
      <w:r>
        <w:rPr>
          <w:rFonts w:hint="default" w:ascii="Times New Roman" w:hAnsi="Times New Roman" w:eastAsia="宋体" w:cs="Times New Roman"/>
          <w:bCs/>
          <w:color w:val="000000"/>
          <w:kern w:val="0"/>
          <w:sz w:val="24"/>
          <w:szCs w:val="24"/>
          <w:lang w:val="en-US" w:eastAsia="zh-CN" w:bidi="ar"/>
        </w:rPr>
        <w:t>E123.000°</w:t>
      </w: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N41.083°</w:t>
      </w:r>
      <w:r>
        <w:rPr>
          <w:rFonts w:hint="eastAsia" w:ascii="Times New Roman" w:hAnsi="Times New Roman" w:eastAsia="宋体" w:cs="Times New Roman"/>
          <w:bCs/>
          <w:color w:val="000000"/>
          <w:kern w:val="0"/>
          <w:sz w:val="24"/>
          <w:szCs w:val="24"/>
          <w:lang w:val="en-US" w:eastAsia="zh-CN" w:bidi="ar"/>
        </w:rPr>
        <w:t>，站点性质为基本站，与本项目距离</w:t>
      </w:r>
      <w:r>
        <w:rPr>
          <w:rFonts w:hint="default" w:ascii="Times New Roman" w:hAnsi="Times New Roman" w:eastAsia="宋体" w:cs="Times New Roman"/>
          <w:bCs/>
          <w:color w:val="000000"/>
          <w:kern w:val="0"/>
          <w:sz w:val="24"/>
          <w:szCs w:val="24"/>
          <w:lang w:val="en-US" w:eastAsia="zh-CN" w:bidi="ar"/>
        </w:rPr>
        <w:t>46.9km</w:t>
      </w:r>
      <w:r>
        <w:rPr>
          <w:rFonts w:hint="eastAsia" w:ascii="Times New Roman" w:hAnsi="Times New Roman" w:eastAsia="宋体" w:cs="Times New Roman"/>
          <w:bCs/>
          <w:color w:val="000000"/>
          <w:kern w:val="0"/>
          <w:sz w:val="24"/>
          <w:szCs w:val="24"/>
          <w:lang w:val="en-US" w:eastAsia="zh-CN" w:bidi="ar"/>
        </w:rPr>
        <w:t>，与评价范围内的地理特征基本一致。根据《环境影响评价技术导则</w:t>
      </w:r>
      <w:r>
        <w:rPr>
          <w:rFonts w:hint="default" w:ascii="Times New Roman" w:hAnsi="Times New Roman" w:eastAsia="宋体" w:cs="Times New Roman"/>
          <w:bCs/>
          <w:color w:val="000000"/>
          <w:kern w:val="0"/>
          <w:sz w:val="24"/>
          <w:szCs w:val="24"/>
          <w:lang w:val="en-US" w:eastAsia="zh-CN" w:bidi="ar"/>
        </w:rPr>
        <w:t xml:space="preserve"> </w:t>
      </w:r>
      <w:r>
        <w:rPr>
          <w:rFonts w:hint="eastAsia" w:ascii="Times New Roman" w:hAnsi="Times New Roman" w:eastAsia="宋体" w:cs="Times New Roman"/>
          <w:bCs/>
          <w:color w:val="000000"/>
          <w:kern w:val="0"/>
          <w:sz w:val="24"/>
          <w:szCs w:val="24"/>
          <w:lang w:val="en-US" w:eastAsia="zh-CN" w:bidi="ar"/>
        </w:rPr>
        <w:t>大气环境》（</w:t>
      </w:r>
      <w:r>
        <w:rPr>
          <w:rFonts w:hint="default" w:ascii="Times New Roman" w:hAnsi="Times New Roman" w:eastAsia="宋体" w:cs="Times New Roman"/>
          <w:bCs/>
          <w:color w:val="000000"/>
          <w:kern w:val="0"/>
          <w:sz w:val="24"/>
          <w:szCs w:val="24"/>
          <w:lang w:val="en-US" w:eastAsia="zh-CN" w:bidi="ar"/>
        </w:rPr>
        <w:t>HJ2.2-2018</w:t>
      </w:r>
      <w:r>
        <w:rPr>
          <w:rFonts w:hint="eastAsia" w:ascii="Times New Roman" w:hAnsi="Times New Roman" w:eastAsia="宋体" w:cs="Times New Roman"/>
          <w:bCs/>
          <w:color w:val="000000"/>
          <w:kern w:val="0"/>
          <w:sz w:val="24"/>
          <w:szCs w:val="24"/>
          <w:lang w:val="en-US" w:eastAsia="zh-CN" w:bidi="ar"/>
        </w:rPr>
        <w:t>）规定，</w:t>
      </w:r>
      <w:r>
        <w:rPr>
          <w:rFonts w:hint="default"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地面气象数据选择距离项目最近或气象特征基本一致的气象站的逐时地面气象数据</w:t>
      </w:r>
      <w:r>
        <w:rPr>
          <w:rFonts w:hint="default"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，本项目地面气象资料符合导则要求。</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）高空气象数据</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根据</w:t>
      </w:r>
      <w:r>
        <w:rPr>
          <w:rFonts w:hint="default" w:ascii="Times New Roman" w:hAnsi="Times New Roman" w:eastAsia="宋体" w:cs="Times New Roman"/>
          <w:bCs/>
          <w:color w:val="000000"/>
          <w:kern w:val="0"/>
          <w:sz w:val="24"/>
          <w:szCs w:val="24"/>
          <w:lang w:val="en-US" w:eastAsia="zh-CN" w:bidi="ar"/>
        </w:rPr>
        <w:t>HJ2.2-2018</w:t>
      </w:r>
      <w:r>
        <w:rPr>
          <w:rFonts w:hint="eastAsia" w:ascii="Times New Roman" w:hAnsi="Times New Roman" w:eastAsia="宋体" w:cs="Times New Roman"/>
          <w:bCs/>
          <w:color w:val="000000"/>
          <w:kern w:val="0"/>
          <w:sz w:val="24"/>
          <w:szCs w:val="24"/>
          <w:lang w:val="en-US" w:eastAsia="zh-CN" w:bidi="ar"/>
        </w:rPr>
        <w:t>的要求，本次评价采用经中尺度数值模式</w:t>
      </w:r>
      <w:r>
        <w:rPr>
          <w:rFonts w:hint="default" w:ascii="Times New Roman" w:hAnsi="Times New Roman" w:eastAsia="宋体" w:cs="Times New Roman"/>
          <w:bCs/>
          <w:color w:val="000000"/>
          <w:kern w:val="0"/>
          <w:sz w:val="24"/>
          <w:szCs w:val="24"/>
          <w:lang w:val="en-US" w:eastAsia="zh-CN" w:bidi="ar"/>
        </w:rPr>
        <w:t>MM5</w:t>
      </w:r>
      <w:r>
        <w:rPr>
          <w:rFonts w:hint="eastAsia" w:ascii="Times New Roman" w:hAnsi="Times New Roman" w:eastAsia="宋体" w:cs="Times New Roman"/>
          <w:bCs/>
          <w:color w:val="000000"/>
          <w:kern w:val="0"/>
          <w:sz w:val="24"/>
          <w:szCs w:val="24"/>
          <w:lang w:val="en-US" w:eastAsia="zh-CN" w:bidi="ar"/>
        </w:rPr>
        <w:t>模拟的项目拟建区</w:t>
      </w:r>
      <w:r>
        <w:rPr>
          <w:rFonts w:hint="default" w:ascii="Times New Roman" w:hAnsi="Times New Roman" w:eastAsia="宋体" w:cs="Times New Roman"/>
          <w:bCs/>
          <w:color w:val="000000"/>
          <w:kern w:val="0"/>
          <w:sz w:val="24"/>
          <w:szCs w:val="24"/>
          <w:lang w:val="en-US" w:eastAsia="zh-CN" w:bidi="ar"/>
        </w:rPr>
        <w:t>2018</w:t>
      </w:r>
      <w:r>
        <w:rPr>
          <w:rFonts w:hint="eastAsia" w:ascii="Times New Roman" w:hAnsi="Times New Roman" w:eastAsia="宋体" w:cs="Times New Roman"/>
          <w:bCs/>
          <w:color w:val="000000"/>
          <w:kern w:val="0"/>
          <w:sz w:val="24"/>
          <w:szCs w:val="24"/>
          <w:lang w:val="en-US" w:eastAsia="zh-CN" w:bidi="ar"/>
        </w:rPr>
        <w:t>年全年逐日高空气象数据（早晚各一次），具体参数包括时间（年、月、日、时）、探空数据层数（离地高度</w:t>
      </w:r>
      <w:r>
        <w:rPr>
          <w:rFonts w:hint="default" w:ascii="Times New Roman" w:hAnsi="Times New Roman" w:eastAsia="宋体" w:cs="Times New Roman"/>
          <w:bCs/>
          <w:color w:val="000000"/>
          <w:kern w:val="0"/>
          <w:sz w:val="24"/>
          <w:szCs w:val="24"/>
          <w:lang w:val="en-US" w:eastAsia="zh-CN" w:bidi="ar"/>
        </w:rPr>
        <w:t>3000m</w:t>
      </w:r>
      <w:r>
        <w:rPr>
          <w:rFonts w:hint="eastAsia" w:ascii="Times New Roman" w:hAnsi="Times New Roman" w:eastAsia="宋体" w:cs="Times New Roman"/>
          <w:bCs/>
          <w:color w:val="000000"/>
          <w:kern w:val="0"/>
          <w:sz w:val="24"/>
          <w:szCs w:val="24"/>
          <w:lang w:val="en-US" w:eastAsia="zh-CN" w:bidi="ar"/>
        </w:rPr>
        <w:t>以内的有效数据层数为</w:t>
      </w:r>
      <w:r>
        <w:rPr>
          <w:rFonts w:hint="default" w:ascii="Times New Roman" w:hAnsi="Times New Roman" w:eastAsia="宋体" w:cs="Times New Roman"/>
          <w:bCs/>
          <w:color w:val="000000"/>
          <w:kern w:val="0"/>
          <w:sz w:val="24"/>
          <w:szCs w:val="24"/>
          <w:lang w:val="en-US" w:eastAsia="zh-CN" w:bidi="ar"/>
        </w:rPr>
        <w:t>24</w:t>
      </w:r>
      <w:r>
        <w:rPr>
          <w:rFonts w:hint="eastAsia" w:ascii="Times New Roman" w:hAnsi="Times New Roman" w:eastAsia="宋体" w:cs="Times New Roman"/>
          <w:bCs/>
          <w:color w:val="000000"/>
          <w:kern w:val="0"/>
          <w:sz w:val="24"/>
          <w:szCs w:val="24"/>
          <w:lang w:val="en-US" w:eastAsia="zh-CN" w:bidi="ar"/>
        </w:rPr>
        <w:t>层）、离地高度、风速、风向、干球温度、露点温度和气压。</w:t>
      </w:r>
    </w:p>
    <w:p>
      <w:pPr>
        <w:keepNext w:val="0"/>
        <w:keepLines w:val="0"/>
        <w:widowControl/>
        <w:suppressLineNumbers w:val="0"/>
        <w:spacing w:before="0" w:beforeAutospacing="0" w:after="0" w:afterAutospacing="0"/>
        <w:ind w:left="0" w:right="0" w:firstLine="482"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）常规地面气象观测资料分析</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鞍山站</w:t>
      </w:r>
      <w:r>
        <w:rPr>
          <w:rFonts w:hint="default" w:ascii="Times New Roman" w:hAnsi="Times New Roman" w:eastAsia="宋体" w:cs="Times New Roman"/>
          <w:color w:val="000000"/>
          <w:kern w:val="0"/>
          <w:sz w:val="24"/>
          <w:szCs w:val="24"/>
          <w:lang w:eastAsia="zh-CN" w:bidi="ar"/>
        </w:rPr>
        <w:t>2018</w:t>
      </w:r>
      <w:r>
        <w:rPr>
          <w:rFonts w:hint="eastAsia" w:ascii="Times New Roman" w:hAnsi="Times New Roman" w:eastAsia="宋体" w:cs="Times New Roman"/>
          <w:color w:val="000000"/>
          <w:kern w:val="0"/>
          <w:sz w:val="24"/>
          <w:szCs w:val="24"/>
          <w:lang w:val="en-US" w:eastAsia="zh-CN" w:bidi="ar"/>
        </w:rPr>
        <w:t>年全年逐日逐时常规地面气象观测资料分析如下，主要包括温度、风速、风向、风频等。</w:t>
      </w:r>
    </w:p>
    <w:p>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000000"/>
          <w:lang w:val="en-US"/>
        </w:rPr>
      </w:pPr>
      <w:r>
        <w:rPr>
          <w:rFonts w:hint="eastAsia" w:ascii="宋体" w:hAnsi="宋体" w:eastAsia="宋体" w:cs="Times New Roman"/>
          <w:color w:val="000000"/>
          <w:kern w:val="0"/>
          <w:sz w:val="24"/>
          <w:szCs w:val="24"/>
          <w:lang w:val="en-US" w:eastAsia="zh-CN" w:bidi="ar"/>
        </w:rPr>
        <w:t>①</w:t>
      </w:r>
      <w:r>
        <w:rPr>
          <w:rFonts w:hint="eastAsia" w:ascii="Times New Roman" w:hAnsi="Times New Roman" w:eastAsia="宋体" w:cs="Times New Roman"/>
          <w:color w:val="000000"/>
          <w:kern w:val="0"/>
          <w:sz w:val="24"/>
          <w:szCs w:val="24"/>
          <w:lang w:val="en-US" w:eastAsia="zh-CN" w:bidi="ar"/>
        </w:rPr>
        <w:t>温度统计量</w:t>
      </w:r>
    </w:p>
    <w:p>
      <w:pPr>
        <w:pStyle w:val="27"/>
        <w:keepNext w:val="0"/>
        <w:keepLines w:val="0"/>
        <w:widowControl/>
        <w:suppressLineNumbers w:val="0"/>
        <w:adjustRightInd w:val="0"/>
        <w:snapToGrid/>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统计全年气象资料中每月平均温度变化情况，见表</w:t>
      </w:r>
      <w:r>
        <w:rPr>
          <w:rFonts w:hint="default" w:ascii="Times New Roman" w:hAnsi="Times New Roman" w:eastAsia="宋体" w:cs="Times New Roman"/>
          <w:color w:val="000000"/>
          <w:kern w:val="0"/>
          <w:sz w:val="24"/>
          <w:szCs w:val="24"/>
          <w:lang w:eastAsia="zh-CN" w:bidi="ar"/>
        </w:rPr>
        <w:t>5.2-1</w:t>
      </w:r>
      <w:r>
        <w:rPr>
          <w:rFonts w:hint="eastAsia" w:ascii="Times New Roman" w:hAnsi="Times New Roman" w:eastAsia="宋体" w:cs="Times New Roman"/>
          <w:color w:val="000000"/>
          <w:kern w:val="0"/>
          <w:sz w:val="24"/>
          <w:szCs w:val="24"/>
          <w:lang w:eastAsia="zh-CN" w:bidi="ar"/>
        </w:rPr>
        <w:t>，并绘制年平均温度月变化曲线图，见图</w:t>
      </w:r>
      <w:r>
        <w:rPr>
          <w:rFonts w:hint="default" w:ascii="Times New Roman" w:hAnsi="Times New Roman" w:eastAsia="宋体" w:cs="Times New Roman"/>
          <w:color w:val="000000"/>
          <w:kern w:val="0"/>
          <w:sz w:val="24"/>
          <w:szCs w:val="24"/>
          <w:lang w:eastAsia="zh-CN" w:bidi="ar"/>
        </w:rPr>
        <w:t>5-1</w:t>
      </w:r>
      <w:r>
        <w:rPr>
          <w:rFonts w:hint="eastAsia" w:ascii="Times New Roman" w:hAnsi="Times New Roman" w:eastAsia="宋体" w:cs="Times New Roman"/>
          <w:color w:val="000000"/>
          <w:kern w:val="0"/>
          <w:sz w:val="24"/>
          <w:szCs w:val="24"/>
          <w:lang w:eastAsia="zh-CN" w:bidi="ar"/>
        </w:rPr>
        <w:t>。</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5.2-1  </w:t>
      </w:r>
      <w:r>
        <w:rPr>
          <w:rFonts w:hint="eastAsia" w:ascii="Times New Roman" w:hAnsi="Times New Roman" w:eastAsia="黑体" w:cs="Times New Roman"/>
          <w:color w:val="000000"/>
          <w:kern w:val="0"/>
          <w:sz w:val="24"/>
          <w:szCs w:val="24"/>
          <w:lang w:val="en-US" w:eastAsia="zh-CN" w:bidi="ar"/>
        </w:rPr>
        <w:t>全年平均温度的月变化统计表</w:t>
      </w:r>
    </w:p>
    <w:tbl>
      <w:tblPr>
        <w:tblStyle w:val="32"/>
        <w:tblW w:w="5443"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852"/>
        <w:gridCol w:w="654"/>
        <w:gridCol w:w="654"/>
        <w:gridCol w:w="584"/>
        <w:gridCol w:w="689"/>
        <w:gridCol w:w="689"/>
        <w:gridCol w:w="690"/>
        <w:gridCol w:w="690"/>
        <w:gridCol w:w="690"/>
        <w:gridCol w:w="690"/>
        <w:gridCol w:w="690"/>
        <w:gridCol w:w="585"/>
        <w:gridCol w:w="654"/>
        <w:gridCol w:w="689"/>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82" w:hRule="atLeast"/>
          <w:jc w:val="center"/>
        </w:trPr>
        <w:tc>
          <w:tcPr>
            <w:tcW w:w="449" w:type="pct"/>
            <w:tcBorders>
              <w:top w:val="thinThickSmallGap" w:color="auto" w:sz="12" w:space="0"/>
              <w:left w:val="nil"/>
              <w:bottom w:val="single" w:color="auto" w:sz="4" w:space="0"/>
              <w:right w:val="single" w:color="auto" w:sz="4" w:space="0"/>
            </w:tcBorders>
            <w:shd w:val="clear" w:color="auto" w:fill="E0E0E0"/>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月份</w:t>
            </w:r>
          </w:p>
        </w:tc>
        <w:tc>
          <w:tcPr>
            <w:tcW w:w="344"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344"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w:t>
            </w:r>
          </w:p>
        </w:tc>
        <w:tc>
          <w:tcPr>
            <w:tcW w:w="308"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w:t>
            </w:r>
          </w:p>
        </w:tc>
        <w:tc>
          <w:tcPr>
            <w:tcW w:w="363"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w:t>
            </w:r>
          </w:p>
        </w:tc>
        <w:tc>
          <w:tcPr>
            <w:tcW w:w="363"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w:t>
            </w:r>
          </w:p>
        </w:tc>
        <w:tc>
          <w:tcPr>
            <w:tcW w:w="363"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w:t>
            </w:r>
          </w:p>
        </w:tc>
        <w:tc>
          <w:tcPr>
            <w:tcW w:w="363"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w:t>
            </w:r>
          </w:p>
        </w:tc>
        <w:tc>
          <w:tcPr>
            <w:tcW w:w="363"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w:t>
            </w:r>
          </w:p>
        </w:tc>
        <w:tc>
          <w:tcPr>
            <w:tcW w:w="363"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w:t>
            </w:r>
          </w:p>
        </w:tc>
        <w:tc>
          <w:tcPr>
            <w:tcW w:w="363"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w:t>
            </w:r>
          </w:p>
        </w:tc>
        <w:tc>
          <w:tcPr>
            <w:tcW w:w="308"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w:t>
            </w:r>
          </w:p>
        </w:tc>
        <w:tc>
          <w:tcPr>
            <w:tcW w:w="344"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w:t>
            </w:r>
          </w:p>
        </w:tc>
        <w:tc>
          <w:tcPr>
            <w:tcW w:w="363" w:type="pct"/>
            <w:tcBorders>
              <w:top w:val="thinThickSmallGap" w:color="auto" w:sz="12" w:space="0"/>
              <w:left w:val="single" w:color="auto" w:sz="4" w:space="0"/>
              <w:bottom w:val="single" w:color="auto" w:sz="4" w:space="0"/>
              <w:right w:val="nil"/>
            </w:tcBorders>
            <w:shd w:val="clear" w:color="auto" w:fill="E0E0E0"/>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全年</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449" w:type="pc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温度（</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344"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-8.55</w:t>
            </w:r>
          </w:p>
        </w:tc>
        <w:tc>
          <w:tcPr>
            <w:tcW w:w="344"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-5.33</w:t>
            </w:r>
          </w:p>
        </w:tc>
        <w:tc>
          <w:tcPr>
            <w:tcW w:w="308"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4.88</w:t>
            </w:r>
          </w:p>
        </w:tc>
        <w:tc>
          <w:tcPr>
            <w:tcW w:w="363"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13.13</w:t>
            </w:r>
          </w:p>
        </w:tc>
        <w:tc>
          <w:tcPr>
            <w:tcW w:w="363"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19.71</w:t>
            </w:r>
          </w:p>
        </w:tc>
        <w:tc>
          <w:tcPr>
            <w:tcW w:w="363"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24.42</w:t>
            </w:r>
          </w:p>
        </w:tc>
        <w:tc>
          <w:tcPr>
            <w:tcW w:w="363"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27.71</w:t>
            </w:r>
          </w:p>
        </w:tc>
        <w:tc>
          <w:tcPr>
            <w:tcW w:w="363"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26.06</w:t>
            </w:r>
          </w:p>
        </w:tc>
        <w:tc>
          <w:tcPr>
            <w:tcW w:w="363"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19.36</w:t>
            </w:r>
          </w:p>
        </w:tc>
        <w:tc>
          <w:tcPr>
            <w:tcW w:w="363"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11.98</w:t>
            </w:r>
          </w:p>
        </w:tc>
        <w:tc>
          <w:tcPr>
            <w:tcW w:w="308"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4.56</w:t>
            </w:r>
          </w:p>
        </w:tc>
        <w:tc>
          <w:tcPr>
            <w:tcW w:w="344"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-4.73</w:t>
            </w:r>
          </w:p>
        </w:tc>
        <w:tc>
          <w:tcPr>
            <w:tcW w:w="363"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11.19</w:t>
            </w:r>
          </w:p>
        </w:tc>
      </w:tr>
    </w:tbl>
    <w:p>
      <w:pPr>
        <w:keepNext w:val="0"/>
        <w:keepLines w:val="0"/>
        <w:widowControl/>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b/>
          <w:bCs w:val="0"/>
          <w:color w:val="000000"/>
          <w:lang w:val="en-US"/>
        </w:rPr>
      </w:pPr>
      <w:r>
        <w:rPr>
          <w:rFonts w:hint="eastAsia" w:ascii="宋体" w:hAnsi="宋体" w:eastAsia="宋体" w:cs="宋体"/>
          <w:color w:val="000000"/>
          <w:kern w:val="0"/>
          <w:sz w:val="24"/>
          <w:szCs w:val="24"/>
          <w:lang w:val="en-US" w:eastAsia="zh-CN" w:bidi="ar"/>
        </w:rPr>
        <w:drawing>
          <wp:inline distT="0" distB="0" distL="114300" distR="114300">
            <wp:extent cx="5657850" cy="3162300"/>
            <wp:effectExtent l="0" t="0" r="0" b="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55"/>
                    <a:stretch>
                      <a:fillRect/>
                    </a:stretch>
                  </pic:blipFill>
                  <pic:spPr>
                    <a:xfrm>
                      <a:off x="0" y="0"/>
                      <a:ext cx="5657850" cy="3162300"/>
                    </a:xfrm>
                    <a:prstGeom prst="rect">
                      <a:avLst/>
                    </a:prstGeom>
                    <a:noFill/>
                    <a:ln>
                      <a:noFill/>
                    </a:ln>
                  </pic:spPr>
                </pic:pic>
              </a:graphicData>
            </a:graphic>
          </wp:inline>
        </w:drawing>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5-1  </w:t>
      </w:r>
      <w:r>
        <w:rPr>
          <w:rFonts w:hint="eastAsia" w:ascii="Times New Roman" w:hAnsi="Times New Roman" w:eastAsia="黑体" w:cs="Times New Roman"/>
          <w:color w:val="000000"/>
          <w:kern w:val="0"/>
          <w:sz w:val="24"/>
          <w:szCs w:val="24"/>
          <w:lang w:val="en-US" w:eastAsia="zh-CN" w:bidi="ar"/>
        </w:rPr>
        <w:t>平均温度月变化曲线图</w:t>
      </w:r>
    </w:p>
    <w:p>
      <w:pPr>
        <w:keepNext w:val="0"/>
        <w:keepLines w:val="0"/>
        <w:widowControl/>
        <w:suppressLineNumbers w:val="0"/>
        <w:snapToGrid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eastAsia" w:ascii="宋体" w:hAnsi="宋体" w:eastAsia="宋体" w:cs="Times New Roman"/>
          <w:bCs/>
          <w:color w:val="000000"/>
          <w:kern w:val="0"/>
          <w:sz w:val="24"/>
          <w:szCs w:val="24"/>
          <w:lang w:val="en-US" w:eastAsia="zh-CN" w:bidi="ar"/>
        </w:rPr>
        <w:t>②</w:t>
      </w:r>
      <w:r>
        <w:rPr>
          <w:rFonts w:hint="eastAsia" w:ascii="Times New Roman" w:hAnsi="Times New Roman" w:eastAsia="宋体" w:cs="Times New Roman"/>
          <w:bCs/>
          <w:color w:val="000000"/>
          <w:kern w:val="0"/>
          <w:sz w:val="24"/>
          <w:szCs w:val="24"/>
          <w:lang w:val="en-US" w:eastAsia="zh-CN" w:bidi="ar"/>
        </w:rPr>
        <w:t>风速统计量</w:t>
      </w:r>
    </w:p>
    <w:p>
      <w:pPr>
        <w:keepNext w:val="0"/>
        <w:keepLines w:val="0"/>
        <w:widowControl/>
        <w:suppressLineNumbers w:val="0"/>
        <w:snapToGrid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统计全年每月平均风速、各季每小时的平均风速变化情况见表</w:t>
      </w:r>
      <w:r>
        <w:rPr>
          <w:rFonts w:hint="default" w:ascii="Times New Roman" w:hAnsi="Times New Roman" w:eastAsia="宋体" w:cs="Times New Roman"/>
          <w:color w:val="000000"/>
          <w:kern w:val="0"/>
          <w:sz w:val="24"/>
          <w:szCs w:val="24"/>
          <w:lang w:val="en-US" w:eastAsia="zh-CN" w:bidi="ar"/>
        </w:rPr>
        <w:t>5.2-2</w:t>
      </w:r>
      <w:r>
        <w:rPr>
          <w:rFonts w:hint="eastAsia" w:ascii="Times New Roman" w:hAnsi="Times New Roman" w:eastAsia="宋体" w:cs="Times New Roman"/>
          <w:color w:val="000000"/>
          <w:kern w:val="0"/>
          <w:sz w:val="24"/>
          <w:szCs w:val="24"/>
          <w:lang w:val="en-US" w:eastAsia="zh-CN" w:bidi="ar"/>
        </w:rPr>
        <w:t>和表</w:t>
      </w:r>
      <w:r>
        <w:rPr>
          <w:rFonts w:hint="default" w:ascii="Times New Roman" w:hAnsi="Times New Roman" w:eastAsia="宋体" w:cs="Times New Roman"/>
          <w:color w:val="000000"/>
          <w:kern w:val="0"/>
          <w:sz w:val="24"/>
          <w:szCs w:val="24"/>
          <w:lang w:val="en-US" w:eastAsia="zh-CN" w:bidi="ar"/>
        </w:rPr>
        <w:t>5.2-3</w:t>
      </w:r>
      <w:r>
        <w:rPr>
          <w:rFonts w:hint="eastAsia" w:ascii="Times New Roman" w:hAnsi="Times New Roman" w:eastAsia="宋体" w:cs="Times New Roman"/>
          <w:color w:val="000000"/>
          <w:kern w:val="0"/>
          <w:sz w:val="24"/>
          <w:szCs w:val="24"/>
          <w:lang w:val="en-US" w:eastAsia="zh-CN" w:bidi="ar"/>
        </w:rPr>
        <w:t>，并绘制平均风速的月变化曲线图、季小时平均风速的日变化曲线图见图</w:t>
      </w:r>
      <w:r>
        <w:rPr>
          <w:rFonts w:hint="default" w:ascii="Times New Roman" w:hAnsi="Times New Roman" w:eastAsia="宋体" w:cs="Times New Roman"/>
          <w:color w:val="000000"/>
          <w:kern w:val="0"/>
          <w:sz w:val="24"/>
          <w:szCs w:val="24"/>
          <w:lang w:val="en-US" w:eastAsia="zh-CN" w:bidi="ar"/>
        </w:rPr>
        <w:t>5-2</w:t>
      </w:r>
      <w:r>
        <w:rPr>
          <w:rFonts w:hint="eastAsia" w:ascii="Times New Roman" w:hAnsi="Times New Roman" w:eastAsia="宋体" w:cs="Times New Roman"/>
          <w:color w:val="000000"/>
          <w:kern w:val="0"/>
          <w:sz w:val="24"/>
          <w:szCs w:val="24"/>
          <w:lang w:val="en-US" w:eastAsia="zh-CN" w:bidi="ar"/>
        </w:rPr>
        <w:t>和图</w:t>
      </w:r>
      <w:r>
        <w:rPr>
          <w:rFonts w:hint="default" w:ascii="Times New Roman" w:hAnsi="Times New Roman" w:eastAsia="宋体" w:cs="Times New Roman"/>
          <w:color w:val="000000"/>
          <w:kern w:val="0"/>
          <w:sz w:val="24"/>
          <w:szCs w:val="24"/>
          <w:lang w:val="en-US" w:eastAsia="zh-CN" w:bidi="ar"/>
        </w:rPr>
        <w:t>5-3</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5.2-2  </w:t>
      </w:r>
      <w:r>
        <w:rPr>
          <w:rFonts w:hint="eastAsia" w:ascii="Times New Roman" w:hAnsi="Times New Roman" w:eastAsia="黑体" w:cs="Times New Roman"/>
          <w:color w:val="000000"/>
          <w:kern w:val="0"/>
          <w:sz w:val="24"/>
          <w:szCs w:val="24"/>
          <w:lang w:val="en-US" w:eastAsia="zh-CN" w:bidi="ar"/>
        </w:rPr>
        <w:t>全年平均风速的月变化统计表</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922"/>
        <w:gridCol w:w="594"/>
        <w:gridCol w:w="594"/>
        <w:gridCol w:w="594"/>
        <w:gridCol w:w="594"/>
        <w:gridCol w:w="594"/>
        <w:gridCol w:w="594"/>
        <w:gridCol w:w="595"/>
        <w:gridCol w:w="594"/>
        <w:gridCol w:w="594"/>
        <w:gridCol w:w="594"/>
        <w:gridCol w:w="594"/>
        <w:gridCol w:w="594"/>
        <w:gridCol w:w="595"/>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410" w:hRule="atLeast"/>
          <w:jc w:val="center"/>
        </w:trPr>
        <w:tc>
          <w:tcPr>
            <w:tcW w:w="922" w:type="dxa"/>
            <w:tcBorders>
              <w:top w:val="thinThickSmallGap" w:color="auto" w:sz="12" w:space="0"/>
              <w:left w:val="nil"/>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月份</w:t>
            </w:r>
          </w:p>
        </w:tc>
        <w:tc>
          <w:tcPr>
            <w:tcW w:w="594"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594"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w:t>
            </w:r>
          </w:p>
        </w:tc>
        <w:tc>
          <w:tcPr>
            <w:tcW w:w="594"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w:t>
            </w:r>
          </w:p>
        </w:tc>
        <w:tc>
          <w:tcPr>
            <w:tcW w:w="594"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w:t>
            </w:r>
          </w:p>
        </w:tc>
        <w:tc>
          <w:tcPr>
            <w:tcW w:w="594"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w:t>
            </w:r>
          </w:p>
        </w:tc>
        <w:tc>
          <w:tcPr>
            <w:tcW w:w="594"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w:t>
            </w:r>
          </w:p>
        </w:tc>
        <w:tc>
          <w:tcPr>
            <w:tcW w:w="595"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w:t>
            </w:r>
          </w:p>
        </w:tc>
        <w:tc>
          <w:tcPr>
            <w:tcW w:w="594"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w:t>
            </w:r>
          </w:p>
        </w:tc>
        <w:tc>
          <w:tcPr>
            <w:tcW w:w="594"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w:t>
            </w:r>
          </w:p>
        </w:tc>
        <w:tc>
          <w:tcPr>
            <w:tcW w:w="594"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w:t>
            </w:r>
          </w:p>
        </w:tc>
        <w:tc>
          <w:tcPr>
            <w:tcW w:w="594"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w:t>
            </w:r>
          </w:p>
        </w:tc>
        <w:tc>
          <w:tcPr>
            <w:tcW w:w="594"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w:t>
            </w:r>
          </w:p>
        </w:tc>
        <w:tc>
          <w:tcPr>
            <w:tcW w:w="595" w:type="dxa"/>
            <w:tcBorders>
              <w:top w:val="thinThickSmallGap" w:color="auto" w:sz="12" w:space="0"/>
              <w:left w:val="single" w:color="auto" w:sz="4" w:space="0"/>
              <w:bottom w:val="single" w:color="auto" w:sz="4" w:space="0"/>
              <w:right w:val="nil"/>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全年</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922" w:type="dxa"/>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风速（</w:t>
            </w:r>
            <w:r>
              <w:rPr>
                <w:rFonts w:hint="default" w:ascii="Times New Roman" w:hAnsi="Times New Roman" w:eastAsia="宋体" w:cs="Times New Roman"/>
                <w:color w:val="000000"/>
                <w:kern w:val="0"/>
                <w:sz w:val="21"/>
                <w:szCs w:val="21"/>
                <w:bdr w:val="none" w:color="auto" w:sz="0" w:space="0"/>
                <w:lang w:val="en-US" w:eastAsia="zh-CN" w:bidi="ar"/>
              </w:rPr>
              <w:t>m/s</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594"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2.1</w:t>
            </w:r>
          </w:p>
        </w:tc>
        <w:tc>
          <w:tcPr>
            <w:tcW w:w="594"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2.31</w:t>
            </w:r>
          </w:p>
        </w:tc>
        <w:tc>
          <w:tcPr>
            <w:tcW w:w="594"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2.92</w:t>
            </w:r>
          </w:p>
        </w:tc>
        <w:tc>
          <w:tcPr>
            <w:tcW w:w="594"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3.1</w:t>
            </w:r>
          </w:p>
        </w:tc>
        <w:tc>
          <w:tcPr>
            <w:tcW w:w="594"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2.72</w:t>
            </w:r>
          </w:p>
        </w:tc>
        <w:tc>
          <w:tcPr>
            <w:tcW w:w="594"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2.68</w:t>
            </w:r>
          </w:p>
        </w:tc>
        <w:tc>
          <w:tcPr>
            <w:tcW w:w="595"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2.41</w:t>
            </w:r>
          </w:p>
        </w:tc>
        <w:tc>
          <w:tcPr>
            <w:tcW w:w="594"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2.05</w:t>
            </w:r>
          </w:p>
        </w:tc>
        <w:tc>
          <w:tcPr>
            <w:tcW w:w="594"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2.13</w:t>
            </w:r>
          </w:p>
        </w:tc>
        <w:tc>
          <w:tcPr>
            <w:tcW w:w="594"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2.29</w:t>
            </w:r>
          </w:p>
        </w:tc>
        <w:tc>
          <w:tcPr>
            <w:tcW w:w="594"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2.07</w:t>
            </w:r>
          </w:p>
        </w:tc>
        <w:tc>
          <w:tcPr>
            <w:tcW w:w="594"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2.39</w:t>
            </w:r>
          </w:p>
        </w:tc>
        <w:tc>
          <w:tcPr>
            <w:tcW w:w="595" w:type="dxa"/>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2.43</w:t>
            </w:r>
          </w:p>
        </w:tc>
      </w:tr>
    </w:tbl>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drawing>
          <wp:inline distT="0" distB="0" distL="114300" distR="114300">
            <wp:extent cx="5419725" cy="3038475"/>
            <wp:effectExtent l="0" t="0" r="9525" b="9525"/>
            <wp:docPr id="6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6"/>
                    <pic:cNvPicPr>
                      <a:picLocks noChangeAspect="1"/>
                    </pic:cNvPicPr>
                  </pic:nvPicPr>
                  <pic:blipFill>
                    <a:blip r:embed="rId56"/>
                    <a:stretch>
                      <a:fillRect/>
                    </a:stretch>
                  </pic:blipFill>
                  <pic:spPr>
                    <a:xfrm>
                      <a:off x="0" y="0"/>
                      <a:ext cx="5419725" cy="3038475"/>
                    </a:xfrm>
                    <a:prstGeom prst="rect">
                      <a:avLst/>
                    </a:prstGeom>
                    <a:noFill/>
                    <a:ln>
                      <a:noFill/>
                    </a:ln>
                  </pic:spPr>
                </pic:pic>
              </a:graphicData>
            </a:graphic>
          </wp:inline>
        </w:drawing>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5-2  </w:t>
      </w:r>
      <w:r>
        <w:rPr>
          <w:rFonts w:hint="eastAsia" w:ascii="Times New Roman" w:hAnsi="Times New Roman" w:eastAsia="黑体" w:cs="Times New Roman"/>
          <w:color w:val="000000"/>
          <w:kern w:val="0"/>
          <w:sz w:val="24"/>
          <w:szCs w:val="24"/>
          <w:lang w:val="en-US" w:eastAsia="zh-CN" w:bidi="ar"/>
        </w:rPr>
        <w:t>平均风速月变化曲线图</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黑体" w:cs="Times New Roman"/>
          <w:color w:val="000000"/>
          <w:lang w:val="en-US"/>
        </w:rPr>
      </w:pPr>
      <w:r>
        <w:rPr>
          <w:rFonts w:hint="default" w:ascii="Times New Roman" w:hAnsi="Times New Roman" w:eastAsia="黑体" w:cs="Times New Roman"/>
          <w:color w:val="000000"/>
          <w:sz w:val="24"/>
          <w:szCs w:val="24"/>
          <w:lang w:val="en-US" w:eastAsia="zh-CN" w:bidi="ar"/>
        </w:rPr>
        <w:br w:type="page"/>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5.2-3  </w:t>
      </w:r>
      <w:r>
        <w:rPr>
          <w:rFonts w:hint="eastAsia" w:ascii="Times New Roman" w:hAnsi="Times New Roman" w:eastAsia="黑体" w:cs="Times New Roman"/>
          <w:color w:val="000000"/>
          <w:kern w:val="0"/>
          <w:sz w:val="24"/>
          <w:szCs w:val="24"/>
          <w:lang w:val="en-US" w:eastAsia="zh-CN" w:bidi="ar"/>
        </w:rPr>
        <w:t>季小时平均风速的日变化统计表</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1"/>
          <w:szCs w:val="21"/>
          <w:lang w:val="en-US" w:eastAsia="zh-CN" w:bidi="ar"/>
        </w:rPr>
        <w:t>单位：</w:t>
      </w:r>
      <w:r>
        <w:rPr>
          <w:rFonts w:hint="default" w:ascii="Times New Roman" w:hAnsi="Times New Roman" w:eastAsia="黑体" w:cs="Times New Roman"/>
          <w:color w:val="000000"/>
          <w:kern w:val="0"/>
          <w:sz w:val="21"/>
          <w:szCs w:val="21"/>
          <w:lang w:val="en-US" w:eastAsia="zh-CN" w:bidi="ar"/>
        </w:rPr>
        <w:t>m/s</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1412"/>
        <w:gridCol w:w="706"/>
        <w:gridCol w:w="706"/>
        <w:gridCol w:w="607"/>
        <w:gridCol w:w="608"/>
        <w:gridCol w:w="608"/>
        <w:gridCol w:w="608"/>
        <w:gridCol w:w="608"/>
        <w:gridCol w:w="607"/>
        <w:gridCol w:w="608"/>
        <w:gridCol w:w="608"/>
        <w:gridCol w:w="608"/>
        <w:gridCol w:w="608"/>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7" w:hRule="atLeast"/>
          <w:jc w:val="center"/>
        </w:trPr>
        <w:tc>
          <w:tcPr>
            <w:tcW w:w="1412" w:type="dxa"/>
            <w:tcBorders>
              <w:top w:val="thinThickSmallGap" w:color="auto" w:sz="12" w:space="0"/>
              <w:left w:val="nil"/>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小时（</w:t>
            </w:r>
            <w:r>
              <w:rPr>
                <w:rFonts w:hint="default" w:ascii="Times New Roman" w:hAnsi="Times New Roman" w:eastAsia="宋体" w:cs="Times New Roman"/>
                <w:color w:val="000000"/>
                <w:kern w:val="0"/>
                <w:sz w:val="21"/>
                <w:szCs w:val="21"/>
                <w:bdr w:val="none" w:color="auto" w:sz="0" w:space="0"/>
                <w:lang w:val="en-US" w:eastAsia="zh-CN" w:bidi="ar"/>
              </w:rPr>
              <w:t>h</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706"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w:t>
            </w:r>
          </w:p>
        </w:tc>
        <w:tc>
          <w:tcPr>
            <w:tcW w:w="706"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607"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w:t>
            </w:r>
          </w:p>
        </w:tc>
        <w:tc>
          <w:tcPr>
            <w:tcW w:w="60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w:t>
            </w:r>
          </w:p>
        </w:tc>
        <w:tc>
          <w:tcPr>
            <w:tcW w:w="60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w:t>
            </w:r>
          </w:p>
        </w:tc>
        <w:tc>
          <w:tcPr>
            <w:tcW w:w="60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w:t>
            </w:r>
          </w:p>
        </w:tc>
        <w:tc>
          <w:tcPr>
            <w:tcW w:w="60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w:t>
            </w:r>
          </w:p>
        </w:tc>
        <w:tc>
          <w:tcPr>
            <w:tcW w:w="607"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w:t>
            </w:r>
          </w:p>
        </w:tc>
        <w:tc>
          <w:tcPr>
            <w:tcW w:w="60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w:t>
            </w:r>
          </w:p>
        </w:tc>
        <w:tc>
          <w:tcPr>
            <w:tcW w:w="60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w:t>
            </w:r>
          </w:p>
        </w:tc>
        <w:tc>
          <w:tcPr>
            <w:tcW w:w="60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w:t>
            </w:r>
          </w:p>
        </w:tc>
        <w:tc>
          <w:tcPr>
            <w:tcW w:w="608" w:type="dxa"/>
            <w:tcBorders>
              <w:top w:val="thinThickSmallGap" w:color="auto" w:sz="12" w:space="0"/>
              <w:left w:val="single" w:color="auto" w:sz="4" w:space="0"/>
              <w:bottom w:val="single" w:color="auto" w:sz="4" w:space="0"/>
              <w:right w:val="nil"/>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2"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春季</w:t>
            </w:r>
          </w:p>
        </w:tc>
        <w:tc>
          <w:tcPr>
            <w:tcW w:w="70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2.87</w:t>
            </w:r>
          </w:p>
        </w:tc>
        <w:tc>
          <w:tcPr>
            <w:tcW w:w="70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3.16</w:t>
            </w:r>
          </w:p>
        </w:tc>
        <w:tc>
          <w:tcPr>
            <w:tcW w:w="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3.5</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3.58</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3.7</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3.73</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3.71</w:t>
            </w:r>
          </w:p>
        </w:tc>
        <w:tc>
          <w:tcPr>
            <w:tcW w:w="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3.7</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3.66</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3.22</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3.03</w:t>
            </w:r>
          </w:p>
        </w:tc>
        <w:tc>
          <w:tcPr>
            <w:tcW w:w="60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2.67</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2"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夏季</w:t>
            </w:r>
          </w:p>
        </w:tc>
        <w:tc>
          <w:tcPr>
            <w:tcW w:w="70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2.35</w:t>
            </w:r>
          </w:p>
        </w:tc>
        <w:tc>
          <w:tcPr>
            <w:tcW w:w="70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2.66</w:t>
            </w:r>
          </w:p>
        </w:tc>
        <w:tc>
          <w:tcPr>
            <w:tcW w:w="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2.87</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2.92</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2.97</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3.07</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3.19</w:t>
            </w:r>
          </w:p>
        </w:tc>
        <w:tc>
          <w:tcPr>
            <w:tcW w:w="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3.05</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2.92</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2.83</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2.72</w:t>
            </w:r>
          </w:p>
        </w:tc>
        <w:tc>
          <w:tcPr>
            <w:tcW w:w="60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2.43</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2"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秋季</w:t>
            </w:r>
          </w:p>
        </w:tc>
        <w:tc>
          <w:tcPr>
            <w:tcW w:w="70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1.97</w:t>
            </w:r>
          </w:p>
        </w:tc>
        <w:tc>
          <w:tcPr>
            <w:tcW w:w="70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2.31</w:t>
            </w:r>
          </w:p>
        </w:tc>
        <w:tc>
          <w:tcPr>
            <w:tcW w:w="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2.74</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2.86</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2.94</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2.94</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2.9</w:t>
            </w:r>
          </w:p>
        </w:tc>
        <w:tc>
          <w:tcPr>
            <w:tcW w:w="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2.92</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2.64</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2.36</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1.95</w:t>
            </w:r>
          </w:p>
        </w:tc>
        <w:tc>
          <w:tcPr>
            <w:tcW w:w="60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1.91</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2"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冬季</w:t>
            </w:r>
          </w:p>
        </w:tc>
        <w:tc>
          <w:tcPr>
            <w:tcW w:w="70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2.05</w:t>
            </w:r>
          </w:p>
        </w:tc>
        <w:tc>
          <w:tcPr>
            <w:tcW w:w="70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2.23</w:t>
            </w:r>
          </w:p>
        </w:tc>
        <w:tc>
          <w:tcPr>
            <w:tcW w:w="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2.56</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2.76</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2.87</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2.95</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3.04</w:t>
            </w:r>
          </w:p>
        </w:tc>
        <w:tc>
          <w:tcPr>
            <w:tcW w:w="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2.94</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2.64</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2.38</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2.21</w:t>
            </w:r>
          </w:p>
        </w:tc>
        <w:tc>
          <w:tcPr>
            <w:tcW w:w="60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2.05</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2" w:type="dxa"/>
            <w:tcBorders>
              <w:top w:val="single" w:color="auto" w:sz="4" w:space="0"/>
              <w:left w:val="nil"/>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小时（</w:t>
            </w:r>
            <w:r>
              <w:rPr>
                <w:rFonts w:hint="default" w:ascii="Times New Roman" w:hAnsi="Times New Roman" w:eastAsia="宋体" w:cs="Times New Roman"/>
                <w:color w:val="000000"/>
                <w:kern w:val="0"/>
                <w:sz w:val="21"/>
                <w:szCs w:val="21"/>
                <w:bdr w:val="none" w:color="auto" w:sz="0" w:space="0"/>
                <w:lang w:val="en-US" w:eastAsia="zh-CN" w:bidi="ar"/>
              </w:rPr>
              <w:t>h</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706" w:type="dxa"/>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w:t>
            </w:r>
          </w:p>
        </w:tc>
        <w:tc>
          <w:tcPr>
            <w:tcW w:w="706" w:type="dxa"/>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w:t>
            </w:r>
          </w:p>
        </w:tc>
        <w:tc>
          <w:tcPr>
            <w:tcW w:w="607" w:type="dxa"/>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14</w:t>
            </w:r>
          </w:p>
        </w:tc>
        <w:tc>
          <w:tcPr>
            <w:tcW w:w="608" w:type="dxa"/>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w:t>
            </w:r>
          </w:p>
        </w:tc>
        <w:tc>
          <w:tcPr>
            <w:tcW w:w="608" w:type="dxa"/>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16</w:t>
            </w:r>
          </w:p>
        </w:tc>
        <w:tc>
          <w:tcPr>
            <w:tcW w:w="608" w:type="dxa"/>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17</w:t>
            </w:r>
          </w:p>
        </w:tc>
        <w:tc>
          <w:tcPr>
            <w:tcW w:w="608" w:type="dxa"/>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w:t>
            </w:r>
          </w:p>
        </w:tc>
        <w:tc>
          <w:tcPr>
            <w:tcW w:w="607" w:type="dxa"/>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w:t>
            </w:r>
          </w:p>
        </w:tc>
        <w:tc>
          <w:tcPr>
            <w:tcW w:w="608" w:type="dxa"/>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w:t>
            </w:r>
          </w:p>
        </w:tc>
        <w:tc>
          <w:tcPr>
            <w:tcW w:w="608" w:type="dxa"/>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21</w:t>
            </w:r>
          </w:p>
        </w:tc>
        <w:tc>
          <w:tcPr>
            <w:tcW w:w="608" w:type="dxa"/>
            <w:tcBorders>
              <w:top w:val="single" w:color="auto" w:sz="4"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22</w:t>
            </w:r>
          </w:p>
        </w:tc>
        <w:tc>
          <w:tcPr>
            <w:tcW w:w="608" w:type="dxa"/>
            <w:tcBorders>
              <w:top w:val="single" w:color="auto" w:sz="4" w:space="0"/>
              <w:left w:val="single" w:color="auto" w:sz="4" w:space="0"/>
              <w:bottom w:val="single" w:color="auto" w:sz="4" w:space="0"/>
              <w:right w:val="nil"/>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2"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春季</w:t>
            </w:r>
          </w:p>
        </w:tc>
        <w:tc>
          <w:tcPr>
            <w:tcW w:w="70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2.56</w:t>
            </w:r>
          </w:p>
        </w:tc>
        <w:tc>
          <w:tcPr>
            <w:tcW w:w="70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2.52</w:t>
            </w:r>
          </w:p>
        </w:tc>
        <w:tc>
          <w:tcPr>
            <w:tcW w:w="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2.48</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2.43</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2.37</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2.49</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2.34</w:t>
            </w:r>
          </w:p>
        </w:tc>
        <w:tc>
          <w:tcPr>
            <w:tcW w:w="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2.38</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2.43</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2.36</w:t>
            </w:r>
          </w:p>
        </w:tc>
        <w:tc>
          <w:tcPr>
            <w:tcW w:w="60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2.58</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2"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夏季</w:t>
            </w:r>
          </w:p>
        </w:tc>
        <w:tc>
          <w:tcPr>
            <w:tcW w:w="70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2.14</w:t>
            </w:r>
          </w:p>
        </w:tc>
        <w:tc>
          <w:tcPr>
            <w:tcW w:w="70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2.07</w:t>
            </w:r>
          </w:p>
        </w:tc>
        <w:tc>
          <w:tcPr>
            <w:tcW w:w="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1.94</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1.94</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1.84</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1.83</w:t>
            </w:r>
          </w:p>
        </w:tc>
        <w:tc>
          <w:tcPr>
            <w:tcW w:w="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1.85</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1.72</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1.88</w:t>
            </w:r>
          </w:p>
        </w:tc>
        <w:tc>
          <w:tcPr>
            <w:tcW w:w="60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2.08</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2"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秋季</w:t>
            </w:r>
          </w:p>
        </w:tc>
        <w:tc>
          <w:tcPr>
            <w:tcW w:w="70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1.79</w:t>
            </w:r>
          </w:p>
        </w:tc>
        <w:tc>
          <w:tcPr>
            <w:tcW w:w="70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w:t>
            </w:r>
          </w:p>
        </w:tc>
        <w:tc>
          <w:tcPr>
            <w:tcW w:w="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1.76</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1.75</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1.82</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1.86</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1.82</w:t>
            </w:r>
          </w:p>
        </w:tc>
        <w:tc>
          <w:tcPr>
            <w:tcW w:w="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1.73</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1.76</w:t>
            </w:r>
          </w:p>
        </w:tc>
        <w:tc>
          <w:tcPr>
            <w:tcW w:w="6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1.79</w:t>
            </w:r>
          </w:p>
        </w:tc>
        <w:tc>
          <w:tcPr>
            <w:tcW w:w="60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1.81</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2" w:type="dxa"/>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冬季</w:t>
            </w:r>
          </w:p>
        </w:tc>
        <w:tc>
          <w:tcPr>
            <w:tcW w:w="706"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1.98</w:t>
            </w:r>
          </w:p>
        </w:tc>
        <w:tc>
          <w:tcPr>
            <w:tcW w:w="706"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1.94</w:t>
            </w:r>
          </w:p>
        </w:tc>
        <w:tc>
          <w:tcPr>
            <w:tcW w:w="60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1.94</w:t>
            </w:r>
          </w:p>
        </w:tc>
        <w:tc>
          <w:tcPr>
            <w:tcW w:w="60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1.84</w:t>
            </w:r>
          </w:p>
        </w:tc>
        <w:tc>
          <w:tcPr>
            <w:tcW w:w="60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1.89</w:t>
            </w:r>
          </w:p>
        </w:tc>
        <w:tc>
          <w:tcPr>
            <w:tcW w:w="60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1.91</w:t>
            </w:r>
          </w:p>
        </w:tc>
        <w:tc>
          <w:tcPr>
            <w:tcW w:w="60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w:t>
            </w:r>
          </w:p>
        </w:tc>
        <w:tc>
          <w:tcPr>
            <w:tcW w:w="60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2.04</w:t>
            </w:r>
          </w:p>
        </w:tc>
        <w:tc>
          <w:tcPr>
            <w:tcW w:w="60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2.17</w:t>
            </w:r>
          </w:p>
        </w:tc>
        <w:tc>
          <w:tcPr>
            <w:tcW w:w="60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2.03</w:t>
            </w:r>
          </w:p>
        </w:tc>
        <w:tc>
          <w:tcPr>
            <w:tcW w:w="60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2.01</w:t>
            </w:r>
          </w:p>
        </w:tc>
        <w:tc>
          <w:tcPr>
            <w:tcW w:w="608" w:type="dxa"/>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2.01</w:t>
            </w:r>
          </w:p>
        </w:tc>
      </w:tr>
    </w:tbl>
    <w:p>
      <w:pPr>
        <w:keepNext w:val="0"/>
        <w:keepLines w:val="0"/>
        <w:widowControl/>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drawing>
          <wp:inline distT="0" distB="0" distL="114300" distR="114300">
            <wp:extent cx="5391150" cy="2695575"/>
            <wp:effectExtent l="0" t="0" r="0" b="9525"/>
            <wp:docPr id="6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7"/>
                    <pic:cNvPicPr>
                      <a:picLocks noChangeAspect="1"/>
                    </pic:cNvPicPr>
                  </pic:nvPicPr>
                  <pic:blipFill>
                    <a:blip r:embed="rId57"/>
                    <a:stretch>
                      <a:fillRect/>
                    </a:stretch>
                  </pic:blipFill>
                  <pic:spPr>
                    <a:xfrm>
                      <a:off x="0" y="0"/>
                      <a:ext cx="5391150" cy="2695575"/>
                    </a:xfrm>
                    <a:prstGeom prst="rect">
                      <a:avLst/>
                    </a:prstGeom>
                    <a:noFill/>
                    <a:ln>
                      <a:noFill/>
                    </a:ln>
                  </pic:spPr>
                </pic:pic>
              </a:graphicData>
            </a:graphic>
          </wp:inline>
        </w:drawing>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5-3  </w:t>
      </w:r>
      <w:r>
        <w:rPr>
          <w:rFonts w:hint="eastAsia" w:ascii="Times New Roman" w:hAnsi="Times New Roman" w:eastAsia="黑体" w:cs="Times New Roman"/>
          <w:color w:val="000000"/>
          <w:kern w:val="0"/>
          <w:sz w:val="24"/>
          <w:szCs w:val="24"/>
          <w:lang w:val="en-US" w:eastAsia="zh-CN" w:bidi="ar"/>
        </w:rPr>
        <w:t>季小时平均风速日变化曲线图</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）风频统计量</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统计每月、各季及全年平均各风向风频变化情况见表</w:t>
      </w:r>
      <w:r>
        <w:rPr>
          <w:rFonts w:hint="default" w:ascii="Times New Roman" w:hAnsi="Times New Roman" w:eastAsia="宋体" w:cs="Times New Roman"/>
          <w:color w:val="000000"/>
          <w:kern w:val="0"/>
          <w:sz w:val="24"/>
          <w:szCs w:val="24"/>
          <w:lang w:val="en-US" w:eastAsia="zh-CN" w:bidi="ar"/>
        </w:rPr>
        <w:t>5.2-4</w:t>
      </w:r>
      <w:r>
        <w:rPr>
          <w:rFonts w:hint="eastAsia" w:ascii="Times New Roman" w:hAnsi="Times New Roman" w:eastAsia="宋体" w:cs="Times New Roman"/>
          <w:color w:val="000000"/>
          <w:kern w:val="0"/>
          <w:sz w:val="24"/>
          <w:szCs w:val="24"/>
          <w:lang w:val="en-US" w:eastAsia="zh-CN" w:bidi="ar"/>
        </w:rPr>
        <w:t>和表</w:t>
      </w:r>
      <w:r>
        <w:rPr>
          <w:rFonts w:hint="default" w:ascii="Times New Roman" w:hAnsi="Times New Roman" w:eastAsia="宋体" w:cs="Times New Roman"/>
          <w:color w:val="000000"/>
          <w:kern w:val="0"/>
          <w:sz w:val="24"/>
          <w:szCs w:val="24"/>
          <w:lang w:val="en-US" w:eastAsia="zh-CN" w:bidi="ar"/>
        </w:rPr>
        <w:t>5.2-5</w:t>
      </w:r>
      <w:r>
        <w:rPr>
          <w:rFonts w:hint="eastAsia" w:ascii="Times New Roman" w:hAnsi="Times New Roman" w:eastAsia="宋体" w:cs="Times New Roman"/>
          <w:color w:val="000000"/>
          <w:kern w:val="0"/>
          <w:sz w:val="24"/>
          <w:szCs w:val="24"/>
          <w:lang w:val="en-US" w:eastAsia="zh-CN" w:bidi="ar"/>
        </w:rPr>
        <w:t>，各月、各季及全年风向频率玫瑰见图</w:t>
      </w:r>
      <w:r>
        <w:rPr>
          <w:rFonts w:hint="default" w:ascii="Times New Roman" w:hAnsi="Times New Roman" w:eastAsia="宋体" w:cs="Times New Roman"/>
          <w:color w:val="000000"/>
          <w:kern w:val="0"/>
          <w:sz w:val="24"/>
          <w:szCs w:val="24"/>
          <w:lang w:val="en-US" w:eastAsia="zh-CN" w:bidi="ar"/>
        </w:rPr>
        <w:t>5-4</w:t>
      </w:r>
      <w:r>
        <w:rPr>
          <w:rFonts w:hint="eastAsia" w:ascii="Times New Roman" w:hAnsi="Times New Roman" w:eastAsia="宋体" w:cs="Times New Roman"/>
          <w:color w:val="000000"/>
          <w:kern w:val="0"/>
          <w:sz w:val="24"/>
          <w:szCs w:val="24"/>
          <w:lang w:val="en-US" w:eastAsia="zh-CN" w:bidi="ar"/>
        </w:rPr>
        <w:t>。</w:t>
      </w:r>
    </w:p>
    <w:p>
      <w:pPr>
        <w:rPr>
          <w:rFonts w:hint="default" w:ascii="Times New Roman" w:hAnsi="Times New Roman" w:eastAsia="宋体" w:cs="Times New Roman"/>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sz w:val="21"/>
          <w:szCs w:val="21"/>
          <w:lang w:val="en-US"/>
        </w:rPr>
      </w:pP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5.2-4  </w:t>
      </w:r>
      <w:r>
        <w:rPr>
          <w:rFonts w:hint="eastAsia" w:ascii="Times New Roman" w:hAnsi="Times New Roman" w:eastAsia="黑体" w:cs="Times New Roman"/>
          <w:color w:val="000000"/>
          <w:kern w:val="0"/>
          <w:sz w:val="24"/>
          <w:szCs w:val="24"/>
          <w:lang w:val="en-US" w:eastAsia="zh-CN" w:bidi="ar"/>
        </w:rPr>
        <w:t>年均风频月变化统计表</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1"/>
          <w:szCs w:val="21"/>
          <w:lang w:val="en-US" w:eastAsia="zh-CN" w:bidi="ar"/>
        </w:rPr>
        <w:t>单位：</w:t>
      </w:r>
      <w:r>
        <w:rPr>
          <w:rFonts w:hint="default" w:ascii="Times New Roman" w:hAnsi="Times New Roman" w:eastAsia="黑体" w:cs="Times New Roman"/>
          <w:color w:val="000000"/>
          <w:kern w:val="0"/>
          <w:sz w:val="21"/>
          <w:szCs w:val="21"/>
          <w:lang w:val="en-US" w:eastAsia="zh-CN" w:bidi="ar"/>
        </w:rPr>
        <w:t>%</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710"/>
        <w:gridCol w:w="747"/>
        <w:gridCol w:w="748"/>
        <w:gridCol w:w="748"/>
        <w:gridCol w:w="748"/>
        <w:gridCol w:w="747"/>
        <w:gridCol w:w="748"/>
        <w:gridCol w:w="748"/>
        <w:gridCol w:w="748"/>
        <w:gridCol w:w="747"/>
        <w:gridCol w:w="748"/>
        <w:gridCol w:w="748"/>
        <w:gridCol w:w="748"/>
        <w:gridCol w:w="747"/>
        <w:gridCol w:w="748"/>
        <w:gridCol w:w="748"/>
        <w:gridCol w:w="748"/>
        <w:gridCol w:w="748"/>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40" w:hRule="atLeast"/>
          <w:jc w:val="center"/>
        </w:trPr>
        <w:tc>
          <w:tcPr>
            <w:tcW w:w="710" w:type="dxa"/>
            <w:tcBorders>
              <w:top w:val="thinThickSmallGap" w:color="auto" w:sz="12" w:space="0"/>
              <w:left w:val="nil"/>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风向</w:t>
            </w:r>
          </w:p>
        </w:tc>
        <w:tc>
          <w:tcPr>
            <w:tcW w:w="747"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w:t>
            </w:r>
          </w:p>
        </w:tc>
        <w:tc>
          <w:tcPr>
            <w:tcW w:w="74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NNE</w:t>
            </w:r>
          </w:p>
        </w:tc>
        <w:tc>
          <w:tcPr>
            <w:tcW w:w="74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NE</w:t>
            </w:r>
          </w:p>
        </w:tc>
        <w:tc>
          <w:tcPr>
            <w:tcW w:w="74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ENE</w:t>
            </w:r>
          </w:p>
        </w:tc>
        <w:tc>
          <w:tcPr>
            <w:tcW w:w="747"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E</w:t>
            </w:r>
          </w:p>
        </w:tc>
        <w:tc>
          <w:tcPr>
            <w:tcW w:w="74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ESE</w:t>
            </w:r>
          </w:p>
        </w:tc>
        <w:tc>
          <w:tcPr>
            <w:tcW w:w="74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SE</w:t>
            </w:r>
          </w:p>
        </w:tc>
        <w:tc>
          <w:tcPr>
            <w:tcW w:w="74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SSE</w:t>
            </w:r>
          </w:p>
        </w:tc>
        <w:tc>
          <w:tcPr>
            <w:tcW w:w="747"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w:t>
            </w:r>
          </w:p>
        </w:tc>
        <w:tc>
          <w:tcPr>
            <w:tcW w:w="74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SSW</w:t>
            </w:r>
          </w:p>
        </w:tc>
        <w:tc>
          <w:tcPr>
            <w:tcW w:w="74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SW</w:t>
            </w:r>
          </w:p>
        </w:tc>
        <w:tc>
          <w:tcPr>
            <w:tcW w:w="74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WSW</w:t>
            </w:r>
          </w:p>
        </w:tc>
        <w:tc>
          <w:tcPr>
            <w:tcW w:w="747"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w:t>
            </w:r>
          </w:p>
        </w:tc>
        <w:tc>
          <w:tcPr>
            <w:tcW w:w="74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pacing w:val="-20"/>
                <w:sz w:val="21"/>
                <w:szCs w:val="21"/>
                <w:bdr w:val="none" w:color="auto" w:sz="0" w:space="0"/>
                <w:lang w:val="en-US"/>
              </w:rPr>
            </w:pPr>
            <w:r>
              <w:rPr>
                <w:rFonts w:hint="default" w:ascii="Times New Roman" w:hAnsi="Times New Roman" w:eastAsia="宋体" w:cs="Times New Roman"/>
                <w:color w:val="000000"/>
                <w:spacing w:val="-20"/>
                <w:kern w:val="0"/>
                <w:sz w:val="21"/>
                <w:szCs w:val="21"/>
                <w:bdr w:val="none" w:color="auto" w:sz="0" w:space="0"/>
                <w:lang w:val="en-US" w:eastAsia="zh-CN" w:bidi="ar"/>
              </w:rPr>
              <w:t>WNW</w:t>
            </w:r>
          </w:p>
        </w:tc>
        <w:tc>
          <w:tcPr>
            <w:tcW w:w="74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NW</w:t>
            </w:r>
          </w:p>
        </w:tc>
        <w:tc>
          <w:tcPr>
            <w:tcW w:w="74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NNW</w:t>
            </w:r>
          </w:p>
        </w:tc>
        <w:tc>
          <w:tcPr>
            <w:tcW w:w="748" w:type="dxa"/>
            <w:tcBorders>
              <w:top w:val="thinThickSmallGap" w:color="auto" w:sz="12" w:space="0"/>
              <w:left w:val="single" w:color="auto" w:sz="4" w:space="0"/>
              <w:bottom w:val="single" w:color="auto" w:sz="4" w:space="0"/>
              <w:right w:val="nil"/>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C</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r>
              <w:rPr>
                <w:rFonts w:hint="eastAsia" w:ascii="Times New Roman" w:hAnsi="Times New Roman" w:eastAsia="宋体" w:cs="Times New Roman"/>
                <w:color w:val="000000"/>
                <w:kern w:val="0"/>
                <w:sz w:val="21"/>
                <w:szCs w:val="21"/>
                <w:bdr w:val="none" w:color="auto" w:sz="0" w:space="0"/>
                <w:lang w:val="en-US" w:eastAsia="zh-CN" w:bidi="ar"/>
              </w:rPr>
              <w:t>月</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8.87</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11.96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9.01</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8.6</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6.05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5.65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5.51</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8.47</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4.17</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4.17</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2.42</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6.05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5.65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4.57</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3.9</w:t>
            </w:r>
          </w:p>
        </w:tc>
        <w:tc>
          <w:tcPr>
            <w:tcW w:w="74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2.42</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w:t>
            </w:r>
            <w:r>
              <w:rPr>
                <w:rFonts w:hint="eastAsia" w:ascii="Times New Roman" w:hAnsi="Times New Roman" w:eastAsia="宋体" w:cs="Times New Roman"/>
                <w:color w:val="000000"/>
                <w:kern w:val="0"/>
                <w:sz w:val="21"/>
                <w:szCs w:val="21"/>
                <w:bdr w:val="none" w:color="auto" w:sz="0" w:space="0"/>
                <w:lang w:val="en-US" w:eastAsia="zh-CN" w:bidi="ar"/>
              </w:rPr>
              <w:t>月</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10.71</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9.23</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7.44</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7.44</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6.1</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2.23</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3.13</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8.18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5.36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4.17</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3.72</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7.59</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4.61</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6.25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5.21</w:t>
            </w:r>
          </w:p>
        </w:tc>
        <w:tc>
          <w:tcPr>
            <w:tcW w:w="74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2.83</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w:t>
            </w:r>
            <w:r>
              <w:rPr>
                <w:rFonts w:hint="eastAsia" w:ascii="Times New Roman" w:hAnsi="Times New Roman" w:eastAsia="宋体" w:cs="Times New Roman"/>
                <w:color w:val="000000"/>
                <w:kern w:val="0"/>
                <w:sz w:val="21"/>
                <w:szCs w:val="21"/>
                <w:bdr w:val="none" w:color="auto" w:sz="0" w:space="0"/>
                <w:lang w:val="en-US" w:eastAsia="zh-CN" w:bidi="ar"/>
              </w:rPr>
              <w:t>月</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7.26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13.04</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11.16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7.66</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3.9</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7.53</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16.53</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7.26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6.05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4.03</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4.03</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2.15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0.94</w:t>
            </w:r>
          </w:p>
        </w:tc>
        <w:tc>
          <w:tcPr>
            <w:tcW w:w="74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2.96</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w:t>
            </w:r>
            <w:r>
              <w:rPr>
                <w:rFonts w:hint="eastAsia" w:ascii="Times New Roman" w:hAnsi="Times New Roman" w:eastAsia="宋体" w:cs="Times New Roman"/>
                <w:color w:val="000000"/>
                <w:kern w:val="0"/>
                <w:sz w:val="21"/>
                <w:szCs w:val="21"/>
                <w:bdr w:val="none" w:color="auto" w:sz="0" w:space="0"/>
                <w:lang w:val="en-US" w:eastAsia="zh-CN" w:bidi="ar"/>
              </w:rPr>
              <w:t>月</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8.47</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10.28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5.42</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2.08</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2.92</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5.56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8.19</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13.89</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8.75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8.06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6.11</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5.28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4.86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3.75</w:t>
            </w:r>
          </w:p>
        </w:tc>
        <w:tc>
          <w:tcPr>
            <w:tcW w:w="74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1.25</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w:t>
            </w:r>
            <w:r>
              <w:rPr>
                <w:rFonts w:hint="eastAsia" w:ascii="Times New Roman" w:hAnsi="Times New Roman" w:eastAsia="宋体" w:cs="Times New Roman"/>
                <w:color w:val="000000"/>
                <w:kern w:val="0"/>
                <w:sz w:val="21"/>
                <w:szCs w:val="21"/>
                <w:bdr w:val="none" w:color="auto" w:sz="0" w:space="0"/>
                <w:lang w:val="en-US" w:eastAsia="zh-CN" w:bidi="ar"/>
              </w:rPr>
              <w:t>月</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7.93</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6.99</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4.03</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3.36</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3.63</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4.17</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6.32</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10.35</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15.46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10.35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7.12</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5.11</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1.61</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2.55</w:t>
            </w:r>
          </w:p>
        </w:tc>
        <w:tc>
          <w:tcPr>
            <w:tcW w:w="74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0.67</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w:t>
            </w:r>
            <w:r>
              <w:rPr>
                <w:rFonts w:hint="eastAsia" w:ascii="Times New Roman" w:hAnsi="Times New Roman" w:eastAsia="宋体" w:cs="Times New Roman"/>
                <w:color w:val="000000"/>
                <w:kern w:val="0"/>
                <w:sz w:val="21"/>
                <w:szCs w:val="21"/>
                <w:bdr w:val="none" w:color="auto" w:sz="0" w:space="0"/>
                <w:lang w:val="en-US" w:eastAsia="zh-CN" w:bidi="ar"/>
              </w:rPr>
              <w:t>月</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1.81</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1.94</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1.39</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1.53</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3.89</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7.64</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23.19</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12.36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10.42</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8.33</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7.36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0.97</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0.28</w:t>
            </w:r>
          </w:p>
        </w:tc>
        <w:tc>
          <w:tcPr>
            <w:tcW w:w="74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0.14</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w:t>
            </w:r>
            <w:r>
              <w:rPr>
                <w:rFonts w:hint="eastAsia" w:ascii="Times New Roman" w:hAnsi="Times New Roman" w:eastAsia="宋体" w:cs="Times New Roman"/>
                <w:color w:val="000000"/>
                <w:kern w:val="0"/>
                <w:sz w:val="21"/>
                <w:szCs w:val="21"/>
                <w:bdr w:val="none" w:color="auto" w:sz="0" w:space="0"/>
                <w:lang w:val="en-US" w:eastAsia="zh-CN" w:bidi="ar"/>
              </w:rPr>
              <w:t>月</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2.69</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2.42</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2.42</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4.44</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3.36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1.75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7.66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22.58</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21.51</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6.72</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3.23</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7.53</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3.49</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1.34</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0.81</w:t>
            </w:r>
          </w:p>
        </w:tc>
        <w:tc>
          <w:tcPr>
            <w:tcW w:w="74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0.27</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w:t>
            </w:r>
            <w:r>
              <w:rPr>
                <w:rFonts w:hint="eastAsia" w:ascii="Times New Roman" w:hAnsi="Times New Roman" w:eastAsia="宋体" w:cs="Times New Roman"/>
                <w:color w:val="000000"/>
                <w:kern w:val="0"/>
                <w:sz w:val="21"/>
                <w:szCs w:val="21"/>
                <w:bdr w:val="none" w:color="auto" w:sz="0" w:space="0"/>
                <w:lang w:val="en-US" w:eastAsia="zh-CN" w:bidi="ar"/>
              </w:rPr>
              <w:t>月</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9.27</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13.71</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10.48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7.66</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4.84</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3.49</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7.66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4.7</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8.06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6.18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4.44</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3.36</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7.39</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3.9</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1.21</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2.02</w:t>
            </w:r>
          </w:p>
        </w:tc>
        <w:tc>
          <w:tcPr>
            <w:tcW w:w="74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1.61</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w:t>
            </w:r>
            <w:r>
              <w:rPr>
                <w:rFonts w:hint="eastAsia" w:ascii="Times New Roman" w:hAnsi="Times New Roman" w:eastAsia="宋体" w:cs="Times New Roman"/>
                <w:color w:val="000000"/>
                <w:kern w:val="0"/>
                <w:sz w:val="21"/>
                <w:szCs w:val="21"/>
                <w:bdr w:val="none" w:color="auto" w:sz="0" w:space="0"/>
                <w:lang w:val="en-US" w:eastAsia="zh-CN" w:bidi="ar"/>
              </w:rPr>
              <w:t>月</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3.61</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4.72</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3.75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4.58</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2.22</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3.61</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14.31</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12.64</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13.06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5.83</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6.25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4.31</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9.44</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5.69</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1.81</w:t>
            </w:r>
          </w:p>
        </w:tc>
        <w:tc>
          <w:tcPr>
            <w:tcW w:w="74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1.11</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w:t>
            </w:r>
            <w:r>
              <w:rPr>
                <w:rFonts w:hint="eastAsia" w:ascii="Times New Roman" w:hAnsi="Times New Roman" w:eastAsia="宋体" w:cs="Times New Roman"/>
                <w:color w:val="000000"/>
                <w:kern w:val="0"/>
                <w:sz w:val="21"/>
                <w:szCs w:val="21"/>
                <w:bdr w:val="none" w:color="auto" w:sz="0" w:space="0"/>
                <w:lang w:val="en-US" w:eastAsia="zh-CN" w:bidi="ar"/>
              </w:rPr>
              <w:t>月</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5.38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6.45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4.3</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2.69</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2.28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4.84</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14.65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10.08</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12.9</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4.44</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5.11</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4.57</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9.68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5.78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3.23</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2.82</w:t>
            </w:r>
          </w:p>
        </w:tc>
        <w:tc>
          <w:tcPr>
            <w:tcW w:w="74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0.81</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w:t>
            </w:r>
            <w:r>
              <w:rPr>
                <w:rFonts w:hint="eastAsia" w:ascii="Times New Roman" w:hAnsi="Times New Roman" w:eastAsia="宋体" w:cs="Times New Roman"/>
                <w:color w:val="000000"/>
                <w:kern w:val="0"/>
                <w:sz w:val="21"/>
                <w:szCs w:val="21"/>
                <w:bdr w:val="none" w:color="auto" w:sz="0" w:space="0"/>
                <w:lang w:val="en-US" w:eastAsia="zh-CN" w:bidi="ar"/>
              </w:rPr>
              <w:t>月</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9.58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10.83</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7.64</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7.22</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4.58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5.28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11.25</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6.11</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10.28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5.56</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5.69</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2.78</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4.03</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3.47</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2.08</w:t>
            </w:r>
          </w:p>
        </w:tc>
        <w:tc>
          <w:tcPr>
            <w:tcW w:w="74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1.81</w:t>
            </w:r>
          </w:p>
        </w:tc>
        <w:tc>
          <w:tcPr>
            <w:tcW w:w="748"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1.81</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dxa"/>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w:t>
            </w:r>
            <w:r>
              <w:rPr>
                <w:rFonts w:hint="eastAsia" w:ascii="Times New Roman" w:hAnsi="Times New Roman" w:eastAsia="宋体" w:cs="Times New Roman"/>
                <w:color w:val="000000"/>
                <w:kern w:val="0"/>
                <w:sz w:val="21"/>
                <w:szCs w:val="21"/>
                <w:bdr w:val="none" w:color="auto" w:sz="0" w:space="0"/>
                <w:lang w:val="en-US" w:eastAsia="zh-CN" w:bidi="ar"/>
              </w:rPr>
              <w:t>月</w:t>
            </w:r>
          </w:p>
        </w:tc>
        <w:tc>
          <w:tcPr>
            <w:tcW w:w="74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12.63</w:t>
            </w:r>
          </w:p>
        </w:tc>
        <w:tc>
          <w:tcPr>
            <w:tcW w:w="74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9.68</w:t>
            </w:r>
          </w:p>
        </w:tc>
        <w:tc>
          <w:tcPr>
            <w:tcW w:w="74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5.11</w:t>
            </w:r>
          </w:p>
        </w:tc>
        <w:tc>
          <w:tcPr>
            <w:tcW w:w="74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6.45</w:t>
            </w:r>
          </w:p>
        </w:tc>
        <w:tc>
          <w:tcPr>
            <w:tcW w:w="74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1.48</w:t>
            </w:r>
          </w:p>
        </w:tc>
        <w:tc>
          <w:tcPr>
            <w:tcW w:w="74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2.15</w:t>
            </w:r>
          </w:p>
        </w:tc>
        <w:tc>
          <w:tcPr>
            <w:tcW w:w="74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11.02</w:t>
            </w:r>
          </w:p>
        </w:tc>
        <w:tc>
          <w:tcPr>
            <w:tcW w:w="74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6.99</w:t>
            </w:r>
          </w:p>
        </w:tc>
        <w:tc>
          <w:tcPr>
            <w:tcW w:w="74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9.68</w:t>
            </w:r>
          </w:p>
        </w:tc>
        <w:tc>
          <w:tcPr>
            <w:tcW w:w="74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7.26</w:t>
            </w:r>
          </w:p>
        </w:tc>
        <w:tc>
          <w:tcPr>
            <w:tcW w:w="74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6.18</w:t>
            </w:r>
          </w:p>
        </w:tc>
        <w:tc>
          <w:tcPr>
            <w:tcW w:w="74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3.23</w:t>
            </w:r>
          </w:p>
        </w:tc>
        <w:tc>
          <w:tcPr>
            <w:tcW w:w="74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5.38</w:t>
            </w:r>
          </w:p>
        </w:tc>
        <w:tc>
          <w:tcPr>
            <w:tcW w:w="74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5.65</w:t>
            </w:r>
          </w:p>
        </w:tc>
        <w:tc>
          <w:tcPr>
            <w:tcW w:w="74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3.36</w:t>
            </w:r>
          </w:p>
        </w:tc>
        <w:tc>
          <w:tcPr>
            <w:tcW w:w="74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2.82</w:t>
            </w:r>
          </w:p>
        </w:tc>
        <w:tc>
          <w:tcPr>
            <w:tcW w:w="748" w:type="dxa"/>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0.94</w:t>
            </w:r>
          </w:p>
        </w:tc>
      </w:tr>
    </w:tbl>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sz w:val="21"/>
          <w:szCs w:val="21"/>
          <w:lang w:val="en-US"/>
        </w:rPr>
      </w:pP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5.2-5  </w:t>
      </w:r>
      <w:r>
        <w:rPr>
          <w:rFonts w:hint="eastAsia" w:ascii="Times New Roman" w:hAnsi="Times New Roman" w:eastAsia="黑体" w:cs="Times New Roman"/>
          <w:color w:val="000000"/>
          <w:kern w:val="0"/>
          <w:sz w:val="24"/>
          <w:szCs w:val="24"/>
          <w:lang w:val="en-US" w:eastAsia="zh-CN" w:bidi="ar"/>
        </w:rPr>
        <w:t>年均风频的季变化及年均风频统计表</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1"/>
          <w:szCs w:val="21"/>
          <w:lang w:val="en-US" w:eastAsia="zh-CN" w:bidi="ar"/>
        </w:rPr>
        <w:t>单位：</w:t>
      </w:r>
      <w:r>
        <w:rPr>
          <w:rFonts w:hint="default" w:ascii="Times New Roman" w:hAnsi="Times New Roman" w:eastAsia="黑体" w:cs="Times New Roman"/>
          <w:color w:val="000000"/>
          <w:kern w:val="0"/>
          <w:sz w:val="21"/>
          <w:szCs w:val="21"/>
          <w:lang w:val="en-US" w:eastAsia="zh-CN" w:bidi="ar"/>
        </w:rPr>
        <w:t>%</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745"/>
        <w:gridCol w:w="746"/>
        <w:gridCol w:w="746"/>
        <w:gridCol w:w="745"/>
        <w:gridCol w:w="747"/>
        <w:gridCol w:w="747"/>
        <w:gridCol w:w="750"/>
        <w:gridCol w:w="747"/>
        <w:gridCol w:w="747"/>
        <w:gridCol w:w="746"/>
        <w:gridCol w:w="747"/>
        <w:gridCol w:w="747"/>
        <w:gridCol w:w="746"/>
        <w:gridCol w:w="747"/>
        <w:gridCol w:w="747"/>
        <w:gridCol w:w="746"/>
        <w:gridCol w:w="747"/>
        <w:gridCol w:w="747"/>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40" w:hRule="atLeast"/>
          <w:jc w:val="center"/>
        </w:trPr>
        <w:tc>
          <w:tcPr>
            <w:tcW w:w="745" w:type="dxa"/>
            <w:tcBorders>
              <w:top w:val="thinThickSmallGap" w:color="auto" w:sz="12" w:space="0"/>
              <w:left w:val="nil"/>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风向</w:t>
            </w:r>
          </w:p>
        </w:tc>
        <w:tc>
          <w:tcPr>
            <w:tcW w:w="746"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w:t>
            </w:r>
          </w:p>
        </w:tc>
        <w:tc>
          <w:tcPr>
            <w:tcW w:w="746"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NNE</w:t>
            </w:r>
          </w:p>
        </w:tc>
        <w:tc>
          <w:tcPr>
            <w:tcW w:w="745"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NE</w:t>
            </w:r>
          </w:p>
        </w:tc>
        <w:tc>
          <w:tcPr>
            <w:tcW w:w="747"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ENE</w:t>
            </w:r>
          </w:p>
        </w:tc>
        <w:tc>
          <w:tcPr>
            <w:tcW w:w="747"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E</w:t>
            </w:r>
          </w:p>
        </w:tc>
        <w:tc>
          <w:tcPr>
            <w:tcW w:w="750"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ESE</w:t>
            </w:r>
          </w:p>
        </w:tc>
        <w:tc>
          <w:tcPr>
            <w:tcW w:w="747"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SE</w:t>
            </w:r>
          </w:p>
        </w:tc>
        <w:tc>
          <w:tcPr>
            <w:tcW w:w="747"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SSE</w:t>
            </w:r>
          </w:p>
        </w:tc>
        <w:tc>
          <w:tcPr>
            <w:tcW w:w="746"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w:t>
            </w:r>
          </w:p>
        </w:tc>
        <w:tc>
          <w:tcPr>
            <w:tcW w:w="747"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SSW</w:t>
            </w:r>
          </w:p>
        </w:tc>
        <w:tc>
          <w:tcPr>
            <w:tcW w:w="747"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SW</w:t>
            </w:r>
          </w:p>
        </w:tc>
        <w:tc>
          <w:tcPr>
            <w:tcW w:w="746"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WSW</w:t>
            </w:r>
          </w:p>
        </w:tc>
        <w:tc>
          <w:tcPr>
            <w:tcW w:w="747"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w:t>
            </w:r>
          </w:p>
        </w:tc>
        <w:tc>
          <w:tcPr>
            <w:tcW w:w="747"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WNW</w:t>
            </w:r>
          </w:p>
        </w:tc>
        <w:tc>
          <w:tcPr>
            <w:tcW w:w="746"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pacing w:val="-20"/>
                <w:sz w:val="21"/>
                <w:szCs w:val="21"/>
                <w:bdr w:val="none" w:color="auto" w:sz="0" w:space="0"/>
                <w:lang w:val="en-US"/>
              </w:rPr>
            </w:pPr>
            <w:r>
              <w:rPr>
                <w:rFonts w:hint="default" w:ascii="Times New Roman" w:hAnsi="Times New Roman" w:eastAsia="宋体" w:cs="Times New Roman"/>
                <w:color w:val="000000"/>
                <w:spacing w:val="-20"/>
                <w:kern w:val="0"/>
                <w:sz w:val="21"/>
                <w:szCs w:val="21"/>
                <w:bdr w:val="none" w:color="auto" w:sz="0" w:space="0"/>
                <w:lang w:val="en-US" w:eastAsia="zh-CN" w:bidi="ar"/>
              </w:rPr>
              <w:t>NW</w:t>
            </w:r>
          </w:p>
        </w:tc>
        <w:tc>
          <w:tcPr>
            <w:tcW w:w="747"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pacing w:val="-20"/>
                <w:sz w:val="21"/>
                <w:szCs w:val="21"/>
                <w:bdr w:val="none" w:color="auto" w:sz="0" w:space="0"/>
                <w:lang w:val="en-US"/>
              </w:rPr>
            </w:pPr>
            <w:r>
              <w:rPr>
                <w:rFonts w:hint="default" w:ascii="Times New Roman" w:hAnsi="Times New Roman" w:eastAsia="宋体" w:cs="Times New Roman"/>
                <w:color w:val="000000"/>
                <w:spacing w:val="-20"/>
                <w:kern w:val="0"/>
                <w:sz w:val="21"/>
                <w:szCs w:val="21"/>
                <w:bdr w:val="none" w:color="auto" w:sz="0" w:space="0"/>
                <w:lang w:val="en-US" w:eastAsia="zh-CN" w:bidi="ar"/>
              </w:rPr>
              <w:t>NNW</w:t>
            </w:r>
          </w:p>
        </w:tc>
        <w:tc>
          <w:tcPr>
            <w:tcW w:w="747" w:type="dxa"/>
            <w:tcBorders>
              <w:top w:val="thinThickSmallGap" w:color="auto" w:sz="12" w:space="0"/>
              <w:left w:val="single" w:color="auto" w:sz="4" w:space="0"/>
              <w:bottom w:val="single" w:color="auto" w:sz="4" w:space="0"/>
              <w:right w:val="nil"/>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C</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春季</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7.88</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10.1</w:t>
            </w:r>
          </w:p>
        </w:tc>
        <w:tc>
          <w:tcPr>
            <w:tcW w:w="74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6.88</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4.39</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3.03</w:t>
            </w:r>
          </w:p>
        </w:tc>
        <w:tc>
          <w:tcPr>
            <w:tcW w:w="750"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2.45</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5.25</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8.7</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15.31</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8.79</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7.29</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5.75</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4.8</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3.17</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2.17</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2.4</w:t>
            </w:r>
          </w:p>
        </w:tc>
        <w:tc>
          <w:tcPr>
            <w:tcW w:w="74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1.63</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夏季</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4.62</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6.07</w:t>
            </w:r>
          </w:p>
        </w:tc>
        <w:tc>
          <w:tcPr>
            <w:tcW w:w="74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4.8</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4.57</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4.03</w:t>
            </w:r>
          </w:p>
        </w:tc>
        <w:tc>
          <w:tcPr>
            <w:tcW w:w="750"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2.58</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7.65</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14.09</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17.53</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8.74</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7.16</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4.94</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7.43</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2.9</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1.18</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1.04</w:t>
            </w:r>
          </w:p>
        </w:tc>
        <w:tc>
          <w:tcPr>
            <w:tcW w:w="74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0.68</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秋季</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6.18</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7.33</w:t>
            </w:r>
          </w:p>
        </w:tc>
        <w:tc>
          <w:tcPr>
            <w:tcW w:w="74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5.22</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4.81</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3.02</w:t>
            </w:r>
          </w:p>
        </w:tc>
        <w:tc>
          <w:tcPr>
            <w:tcW w:w="750"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4.58</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13.42</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9.62</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12.09</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5.27</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5.68</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3.89</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7.74</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4.99</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2.79</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2.15</w:t>
            </w:r>
          </w:p>
        </w:tc>
        <w:tc>
          <w:tcPr>
            <w:tcW w:w="74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1.24</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冬季</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10.74</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10.32</w:t>
            </w:r>
          </w:p>
        </w:tc>
        <w:tc>
          <w:tcPr>
            <w:tcW w:w="74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7.18</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7.5</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4.49</w:t>
            </w:r>
          </w:p>
        </w:tc>
        <w:tc>
          <w:tcPr>
            <w:tcW w:w="750"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2.31</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7.55</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5.28</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8.8</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5.6</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4.86</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3.1</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6.3</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5.32</w:t>
            </w:r>
          </w:p>
        </w:tc>
        <w:tc>
          <w:tcPr>
            <w:tcW w:w="74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4.68</w:t>
            </w:r>
          </w:p>
        </w:tc>
        <w:tc>
          <w:tcPr>
            <w:tcW w:w="74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3.94</w:t>
            </w:r>
          </w:p>
        </w:tc>
        <w:tc>
          <w:tcPr>
            <w:tcW w:w="74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2.04</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年均</w:t>
            </w:r>
          </w:p>
        </w:tc>
        <w:tc>
          <w:tcPr>
            <w:tcW w:w="746"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7.34</w:t>
            </w:r>
          </w:p>
        </w:tc>
        <w:tc>
          <w:tcPr>
            <w:tcW w:w="746"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8.45</w:t>
            </w:r>
          </w:p>
        </w:tc>
        <w:tc>
          <w:tcPr>
            <w:tcW w:w="745"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6.02</w:t>
            </w:r>
          </w:p>
        </w:tc>
        <w:tc>
          <w:tcPr>
            <w:tcW w:w="74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5.31</w:t>
            </w:r>
          </w:p>
        </w:tc>
        <w:tc>
          <w:tcPr>
            <w:tcW w:w="74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3.64</w:t>
            </w:r>
          </w:p>
        </w:tc>
        <w:tc>
          <w:tcPr>
            <w:tcW w:w="750"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2.98</w:t>
            </w:r>
          </w:p>
        </w:tc>
        <w:tc>
          <w:tcPr>
            <w:tcW w:w="74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8.46</w:t>
            </w:r>
          </w:p>
        </w:tc>
        <w:tc>
          <w:tcPr>
            <w:tcW w:w="74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9.44</w:t>
            </w:r>
          </w:p>
        </w:tc>
        <w:tc>
          <w:tcPr>
            <w:tcW w:w="746"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13.46</w:t>
            </w:r>
          </w:p>
        </w:tc>
        <w:tc>
          <w:tcPr>
            <w:tcW w:w="74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7.11</w:t>
            </w:r>
          </w:p>
        </w:tc>
        <w:tc>
          <w:tcPr>
            <w:tcW w:w="74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6.26</w:t>
            </w:r>
          </w:p>
        </w:tc>
        <w:tc>
          <w:tcPr>
            <w:tcW w:w="746"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4.43</w:t>
            </w:r>
          </w:p>
        </w:tc>
        <w:tc>
          <w:tcPr>
            <w:tcW w:w="74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6.56</w:t>
            </w:r>
          </w:p>
        </w:tc>
        <w:tc>
          <w:tcPr>
            <w:tcW w:w="74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4.09</w:t>
            </w:r>
          </w:p>
        </w:tc>
        <w:tc>
          <w:tcPr>
            <w:tcW w:w="746"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2.69</w:t>
            </w:r>
          </w:p>
        </w:tc>
        <w:tc>
          <w:tcPr>
            <w:tcW w:w="747"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2.37</w:t>
            </w:r>
          </w:p>
        </w:tc>
        <w:tc>
          <w:tcPr>
            <w:tcW w:w="747" w:type="dxa"/>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1.39</w:t>
            </w:r>
          </w:p>
        </w:tc>
      </w:tr>
    </w:tbl>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color w:val="000000"/>
          <w:lang w:val="en-US"/>
        </w:rPr>
      </w:pPr>
    </w:p>
    <w:p>
      <w:pPr>
        <w:rPr>
          <w:rFonts w:hint="default" w:ascii="Times New Roman" w:hAnsi="Times New Roman" w:eastAsia="宋体" w:cs="Times New Roman"/>
          <w:color w:val="000000"/>
          <w:sz w:val="24"/>
          <w:szCs w:val="24"/>
          <w:lang w:val="en-US" w:eastAsia="zh-CN" w:bidi="ar"/>
        </w:rPr>
        <w:sectPr>
          <w:pgSz w:w="16840" w:h="11915" w:orient="landscape"/>
          <w:pgMar w:top="1702" w:right="1702" w:bottom="1702" w:left="1702" w:header="851" w:footer="1077" w:gutter="0"/>
          <w:paperSrc/>
          <w:cols w:space="425" w:num="1"/>
          <w:docGrid w:type="lines" w:linePitch="479" w:charSpace="0"/>
        </w:sectPr>
      </w:pP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drawing>
          <wp:inline distT="0" distB="0" distL="114300" distR="114300">
            <wp:extent cx="5476875" cy="6848475"/>
            <wp:effectExtent l="0" t="0" r="0" b="0"/>
            <wp:docPr id="65" name="图片 28"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8" descr="风玫瑰"/>
                    <pic:cNvPicPr>
                      <a:picLocks noChangeAspect="1"/>
                    </pic:cNvPicPr>
                  </pic:nvPicPr>
                  <pic:blipFill>
                    <a:blip r:embed="rId58"/>
                    <a:srcRect l="15752" t="2545" r="25076" b="5669"/>
                    <a:stretch>
                      <a:fillRect/>
                    </a:stretch>
                  </pic:blipFill>
                  <pic:spPr>
                    <a:xfrm>
                      <a:off x="0" y="0"/>
                      <a:ext cx="5476875" cy="6848475"/>
                    </a:xfrm>
                    <a:prstGeom prst="rect">
                      <a:avLst/>
                    </a:prstGeom>
                    <a:noFill/>
                    <a:ln>
                      <a:noFill/>
                    </a:ln>
                  </pic:spPr>
                </pic:pic>
              </a:graphicData>
            </a:graphic>
          </wp:inline>
        </w:drawing>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5-4  </w:t>
      </w:r>
      <w:r>
        <w:rPr>
          <w:rFonts w:hint="eastAsia" w:ascii="Times New Roman" w:hAnsi="Times New Roman" w:eastAsia="黑体" w:cs="Times New Roman"/>
          <w:color w:val="000000"/>
          <w:kern w:val="0"/>
          <w:sz w:val="24"/>
          <w:szCs w:val="24"/>
          <w:lang w:val="en-US" w:eastAsia="zh-CN" w:bidi="ar"/>
        </w:rPr>
        <w:t>各月、各季及全年风向频率玫瑰图</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5.2.5</w:t>
      </w:r>
      <w:r>
        <w:rPr>
          <w:rFonts w:hint="default" w:ascii="Times New Roman" w:hAnsi="Times New Roman" w:cs="Times New Roman"/>
          <w:color w:val="000000"/>
          <w:lang/>
        </w:rPr>
        <w:t xml:space="preserve"> </w:t>
      </w:r>
      <w:r>
        <w:rPr>
          <w:rFonts w:ascii="Times New Roman" w:hAnsi="Times New Roman" w:cs="Times New Roman"/>
          <w:color w:val="000000"/>
          <w:lang w:eastAsia="zh-CN"/>
        </w:rPr>
        <w:t>地形数据参数</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本次评价地形数据来源于全球</w:t>
      </w:r>
      <w:r>
        <w:rPr>
          <w:rFonts w:hint="default" w:ascii="Times New Roman" w:hAnsi="Times New Roman" w:eastAsia="宋体" w:cs="Times New Roman"/>
          <w:color w:val="000000"/>
          <w:kern w:val="0"/>
          <w:sz w:val="24"/>
          <w:szCs w:val="24"/>
          <w:lang w:val="en-US" w:eastAsia="zh-CN" w:bidi="ar"/>
        </w:rPr>
        <w:t>SRTM3</w:t>
      </w:r>
      <w:r>
        <w:rPr>
          <w:rFonts w:hint="eastAsia" w:ascii="Times New Roman" w:hAnsi="Times New Roman" w:eastAsia="宋体" w:cs="Times New Roman"/>
          <w:color w:val="000000"/>
          <w:kern w:val="0"/>
          <w:sz w:val="24"/>
          <w:szCs w:val="24"/>
          <w:lang w:val="en-US" w:eastAsia="zh-CN" w:bidi="ar"/>
        </w:rPr>
        <w:t>数据，地形数据精度为</w:t>
      </w:r>
      <w:r>
        <w:rPr>
          <w:rFonts w:hint="default" w:ascii="Times New Roman" w:hAnsi="Times New Roman" w:eastAsia="宋体" w:cs="Times New Roman"/>
          <w:color w:val="000000"/>
          <w:kern w:val="0"/>
          <w:sz w:val="24"/>
          <w:szCs w:val="24"/>
          <w:lang w:val="en-US" w:eastAsia="zh-CN" w:bidi="ar"/>
        </w:rPr>
        <w:t>90m</w:t>
      </w:r>
      <w:r>
        <w:rPr>
          <w:rFonts w:hint="eastAsia" w:ascii="Times New Roman" w:hAnsi="Times New Roman" w:eastAsia="宋体" w:cs="Times New Roman"/>
          <w:color w:val="000000"/>
          <w:kern w:val="0"/>
          <w:sz w:val="24"/>
          <w:szCs w:val="24"/>
          <w:lang w:val="en-US" w:eastAsia="zh-CN" w:bidi="ar"/>
        </w:rPr>
        <w:t>。每个文件是</w:t>
      </w:r>
      <w:r>
        <w:rPr>
          <w:rFonts w:hint="default" w:ascii="Times New Roman" w:hAnsi="Times New Roman" w:eastAsia="宋体" w:cs="Times New Roman"/>
          <w:color w:val="000000"/>
          <w:kern w:val="0"/>
          <w:sz w:val="24"/>
          <w:szCs w:val="24"/>
          <w:lang w:val="en-US" w:eastAsia="zh-CN" w:bidi="ar"/>
        </w:rPr>
        <w:t>1°×1°</w:t>
      </w:r>
      <w:r>
        <w:rPr>
          <w:rFonts w:hint="eastAsia" w:ascii="Times New Roman" w:hAnsi="Times New Roman" w:eastAsia="宋体" w:cs="Times New Roman"/>
          <w:color w:val="000000"/>
          <w:kern w:val="0"/>
          <w:sz w:val="24"/>
          <w:szCs w:val="24"/>
          <w:lang w:val="en-US" w:eastAsia="zh-CN" w:bidi="ar"/>
        </w:rPr>
        <w:t>格点内的数据，满足本次环境空气预测评价要求。</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SRTM</w:t>
      </w:r>
      <w:r>
        <w:rPr>
          <w:rFonts w:hint="eastAsia" w:ascii="Times New Roman" w:hAnsi="Times New Roman" w:eastAsia="宋体" w:cs="Times New Roman"/>
          <w:color w:val="000000"/>
          <w:kern w:val="0"/>
          <w:sz w:val="24"/>
          <w:szCs w:val="24"/>
          <w:lang w:val="en-US" w:eastAsia="zh-CN" w:bidi="ar"/>
        </w:rPr>
        <w:t>数据主要由美国太空总署</w:t>
      </w:r>
      <w:r>
        <w:rPr>
          <w:rFonts w:hint="default" w:ascii="Times New Roman" w:hAnsi="Times New Roman" w:eastAsia="宋体" w:cs="Times New Roman"/>
          <w:color w:val="000000"/>
          <w:kern w:val="0"/>
          <w:sz w:val="24"/>
          <w:szCs w:val="24"/>
          <w:lang w:val="en-US" w:eastAsia="zh-CN" w:bidi="ar"/>
        </w:rPr>
        <w:t>(NASA)</w:t>
      </w:r>
      <w:r>
        <w:rPr>
          <w:rFonts w:hint="eastAsia" w:ascii="Times New Roman" w:hAnsi="Times New Roman" w:eastAsia="宋体" w:cs="Times New Roman"/>
          <w:color w:val="000000"/>
          <w:kern w:val="0"/>
          <w:sz w:val="24"/>
          <w:szCs w:val="24"/>
          <w:lang w:val="en-US" w:eastAsia="zh-CN" w:bidi="ar"/>
        </w:rPr>
        <w:t>和国防部国家测绘局</w:t>
      </w:r>
      <w:r>
        <w:rPr>
          <w:rFonts w:hint="default" w:ascii="Times New Roman" w:hAnsi="Times New Roman" w:eastAsia="宋体" w:cs="Times New Roman"/>
          <w:color w:val="000000"/>
          <w:kern w:val="0"/>
          <w:sz w:val="24"/>
          <w:szCs w:val="24"/>
          <w:lang w:val="en-US" w:eastAsia="zh-CN" w:bidi="ar"/>
        </w:rPr>
        <w:t>(NIMA)</w:t>
      </w:r>
      <w:r>
        <w:rPr>
          <w:rFonts w:hint="eastAsia" w:ascii="Times New Roman" w:hAnsi="Times New Roman" w:eastAsia="宋体" w:cs="Times New Roman"/>
          <w:color w:val="000000"/>
          <w:kern w:val="0"/>
          <w:sz w:val="24"/>
          <w:szCs w:val="24"/>
          <w:lang w:val="en-US" w:eastAsia="zh-CN" w:bidi="ar"/>
        </w:rPr>
        <w:t>联合测量，</w:t>
      </w:r>
      <w:r>
        <w:rPr>
          <w:rFonts w:hint="default" w:ascii="Times New Roman" w:hAnsi="Times New Roman" w:eastAsia="宋体" w:cs="Times New Roman"/>
          <w:color w:val="000000"/>
          <w:kern w:val="0"/>
          <w:sz w:val="24"/>
          <w:szCs w:val="24"/>
          <w:lang w:val="en-US" w:eastAsia="zh-CN" w:bidi="ar"/>
        </w:rPr>
        <w:t>SRTM</w:t>
      </w:r>
      <w:r>
        <w:rPr>
          <w:rFonts w:hint="eastAsia" w:ascii="Times New Roman" w:hAnsi="Times New Roman" w:eastAsia="宋体" w:cs="Times New Roman"/>
          <w:color w:val="000000"/>
          <w:kern w:val="0"/>
          <w:sz w:val="24"/>
          <w:szCs w:val="24"/>
          <w:lang w:val="en-US" w:eastAsia="zh-CN" w:bidi="ar"/>
        </w:rPr>
        <w:t>为航天飞机雷达地形测绘的雷达影像数据，覆盖全球陆地表面的</w:t>
      </w:r>
      <w:r>
        <w:rPr>
          <w:rFonts w:hint="default" w:ascii="Times New Roman" w:hAnsi="Times New Roman" w:eastAsia="宋体" w:cs="Times New Roman"/>
          <w:color w:val="000000"/>
          <w:kern w:val="0"/>
          <w:sz w:val="24"/>
          <w:szCs w:val="24"/>
          <w:lang w:val="en-US" w:eastAsia="zh-CN" w:bidi="ar"/>
        </w:rPr>
        <w:t>80%</w:t>
      </w:r>
      <w:r>
        <w:rPr>
          <w:rFonts w:hint="eastAsia" w:ascii="Times New Roman" w:hAnsi="Times New Roman" w:eastAsia="宋体" w:cs="Times New Roman"/>
          <w:color w:val="000000"/>
          <w:kern w:val="0"/>
          <w:sz w:val="24"/>
          <w:szCs w:val="24"/>
          <w:lang w:val="en-US" w:eastAsia="zh-CN" w:bidi="ar"/>
        </w:rPr>
        <w:t>以上，获取的雷达影像数据经过处理后，制成了数字地形高程模型，该测量数据覆盖了中国全境。</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5.2.6</w:t>
      </w:r>
      <w:r>
        <w:rPr>
          <w:rFonts w:hint="default" w:ascii="Times New Roman" w:hAnsi="Times New Roman" w:cs="Times New Roman"/>
          <w:color w:val="000000"/>
          <w:lang/>
        </w:rPr>
        <w:t xml:space="preserve"> </w:t>
      </w:r>
      <w:r>
        <w:rPr>
          <w:rFonts w:ascii="Times New Roman" w:hAnsi="Times New Roman" w:cs="Times New Roman"/>
          <w:color w:val="000000"/>
          <w:lang w:eastAsia="zh-CN"/>
        </w:rPr>
        <w:t>预测范围</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根据前文评价等级及评价范围确定，本次评价的大气环境评价范围确定为以场址为中心，边长</w:t>
      </w:r>
      <w:r>
        <w:rPr>
          <w:rFonts w:hint="default" w:ascii="Times New Roman" w:hAnsi="Times New Roman" w:eastAsia="宋体" w:cs="Times New Roman"/>
          <w:color w:val="000000"/>
          <w:kern w:val="0"/>
          <w:sz w:val="24"/>
          <w:szCs w:val="24"/>
          <w:lang w:val="en-US" w:eastAsia="zh-CN" w:bidi="ar"/>
        </w:rPr>
        <w:t>5km</w:t>
      </w:r>
      <w:r>
        <w:rPr>
          <w:rFonts w:hint="eastAsia" w:ascii="Times New Roman" w:hAnsi="Times New Roman" w:eastAsia="宋体" w:cs="Times New Roman"/>
          <w:color w:val="000000"/>
          <w:kern w:val="0"/>
          <w:sz w:val="24"/>
          <w:szCs w:val="24"/>
          <w:lang w:val="en-US" w:eastAsia="zh-CN" w:bidi="ar"/>
        </w:rPr>
        <w:t>的矩形区域。根据大气导则要求，预测范围的确定原则为：覆盖评价范围，并覆盖各污染物短期浓度贡献值占标率大于</w:t>
      </w:r>
      <w:r>
        <w:rPr>
          <w:rFonts w:hint="default" w:ascii="Times New Roman" w:hAnsi="Times New Roman" w:eastAsia="宋体" w:cs="Times New Roman"/>
          <w:color w:val="000000"/>
          <w:kern w:val="0"/>
          <w:sz w:val="24"/>
          <w:szCs w:val="24"/>
          <w:lang w:val="en-US" w:eastAsia="zh-CN" w:bidi="ar"/>
        </w:rPr>
        <w:t>10%</w:t>
      </w:r>
      <w:r>
        <w:rPr>
          <w:rFonts w:hint="eastAsia" w:ascii="Times New Roman" w:hAnsi="Times New Roman" w:eastAsia="宋体" w:cs="Times New Roman"/>
          <w:color w:val="000000"/>
          <w:kern w:val="0"/>
          <w:sz w:val="24"/>
          <w:szCs w:val="24"/>
          <w:lang w:val="en-US" w:eastAsia="zh-CN" w:bidi="ar"/>
        </w:rPr>
        <w:t>的区域；需预测二次污染物的项目，预测范围应覆盖</w:t>
      </w:r>
      <w:r>
        <w:rPr>
          <w:rFonts w:hint="default" w:ascii="Times New Roman" w:hAnsi="Times New Roman" w:eastAsia="宋体" w:cs="Times New Roman"/>
          <w:color w:val="000000"/>
          <w:kern w:val="0"/>
          <w:sz w:val="24"/>
          <w:szCs w:val="24"/>
          <w:lang w:val="en-US" w:eastAsia="zh-CN" w:bidi="ar"/>
        </w:rPr>
        <w:t>PM</w:t>
      </w:r>
      <w:r>
        <w:rPr>
          <w:rFonts w:hint="default" w:ascii="Times New Roman" w:hAnsi="Times New Roman" w:eastAsia="宋体" w:cs="Times New Roman"/>
          <w:color w:val="000000"/>
          <w:kern w:val="0"/>
          <w:sz w:val="24"/>
          <w:szCs w:val="24"/>
          <w:vertAlign w:val="subscript"/>
          <w:lang w:val="en-US" w:eastAsia="zh-CN" w:bidi="ar"/>
        </w:rPr>
        <w:t>2.5</w:t>
      </w:r>
      <w:r>
        <w:rPr>
          <w:rFonts w:hint="eastAsia" w:ascii="Times New Roman" w:hAnsi="Times New Roman" w:eastAsia="宋体" w:cs="Times New Roman"/>
          <w:color w:val="000000"/>
          <w:kern w:val="0"/>
          <w:sz w:val="24"/>
          <w:szCs w:val="24"/>
          <w:lang w:val="en-US" w:eastAsia="zh-CN" w:bidi="ar"/>
        </w:rPr>
        <w:t>年平均质量浓度贡献值占标率大于</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的区域；对于评价范围内包含环境空气功能区一类区的，预测范围应覆盖项目对一类区的最大环境影响。</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本项目不排放</w:t>
      </w:r>
      <w:r>
        <w:rPr>
          <w:rFonts w:hint="default" w:ascii="Times New Roman" w:hAnsi="Times New Roman" w:eastAsia="宋体" w:cs="Times New Roman"/>
          <w:color w:val="000000"/>
          <w:kern w:val="0"/>
          <w:sz w:val="24"/>
          <w:szCs w:val="24"/>
          <w:lang w:val="en-US" w:eastAsia="zh-CN" w:bidi="ar"/>
        </w:rPr>
        <w:t>SO</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Times New Roman" w:hAnsi="Times New Roman" w:eastAsia="宋体" w:cs="Times New Roman"/>
          <w:color w:val="000000"/>
          <w:kern w:val="0"/>
          <w:sz w:val="24"/>
          <w:szCs w:val="24"/>
          <w:lang w:val="en-US" w:eastAsia="zh-CN" w:bidi="ar"/>
        </w:rPr>
        <w:t>和</w:t>
      </w:r>
      <w:r>
        <w:rPr>
          <w:rFonts w:hint="default" w:ascii="Times New Roman" w:hAnsi="Times New Roman" w:eastAsia="宋体" w:cs="Times New Roman"/>
          <w:color w:val="000000"/>
          <w:kern w:val="0"/>
          <w:sz w:val="24"/>
          <w:szCs w:val="24"/>
          <w:lang w:val="en-US" w:eastAsia="zh-CN" w:bidi="ar"/>
        </w:rPr>
        <w:t>NO</w:t>
      </w:r>
      <w:r>
        <w:rPr>
          <w:rFonts w:hint="default" w:ascii="Times New Roman" w:hAnsi="Times New Roman" w:eastAsia="宋体" w:cs="Times New Roman"/>
          <w:color w:val="000000"/>
          <w:kern w:val="0"/>
          <w:sz w:val="24"/>
          <w:szCs w:val="24"/>
          <w:vertAlign w:val="subscript"/>
          <w:lang w:val="en-US" w:eastAsia="zh-CN" w:bidi="ar"/>
        </w:rPr>
        <w:t>x</w:t>
      </w:r>
      <w:r>
        <w:rPr>
          <w:rFonts w:hint="eastAsia" w:ascii="Times New Roman" w:hAnsi="Times New Roman" w:eastAsia="宋体" w:cs="Times New Roman"/>
          <w:color w:val="000000"/>
          <w:kern w:val="0"/>
          <w:sz w:val="24"/>
          <w:szCs w:val="24"/>
          <w:lang w:val="en-US" w:eastAsia="zh-CN" w:bidi="ar"/>
        </w:rPr>
        <w:t>，不需进行二次污染物预测，根据预测范围确定原则，本次评价大气环境影响预测范围确定为与大气环境评价范围一致，即场址中心点坐标定义为（</w:t>
      </w:r>
      <w:r>
        <w:rPr>
          <w:rFonts w:hint="default" w:ascii="Times New Roman" w:hAnsi="Times New Roman" w:eastAsia="宋体" w:cs="Times New Roman"/>
          <w:color w:val="000000"/>
          <w:kern w:val="0"/>
          <w:sz w:val="24"/>
          <w:szCs w:val="24"/>
          <w:lang w:val="en-US" w:eastAsia="zh-CN" w:bidi="ar"/>
        </w:rPr>
        <w:t>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0</w:t>
      </w:r>
      <w:r>
        <w:rPr>
          <w:rFonts w:hint="eastAsia" w:ascii="Times New Roman" w:hAnsi="Times New Roman" w:eastAsia="宋体" w:cs="Times New Roman"/>
          <w:color w:val="000000"/>
          <w:kern w:val="0"/>
          <w:sz w:val="24"/>
          <w:szCs w:val="24"/>
          <w:lang w:val="en-US" w:eastAsia="zh-CN" w:bidi="ar"/>
        </w:rPr>
        <w:t>），右上角坐标为（</w:t>
      </w:r>
      <w:r>
        <w:rPr>
          <w:rFonts w:hint="default" w:ascii="Times New Roman" w:hAnsi="Times New Roman" w:eastAsia="宋体" w:cs="Times New Roman"/>
          <w:color w:val="000000"/>
          <w:kern w:val="0"/>
          <w:sz w:val="24"/>
          <w:szCs w:val="24"/>
          <w:lang w:val="en-US" w:eastAsia="zh-CN" w:bidi="ar"/>
        </w:rPr>
        <w:t>2500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2500</w:t>
      </w:r>
      <w:r>
        <w:rPr>
          <w:rFonts w:hint="eastAsia" w:ascii="Times New Roman" w:hAnsi="Times New Roman" w:eastAsia="宋体" w:cs="Times New Roman"/>
          <w:color w:val="000000"/>
          <w:kern w:val="0"/>
          <w:sz w:val="24"/>
          <w:szCs w:val="24"/>
          <w:lang w:val="en-US" w:eastAsia="zh-CN" w:bidi="ar"/>
        </w:rPr>
        <w:t>）。</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5.2.7</w:t>
      </w:r>
      <w:r>
        <w:rPr>
          <w:rFonts w:hint="default" w:ascii="Times New Roman" w:hAnsi="Times New Roman" w:cs="Times New Roman"/>
          <w:color w:val="000000"/>
          <w:lang/>
        </w:rPr>
        <w:t xml:space="preserve"> </w:t>
      </w:r>
      <w:r>
        <w:rPr>
          <w:rFonts w:ascii="Times New Roman" w:hAnsi="Times New Roman" w:cs="Times New Roman"/>
          <w:color w:val="000000"/>
          <w:lang w:eastAsia="zh-CN"/>
        </w:rPr>
        <w:t>预测实施参数</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）网格设置</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本评价</w:t>
      </w:r>
      <w:r>
        <w:rPr>
          <w:rFonts w:hint="default" w:ascii="Times New Roman" w:hAnsi="Times New Roman" w:eastAsia="宋体" w:cs="Times New Roman"/>
          <w:color w:val="000000"/>
          <w:kern w:val="0"/>
          <w:sz w:val="24"/>
          <w:szCs w:val="24"/>
          <w:lang w:val="en-US" w:eastAsia="zh-CN" w:bidi="ar"/>
        </w:rPr>
        <w:t>AERMOD</w:t>
      </w:r>
      <w:r>
        <w:rPr>
          <w:rFonts w:hint="eastAsia" w:ascii="Times New Roman" w:hAnsi="Times New Roman" w:eastAsia="宋体" w:cs="Times New Roman"/>
          <w:color w:val="000000"/>
          <w:kern w:val="0"/>
          <w:sz w:val="24"/>
          <w:szCs w:val="24"/>
          <w:lang w:val="en-US" w:eastAsia="zh-CN" w:bidi="ar"/>
        </w:rPr>
        <w:t>计算模型以本项目场址中心点为坐标原点，预测网格点设置方法见表</w:t>
      </w:r>
      <w:r>
        <w:rPr>
          <w:rFonts w:hint="default" w:ascii="Times New Roman" w:hAnsi="Times New Roman" w:eastAsia="宋体" w:cs="Times New Roman"/>
          <w:color w:val="000000"/>
          <w:kern w:val="0"/>
          <w:sz w:val="24"/>
          <w:szCs w:val="24"/>
          <w:lang w:val="en-US" w:eastAsia="zh-CN" w:bidi="ar"/>
        </w:rPr>
        <w:t>5.2-6</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5.2-6  </w:t>
      </w:r>
      <w:r>
        <w:rPr>
          <w:rFonts w:hint="eastAsia" w:ascii="Times New Roman" w:hAnsi="Times New Roman" w:eastAsia="黑体" w:cs="Times New Roman"/>
          <w:color w:val="000000"/>
          <w:kern w:val="0"/>
          <w:sz w:val="24"/>
          <w:szCs w:val="24"/>
          <w:lang w:val="en-US" w:eastAsia="zh-CN" w:bidi="ar"/>
        </w:rPr>
        <w:t>预测网格点设置方法</w:t>
      </w:r>
    </w:p>
    <w:tbl>
      <w:tblPr>
        <w:tblStyle w:val="32"/>
        <w:tblW w:w="0" w:type="auto"/>
        <w:tblInd w:w="0" w:type="dxa"/>
        <w:tblBorders>
          <w:top w:val="thinThickSmallGap" w:color="000000" w:sz="12" w:space="0"/>
          <w:left w:val="none" w:color="auto" w:sz="6" w:space="0"/>
          <w:bottom w:val="thickThinSmallGap" w:color="000000" w:sz="12" w:space="0"/>
          <w:right w:val="none" w:color="auto" w:sz="6" w:space="0"/>
          <w:insideH w:val="single" w:color="000000" w:sz="2" w:space="0"/>
          <w:insideV w:val="single" w:color="000000" w:sz="2" w:space="0"/>
        </w:tblBorders>
        <w:shd w:val="clear"/>
        <w:tblLayout w:type="fixed"/>
        <w:tblCellMar>
          <w:top w:w="0" w:type="dxa"/>
          <w:left w:w="108" w:type="dxa"/>
          <w:bottom w:w="0" w:type="dxa"/>
          <w:right w:w="108" w:type="dxa"/>
        </w:tblCellMar>
      </w:tblPr>
      <w:tblGrid>
        <w:gridCol w:w="3598"/>
        <w:gridCol w:w="5123"/>
      </w:tblGrid>
      <w:tr>
        <w:tblPrEx>
          <w:tblBorders>
            <w:top w:val="thinThickSmallGap" w:color="000000" w:sz="12" w:space="0"/>
            <w:left w:val="none" w:color="auto" w:sz="6" w:space="0"/>
            <w:bottom w:val="thickThinSmallGap" w:color="000000" w:sz="12" w:space="0"/>
            <w:right w:val="none" w:color="auto" w:sz="6" w:space="0"/>
            <w:insideH w:val="single" w:color="000000" w:sz="2" w:space="0"/>
            <w:insideV w:val="single" w:color="000000" w:sz="2" w:space="0"/>
          </w:tblBorders>
          <w:shd w:val="clear"/>
          <w:tblCellMar>
            <w:top w:w="0" w:type="dxa"/>
            <w:left w:w="108" w:type="dxa"/>
            <w:bottom w:w="0" w:type="dxa"/>
            <w:right w:w="108" w:type="dxa"/>
          </w:tblCellMar>
        </w:tblPrEx>
        <w:trPr>
          <w:trHeight w:val="397" w:hRule="atLeast"/>
        </w:trPr>
        <w:tc>
          <w:tcPr>
            <w:tcW w:w="3598" w:type="dxa"/>
            <w:tcBorders>
              <w:top w:val="thinThickSmallGap" w:color="000000" w:sz="12" w:space="0"/>
              <w:left w:val="nil"/>
              <w:bottom w:val="single" w:color="000000" w:sz="2" w:space="0"/>
              <w:right w:val="single" w:color="000000" w:sz="2" w:space="0"/>
            </w:tcBorders>
            <w:shd w:val="clear" w:color="auto" w:fill="E0E0E0"/>
            <w:vAlign w:val="center"/>
          </w:tcPr>
          <w:p>
            <w:pPr>
              <w:pStyle w:val="138"/>
              <w:widowControl/>
              <w:spacing w:before="0" w:beforeAutospacing="0" w:after="0" w:afterAutospacing="0"/>
              <w:ind w:left="0" w:right="0"/>
              <w:rPr>
                <w:rFonts w:hint="default" w:ascii="Times New Roman" w:hAnsi="Times New Roman" w:cs="Times New Roman"/>
                <w:bdr w:val="none" w:color="auto" w:sz="0" w:space="0"/>
                <w:lang/>
              </w:rPr>
            </w:pPr>
            <w:r>
              <w:rPr>
                <w:rFonts w:ascii="Times New Roman" w:hAnsi="Times New Roman" w:cs="Times New Roman"/>
                <w:bdr w:val="none" w:color="auto" w:sz="0" w:space="0"/>
                <w:lang/>
              </w:rPr>
              <w:t>预测网格设置方法</w:t>
            </w:r>
          </w:p>
        </w:tc>
        <w:tc>
          <w:tcPr>
            <w:tcW w:w="5123" w:type="dxa"/>
            <w:tcBorders>
              <w:top w:val="thinThickSmallGap" w:color="000000" w:sz="12" w:space="0"/>
              <w:left w:val="single" w:color="000000" w:sz="2" w:space="0"/>
              <w:bottom w:val="single" w:color="000000" w:sz="2" w:space="0"/>
              <w:right w:val="nil"/>
            </w:tcBorders>
            <w:shd w:val="clear"/>
            <w:vAlign w:val="center"/>
          </w:tcPr>
          <w:p>
            <w:pPr>
              <w:pStyle w:val="138"/>
              <w:widowControl/>
              <w:spacing w:before="0" w:beforeAutospacing="0" w:after="0" w:afterAutospacing="0"/>
              <w:ind w:left="0" w:right="0"/>
              <w:rPr>
                <w:rFonts w:hint="default" w:ascii="Times New Roman" w:hAnsi="Times New Roman" w:cs="Times New Roman"/>
                <w:bdr w:val="none" w:color="auto" w:sz="0" w:space="0"/>
                <w:lang/>
              </w:rPr>
            </w:pPr>
            <w:r>
              <w:rPr>
                <w:rFonts w:ascii="Times New Roman" w:hAnsi="Times New Roman" w:cs="Times New Roman"/>
                <w:bdr w:val="none" w:color="auto" w:sz="0" w:space="0"/>
                <w:lang/>
              </w:rPr>
              <w:t>直角坐标网格</w:t>
            </w:r>
          </w:p>
        </w:tc>
      </w:tr>
      <w:tr>
        <w:tblPrEx>
          <w:tblBorders>
            <w:top w:val="thinThickSmallGap" w:color="000000" w:sz="12" w:space="0"/>
            <w:left w:val="none" w:color="auto" w:sz="6" w:space="0"/>
            <w:bottom w:val="thickThinSmallGap" w:color="000000" w:sz="12" w:space="0"/>
            <w:right w:val="none" w:color="auto" w:sz="6" w:space="0"/>
            <w:insideH w:val="single" w:color="000000" w:sz="2" w:space="0"/>
            <w:insideV w:val="single" w:color="000000" w:sz="2" w:space="0"/>
          </w:tblBorders>
          <w:tblCellMar>
            <w:top w:w="0" w:type="dxa"/>
            <w:left w:w="108" w:type="dxa"/>
            <w:bottom w:w="0" w:type="dxa"/>
            <w:right w:w="108" w:type="dxa"/>
          </w:tblCellMar>
        </w:tblPrEx>
        <w:trPr>
          <w:trHeight w:val="397" w:hRule="atLeast"/>
        </w:trPr>
        <w:tc>
          <w:tcPr>
            <w:tcW w:w="3598" w:type="dxa"/>
            <w:tcBorders>
              <w:top w:val="single" w:color="000000" w:sz="2" w:space="0"/>
              <w:left w:val="nil"/>
              <w:bottom w:val="single" w:color="000000" w:sz="2" w:space="0"/>
              <w:right w:val="single" w:color="000000" w:sz="2" w:space="0"/>
            </w:tcBorders>
            <w:shd w:val="clear" w:color="auto" w:fill="E0E0E0"/>
            <w:vAlign w:val="center"/>
          </w:tcPr>
          <w:p>
            <w:pPr>
              <w:pStyle w:val="138"/>
              <w:widowControl/>
              <w:spacing w:before="0" w:beforeAutospacing="0" w:after="0" w:afterAutospacing="0"/>
              <w:ind w:left="0" w:right="0"/>
              <w:rPr>
                <w:rFonts w:hint="default" w:ascii="Times New Roman" w:hAnsi="Times New Roman" w:cs="Times New Roman"/>
                <w:bdr w:val="none" w:color="auto" w:sz="0" w:space="0"/>
                <w:lang/>
              </w:rPr>
            </w:pPr>
            <w:r>
              <w:rPr>
                <w:rFonts w:ascii="Times New Roman" w:hAnsi="Times New Roman" w:cs="Times New Roman"/>
                <w:bdr w:val="none" w:color="auto" w:sz="0" w:space="0"/>
                <w:lang/>
              </w:rPr>
              <w:t>布点原则</w:t>
            </w:r>
          </w:p>
        </w:tc>
        <w:tc>
          <w:tcPr>
            <w:tcW w:w="5123" w:type="dxa"/>
            <w:tcBorders>
              <w:top w:val="single" w:color="000000" w:sz="2" w:space="0"/>
              <w:left w:val="single" w:color="000000" w:sz="2" w:space="0"/>
              <w:bottom w:val="single" w:color="000000" w:sz="2" w:space="0"/>
              <w:right w:val="nil"/>
            </w:tcBorders>
            <w:shd w:val="clear"/>
            <w:vAlign w:val="center"/>
          </w:tcPr>
          <w:p>
            <w:pPr>
              <w:pStyle w:val="138"/>
              <w:widowControl/>
              <w:spacing w:before="0" w:beforeAutospacing="0" w:after="0" w:afterAutospacing="0"/>
              <w:ind w:left="0" w:right="0"/>
              <w:rPr>
                <w:rFonts w:hint="default" w:ascii="Times New Roman" w:hAnsi="Times New Roman" w:cs="Times New Roman"/>
                <w:bdr w:val="none" w:color="auto" w:sz="0" w:space="0"/>
                <w:lang/>
              </w:rPr>
            </w:pPr>
            <w:r>
              <w:rPr>
                <w:rFonts w:ascii="Times New Roman" w:hAnsi="Times New Roman" w:cs="Times New Roman"/>
                <w:bdr w:val="none" w:color="auto" w:sz="0" w:space="0"/>
                <w:lang/>
              </w:rPr>
              <w:t>网格等间距法</w:t>
            </w:r>
          </w:p>
        </w:tc>
      </w:tr>
      <w:tr>
        <w:tblPrEx>
          <w:tblBorders>
            <w:top w:val="thinThickSmallGap" w:color="000000" w:sz="12" w:space="0"/>
            <w:left w:val="none" w:color="auto" w:sz="6" w:space="0"/>
            <w:bottom w:val="thickThinSmallGap" w:color="000000" w:sz="12" w:space="0"/>
            <w:right w:val="none" w:color="auto" w:sz="6" w:space="0"/>
            <w:insideH w:val="single" w:color="000000" w:sz="2" w:space="0"/>
            <w:insideV w:val="single" w:color="000000" w:sz="2" w:space="0"/>
          </w:tblBorders>
          <w:tblCellMar>
            <w:top w:w="0" w:type="dxa"/>
            <w:left w:w="108" w:type="dxa"/>
            <w:bottom w:w="0" w:type="dxa"/>
            <w:right w:w="108" w:type="dxa"/>
          </w:tblCellMar>
        </w:tblPrEx>
        <w:trPr>
          <w:trHeight w:val="397" w:hRule="atLeast"/>
        </w:trPr>
        <w:tc>
          <w:tcPr>
            <w:tcW w:w="3598" w:type="dxa"/>
            <w:vMerge w:val="restart"/>
            <w:tcBorders>
              <w:top w:val="single" w:color="000000" w:sz="2" w:space="0"/>
              <w:left w:val="nil"/>
              <w:bottom w:val="thickThinSmallGap" w:color="000000" w:sz="12" w:space="0"/>
              <w:right w:val="single" w:color="000000" w:sz="2" w:space="0"/>
            </w:tcBorders>
            <w:shd w:val="clear" w:color="auto" w:fill="E0E0E0"/>
            <w:vAlign w:val="center"/>
          </w:tcPr>
          <w:p>
            <w:pPr>
              <w:pStyle w:val="138"/>
              <w:widowControl/>
              <w:spacing w:before="0" w:beforeAutospacing="0" w:after="0" w:afterAutospacing="0"/>
              <w:ind w:left="0" w:right="0"/>
              <w:rPr>
                <w:rFonts w:hint="default" w:ascii="Times New Roman" w:hAnsi="Times New Roman" w:cs="Times New Roman"/>
                <w:bdr w:val="none" w:color="auto" w:sz="0" w:space="0"/>
                <w:lang/>
              </w:rPr>
            </w:pPr>
            <w:r>
              <w:rPr>
                <w:rFonts w:ascii="Times New Roman" w:hAnsi="Times New Roman" w:cs="Times New Roman"/>
                <w:bdr w:val="none" w:color="auto" w:sz="0" w:space="0"/>
                <w:lang/>
              </w:rPr>
              <w:t>预测网格点网格距</w:t>
            </w:r>
          </w:p>
        </w:tc>
        <w:tc>
          <w:tcPr>
            <w:tcW w:w="5123" w:type="dxa"/>
            <w:tcBorders>
              <w:top w:val="single" w:color="000000" w:sz="2" w:space="0"/>
              <w:left w:val="single" w:color="000000" w:sz="2" w:space="0"/>
              <w:bottom w:val="single" w:color="000000" w:sz="2" w:space="0"/>
              <w:right w:val="nil"/>
            </w:tcBorders>
            <w:shd w:val="clear"/>
            <w:vAlign w:val="center"/>
          </w:tcPr>
          <w:p>
            <w:pPr>
              <w:pStyle w:val="138"/>
              <w:widowControl/>
              <w:spacing w:before="0" w:beforeAutospacing="0" w:after="0" w:afterAutospacing="0"/>
              <w:ind w:left="0" w:right="0"/>
              <w:rPr>
                <w:rFonts w:hint="default" w:ascii="Times New Roman" w:hAnsi="Times New Roman" w:cs="Times New Roman"/>
                <w:bdr w:val="none" w:color="auto" w:sz="0" w:space="0"/>
                <w:lang/>
              </w:rPr>
            </w:pPr>
            <w:r>
              <w:rPr>
                <w:rFonts w:hint="default" w:ascii="Times New Roman" w:hAnsi="Times New Roman" w:cs="Times New Roman"/>
                <w:bdr w:val="none" w:color="auto" w:sz="0" w:space="0"/>
                <w:lang/>
              </w:rPr>
              <w:t>X</w:t>
            </w:r>
            <w:r>
              <w:rPr>
                <w:rFonts w:ascii="Times New Roman" w:hAnsi="Times New Roman" w:cs="Times New Roman"/>
                <w:bdr w:val="none" w:color="auto" w:sz="0" w:space="0"/>
                <w:lang/>
              </w:rPr>
              <w:t>方向（</w:t>
            </w:r>
            <w:r>
              <w:rPr>
                <w:rFonts w:hint="default" w:ascii="Times New Roman" w:hAnsi="Times New Roman" w:cs="Times New Roman"/>
                <w:bdr w:val="none" w:color="auto" w:sz="0" w:space="0"/>
                <w:lang/>
              </w:rPr>
              <w:t>-</w:t>
            </w:r>
            <w:r>
              <w:rPr>
                <w:rFonts w:hint="default" w:ascii="Times New Roman" w:hAnsi="Times New Roman" w:cs="Times New Roman"/>
                <w:bdr w:val="none" w:color="auto" w:sz="0" w:space="0"/>
                <w:lang w:eastAsia="zh-CN"/>
              </w:rPr>
              <w:t>2500</w:t>
            </w:r>
            <w:r>
              <w:rPr>
                <w:rFonts w:ascii="Times New Roman" w:hAnsi="Times New Roman" w:cs="Times New Roman"/>
                <w:bdr w:val="none" w:color="auto" w:sz="0" w:space="0"/>
                <w:lang w:eastAsia="zh-CN"/>
              </w:rPr>
              <w:t>，</w:t>
            </w:r>
            <w:r>
              <w:rPr>
                <w:rFonts w:hint="default" w:ascii="Times New Roman" w:hAnsi="Times New Roman" w:cs="Times New Roman"/>
                <w:bdr w:val="none" w:color="auto" w:sz="0" w:space="0"/>
                <w:lang w:eastAsia="zh-CN"/>
              </w:rPr>
              <w:t>2500</w:t>
            </w:r>
            <w:r>
              <w:rPr>
                <w:rFonts w:ascii="Times New Roman" w:hAnsi="Times New Roman" w:cs="Times New Roman"/>
                <w:bdr w:val="none" w:color="auto" w:sz="0" w:space="0"/>
                <w:lang/>
              </w:rPr>
              <w:t>）</w:t>
            </w:r>
            <w:r>
              <w:rPr>
                <w:rFonts w:hint="default" w:ascii="Times New Roman" w:hAnsi="Times New Roman" w:cs="Times New Roman"/>
                <w:bdr w:val="none" w:color="auto" w:sz="0" w:space="0"/>
                <w:lang w:eastAsia="zh-CN"/>
              </w:rPr>
              <w:t>100</w:t>
            </w:r>
          </w:p>
        </w:tc>
      </w:tr>
      <w:tr>
        <w:tblPrEx>
          <w:tblBorders>
            <w:top w:val="thinThickSmallGap" w:color="000000" w:sz="12" w:space="0"/>
            <w:left w:val="none" w:color="auto" w:sz="6" w:space="0"/>
            <w:bottom w:val="thickThinSmallGap" w:color="000000" w:sz="12" w:space="0"/>
            <w:right w:val="none" w:color="auto" w:sz="6" w:space="0"/>
            <w:insideH w:val="single" w:color="000000" w:sz="2" w:space="0"/>
            <w:insideV w:val="single" w:color="000000" w:sz="2" w:space="0"/>
          </w:tblBorders>
          <w:tblCellMar>
            <w:top w:w="0" w:type="dxa"/>
            <w:left w:w="108" w:type="dxa"/>
            <w:bottom w:w="0" w:type="dxa"/>
            <w:right w:w="108" w:type="dxa"/>
          </w:tblCellMar>
        </w:tblPrEx>
        <w:trPr>
          <w:trHeight w:val="397" w:hRule="atLeast"/>
        </w:trPr>
        <w:tc>
          <w:tcPr>
            <w:tcW w:w="3598" w:type="dxa"/>
            <w:vMerge w:val="continue"/>
            <w:tcBorders>
              <w:top w:val="single" w:color="000000" w:sz="2" w:space="0"/>
              <w:left w:val="nil"/>
              <w:bottom w:val="thickThinSmallGap" w:color="000000" w:sz="12" w:space="0"/>
              <w:right w:val="single" w:color="000000" w:sz="2" w:space="0"/>
            </w:tcBorders>
            <w:shd w:val="clear" w:color="auto" w:fill="E0E0E0"/>
            <w:vAlign w:val="center"/>
          </w:tcPr>
          <w:p>
            <w:pPr>
              <w:rPr>
                <w:rFonts w:hint="default" w:ascii="Times New Roman" w:hAnsi="Times New Roman" w:cs="Times New Roman"/>
                <w:sz w:val="20"/>
                <w:szCs w:val="20"/>
              </w:rPr>
            </w:pPr>
          </w:p>
        </w:tc>
        <w:tc>
          <w:tcPr>
            <w:tcW w:w="5123" w:type="dxa"/>
            <w:tcBorders>
              <w:top w:val="single" w:color="000000" w:sz="2" w:space="0"/>
              <w:left w:val="single" w:color="000000" w:sz="2" w:space="0"/>
              <w:bottom w:val="thickThinSmallGap" w:color="000000" w:sz="12" w:space="0"/>
              <w:right w:val="nil"/>
            </w:tcBorders>
            <w:shd w:val="clear"/>
            <w:vAlign w:val="center"/>
          </w:tcPr>
          <w:p>
            <w:pPr>
              <w:pStyle w:val="138"/>
              <w:widowControl/>
              <w:spacing w:before="0" w:beforeAutospacing="0" w:after="0" w:afterAutospacing="0"/>
              <w:ind w:left="0" w:right="0"/>
              <w:rPr>
                <w:rFonts w:hint="default" w:ascii="Times New Roman" w:hAnsi="Times New Roman" w:cs="Times New Roman"/>
                <w:bdr w:val="none" w:color="auto" w:sz="0" w:space="0"/>
                <w:lang/>
              </w:rPr>
            </w:pPr>
            <w:r>
              <w:rPr>
                <w:rFonts w:hint="default" w:ascii="Times New Roman" w:hAnsi="Times New Roman" w:cs="Times New Roman"/>
                <w:bdr w:val="none" w:color="auto" w:sz="0" w:space="0"/>
                <w:lang/>
              </w:rPr>
              <w:t>Y</w:t>
            </w:r>
            <w:r>
              <w:rPr>
                <w:rFonts w:ascii="Times New Roman" w:hAnsi="Times New Roman" w:cs="Times New Roman"/>
                <w:bdr w:val="none" w:color="auto" w:sz="0" w:space="0"/>
                <w:lang/>
              </w:rPr>
              <w:t>方向（</w:t>
            </w:r>
            <w:r>
              <w:rPr>
                <w:rFonts w:hint="default" w:ascii="Times New Roman" w:hAnsi="Times New Roman" w:cs="Times New Roman"/>
                <w:bdr w:val="none" w:color="auto" w:sz="0" w:space="0"/>
                <w:lang/>
              </w:rPr>
              <w:t>-</w:t>
            </w:r>
            <w:r>
              <w:rPr>
                <w:rFonts w:hint="default" w:ascii="Times New Roman" w:hAnsi="Times New Roman" w:cs="Times New Roman"/>
                <w:bdr w:val="none" w:color="auto" w:sz="0" w:space="0"/>
                <w:lang w:eastAsia="zh-CN"/>
              </w:rPr>
              <w:t>2500</w:t>
            </w:r>
            <w:r>
              <w:rPr>
                <w:rFonts w:ascii="Times New Roman" w:hAnsi="Times New Roman" w:cs="Times New Roman"/>
                <w:bdr w:val="none" w:color="auto" w:sz="0" w:space="0"/>
                <w:lang w:eastAsia="zh-CN"/>
              </w:rPr>
              <w:t>，</w:t>
            </w:r>
            <w:r>
              <w:rPr>
                <w:rFonts w:hint="default" w:ascii="Times New Roman" w:hAnsi="Times New Roman" w:cs="Times New Roman"/>
                <w:bdr w:val="none" w:color="auto" w:sz="0" w:space="0"/>
                <w:lang w:eastAsia="zh-CN"/>
              </w:rPr>
              <w:t>2500</w:t>
            </w:r>
            <w:r>
              <w:rPr>
                <w:rFonts w:ascii="Times New Roman" w:hAnsi="Times New Roman" w:cs="Times New Roman"/>
                <w:bdr w:val="none" w:color="auto" w:sz="0" w:space="0"/>
                <w:lang/>
              </w:rPr>
              <w:t>）</w:t>
            </w:r>
            <w:r>
              <w:rPr>
                <w:rFonts w:hint="default" w:ascii="Times New Roman" w:hAnsi="Times New Roman" w:cs="Times New Roman"/>
                <w:bdr w:val="none" w:color="auto" w:sz="0" w:space="0"/>
                <w:lang w:eastAsia="zh-CN"/>
              </w:rPr>
              <w:t>100</w:t>
            </w:r>
          </w:p>
        </w:tc>
      </w:tr>
    </w:tbl>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）污染源排放参数及排放条件</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Times New Roman"/>
          <w:color w:val="000000"/>
          <w:kern w:val="0"/>
          <w:sz w:val="24"/>
          <w:szCs w:val="24"/>
          <w:lang w:val="en-US" w:eastAsia="zh-CN" w:bidi="ar"/>
        </w:rPr>
        <w:t>①</w:t>
      </w:r>
      <w:r>
        <w:rPr>
          <w:rFonts w:hint="eastAsia" w:ascii="Times New Roman" w:hAnsi="Times New Roman" w:eastAsia="宋体" w:cs="Times New Roman"/>
          <w:color w:val="000000"/>
          <w:kern w:val="0"/>
          <w:sz w:val="24"/>
          <w:szCs w:val="24"/>
          <w:lang w:val="en-US" w:eastAsia="zh-CN" w:bidi="ar"/>
        </w:rPr>
        <w:t>新增污染源</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本次大气预测各污染源参数及排放条件见表</w:t>
      </w:r>
      <w:r>
        <w:rPr>
          <w:rFonts w:hint="default" w:ascii="Times New Roman" w:hAnsi="Times New Roman" w:eastAsia="宋体" w:cs="Times New Roman"/>
          <w:color w:val="000000"/>
          <w:kern w:val="0"/>
          <w:sz w:val="24"/>
          <w:szCs w:val="24"/>
          <w:lang w:val="en-US" w:eastAsia="zh-CN" w:bidi="ar"/>
        </w:rPr>
        <w:t>5.2-7~</w:t>
      </w:r>
      <w:r>
        <w:rPr>
          <w:rFonts w:hint="eastAsia" w:ascii="Times New Roman" w:hAnsi="Times New Roman" w:eastAsia="宋体" w:cs="Times New Roman"/>
          <w:color w:val="000000"/>
          <w:kern w:val="0"/>
          <w:sz w:val="24"/>
          <w:szCs w:val="24"/>
          <w:lang w:val="en-US" w:eastAsia="zh-CN" w:bidi="ar"/>
        </w:rPr>
        <w:t>表</w:t>
      </w:r>
      <w:r>
        <w:rPr>
          <w:rFonts w:hint="default" w:ascii="Times New Roman" w:hAnsi="Times New Roman" w:eastAsia="宋体" w:cs="Times New Roman"/>
          <w:color w:val="000000"/>
          <w:kern w:val="0"/>
          <w:sz w:val="24"/>
          <w:szCs w:val="24"/>
          <w:lang w:val="en-US" w:eastAsia="zh-CN" w:bidi="ar"/>
        </w:rPr>
        <w:t>5.2-9</w:t>
      </w:r>
      <w:r>
        <w:rPr>
          <w:rFonts w:hint="eastAsia" w:ascii="Times New Roman" w:hAnsi="Times New Roman" w:eastAsia="宋体" w:cs="Times New Roman"/>
          <w:color w:val="000000"/>
          <w:kern w:val="0"/>
          <w:sz w:val="24"/>
          <w:szCs w:val="24"/>
          <w:lang w:val="en-US" w:eastAsia="zh-CN" w:bidi="ar"/>
        </w:rPr>
        <w:t>。其中，无组织</w:t>
      </w:r>
      <w:r>
        <w:rPr>
          <w:rFonts w:hint="default" w:ascii="Times New Roman" w:hAnsi="Times New Roman" w:eastAsia="宋体" w:cs="Times New Roman"/>
          <w:color w:val="000000"/>
          <w:kern w:val="0"/>
          <w:sz w:val="24"/>
          <w:szCs w:val="24"/>
          <w:lang w:val="en-US" w:eastAsia="zh-CN" w:bidi="ar"/>
        </w:rPr>
        <w:t>PM</w:t>
      </w:r>
      <w:r>
        <w:rPr>
          <w:rFonts w:hint="default" w:ascii="Times New Roman" w:hAnsi="Times New Roman" w:eastAsia="宋体" w:cs="Times New Roman"/>
          <w:color w:val="000000"/>
          <w:kern w:val="0"/>
          <w:sz w:val="24"/>
          <w:szCs w:val="24"/>
          <w:vertAlign w:val="subscript"/>
          <w:lang w:val="en-US" w:eastAsia="zh-CN" w:bidi="ar"/>
        </w:rPr>
        <w:t>10</w:t>
      </w:r>
      <w:r>
        <w:rPr>
          <w:rFonts w:hint="eastAsia" w:ascii="Times New Roman" w:hAnsi="Times New Roman" w:eastAsia="宋体" w:cs="Times New Roman"/>
          <w:color w:val="000000"/>
          <w:kern w:val="0"/>
          <w:sz w:val="24"/>
          <w:szCs w:val="24"/>
          <w:lang w:val="en-US" w:eastAsia="zh-CN" w:bidi="ar"/>
        </w:rPr>
        <w:t>源强采用系数法折算，取</w:t>
      </w:r>
      <w:r>
        <w:rPr>
          <w:rFonts w:hint="default" w:ascii="Times New Roman" w:hAnsi="Times New Roman" w:eastAsia="宋体" w:cs="Times New Roman"/>
          <w:color w:val="000000"/>
          <w:kern w:val="0"/>
          <w:sz w:val="24"/>
          <w:szCs w:val="24"/>
          <w:lang w:val="en-US" w:eastAsia="zh-CN" w:bidi="ar"/>
        </w:rPr>
        <w:t>TSP</w:t>
      </w:r>
      <w:r>
        <w:rPr>
          <w:rFonts w:hint="eastAsia" w:ascii="Times New Roman" w:hAnsi="Times New Roman" w:eastAsia="宋体" w:cs="Times New Roman"/>
          <w:color w:val="000000"/>
          <w:kern w:val="0"/>
          <w:sz w:val="24"/>
          <w:szCs w:val="24"/>
          <w:lang w:val="en-US" w:eastAsia="zh-CN" w:bidi="ar"/>
        </w:rPr>
        <w:t>的</w:t>
      </w:r>
      <w:r>
        <w:rPr>
          <w:rFonts w:hint="default" w:ascii="Times New Roman" w:hAnsi="Times New Roman" w:eastAsia="宋体" w:cs="Times New Roman"/>
          <w:color w:val="000000"/>
          <w:kern w:val="0"/>
          <w:sz w:val="24"/>
          <w:szCs w:val="24"/>
          <w:lang w:val="en-US" w:eastAsia="zh-CN" w:bidi="ar"/>
        </w:rPr>
        <w:t>50%</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jc w:val="center"/>
        <w:rPr>
          <w:rFonts w:hint="default" w:ascii="Times New Roman" w:hAnsi="Times New Roman"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5.2-7  </w:t>
      </w:r>
      <w:r>
        <w:rPr>
          <w:rFonts w:hint="eastAsia" w:ascii="Times New Roman" w:hAnsi="Times New Roman" w:eastAsia="黑体" w:cs="Times New Roman"/>
          <w:color w:val="000000"/>
          <w:kern w:val="0"/>
          <w:sz w:val="24"/>
          <w:szCs w:val="24"/>
          <w:lang w:val="en-US" w:eastAsia="zh-CN" w:bidi="ar"/>
        </w:rPr>
        <w:t>正常排放新增污染源点源预测源强及相关参数统计表</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2803"/>
        <w:gridCol w:w="2695"/>
        <w:gridCol w:w="3229"/>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rPr>
        <w:tc>
          <w:tcPr>
            <w:tcW w:w="3150" w:type="pct"/>
            <w:gridSpan w:val="2"/>
            <w:tcBorders>
              <w:top w:val="thinThickSmallGap" w:color="auto" w:sz="12" w:space="0"/>
              <w:left w:val="nil"/>
              <w:bottom w:val="single" w:color="auto" w:sz="6" w:space="0"/>
              <w:right w:val="single" w:color="auto" w:sz="6" w:space="0"/>
            </w:tcBorders>
            <w:shd w:val="clear" w:color="auto" w:fill="D9D9D9"/>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名称</w:t>
            </w:r>
          </w:p>
        </w:tc>
        <w:tc>
          <w:tcPr>
            <w:tcW w:w="1850" w:type="pct"/>
            <w:tcBorders>
              <w:top w:val="thinThickSmallGap" w:color="auto" w:sz="12" w:space="0"/>
              <w:left w:val="single" w:color="auto" w:sz="6" w:space="0"/>
              <w:bottom w:val="single" w:color="auto" w:sz="6" w:space="0"/>
              <w:right w:val="nil"/>
            </w:tcBorders>
            <w:shd w:val="clear" w:color="auto" w:fill="D9D9D9"/>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破碎筛分排气筒</w:t>
            </w:r>
            <w:r>
              <w:rPr>
                <w:rFonts w:hint="default" w:ascii="Times New Roman" w:hAnsi="Times New Roman" w:eastAsia="宋体" w:cs="Times New Roman"/>
                <w:bCs/>
                <w:snapToGrid w:val="0"/>
                <w:color w:val="000000"/>
                <w:kern w:val="0"/>
                <w:sz w:val="21"/>
                <w:szCs w:val="24"/>
                <w:bdr w:val="none" w:color="auto" w:sz="0" w:space="0"/>
                <w:lang w:val="en-US" w:eastAsia="zh-CN" w:bidi="ar"/>
              </w:rPr>
              <w:t>P1</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06" w:type="pct"/>
            <w:vMerge w:val="restart"/>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排气筒底部</w:t>
            </w:r>
          </w:p>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中心坐标</w:t>
            </w:r>
            <w:r>
              <w:rPr>
                <w:rFonts w:hint="default" w:ascii="Times New Roman" w:hAnsi="Times New Roman" w:eastAsia="宋体" w:cs="Times New Roman"/>
                <w:bCs/>
                <w:snapToGrid w:val="0"/>
                <w:color w:val="000000"/>
                <w:kern w:val="0"/>
                <w:sz w:val="21"/>
                <w:szCs w:val="24"/>
                <w:bdr w:val="none" w:color="auto" w:sz="0" w:space="0"/>
                <w:lang w:val="en-US" w:eastAsia="zh-CN" w:bidi="ar"/>
              </w:rPr>
              <w:t>/m</w:t>
            </w:r>
          </w:p>
        </w:tc>
        <w:tc>
          <w:tcPr>
            <w:tcW w:w="1543"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X</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33.94</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0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543"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Y</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-75.2</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排气筒底部海拔高度</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108</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排气筒高度</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排气筒出口内径</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0.8</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烟气流量</w:t>
            </w:r>
            <w:r>
              <w:rPr>
                <w:rFonts w:hint="default" w:ascii="Times New Roman" w:hAnsi="Times New Roman" w:eastAsia="宋体" w:cs="Times New Roman"/>
                <w:bCs/>
                <w:color w:val="000000"/>
                <w:kern w:val="0"/>
                <w:sz w:val="21"/>
                <w:szCs w:val="24"/>
                <w:bdr w:val="none" w:color="auto" w:sz="0" w:space="0"/>
                <w:lang w:val="en-US" w:eastAsia="zh-CN" w:bidi="ar"/>
              </w:rPr>
              <w:t>/</w:t>
            </w:r>
            <w:r>
              <w:rPr>
                <w:rFonts w:hint="eastAsia" w:ascii="Times New Roman" w:hAnsi="Times New Roman" w:eastAsia="宋体" w:cs="Times New Roman"/>
                <w:bCs/>
                <w:color w:val="000000"/>
                <w:kern w:val="0"/>
                <w:sz w:val="21"/>
                <w:szCs w:val="24"/>
                <w:bdr w:val="none" w:color="auto" w:sz="0" w:space="0"/>
                <w:lang w:val="en-US" w:eastAsia="zh-CN" w:bidi="ar"/>
              </w:rPr>
              <w:t>（</w:t>
            </w:r>
            <w:r>
              <w:rPr>
                <w:rFonts w:hint="default" w:ascii="Times New Roman" w:hAnsi="Times New Roman" w:eastAsia="宋体" w:cs="Times New Roman"/>
                <w:bCs/>
                <w:color w:val="000000"/>
                <w:kern w:val="0"/>
                <w:sz w:val="21"/>
                <w:szCs w:val="24"/>
                <w:bdr w:val="none" w:color="auto" w:sz="0" w:space="0"/>
                <w:lang w:val="en-US" w:eastAsia="zh-CN" w:bidi="ar"/>
              </w:rPr>
              <w:t>m</w:t>
            </w:r>
            <w:r>
              <w:rPr>
                <w:rFonts w:hint="default" w:ascii="Times New Roman" w:hAnsi="Times New Roman" w:eastAsia="宋体" w:cs="Times New Roman"/>
                <w:bCs/>
                <w:color w:val="000000"/>
                <w:kern w:val="0"/>
                <w:sz w:val="21"/>
                <w:szCs w:val="24"/>
                <w:bdr w:val="none" w:color="auto" w:sz="0" w:space="0"/>
                <w:vertAlign w:val="superscript"/>
                <w:lang w:val="en-US" w:eastAsia="zh-CN" w:bidi="ar"/>
              </w:rPr>
              <w:t>3</w:t>
            </w:r>
            <w:r>
              <w:rPr>
                <w:rFonts w:hint="default" w:ascii="Times New Roman" w:hAnsi="Times New Roman" w:eastAsia="宋体" w:cs="Times New Roman"/>
                <w:bCs/>
                <w:color w:val="000000"/>
                <w:kern w:val="0"/>
                <w:sz w:val="21"/>
                <w:szCs w:val="24"/>
                <w:bdr w:val="none" w:color="auto" w:sz="0" w:space="0"/>
                <w:lang w:val="en-US" w:eastAsia="zh-CN" w:bidi="ar"/>
              </w:rPr>
              <w:t>/h</w:t>
            </w:r>
            <w:r>
              <w:rPr>
                <w:rFonts w:hint="eastAsia" w:ascii="Times New Roman" w:hAnsi="Times New Roman" w:eastAsia="宋体" w:cs="Times New Roman"/>
                <w:bCs/>
                <w:color w:val="000000"/>
                <w:kern w:val="0"/>
                <w:sz w:val="21"/>
                <w:szCs w:val="24"/>
                <w:bdr w:val="none" w:color="auto" w:sz="0" w:space="0"/>
                <w:lang w:val="en-US" w:eastAsia="zh-CN" w:bidi="ar"/>
              </w:rPr>
              <w:t>）</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40000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烟气温度</w:t>
            </w:r>
            <w:r>
              <w:rPr>
                <w:rFonts w:hint="default" w:ascii="Times New Roman" w:hAnsi="Times New Roman" w:eastAsia="宋体" w:cs="Times New Roman"/>
                <w:bCs/>
                <w:color w:val="000000"/>
                <w:kern w:val="0"/>
                <w:sz w:val="21"/>
                <w:szCs w:val="24"/>
                <w:bdr w:val="none" w:color="auto" w:sz="0" w:space="0"/>
                <w:lang w:val="en-US" w:eastAsia="zh-CN" w:bidi="ar"/>
              </w:rPr>
              <w:t>/℃</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25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年排放小时数</w:t>
            </w:r>
            <w:r>
              <w:rPr>
                <w:rFonts w:hint="default" w:ascii="Times New Roman" w:hAnsi="Times New Roman" w:eastAsia="宋体" w:cs="Times New Roman"/>
                <w:bCs/>
                <w:color w:val="000000"/>
                <w:kern w:val="0"/>
                <w:sz w:val="21"/>
                <w:szCs w:val="24"/>
                <w:bdr w:val="none" w:color="auto" w:sz="0" w:space="0"/>
                <w:lang w:val="en-US" w:eastAsia="zh-CN" w:bidi="ar"/>
              </w:rPr>
              <w:t>/h</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7200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排放工况</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正常排放</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06" w:type="pct"/>
            <w:tcBorders>
              <w:top w:val="single" w:color="auto" w:sz="6" w:space="0"/>
              <w:left w:val="nil"/>
              <w:bottom w:val="thickThinSmallGap" w:color="auto" w:sz="12"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污染物排放速率（</w:t>
            </w:r>
            <w:r>
              <w:rPr>
                <w:rFonts w:hint="default" w:ascii="Times New Roman" w:hAnsi="Times New Roman" w:eastAsia="宋体" w:cs="Times New Roman"/>
                <w:bCs/>
                <w:color w:val="000000"/>
                <w:kern w:val="0"/>
                <w:sz w:val="21"/>
                <w:szCs w:val="24"/>
                <w:bdr w:val="none" w:color="auto" w:sz="0" w:space="0"/>
                <w:lang w:val="en-US" w:eastAsia="zh-CN" w:bidi="ar"/>
              </w:rPr>
              <w:t>kg/h</w:t>
            </w:r>
            <w:r>
              <w:rPr>
                <w:rFonts w:hint="eastAsia" w:ascii="Times New Roman" w:hAnsi="Times New Roman" w:eastAsia="宋体" w:cs="Times New Roman"/>
                <w:bCs/>
                <w:color w:val="000000"/>
                <w:kern w:val="0"/>
                <w:sz w:val="21"/>
                <w:szCs w:val="24"/>
                <w:bdr w:val="none" w:color="auto" w:sz="0" w:space="0"/>
                <w:lang w:val="en-US" w:eastAsia="zh-CN" w:bidi="ar"/>
              </w:rPr>
              <w:t>）</w:t>
            </w:r>
          </w:p>
        </w:tc>
        <w:tc>
          <w:tcPr>
            <w:tcW w:w="1543" w:type="pct"/>
            <w:tcBorders>
              <w:top w:val="single" w:color="auto" w:sz="6" w:space="0"/>
              <w:left w:val="single" w:color="auto" w:sz="6" w:space="0"/>
              <w:bottom w:val="thickThinSmallGap" w:color="auto" w:sz="12"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PM</w:t>
            </w:r>
            <w:r>
              <w:rPr>
                <w:rFonts w:hint="default" w:ascii="Times New Roman" w:hAnsi="Times New Roman" w:eastAsia="宋体" w:cs="Times New Roman"/>
                <w:bCs/>
                <w:color w:val="000000"/>
                <w:kern w:val="0"/>
                <w:sz w:val="21"/>
                <w:szCs w:val="24"/>
                <w:bdr w:val="none" w:color="auto" w:sz="0" w:space="0"/>
                <w:vertAlign w:val="subscript"/>
                <w:lang w:val="en-US" w:eastAsia="zh-CN" w:bidi="ar"/>
              </w:rPr>
              <w:t>10</w:t>
            </w:r>
          </w:p>
        </w:tc>
        <w:tc>
          <w:tcPr>
            <w:tcW w:w="1850"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0.32</w:t>
            </w:r>
          </w:p>
        </w:tc>
      </w:tr>
    </w:tbl>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5.2-8  </w:t>
      </w:r>
      <w:r>
        <w:rPr>
          <w:rFonts w:hint="eastAsia" w:ascii="Times New Roman" w:hAnsi="Times New Roman" w:eastAsia="黑体" w:cs="Times New Roman"/>
          <w:color w:val="000000"/>
          <w:kern w:val="0"/>
          <w:sz w:val="24"/>
          <w:szCs w:val="24"/>
          <w:lang w:val="en-US" w:eastAsia="zh-CN" w:bidi="ar"/>
        </w:rPr>
        <w:t>正常排放新增污染源面源预测源强及参数统计表</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947"/>
        <w:gridCol w:w="141"/>
        <w:gridCol w:w="843"/>
        <w:gridCol w:w="1449"/>
        <w:gridCol w:w="1449"/>
        <w:gridCol w:w="1449"/>
        <w:gridCol w:w="144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tblCellMar>
            <w:top w:w="0" w:type="dxa"/>
            <w:left w:w="108" w:type="dxa"/>
            <w:bottom w:w="0" w:type="dxa"/>
            <w:right w:w="108" w:type="dxa"/>
          </w:tblCellMar>
        </w:tblPrEx>
        <w:trPr>
          <w:trHeight w:val="340" w:hRule="atLeast"/>
          <w:tblHeader/>
        </w:trPr>
        <w:tc>
          <w:tcPr>
            <w:tcW w:w="1679" w:type="pct"/>
            <w:gridSpan w:val="3"/>
            <w:tcBorders>
              <w:top w:val="thinThickSmallGap" w:color="auto" w:sz="12" w:space="0"/>
              <w:left w:val="nil"/>
              <w:bottom w:val="single" w:color="auto" w:sz="6" w:space="0"/>
              <w:right w:val="single" w:color="auto" w:sz="6" w:space="0"/>
            </w:tcBorders>
            <w:shd w:val="clear" w:color="auto" w:fill="D9D9D9"/>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名称</w:t>
            </w:r>
          </w:p>
        </w:tc>
        <w:tc>
          <w:tcPr>
            <w:tcW w:w="830" w:type="pct"/>
            <w:tcBorders>
              <w:top w:val="thinThickSmallGap" w:color="auto" w:sz="12" w:space="0"/>
              <w:left w:val="single" w:color="auto" w:sz="6" w:space="0"/>
              <w:bottom w:val="single" w:color="auto" w:sz="6" w:space="0"/>
              <w:right w:val="single" w:color="auto" w:sz="4" w:space="0"/>
            </w:tcBorders>
            <w:shd w:val="clear" w:color="auto" w:fill="D9D9D9"/>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原料库</w:t>
            </w:r>
          </w:p>
        </w:tc>
        <w:tc>
          <w:tcPr>
            <w:tcW w:w="830" w:type="pct"/>
            <w:tcBorders>
              <w:top w:val="thinThickSmallGap" w:color="auto" w:sz="12" w:space="0"/>
              <w:left w:val="single" w:color="auto" w:sz="4" w:space="0"/>
              <w:bottom w:val="single" w:color="auto" w:sz="6" w:space="0"/>
              <w:right w:val="single" w:color="auto" w:sz="6" w:space="0"/>
            </w:tcBorders>
            <w:shd w:val="clear" w:color="auto" w:fill="D9D9D9"/>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破碎车间</w:t>
            </w:r>
          </w:p>
        </w:tc>
        <w:tc>
          <w:tcPr>
            <w:tcW w:w="830"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精矿库</w:t>
            </w:r>
          </w:p>
        </w:tc>
        <w:tc>
          <w:tcPr>
            <w:tcW w:w="830" w:type="pct"/>
            <w:tcBorders>
              <w:top w:val="thinThickSmallGap" w:color="auto" w:sz="12" w:space="0"/>
              <w:left w:val="single" w:color="auto" w:sz="6" w:space="0"/>
              <w:bottom w:val="single" w:color="auto" w:sz="6" w:space="0"/>
              <w:right w:val="nil"/>
            </w:tcBorders>
            <w:shd w:val="clear" w:color="auto" w:fill="D9D9D9"/>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尾矿库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97" w:type="pct"/>
            <w:gridSpan w:val="2"/>
            <w:vMerge w:val="restart"/>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面源起点坐标</w:t>
            </w:r>
            <w:r>
              <w:rPr>
                <w:rFonts w:hint="default" w:ascii="Times New Roman" w:hAnsi="Times New Roman" w:eastAsia="宋体" w:cs="Times New Roman"/>
                <w:bCs/>
                <w:snapToGrid w:val="0"/>
                <w:color w:val="000000"/>
                <w:kern w:val="0"/>
                <w:sz w:val="21"/>
                <w:szCs w:val="24"/>
                <w:bdr w:val="none" w:color="auto" w:sz="0" w:space="0"/>
                <w:lang w:val="en-US" w:eastAsia="zh-CN" w:bidi="ar"/>
              </w:rPr>
              <w:t>/m</w:t>
            </w:r>
          </w:p>
        </w:tc>
        <w:tc>
          <w:tcPr>
            <w:tcW w:w="483"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X</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-6.57</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-7.39</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26.73</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68.07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97" w:type="pct"/>
            <w:gridSpan w:val="2"/>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483"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Y</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-84.91</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-51.36</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68.43</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57.04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79" w:type="pct"/>
            <w:gridSpan w:val="3"/>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面源海拔高度</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111</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107</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98</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99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79" w:type="pct"/>
            <w:gridSpan w:val="3"/>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面源长度</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30</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70</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42</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79" w:type="pct"/>
            <w:gridSpan w:val="3"/>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面源宽度</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30</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20</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30</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79" w:type="pct"/>
            <w:gridSpan w:val="3"/>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与正北向夹角</w:t>
            </w:r>
            <w:r>
              <w:rPr>
                <w:rFonts w:hint="default" w:ascii="Times New Roman" w:hAnsi="Times New Roman" w:eastAsia="宋体" w:cs="Times New Roman"/>
                <w:bCs/>
                <w:color w:val="000000"/>
                <w:kern w:val="0"/>
                <w:sz w:val="21"/>
                <w:szCs w:val="24"/>
                <w:bdr w:val="none" w:color="auto" w:sz="0" w:space="0"/>
                <w:lang w:val="en-US" w:eastAsia="zh-CN" w:bidi="ar"/>
              </w:rPr>
              <w:t>/°</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20.7</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21.7</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16.6</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79" w:type="pct"/>
            <w:gridSpan w:val="3"/>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面源有效排放高度</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10</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14</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10</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79" w:type="pct"/>
            <w:gridSpan w:val="3"/>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年排放小时数</w:t>
            </w:r>
            <w:r>
              <w:rPr>
                <w:rFonts w:hint="default" w:ascii="Times New Roman" w:hAnsi="Times New Roman" w:eastAsia="宋体" w:cs="Times New Roman"/>
                <w:bCs/>
                <w:color w:val="000000"/>
                <w:kern w:val="0"/>
                <w:sz w:val="21"/>
                <w:szCs w:val="24"/>
                <w:bdr w:val="none" w:color="auto" w:sz="0" w:space="0"/>
                <w:lang w:val="en-US" w:eastAsia="zh-CN" w:bidi="ar"/>
              </w:rPr>
              <w:t>/h</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7200</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7200</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7200</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7200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79" w:type="pct"/>
            <w:gridSpan w:val="3"/>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排放工况</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正常排放</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正常排放</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正常排放</w:t>
            </w:r>
          </w:p>
        </w:tc>
        <w:tc>
          <w:tcPr>
            <w:tcW w:w="830"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正常排放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16" w:type="pct"/>
            <w:vMerge w:val="restart"/>
            <w:tcBorders>
              <w:top w:val="single" w:color="auto" w:sz="6" w:space="0"/>
              <w:left w:val="nil"/>
              <w:bottom w:val="thickThinSmallGap" w:color="auto" w:sz="12"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污染物排放速率（</w:t>
            </w:r>
            <w:r>
              <w:rPr>
                <w:rFonts w:hint="default" w:ascii="Times New Roman" w:hAnsi="Times New Roman" w:eastAsia="宋体" w:cs="Times New Roman"/>
                <w:bCs/>
                <w:color w:val="000000"/>
                <w:kern w:val="0"/>
                <w:sz w:val="21"/>
                <w:szCs w:val="24"/>
                <w:bdr w:val="none" w:color="auto" w:sz="0" w:space="0"/>
                <w:lang w:val="en-US" w:eastAsia="zh-CN" w:bidi="ar"/>
              </w:rPr>
              <w:t>kg/h</w:t>
            </w:r>
            <w:r>
              <w:rPr>
                <w:rFonts w:hint="eastAsia" w:ascii="Times New Roman" w:hAnsi="Times New Roman" w:eastAsia="宋体" w:cs="Times New Roman"/>
                <w:bCs/>
                <w:color w:val="000000"/>
                <w:kern w:val="0"/>
                <w:sz w:val="21"/>
                <w:szCs w:val="24"/>
                <w:bdr w:val="none" w:color="auto" w:sz="0" w:space="0"/>
                <w:lang w:val="en-US" w:eastAsia="zh-CN" w:bidi="ar"/>
              </w:rPr>
              <w:t>）</w:t>
            </w:r>
          </w:p>
        </w:tc>
        <w:tc>
          <w:tcPr>
            <w:tcW w:w="564" w:type="pct"/>
            <w:gridSpan w:val="2"/>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TSP</w:t>
            </w:r>
          </w:p>
        </w:tc>
        <w:tc>
          <w:tcPr>
            <w:tcW w:w="830" w:type="pct"/>
            <w:tcBorders>
              <w:top w:val="single" w:color="auto" w:sz="6" w:space="0"/>
              <w:left w:val="single" w:color="auto" w:sz="6" w:space="0"/>
              <w:bottom w:val="single" w:color="auto" w:sz="6"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0.7</w:t>
            </w:r>
          </w:p>
        </w:tc>
        <w:tc>
          <w:tcPr>
            <w:tcW w:w="830" w:type="pct"/>
            <w:tcBorders>
              <w:top w:val="single" w:color="auto" w:sz="6" w:space="0"/>
              <w:left w:val="single" w:color="auto" w:sz="4"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0.11</w:t>
            </w:r>
          </w:p>
        </w:tc>
        <w:tc>
          <w:tcPr>
            <w:tcW w:w="830"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0.34</w:t>
            </w:r>
          </w:p>
        </w:tc>
        <w:tc>
          <w:tcPr>
            <w:tcW w:w="83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napToGrid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0.07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16" w:type="pct"/>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564" w:type="pct"/>
            <w:gridSpan w:val="2"/>
            <w:tcBorders>
              <w:top w:val="single" w:color="auto" w:sz="6" w:space="0"/>
              <w:left w:val="single" w:color="auto" w:sz="6" w:space="0"/>
              <w:bottom w:val="thickThinSmallGap" w:color="auto" w:sz="12"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PM</w:t>
            </w:r>
            <w:r>
              <w:rPr>
                <w:rFonts w:hint="default" w:ascii="Times New Roman" w:hAnsi="Times New Roman" w:eastAsia="宋体" w:cs="Times New Roman"/>
                <w:bCs/>
                <w:color w:val="000000"/>
                <w:kern w:val="0"/>
                <w:sz w:val="21"/>
                <w:szCs w:val="24"/>
                <w:bdr w:val="none" w:color="auto" w:sz="0" w:space="0"/>
                <w:vertAlign w:val="subscript"/>
                <w:lang w:val="en-US" w:eastAsia="zh-CN" w:bidi="ar"/>
              </w:rPr>
              <w:t>10</w:t>
            </w:r>
          </w:p>
        </w:tc>
        <w:tc>
          <w:tcPr>
            <w:tcW w:w="830" w:type="pct"/>
            <w:tcBorders>
              <w:top w:val="single" w:color="auto" w:sz="6" w:space="0"/>
              <w:left w:val="single" w:color="auto" w:sz="6"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0.35</w:t>
            </w:r>
          </w:p>
        </w:tc>
        <w:tc>
          <w:tcPr>
            <w:tcW w:w="830" w:type="pct"/>
            <w:tcBorders>
              <w:top w:val="single" w:color="auto" w:sz="6" w:space="0"/>
              <w:left w:val="single" w:color="auto" w:sz="4"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0.06</w:t>
            </w:r>
          </w:p>
        </w:tc>
        <w:tc>
          <w:tcPr>
            <w:tcW w:w="830" w:type="pct"/>
            <w:tcBorders>
              <w:top w:val="single" w:color="auto" w:sz="6" w:space="0"/>
              <w:left w:val="single" w:color="auto" w:sz="6" w:space="0"/>
              <w:bottom w:val="thickThinSmallGap" w:color="auto" w:sz="12"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0.17</w:t>
            </w:r>
          </w:p>
        </w:tc>
        <w:tc>
          <w:tcPr>
            <w:tcW w:w="830" w:type="pct"/>
            <w:tcBorders>
              <w:top w:val="single" w:color="auto" w:sz="6" w:space="0"/>
              <w:left w:val="single" w:color="auto" w:sz="6" w:space="0"/>
              <w:bottom w:val="thickThinSmallGap" w:color="auto" w:sz="12" w:space="0"/>
              <w:right w:val="nil"/>
            </w:tcBorders>
            <w:shd w:val="clear"/>
            <w:vAlign w:val="center"/>
          </w:tcPr>
          <w:p>
            <w:pPr>
              <w:pStyle w:val="27"/>
              <w:keepNext w:val="0"/>
              <w:keepLines w:val="0"/>
              <w:widowControl/>
              <w:suppressLineNumbers w:val="0"/>
              <w:snapToGrid w:val="0"/>
              <w:spacing w:before="0" w:beforeAutospacing="0" w:after="0" w:afterAutospacing="0"/>
              <w:ind w:left="0" w:right="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0.04</w:t>
            </w:r>
          </w:p>
        </w:tc>
      </w:tr>
    </w:tbl>
    <w:p>
      <w:pPr>
        <w:keepNext w:val="0"/>
        <w:keepLines w:val="0"/>
        <w:widowControl/>
        <w:suppressLineNumbers w:val="0"/>
        <w:spacing w:before="0" w:beforeAutospacing="0" w:after="0" w:afterAutospacing="0" w:line="500" w:lineRule="exact"/>
        <w:ind w:left="0" w:right="0"/>
        <w:jc w:val="center"/>
        <w:rPr>
          <w:rFonts w:hint="default" w:ascii="Times New Roman" w:hAnsi="Times New Roman"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5.2-9  </w:t>
      </w:r>
      <w:r>
        <w:rPr>
          <w:rFonts w:hint="eastAsia" w:ascii="Times New Roman" w:hAnsi="Times New Roman" w:eastAsia="黑体" w:cs="Times New Roman"/>
          <w:color w:val="000000"/>
          <w:kern w:val="0"/>
          <w:sz w:val="24"/>
          <w:szCs w:val="24"/>
          <w:lang w:val="en-US" w:eastAsia="zh-CN" w:bidi="ar"/>
        </w:rPr>
        <w:t>非正常排放新增污染源点源预测源强及相关参数统计表</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2803"/>
        <w:gridCol w:w="2695"/>
        <w:gridCol w:w="3229"/>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blHeader/>
        </w:trPr>
        <w:tc>
          <w:tcPr>
            <w:tcW w:w="3150" w:type="pct"/>
            <w:gridSpan w:val="2"/>
            <w:tcBorders>
              <w:top w:val="thinThickSmallGap" w:color="auto" w:sz="12" w:space="0"/>
              <w:left w:val="nil"/>
              <w:bottom w:val="single" w:color="auto" w:sz="6" w:space="0"/>
              <w:right w:val="single" w:color="auto" w:sz="6" w:space="0"/>
            </w:tcBorders>
            <w:shd w:val="clear" w:color="auto" w:fill="D9D9D9"/>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名称</w:t>
            </w:r>
          </w:p>
        </w:tc>
        <w:tc>
          <w:tcPr>
            <w:tcW w:w="1850" w:type="pct"/>
            <w:tcBorders>
              <w:top w:val="thinThickSmallGap" w:color="auto" w:sz="12" w:space="0"/>
              <w:left w:val="single" w:color="auto" w:sz="6" w:space="0"/>
              <w:bottom w:val="single" w:color="auto" w:sz="6" w:space="0"/>
              <w:right w:val="nil"/>
            </w:tcBorders>
            <w:shd w:val="clear" w:color="auto" w:fill="D9D9D9"/>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破碎筛分排气筒</w:t>
            </w:r>
            <w:r>
              <w:rPr>
                <w:rFonts w:hint="default" w:ascii="Times New Roman" w:hAnsi="Times New Roman" w:eastAsia="宋体" w:cs="Times New Roman"/>
                <w:bCs/>
                <w:snapToGrid w:val="0"/>
                <w:color w:val="000000"/>
                <w:kern w:val="0"/>
                <w:sz w:val="21"/>
                <w:szCs w:val="24"/>
                <w:bdr w:val="none" w:color="auto" w:sz="0" w:space="0"/>
                <w:lang w:val="en-US" w:eastAsia="zh-CN" w:bidi="ar"/>
              </w:rPr>
              <w:t>P1</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06" w:type="pct"/>
            <w:vMerge w:val="restart"/>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排气筒底部</w:t>
            </w:r>
          </w:p>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snapToGrid w:val="0"/>
                <w:color w:val="000000"/>
                <w:kern w:val="0"/>
                <w:sz w:val="21"/>
                <w:szCs w:val="24"/>
                <w:bdr w:val="none" w:color="auto" w:sz="0" w:space="0"/>
                <w:lang w:val="en-US" w:eastAsia="zh-CN" w:bidi="ar"/>
              </w:rPr>
              <w:t>中心坐标</w:t>
            </w:r>
          </w:p>
        </w:tc>
        <w:tc>
          <w:tcPr>
            <w:tcW w:w="1543"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X</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33.94</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06" w:type="pct"/>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543" w:type="pct"/>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Y</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-75.2</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排气筒底部海拔高度</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108</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排气筒高度</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15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排气筒出口内径</w:t>
            </w:r>
            <w:r>
              <w:rPr>
                <w:rFonts w:hint="default" w:ascii="Times New Roman" w:hAnsi="Times New Roman" w:eastAsia="宋体" w:cs="Times New Roman"/>
                <w:bCs/>
                <w:color w:val="000000"/>
                <w:kern w:val="0"/>
                <w:sz w:val="21"/>
                <w:szCs w:val="24"/>
                <w:bdr w:val="none" w:color="auto" w:sz="0" w:space="0"/>
                <w:lang w:val="en-US" w:eastAsia="zh-CN" w:bidi="ar"/>
              </w:rPr>
              <w:t>/m</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0.8</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烟气流量</w:t>
            </w:r>
            <w:r>
              <w:rPr>
                <w:rFonts w:hint="default" w:ascii="Times New Roman" w:hAnsi="Times New Roman" w:eastAsia="宋体" w:cs="Times New Roman"/>
                <w:bCs/>
                <w:color w:val="000000"/>
                <w:kern w:val="0"/>
                <w:sz w:val="21"/>
                <w:szCs w:val="24"/>
                <w:bdr w:val="none" w:color="auto" w:sz="0" w:space="0"/>
                <w:lang w:val="en-US" w:eastAsia="zh-CN" w:bidi="ar"/>
              </w:rPr>
              <w:t>/</w:t>
            </w:r>
            <w:r>
              <w:rPr>
                <w:rFonts w:hint="eastAsia" w:ascii="Times New Roman" w:hAnsi="Times New Roman" w:eastAsia="宋体" w:cs="Times New Roman"/>
                <w:bCs/>
                <w:color w:val="000000"/>
                <w:kern w:val="0"/>
                <w:sz w:val="21"/>
                <w:szCs w:val="24"/>
                <w:bdr w:val="none" w:color="auto" w:sz="0" w:space="0"/>
                <w:lang w:val="en-US" w:eastAsia="zh-CN" w:bidi="ar"/>
              </w:rPr>
              <w:t>（</w:t>
            </w:r>
            <w:r>
              <w:rPr>
                <w:rFonts w:hint="default" w:ascii="Times New Roman" w:hAnsi="Times New Roman" w:eastAsia="宋体" w:cs="Times New Roman"/>
                <w:bCs/>
                <w:color w:val="000000"/>
                <w:kern w:val="0"/>
                <w:sz w:val="21"/>
                <w:szCs w:val="24"/>
                <w:bdr w:val="none" w:color="auto" w:sz="0" w:space="0"/>
                <w:lang w:val="en-US" w:eastAsia="zh-CN" w:bidi="ar"/>
              </w:rPr>
              <w:t>m</w:t>
            </w:r>
            <w:r>
              <w:rPr>
                <w:rFonts w:hint="default" w:ascii="Times New Roman" w:hAnsi="Times New Roman" w:eastAsia="宋体" w:cs="Times New Roman"/>
                <w:bCs/>
                <w:color w:val="000000"/>
                <w:kern w:val="0"/>
                <w:sz w:val="21"/>
                <w:szCs w:val="24"/>
                <w:bdr w:val="none" w:color="auto" w:sz="0" w:space="0"/>
                <w:vertAlign w:val="superscript"/>
                <w:lang w:val="en-US" w:eastAsia="zh-CN" w:bidi="ar"/>
              </w:rPr>
              <w:t>3</w:t>
            </w:r>
            <w:r>
              <w:rPr>
                <w:rFonts w:hint="default" w:ascii="Times New Roman" w:hAnsi="Times New Roman" w:eastAsia="宋体" w:cs="Times New Roman"/>
                <w:bCs/>
                <w:color w:val="000000"/>
                <w:kern w:val="0"/>
                <w:sz w:val="21"/>
                <w:szCs w:val="24"/>
                <w:bdr w:val="none" w:color="auto" w:sz="0" w:space="0"/>
                <w:lang w:val="en-US" w:eastAsia="zh-CN" w:bidi="ar"/>
              </w:rPr>
              <w:t>/h</w:t>
            </w:r>
            <w:r>
              <w:rPr>
                <w:rFonts w:hint="eastAsia" w:ascii="Times New Roman" w:hAnsi="Times New Roman" w:eastAsia="宋体" w:cs="Times New Roman"/>
                <w:bCs/>
                <w:color w:val="000000"/>
                <w:kern w:val="0"/>
                <w:sz w:val="21"/>
                <w:szCs w:val="24"/>
                <w:bdr w:val="none" w:color="auto" w:sz="0" w:space="0"/>
                <w:lang w:val="en-US" w:eastAsia="zh-CN" w:bidi="ar"/>
              </w:rPr>
              <w:t>）</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40000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烟气温度</w:t>
            </w:r>
            <w:r>
              <w:rPr>
                <w:rFonts w:hint="default" w:ascii="Times New Roman" w:hAnsi="Times New Roman" w:eastAsia="宋体" w:cs="Times New Roman"/>
                <w:bCs/>
                <w:color w:val="000000"/>
                <w:kern w:val="0"/>
                <w:sz w:val="21"/>
                <w:szCs w:val="24"/>
                <w:bdr w:val="none" w:color="auto" w:sz="0" w:space="0"/>
                <w:lang w:val="en-US" w:eastAsia="zh-CN" w:bidi="ar"/>
              </w:rPr>
              <w:t>/℃</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25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年排放小时数</w:t>
            </w:r>
            <w:r>
              <w:rPr>
                <w:rFonts w:hint="default" w:ascii="Times New Roman" w:hAnsi="Times New Roman" w:eastAsia="宋体" w:cs="Times New Roman"/>
                <w:bCs/>
                <w:color w:val="000000"/>
                <w:kern w:val="0"/>
                <w:sz w:val="21"/>
                <w:szCs w:val="24"/>
                <w:bdr w:val="none" w:color="auto" w:sz="0" w:space="0"/>
                <w:lang w:val="en-US" w:eastAsia="zh-CN" w:bidi="ar"/>
              </w:rPr>
              <w:t>/h</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snapToGrid w:val="0"/>
                <w:color w:val="000000"/>
                <w:sz w:val="21"/>
                <w:szCs w:val="24"/>
                <w:bdr w:val="none" w:color="auto" w:sz="0" w:space="0"/>
                <w:lang w:val="en-US"/>
              </w:rPr>
            </w:pPr>
            <w:r>
              <w:rPr>
                <w:rFonts w:hint="default" w:ascii="Times New Roman" w:hAnsi="Times New Roman" w:eastAsia="宋体" w:cs="Times New Roman"/>
                <w:bCs/>
                <w:snapToGrid w:val="0"/>
                <w:color w:val="000000"/>
                <w:kern w:val="0"/>
                <w:sz w:val="21"/>
                <w:szCs w:val="24"/>
                <w:bdr w:val="none" w:color="auto" w:sz="0" w:space="0"/>
                <w:lang w:val="en-US" w:eastAsia="zh-CN" w:bidi="ar"/>
              </w:rPr>
              <w:t>7200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50" w:type="pct"/>
            <w:gridSpan w:val="2"/>
            <w:tcBorders>
              <w:top w:val="single" w:color="auto" w:sz="6" w:space="0"/>
              <w:left w:val="nil"/>
              <w:bottom w:val="single" w:color="auto" w:sz="6"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排放工况</w:t>
            </w:r>
          </w:p>
        </w:tc>
        <w:tc>
          <w:tcPr>
            <w:tcW w:w="1850" w:type="pct"/>
            <w:tcBorders>
              <w:top w:val="single" w:color="auto" w:sz="6" w:space="0"/>
              <w:left w:val="single" w:color="auto" w:sz="6" w:space="0"/>
              <w:bottom w:val="single" w:color="auto" w:sz="6" w:space="0"/>
              <w:right w:val="nil"/>
            </w:tcBorders>
            <w:shd w:val="clear"/>
            <w:vAlign w:val="center"/>
          </w:tcPr>
          <w:p>
            <w:pPr>
              <w:pStyle w:val="27"/>
              <w:keepNext w:val="0"/>
              <w:keepLines w:val="0"/>
              <w:widowControl/>
              <w:suppressLineNumbers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非正常排放</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06" w:type="pct"/>
            <w:tcBorders>
              <w:top w:val="single" w:color="auto" w:sz="6" w:space="0"/>
              <w:left w:val="nil"/>
              <w:bottom w:val="thickThinSmallGap" w:color="auto" w:sz="12"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污染物排放速率（</w:t>
            </w:r>
            <w:r>
              <w:rPr>
                <w:rFonts w:hint="default" w:ascii="Times New Roman" w:hAnsi="Times New Roman" w:eastAsia="宋体" w:cs="Times New Roman"/>
                <w:bCs/>
                <w:color w:val="000000"/>
                <w:kern w:val="0"/>
                <w:sz w:val="21"/>
                <w:szCs w:val="24"/>
                <w:bdr w:val="none" w:color="auto" w:sz="0" w:space="0"/>
                <w:lang w:val="en-US" w:eastAsia="zh-CN" w:bidi="ar"/>
              </w:rPr>
              <w:t>kg/h</w:t>
            </w:r>
            <w:r>
              <w:rPr>
                <w:rFonts w:hint="eastAsia" w:ascii="Times New Roman" w:hAnsi="Times New Roman" w:eastAsia="宋体" w:cs="Times New Roman"/>
                <w:bCs/>
                <w:color w:val="000000"/>
                <w:kern w:val="0"/>
                <w:sz w:val="21"/>
                <w:szCs w:val="24"/>
                <w:bdr w:val="none" w:color="auto" w:sz="0" w:space="0"/>
                <w:lang w:val="en-US" w:eastAsia="zh-CN" w:bidi="ar"/>
              </w:rPr>
              <w:t>）</w:t>
            </w:r>
          </w:p>
        </w:tc>
        <w:tc>
          <w:tcPr>
            <w:tcW w:w="1543" w:type="pct"/>
            <w:tcBorders>
              <w:top w:val="single" w:color="auto" w:sz="6" w:space="0"/>
              <w:left w:val="single" w:color="auto" w:sz="6" w:space="0"/>
              <w:bottom w:val="thickThinSmallGap" w:color="auto" w:sz="12" w:space="0"/>
              <w:right w:val="single" w:color="auto" w:sz="6" w:space="0"/>
            </w:tcBorders>
            <w:shd w:val="clear"/>
            <w:vAlign w:val="center"/>
          </w:tcPr>
          <w:p>
            <w:pPr>
              <w:pStyle w:val="27"/>
              <w:keepNext w:val="0"/>
              <w:keepLines w:val="0"/>
              <w:widowControl/>
              <w:suppressLineNumbers w:val="0"/>
              <w:snapToGrid w:val="0"/>
              <w:spacing w:before="0" w:beforeAutospacing="0" w:after="0" w:afterAutospacing="0"/>
              <w:ind w:left="-105" w:leftChars="-50" w:right="-105" w:rightChars="-50" w:firstLine="0"/>
              <w:jc w:val="center"/>
              <w:rPr>
                <w:rFonts w:hint="default" w:ascii="Times New Roman" w:hAnsi="Times New Roman" w:eastAsia="宋体" w:cs="Times New Roman"/>
                <w:bCs/>
                <w:color w:val="000000"/>
                <w:sz w:val="21"/>
                <w:szCs w:val="24"/>
                <w:bdr w:val="none" w:color="auto" w:sz="0" w:space="0"/>
                <w:lang w:val="en-US"/>
              </w:rPr>
            </w:pPr>
            <w:r>
              <w:rPr>
                <w:rFonts w:hint="default" w:ascii="Times New Roman" w:hAnsi="Times New Roman" w:eastAsia="宋体" w:cs="Times New Roman"/>
                <w:bCs/>
                <w:color w:val="000000"/>
                <w:kern w:val="0"/>
                <w:sz w:val="21"/>
                <w:szCs w:val="24"/>
                <w:bdr w:val="none" w:color="auto" w:sz="0" w:space="0"/>
                <w:lang w:val="en-US" w:eastAsia="zh-CN" w:bidi="ar"/>
              </w:rPr>
              <w:t>PM</w:t>
            </w:r>
            <w:r>
              <w:rPr>
                <w:rFonts w:hint="default" w:ascii="Times New Roman" w:hAnsi="Times New Roman" w:eastAsia="宋体" w:cs="Times New Roman"/>
                <w:bCs/>
                <w:color w:val="000000"/>
                <w:kern w:val="0"/>
                <w:sz w:val="21"/>
                <w:szCs w:val="24"/>
                <w:bdr w:val="none" w:color="auto" w:sz="0" w:space="0"/>
                <w:vertAlign w:val="subscript"/>
                <w:lang w:val="en-US" w:eastAsia="zh-CN" w:bidi="ar"/>
              </w:rPr>
              <w:t>10</w:t>
            </w:r>
          </w:p>
        </w:tc>
        <w:tc>
          <w:tcPr>
            <w:tcW w:w="1850"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38.4</w:t>
            </w:r>
          </w:p>
        </w:tc>
      </w:tr>
    </w:tbl>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Times New Roman"/>
          <w:color w:val="000000"/>
          <w:kern w:val="0"/>
          <w:sz w:val="24"/>
          <w:szCs w:val="24"/>
          <w:lang w:val="en-US" w:eastAsia="zh-CN" w:bidi="ar"/>
        </w:rPr>
        <w:t>②</w:t>
      </w:r>
      <w:r>
        <w:rPr>
          <w:rFonts w:hint="eastAsia" w:ascii="Times New Roman" w:hAnsi="Times New Roman" w:eastAsia="宋体" w:cs="Times New Roman"/>
          <w:color w:val="000000"/>
          <w:kern w:val="0"/>
          <w:sz w:val="24"/>
          <w:szCs w:val="24"/>
          <w:lang w:val="en-US" w:eastAsia="zh-CN" w:bidi="ar"/>
        </w:rPr>
        <w:t>替代削减污染源</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根据调查，评价区域内替代削减污染源为海城华宇镁砂有限公司项目拆扒的</w:t>
      </w:r>
      <w:r>
        <w:rPr>
          <w:rFonts w:hint="default" w:ascii="Times New Roman" w:hAnsi="Times New Roman" w:eastAsia="宋体" w:cs="Times New Roman"/>
          <w:color w:val="000000"/>
          <w:kern w:val="0"/>
          <w:sz w:val="24"/>
          <w:szCs w:val="24"/>
          <w:lang w:val="en-US" w:eastAsia="zh-CN" w:bidi="ar"/>
        </w:rPr>
        <w:t>34</w:t>
      </w:r>
      <w:r>
        <w:rPr>
          <w:rFonts w:hint="eastAsia" w:ascii="Times New Roman" w:hAnsi="Times New Roman" w:eastAsia="宋体" w:cs="Times New Roman"/>
          <w:color w:val="000000"/>
          <w:kern w:val="0"/>
          <w:sz w:val="24"/>
          <w:szCs w:val="24"/>
          <w:lang w:val="en-US" w:eastAsia="zh-CN" w:bidi="ar"/>
        </w:rPr>
        <w:t>座轻烧窑、</w:t>
      </w:r>
      <w:r>
        <w:rPr>
          <w:rFonts w:hint="default" w:ascii="Times New Roman" w:hAnsi="Times New Roman" w:eastAsia="宋体" w:cs="Times New Roman"/>
          <w:color w:val="000000"/>
          <w:kern w:val="0"/>
          <w:sz w:val="24"/>
          <w:szCs w:val="24"/>
          <w:lang w:val="en-US" w:eastAsia="zh-CN" w:bidi="ar"/>
        </w:rPr>
        <w:t>18</w:t>
      </w:r>
      <w:r>
        <w:rPr>
          <w:rFonts w:hint="eastAsia" w:ascii="Times New Roman" w:hAnsi="Times New Roman" w:eastAsia="宋体" w:cs="Times New Roman"/>
          <w:color w:val="000000"/>
          <w:kern w:val="0"/>
          <w:sz w:val="24"/>
          <w:szCs w:val="24"/>
          <w:lang w:val="en-US" w:eastAsia="zh-CN" w:bidi="ar"/>
        </w:rPr>
        <w:t>座重烧窑和</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座中档窑，污染源的源强参数及排放条件见表</w:t>
      </w:r>
      <w:r>
        <w:rPr>
          <w:rFonts w:hint="default" w:ascii="Times New Roman" w:hAnsi="Times New Roman" w:eastAsia="宋体" w:cs="Times New Roman"/>
          <w:color w:val="000000"/>
          <w:kern w:val="0"/>
          <w:sz w:val="24"/>
          <w:szCs w:val="24"/>
          <w:lang w:val="en-US" w:eastAsia="zh-CN" w:bidi="ar"/>
        </w:rPr>
        <w:t>5.2-11</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5.2-10  </w:t>
      </w:r>
      <w:r>
        <w:rPr>
          <w:rFonts w:hint="eastAsia" w:ascii="Times New Roman" w:hAnsi="Times New Roman" w:eastAsia="黑体" w:cs="Times New Roman"/>
          <w:color w:val="000000"/>
          <w:kern w:val="0"/>
          <w:sz w:val="24"/>
          <w:szCs w:val="24"/>
          <w:lang w:val="en-US" w:eastAsia="zh-CN" w:bidi="ar"/>
        </w:rPr>
        <w:t>替代削减污染源预测源强及相关参数统计表</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shd w:val="clear"/>
        <w:tblLayout w:type="fixed"/>
        <w:tblCellMar>
          <w:top w:w="0" w:type="dxa"/>
          <w:left w:w="108" w:type="dxa"/>
          <w:bottom w:w="0" w:type="dxa"/>
          <w:right w:w="108" w:type="dxa"/>
        </w:tblCellMar>
      </w:tblPr>
      <w:tblGrid>
        <w:gridCol w:w="1101"/>
        <w:gridCol w:w="850"/>
        <w:gridCol w:w="852"/>
        <w:gridCol w:w="850"/>
        <w:gridCol w:w="851"/>
        <w:gridCol w:w="1105"/>
        <w:gridCol w:w="767"/>
        <w:gridCol w:w="768"/>
        <w:gridCol w:w="767"/>
        <w:gridCol w:w="769"/>
      </w:tblGrid>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shd w:val="clear"/>
          <w:tblCellMar>
            <w:top w:w="0" w:type="dxa"/>
            <w:left w:w="108" w:type="dxa"/>
            <w:bottom w:w="0" w:type="dxa"/>
            <w:right w:w="108" w:type="dxa"/>
          </w:tblCellMar>
        </w:tblPrEx>
        <w:trPr>
          <w:trHeight w:val="452" w:hRule="atLeast"/>
          <w:tblHeader/>
        </w:trPr>
        <w:tc>
          <w:tcPr>
            <w:tcW w:w="1101" w:type="dxa"/>
            <w:vMerge w:val="restart"/>
            <w:tcBorders>
              <w:top w:val="thinThickSmallGap" w:color="auto" w:sz="12" w:space="0"/>
              <w:left w:val="nil"/>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污染源</w:t>
            </w:r>
          </w:p>
        </w:tc>
        <w:tc>
          <w:tcPr>
            <w:tcW w:w="1702" w:type="dxa"/>
            <w:gridSpan w:val="2"/>
            <w:tcBorders>
              <w:top w:val="thinThickSmallGap" w:color="auto" w:sz="12"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坐标（</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850" w:type="dxa"/>
            <w:vMerge w:val="restart"/>
            <w:tcBorders>
              <w:top w:val="thinThickSmallGap" w:color="auto" w:sz="12"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排气筒底部海拔高度（</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851" w:type="dxa"/>
            <w:vMerge w:val="restart"/>
            <w:tcBorders>
              <w:top w:val="thinThickSmallGap" w:color="auto" w:sz="12"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污染物</w:t>
            </w:r>
          </w:p>
        </w:tc>
        <w:tc>
          <w:tcPr>
            <w:tcW w:w="1105" w:type="dxa"/>
            <w:vMerge w:val="restart"/>
            <w:tcBorders>
              <w:top w:val="thinThickSmallGap" w:color="auto" w:sz="12"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排放源强</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kg/h</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1535" w:type="dxa"/>
            <w:gridSpan w:val="2"/>
            <w:tcBorders>
              <w:top w:val="thinThickSmallGap" w:color="auto" w:sz="12"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排放参数</w:t>
            </w:r>
          </w:p>
        </w:tc>
        <w:tc>
          <w:tcPr>
            <w:tcW w:w="1536" w:type="dxa"/>
            <w:gridSpan w:val="2"/>
            <w:tcBorders>
              <w:top w:val="thinThickSmallGap" w:color="auto" w:sz="12" w:space="0"/>
              <w:left w:val="single" w:color="000000" w:sz="6" w:space="0"/>
              <w:bottom w:val="single" w:color="000000" w:sz="6" w:space="0"/>
              <w:right w:val="nil"/>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排气条件</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blHeader/>
        </w:trPr>
        <w:tc>
          <w:tcPr>
            <w:tcW w:w="1101" w:type="dxa"/>
            <w:vMerge w:val="continue"/>
            <w:tcBorders>
              <w:top w:val="thinThickSmallGap" w:color="auto" w:sz="12" w:space="0"/>
              <w:left w:val="nil"/>
              <w:bottom w:val="single" w:color="000000" w:sz="6" w:space="0"/>
              <w:right w:val="single" w:color="000000" w:sz="6" w:space="0"/>
            </w:tcBorders>
            <w:shd w:val="clear" w:color="auto" w:fill="E0E0E0"/>
            <w:vAlign w:val="center"/>
          </w:tcPr>
          <w:p>
            <w:pPr>
              <w:rPr>
                <w:rFonts w:hint="default" w:ascii="Times New Roman" w:hAnsi="Times New Roman" w:cs="Times New Roman"/>
                <w:sz w:val="20"/>
                <w:szCs w:val="20"/>
              </w:rPr>
            </w:pPr>
          </w:p>
        </w:tc>
        <w:tc>
          <w:tcPr>
            <w:tcW w:w="850" w:type="dxa"/>
            <w:tcBorders>
              <w:top w:val="single" w:color="000000" w:sz="6"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X</w:t>
            </w:r>
          </w:p>
        </w:tc>
        <w:tc>
          <w:tcPr>
            <w:tcW w:w="851" w:type="dxa"/>
            <w:tcBorders>
              <w:top w:val="single" w:color="000000" w:sz="6"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Y</w:t>
            </w:r>
          </w:p>
        </w:tc>
        <w:tc>
          <w:tcPr>
            <w:tcW w:w="850" w:type="dxa"/>
            <w:vMerge w:val="continue"/>
            <w:tcBorders>
              <w:top w:val="thinThickSmallGap" w:color="auto" w:sz="12" w:space="0"/>
              <w:left w:val="single" w:color="000000" w:sz="6" w:space="0"/>
              <w:bottom w:val="single" w:color="000000" w:sz="6" w:space="0"/>
              <w:right w:val="single" w:color="000000" w:sz="6" w:space="0"/>
            </w:tcBorders>
            <w:shd w:val="clear" w:color="auto" w:fill="E0E0E0"/>
            <w:vAlign w:val="center"/>
          </w:tcPr>
          <w:p>
            <w:pPr>
              <w:rPr>
                <w:rFonts w:hint="default" w:ascii="Times New Roman" w:hAnsi="Times New Roman" w:cs="Times New Roman"/>
                <w:sz w:val="20"/>
                <w:szCs w:val="20"/>
              </w:rPr>
            </w:pPr>
          </w:p>
        </w:tc>
        <w:tc>
          <w:tcPr>
            <w:tcW w:w="851" w:type="dxa"/>
            <w:vMerge w:val="continue"/>
            <w:tcBorders>
              <w:top w:val="thinThickSmallGap" w:color="auto" w:sz="12" w:space="0"/>
              <w:left w:val="single" w:color="000000" w:sz="6" w:space="0"/>
              <w:bottom w:val="single" w:color="000000" w:sz="6" w:space="0"/>
              <w:right w:val="single" w:color="000000" w:sz="6" w:space="0"/>
            </w:tcBorders>
            <w:shd w:val="clear" w:color="auto" w:fill="E0E0E0"/>
            <w:vAlign w:val="center"/>
          </w:tcPr>
          <w:p>
            <w:pPr>
              <w:rPr>
                <w:rFonts w:hint="default" w:ascii="Times New Roman" w:hAnsi="Times New Roman" w:cs="Times New Roman"/>
                <w:sz w:val="20"/>
                <w:szCs w:val="20"/>
              </w:rPr>
            </w:pPr>
          </w:p>
        </w:tc>
        <w:tc>
          <w:tcPr>
            <w:tcW w:w="1105" w:type="dxa"/>
            <w:vMerge w:val="continue"/>
            <w:tcBorders>
              <w:top w:val="thinThickSmallGap" w:color="auto" w:sz="12" w:space="0"/>
              <w:left w:val="single" w:color="000000" w:sz="6" w:space="0"/>
              <w:bottom w:val="single" w:color="000000" w:sz="6" w:space="0"/>
              <w:right w:val="single" w:color="000000" w:sz="6" w:space="0"/>
            </w:tcBorders>
            <w:shd w:val="clear" w:color="auto" w:fill="E0E0E0"/>
            <w:vAlign w:val="center"/>
          </w:tcPr>
          <w:p>
            <w:pPr>
              <w:rPr>
                <w:rFonts w:hint="default" w:ascii="Times New Roman" w:hAnsi="Times New Roman" w:cs="Times New Roman"/>
                <w:sz w:val="20"/>
                <w:szCs w:val="20"/>
              </w:rPr>
            </w:pPr>
          </w:p>
        </w:tc>
        <w:tc>
          <w:tcPr>
            <w:tcW w:w="767" w:type="dxa"/>
            <w:tcBorders>
              <w:top w:val="single" w:color="000000" w:sz="6"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高度</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768" w:type="dxa"/>
            <w:tcBorders>
              <w:top w:val="single" w:color="000000" w:sz="6"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出口</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内径</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767" w:type="dxa"/>
            <w:tcBorders>
              <w:top w:val="single" w:color="000000" w:sz="6"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烟气</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温度</w:t>
            </w:r>
            <w:r>
              <w:rPr>
                <w:rFonts w:hint="default" w:ascii="Times New Roman" w:hAnsi="Times New Roman" w:eastAsia="宋体" w:cs="Times New Roman"/>
                <w:color w:val="000000"/>
                <w:kern w:val="0"/>
                <w:sz w:val="21"/>
                <w:szCs w:val="21"/>
                <w:bdr w:val="none" w:color="auto" w:sz="0" w:space="0"/>
                <w:lang w:val="en-US" w:eastAsia="zh-CN" w:bidi="ar"/>
              </w:rPr>
              <w:t>(℃)</w:t>
            </w:r>
          </w:p>
        </w:tc>
        <w:tc>
          <w:tcPr>
            <w:tcW w:w="769" w:type="dxa"/>
            <w:tcBorders>
              <w:top w:val="single" w:color="000000" w:sz="6" w:space="0"/>
              <w:left w:val="single" w:color="000000" w:sz="6" w:space="0"/>
              <w:bottom w:val="single" w:color="000000" w:sz="6" w:space="0"/>
              <w:right w:val="nil"/>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流速</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(m/s)</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rPr>
        <w:tc>
          <w:tcPr>
            <w:tcW w:w="1101" w:type="dxa"/>
            <w:tcBorders>
              <w:top w:val="single" w:color="000000" w:sz="6" w:space="0"/>
              <w:left w:val="nil"/>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w:t>
            </w:r>
            <w:r>
              <w:rPr>
                <w:rFonts w:hint="eastAsia" w:ascii="Times New Roman" w:hAnsi="Times New Roman" w:eastAsia="宋体" w:cs="Times New Roman"/>
                <w:color w:val="000000"/>
                <w:kern w:val="0"/>
                <w:sz w:val="21"/>
                <w:szCs w:val="21"/>
                <w:bdr w:val="none" w:color="auto" w:sz="0" w:space="0"/>
                <w:lang w:val="en-US" w:eastAsia="zh-CN" w:bidi="ar"/>
              </w:rPr>
              <w:t>座轻烧</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-159.16</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802.35</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70.44</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05"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p>
        </w:tc>
        <w:tc>
          <w:tcPr>
            <w:tcW w:w="768"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0.95</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120</w:t>
            </w:r>
          </w:p>
        </w:tc>
        <w:tc>
          <w:tcPr>
            <w:tcW w:w="769" w:type="dxa"/>
            <w:tcBorders>
              <w:top w:val="single" w:color="000000" w:sz="6" w:space="0"/>
              <w:left w:val="single" w:color="000000" w:sz="6" w:space="0"/>
              <w:bottom w:val="single" w:color="000000"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22.1</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rPr>
        <w:tc>
          <w:tcPr>
            <w:tcW w:w="1101" w:type="dxa"/>
            <w:tcBorders>
              <w:top w:val="single" w:color="000000" w:sz="6" w:space="0"/>
              <w:left w:val="nil"/>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w:t>
            </w:r>
            <w:r>
              <w:rPr>
                <w:rFonts w:hint="eastAsia" w:ascii="Times New Roman" w:hAnsi="Times New Roman" w:eastAsia="宋体" w:cs="Times New Roman"/>
                <w:color w:val="000000"/>
                <w:kern w:val="0"/>
                <w:sz w:val="21"/>
                <w:szCs w:val="21"/>
                <w:bdr w:val="none" w:color="auto" w:sz="0" w:space="0"/>
                <w:lang w:val="en-US" w:eastAsia="zh-CN" w:bidi="ar"/>
              </w:rPr>
              <w:t>座轻烧</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-56.5</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806.88</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72.13</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05"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p>
        </w:tc>
        <w:tc>
          <w:tcPr>
            <w:tcW w:w="768"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0.95</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120</w:t>
            </w:r>
          </w:p>
        </w:tc>
        <w:tc>
          <w:tcPr>
            <w:tcW w:w="769" w:type="dxa"/>
            <w:tcBorders>
              <w:top w:val="single" w:color="000000" w:sz="6" w:space="0"/>
              <w:left w:val="single" w:color="000000" w:sz="6" w:space="0"/>
              <w:bottom w:val="single" w:color="000000"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22.1</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rPr>
        <w:tc>
          <w:tcPr>
            <w:tcW w:w="1101" w:type="dxa"/>
            <w:tcBorders>
              <w:top w:val="single" w:color="000000" w:sz="6" w:space="0"/>
              <w:left w:val="nil"/>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14</w:t>
            </w:r>
            <w:r>
              <w:rPr>
                <w:rFonts w:hint="eastAsia" w:ascii="Times New Roman" w:hAnsi="Times New Roman" w:eastAsia="宋体" w:cs="Times New Roman"/>
                <w:color w:val="000000"/>
                <w:kern w:val="0"/>
                <w:sz w:val="21"/>
                <w:szCs w:val="21"/>
                <w:bdr w:val="none" w:color="auto" w:sz="0" w:space="0"/>
                <w:lang w:val="en-US" w:eastAsia="zh-CN" w:bidi="ar"/>
              </w:rPr>
              <w:t>座轻烧</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136.73</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722.34</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109.86</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05"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1.6</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p>
        </w:tc>
        <w:tc>
          <w:tcPr>
            <w:tcW w:w="768"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0.95</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120</w:t>
            </w:r>
          </w:p>
        </w:tc>
        <w:tc>
          <w:tcPr>
            <w:tcW w:w="769" w:type="dxa"/>
            <w:tcBorders>
              <w:top w:val="single" w:color="000000" w:sz="6" w:space="0"/>
              <w:left w:val="single" w:color="000000" w:sz="6" w:space="0"/>
              <w:bottom w:val="single" w:color="000000"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23.5</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rPr>
        <w:tc>
          <w:tcPr>
            <w:tcW w:w="1101" w:type="dxa"/>
            <w:tcBorders>
              <w:top w:val="single" w:color="000000" w:sz="6" w:space="0"/>
              <w:left w:val="nil"/>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w:t>
            </w:r>
            <w:r>
              <w:rPr>
                <w:rFonts w:hint="eastAsia" w:ascii="Times New Roman" w:hAnsi="Times New Roman" w:eastAsia="宋体" w:cs="Times New Roman"/>
                <w:color w:val="000000"/>
                <w:kern w:val="0"/>
                <w:sz w:val="21"/>
                <w:szCs w:val="21"/>
                <w:bdr w:val="none" w:color="auto" w:sz="0" w:space="0"/>
                <w:lang w:val="en-US" w:eastAsia="zh-CN" w:bidi="ar"/>
              </w:rPr>
              <w:t>座重烧</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5.39</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1071.06</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89.43</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05"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p>
        </w:tc>
        <w:tc>
          <w:tcPr>
            <w:tcW w:w="768"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0.95</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100</w:t>
            </w:r>
          </w:p>
        </w:tc>
        <w:tc>
          <w:tcPr>
            <w:tcW w:w="769" w:type="dxa"/>
            <w:tcBorders>
              <w:top w:val="single" w:color="000000" w:sz="6" w:space="0"/>
              <w:left w:val="single" w:color="000000" w:sz="6" w:space="0"/>
              <w:bottom w:val="single" w:color="000000"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23.5</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rPr>
        <w:tc>
          <w:tcPr>
            <w:tcW w:w="1101" w:type="dxa"/>
            <w:tcBorders>
              <w:top w:val="single" w:color="000000" w:sz="6" w:space="0"/>
              <w:left w:val="nil"/>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w:t>
            </w:r>
            <w:r>
              <w:rPr>
                <w:rFonts w:hint="eastAsia" w:ascii="Times New Roman" w:hAnsi="Times New Roman" w:eastAsia="宋体" w:cs="Times New Roman"/>
                <w:color w:val="000000"/>
                <w:kern w:val="0"/>
                <w:sz w:val="21"/>
                <w:szCs w:val="21"/>
                <w:bdr w:val="none" w:color="auto" w:sz="0" w:space="0"/>
                <w:lang w:val="en-US" w:eastAsia="zh-CN" w:bidi="ar"/>
              </w:rPr>
              <w:t>座重烧</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-198.41</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1052.95</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71.55</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05"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p>
        </w:tc>
        <w:tc>
          <w:tcPr>
            <w:tcW w:w="768"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0.95</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100</w:t>
            </w:r>
          </w:p>
        </w:tc>
        <w:tc>
          <w:tcPr>
            <w:tcW w:w="769" w:type="dxa"/>
            <w:tcBorders>
              <w:top w:val="single" w:color="000000" w:sz="6" w:space="0"/>
              <w:left w:val="single" w:color="000000" w:sz="6" w:space="0"/>
              <w:bottom w:val="single" w:color="000000"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31.3</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rPr>
        <w:tc>
          <w:tcPr>
            <w:tcW w:w="1101" w:type="dxa"/>
            <w:tcBorders>
              <w:top w:val="single" w:color="000000" w:sz="6" w:space="0"/>
              <w:left w:val="nil"/>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w:t>
            </w:r>
            <w:r>
              <w:rPr>
                <w:rFonts w:hint="eastAsia" w:ascii="Times New Roman" w:hAnsi="Times New Roman" w:eastAsia="宋体" w:cs="Times New Roman"/>
                <w:color w:val="000000"/>
                <w:kern w:val="0"/>
                <w:sz w:val="21"/>
                <w:szCs w:val="21"/>
                <w:bdr w:val="none" w:color="auto" w:sz="0" w:space="0"/>
                <w:lang w:val="en-US" w:eastAsia="zh-CN" w:bidi="ar"/>
              </w:rPr>
              <w:t>座重烧</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-367.48</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950.29</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78.29</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05"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p>
        </w:tc>
        <w:tc>
          <w:tcPr>
            <w:tcW w:w="768"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0.95</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100</w:t>
            </w:r>
          </w:p>
        </w:tc>
        <w:tc>
          <w:tcPr>
            <w:tcW w:w="769" w:type="dxa"/>
            <w:tcBorders>
              <w:top w:val="single" w:color="000000" w:sz="6" w:space="0"/>
              <w:left w:val="single" w:color="000000" w:sz="6" w:space="0"/>
              <w:bottom w:val="single" w:color="000000"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19.6</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rPr>
        <w:tc>
          <w:tcPr>
            <w:tcW w:w="1101" w:type="dxa"/>
            <w:tcBorders>
              <w:top w:val="single" w:color="000000" w:sz="6" w:space="0"/>
              <w:left w:val="nil"/>
              <w:bottom w:val="thickThinSmallGap" w:color="auto" w:sz="12"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r>
              <w:rPr>
                <w:rFonts w:hint="eastAsia" w:ascii="Times New Roman" w:hAnsi="Times New Roman" w:eastAsia="宋体" w:cs="Times New Roman"/>
                <w:color w:val="000000"/>
                <w:kern w:val="0"/>
                <w:sz w:val="21"/>
                <w:szCs w:val="21"/>
                <w:bdr w:val="none" w:color="auto" w:sz="0" w:space="0"/>
                <w:lang w:val="en-US" w:eastAsia="zh-CN" w:bidi="ar"/>
              </w:rPr>
              <w:t>座中档</w:t>
            </w:r>
          </w:p>
        </w:tc>
        <w:tc>
          <w:tcPr>
            <w:tcW w:w="850"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-267.85</w:t>
            </w:r>
          </w:p>
        </w:tc>
        <w:tc>
          <w:tcPr>
            <w:tcW w:w="851"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1169.19</w:t>
            </w:r>
          </w:p>
        </w:tc>
        <w:tc>
          <w:tcPr>
            <w:tcW w:w="850"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68.54</w:t>
            </w:r>
          </w:p>
        </w:tc>
        <w:tc>
          <w:tcPr>
            <w:tcW w:w="851"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05"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3.4</w:t>
            </w:r>
          </w:p>
        </w:tc>
        <w:tc>
          <w:tcPr>
            <w:tcW w:w="767"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p>
        </w:tc>
        <w:tc>
          <w:tcPr>
            <w:tcW w:w="768"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0.95</w:t>
            </w:r>
          </w:p>
        </w:tc>
        <w:tc>
          <w:tcPr>
            <w:tcW w:w="767"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150</w:t>
            </w:r>
          </w:p>
        </w:tc>
        <w:tc>
          <w:tcPr>
            <w:tcW w:w="769" w:type="dxa"/>
            <w:tcBorders>
              <w:top w:val="single" w:color="000000" w:sz="6" w:space="0"/>
              <w:left w:val="single" w:color="000000"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19.6</w:t>
            </w:r>
          </w:p>
        </w:tc>
      </w:tr>
    </w:tbl>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Times New Roman"/>
          <w:color w:val="000000"/>
          <w:kern w:val="0"/>
          <w:sz w:val="24"/>
          <w:szCs w:val="24"/>
          <w:lang w:val="en-US" w:eastAsia="zh-CN" w:bidi="ar"/>
        </w:rPr>
        <w:t>③</w:t>
      </w:r>
      <w:r>
        <w:rPr>
          <w:rFonts w:hint="eastAsia" w:ascii="Times New Roman" w:hAnsi="Times New Roman" w:eastAsia="宋体" w:cs="Times New Roman"/>
          <w:color w:val="000000"/>
          <w:kern w:val="0"/>
          <w:sz w:val="24"/>
          <w:szCs w:val="24"/>
          <w:lang w:val="en-US" w:eastAsia="zh-CN" w:bidi="ar"/>
        </w:rPr>
        <w:t>在建、拟建污染源</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根据区域污染源调查及其环评报告，评价区域内在建、拟建项目为辽宁华子玉镁铝科技有限公司低品位菱镁矿经浮选电熔后生产</w:t>
      </w:r>
      <w:r>
        <w:rPr>
          <w:rFonts w:hint="default" w:ascii="Times New Roman" w:hAnsi="Times New Roman" w:eastAsia="宋体" w:cs="Times New Roman"/>
          <w:color w:val="000000"/>
          <w:kern w:val="0"/>
          <w:sz w:val="24"/>
          <w:szCs w:val="24"/>
          <w:lang w:val="en-US" w:eastAsia="zh-CN" w:bidi="ar"/>
        </w:rPr>
        <w:t>12</w:t>
      </w:r>
      <w:r>
        <w:rPr>
          <w:rFonts w:hint="eastAsia" w:ascii="Times New Roman" w:hAnsi="Times New Roman" w:eastAsia="宋体" w:cs="Times New Roman"/>
          <w:color w:val="000000"/>
          <w:kern w:val="0"/>
          <w:sz w:val="24"/>
          <w:szCs w:val="24"/>
          <w:lang w:val="en-US" w:eastAsia="zh-CN" w:bidi="ar"/>
        </w:rPr>
        <w:t>万吨</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年镁碳砖生产线项目，该项目污染源的源强参数及排放条件见表</w:t>
      </w:r>
      <w:r>
        <w:rPr>
          <w:rFonts w:hint="default" w:ascii="Times New Roman" w:hAnsi="Times New Roman" w:eastAsia="宋体" w:cs="Times New Roman"/>
          <w:color w:val="000000"/>
          <w:kern w:val="0"/>
          <w:sz w:val="24"/>
          <w:szCs w:val="24"/>
          <w:lang w:val="en-US" w:eastAsia="zh-CN" w:bidi="ar"/>
        </w:rPr>
        <w:t>5.2-11</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5.2-11  </w:t>
      </w:r>
      <w:r>
        <w:rPr>
          <w:rFonts w:hint="eastAsia" w:ascii="Times New Roman" w:hAnsi="Times New Roman" w:eastAsia="黑体" w:cs="Times New Roman"/>
          <w:color w:val="000000"/>
          <w:kern w:val="0"/>
          <w:sz w:val="24"/>
          <w:szCs w:val="24"/>
          <w:lang w:val="en-US" w:eastAsia="zh-CN" w:bidi="ar"/>
        </w:rPr>
        <w:t>在建、拟建污染源预测源强及相关参数统计表</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shd w:val="clear"/>
        <w:tblLayout w:type="fixed"/>
        <w:tblCellMar>
          <w:top w:w="0" w:type="dxa"/>
          <w:left w:w="108" w:type="dxa"/>
          <w:bottom w:w="0" w:type="dxa"/>
          <w:right w:w="108" w:type="dxa"/>
        </w:tblCellMar>
      </w:tblPr>
      <w:tblGrid>
        <w:gridCol w:w="1101"/>
        <w:gridCol w:w="850"/>
        <w:gridCol w:w="852"/>
        <w:gridCol w:w="850"/>
        <w:gridCol w:w="851"/>
        <w:gridCol w:w="1105"/>
        <w:gridCol w:w="767"/>
        <w:gridCol w:w="768"/>
        <w:gridCol w:w="767"/>
        <w:gridCol w:w="769"/>
      </w:tblGrid>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shd w:val="clear"/>
          <w:tblCellMar>
            <w:top w:w="0" w:type="dxa"/>
            <w:left w:w="108" w:type="dxa"/>
            <w:bottom w:w="0" w:type="dxa"/>
            <w:right w:w="108" w:type="dxa"/>
          </w:tblCellMar>
        </w:tblPrEx>
        <w:trPr>
          <w:trHeight w:val="452" w:hRule="atLeast"/>
          <w:tblHeader/>
        </w:trPr>
        <w:tc>
          <w:tcPr>
            <w:tcW w:w="1101" w:type="dxa"/>
            <w:vMerge w:val="restart"/>
            <w:tcBorders>
              <w:top w:val="thinThickSmallGap" w:color="auto" w:sz="12" w:space="0"/>
              <w:left w:val="nil"/>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污染源</w:t>
            </w:r>
          </w:p>
        </w:tc>
        <w:tc>
          <w:tcPr>
            <w:tcW w:w="1702" w:type="dxa"/>
            <w:gridSpan w:val="2"/>
            <w:tcBorders>
              <w:top w:val="thinThickSmallGap" w:color="auto" w:sz="12"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坐标（</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850" w:type="dxa"/>
            <w:vMerge w:val="restart"/>
            <w:tcBorders>
              <w:top w:val="thinThickSmallGap" w:color="auto" w:sz="12"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排气筒底部海拔高度（</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851" w:type="dxa"/>
            <w:vMerge w:val="restart"/>
            <w:tcBorders>
              <w:top w:val="thinThickSmallGap" w:color="auto" w:sz="12"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污染物</w:t>
            </w:r>
          </w:p>
        </w:tc>
        <w:tc>
          <w:tcPr>
            <w:tcW w:w="1105" w:type="dxa"/>
            <w:vMerge w:val="restart"/>
            <w:tcBorders>
              <w:top w:val="thinThickSmallGap" w:color="auto" w:sz="12"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排放源强</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kg/h</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1535" w:type="dxa"/>
            <w:gridSpan w:val="2"/>
            <w:tcBorders>
              <w:top w:val="thinThickSmallGap" w:color="auto" w:sz="12"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排放参数</w:t>
            </w:r>
          </w:p>
        </w:tc>
        <w:tc>
          <w:tcPr>
            <w:tcW w:w="1536" w:type="dxa"/>
            <w:gridSpan w:val="2"/>
            <w:tcBorders>
              <w:top w:val="thinThickSmallGap" w:color="auto" w:sz="12" w:space="0"/>
              <w:left w:val="single" w:color="000000" w:sz="6" w:space="0"/>
              <w:bottom w:val="single" w:color="000000" w:sz="6" w:space="0"/>
              <w:right w:val="nil"/>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排气条件</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blHeader/>
        </w:trPr>
        <w:tc>
          <w:tcPr>
            <w:tcW w:w="1101" w:type="dxa"/>
            <w:vMerge w:val="continue"/>
            <w:tcBorders>
              <w:top w:val="thinThickSmallGap" w:color="auto" w:sz="12" w:space="0"/>
              <w:left w:val="nil"/>
              <w:bottom w:val="single" w:color="000000" w:sz="6" w:space="0"/>
              <w:right w:val="single" w:color="000000" w:sz="6" w:space="0"/>
            </w:tcBorders>
            <w:shd w:val="clear" w:color="auto" w:fill="E0E0E0"/>
            <w:vAlign w:val="center"/>
          </w:tcPr>
          <w:p>
            <w:pPr>
              <w:rPr>
                <w:rFonts w:hint="default" w:ascii="Times New Roman" w:hAnsi="Times New Roman" w:cs="Times New Roman"/>
                <w:sz w:val="20"/>
                <w:szCs w:val="20"/>
              </w:rPr>
            </w:pPr>
          </w:p>
        </w:tc>
        <w:tc>
          <w:tcPr>
            <w:tcW w:w="850" w:type="dxa"/>
            <w:tcBorders>
              <w:top w:val="single" w:color="000000" w:sz="6"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X</w:t>
            </w:r>
          </w:p>
        </w:tc>
        <w:tc>
          <w:tcPr>
            <w:tcW w:w="851" w:type="dxa"/>
            <w:tcBorders>
              <w:top w:val="single" w:color="000000" w:sz="6"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Y</w:t>
            </w:r>
          </w:p>
        </w:tc>
        <w:tc>
          <w:tcPr>
            <w:tcW w:w="850" w:type="dxa"/>
            <w:vMerge w:val="continue"/>
            <w:tcBorders>
              <w:top w:val="thinThickSmallGap" w:color="auto" w:sz="12" w:space="0"/>
              <w:left w:val="single" w:color="000000" w:sz="6" w:space="0"/>
              <w:bottom w:val="single" w:color="000000" w:sz="6" w:space="0"/>
              <w:right w:val="single" w:color="000000" w:sz="6" w:space="0"/>
            </w:tcBorders>
            <w:shd w:val="clear" w:color="auto" w:fill="E0E0E0"/>
            <w:vAlign w:val="center"/>
          </w:tcPr>
          <w:p>
            <w:pPr>
              <w:rPr>
                <w:rFonts w:hint="default" w:ascii="Times New Roman" w:hAnsi="Times New Roman" w:cs="Times New Roman"/>
                <w:sz w:val="20"/>
                <w:szCs w:val="20"/>
              </w:rPr>
            </w:pPr>
          </w:p>
        </w:tc>
        <w:tc>
          <w:tcPr>
            <w:tcW w:w="851" w:type="dxa"/>
            <w:vMerge w:val="continue"/>
            <w:tcBorders>
              <w:top w:val="thinThickSmallGap" w:color="auto" w:sz="12" w:space="0"/>
              <w:left w:val="single" w:color="000000" w:sz="6" w:space="0"/>
              <w:bottom w:val="single" w:color="000000" w:sz="6" w:space="0"/>
              <w:right w:val="single" w:color="000000" w:sz="6" w:space="0"/>
            </w:tcBorders>
            <w:shd w:val="clear" w:color="auto" w:fill="E0E0E0"/>
            <w:vAlign w:val="center"/>
          </w:tcPr>
          <w:p>
            <w:pPr>
              <w:rPr>
                <w:rFonts w:hint="default" w:ascii="Times New Roman" w:hAnsi="Times New Roman" w:cs="Times New Roman"/>
                <w:sz w:val="20"/>
                <w:szCs w:val="20"/>
              </w:rPr>
            </w:pPr>
          </w:p>
        </w:tc>
        <w:tc>
          <w:tcPr>
            <w:tcW w:w="1105" w:type="dxa"/>
            <w:vMerge w:val="continue"/>
            <w:tcBorders>
              <w:top w:val="thinThickSmallGap" w:color="auto" w:sz="12" w:space="0"/>
              <w:left w:val="single" w:color="000000" w:sz="6" w:space="0"/>
              <w:bottom w:val="single" w:color="000000" w:sz="6" w:space="0"/>
              <w:right w:val="single" w:color="000000" w:sz="6" w:space="0"/>
            </w:tcBorders>
            <w:shd w:val="clear" w:color="auto" w:fill="E0E0E0"/>
            <w:vAlign w:val="center"/>
          </w:tcPr>
          <w:p>
            <w:pPr>
              <w:rPr>
                <w:rFonts w:hint="default" w:ascii="Times New Roman" w:hAnsi="Times New Roman" w:cs="Times New Roman"/>
                <w:sz w:val="20"/>
                <w:szCs w:val="20"/>
              </w:rPr>
            </w:pPr>
          </w:p>
        </w:tc>
        <w:tc>
          <w:tcPr>
            <w:tcW w:w="767" w:type="dxa"/>
            <w:tcBorders>
              <w:top w:val="single" w:color="000000" w:sz="6"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高度</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768" w:type="dxa"/>
            <w:tcBorders>
              <w:top w:val="single" w:color="000000" w:sz="6"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出口</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内径</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767" w:type="dxa"/>
            <w:tcBorders>
              <w:top w:val="single" w:color="000000" w:sz="6" w:space="0"/>
              <w:left w:val="single" w:color="000000" w:sz="6" w:space="0"/>
              <w:bottom w:val="single" w:color="000000" w:sz="6" w:space="0"/>
              <w:right w:val="single" w:color="000000" w:sz="6"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烟气</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温度</w:t>
            </w:r>
            <w:r>
              <w:rPr>
                <w:rFonts w:hint="default" w:ascii="Times New Roman" w:hAnsi="Times New Roman" w:eastAsia="宋体" w:cs="Times New Roman"/>
                <w:color w:val="000000"/>
                <w:kern w:val="0"/>
                <w:sz w:val="21"/>
                <w:szCs w:val="21"/>
                <w:bdr w:val="none" w:color="auto" w:sz="0" w:space="0"/>
                <w:lang w:val="en-US" w:eastAsia="zh-CN" w:bidi="ar"/>
              </w:rPr>
              <w:t>(℃)</w:t>
            </w:r>
          </w:p>
        </w:tc>
        <w:tc>
          <w:tcPr>
            <w:tcW w:w="769" w:type="dxa"/>
            <w:tcBorders>
              <w:top w:val="single" w:color="000000" w:sz="6" w:space="0"/>
              <w:left w:val="single" w:color="000000" w:sz="6" w:space="0"/>
              <w:bottom w:val="single" w:color="000000" w:sz="6" w:space="0"/>
              <w:right w:val="nil"/>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流速</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(m/s)</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rPr>
        <w:tc>
          <w:tcPr>
            <w:tcW w:w="1101" w:type="dxa"/>
            <w:tcBorders>
              <w:top w:val="single" w:color="000000" w:sz="6" w:space="0"/>
              <w:left w:val="nil"/>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浮碎排气筒</w:t>
            </w:r>
            <w:r>
              <w:rPr>
                <w:rFonts w:hint="default" w:ascii="Times New Roman" w:hAnsi="Times New Roman" w:eastAsia="宋体" w:cs="Times New Roman"/>
                <w:color w:val="000000"/>
                <w:kern w:val="0"/>
                <w:sz w:val="21"/>
                <w:szCs w:val="21"/>
                <w:bdr w:val="none" w:color="auto" w:sz="0" w:space="0"/>
                <w:lang w:val="en-US" w:eastAsia="zh-CN" w:bidi="ar"/>
              </w:rPr>
              <w:t>P1-1</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312.35</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1175.4</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86.35</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05"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 xml:space="preserve">0.077 </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w:t>
            </w:r>
          </w:p>
        </w:tc>
        <w:tc>
          <w:tcPr>
            <w:tcW w:w="768"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0.8</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w:t>
            </w:r>
          </w:p>
        </w:tc>
        <w:tc>
          <w:tcPr>
            <w:tcW w:w="769" w:type="dxa"/>
            <w:tcBorders>
              <w:top w:val="single" w:color="000000" w:sz="6" w:space="0"/>
              <w:left w:val="single" w:color="000000" w:sz="6" w:space="0"/>
              <w:bottom w:val="single" w:color="000000" w:sz="6" w:space="0"/>
              <w:right w:val="nil"/>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 xml:space="preserve">14.93 </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rPr>
        <w:tc>
          <w:tcPr>
            <w:tcW w:w="1101" w:type="dxa"/>
            <w:tcBorders>
              <w:top w:val="single" w:color="000000" w:sz="6" w:space="0"/>
              <w:left w:val="nil"/>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压球排气筒</w:t>
            </w:r>
            <w:r>
              <w:rPr>
                <w:rFonts w:hint="default" w:ascii="Times New Roman" w:hAnsi="Times New Roman" w:eastAsia="宋体" w:cs="Times New Roman"/>
                <w:color w:val="000000"/>
                <w:kern w:val="0"/>
                <w:sz w:val="21"/>
                <w:szCs w:val="21"/>
                <w:bdr w:val="none" w:color="auto" w:sz="0" w:space="0"/>
                <w:lang w:val="en-US" w:eastAsia="zh-CN" w:bidi="ar"/>
              </w:rPr>
              <w:t>P2-1</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274.78</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1242.49</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76.8</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05"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0.032</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w:t>
            </w:r>
          </w:p>
        </w:tc>
        <w:tc>
          <w:tcPr>
            <w:tcW w:w="768"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0.4</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w:t>
            </w:r>
          </w:p>
        </w:tc>
        <w:tc>
          <w:tcPr>
            <w:tcW w:w="769" w:type="dxa"/>
            <w:tcBorders>
              <w:top w:val="single" w:color="000000" w:sz="6" w:space="0"/>
              <w:left w:val="single" w:color="000000" w:sz="6" w:space="0"/>
              <w:bottom w:val="single" w:color="000000" w:sz="6" w:space="0"/>
              <w:right w:val="nil"/>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 xml:space="preserve">11.06 </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rPr>
        <w:tc>
          <w:tcPr>
            <w:tcW w:w="1101" w:type="dxa"/>
            <w:tcBorders>
              <w:top w:val="single" w:color="000000" w:sz="6" w:space="0"/>
              <w:left w:val="nil"/>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r>
              <w:rPr>
                <w:rFonts w:hint="eastAsia" w:ascii="Times New Roman" w:hAnsi="Times New Roman" w:eastAsia="宋体" w:cs="Times New Roman"/>
                <w:color w:val="000000"/>
                <w:kern w:val="0"/>
                <w:sz w:val="21"/>
                <w:szCs w:val="21"/>
                <w:bdr w:val="none" w:color="auto" w:sz="0" w:space="0"/>
                <w:lang w:val="en-US" w:eastAsia="zh-CN" w:bidi="ar"/>
              </w:rPr>
              <w:t>电弧炉</w:t>
            </w:r>
            <w:r>
              <w:rPr>
                <w:rFonts w:hint="default" w:ascii="Times New Roman" w:hAnsi="Times New Roman" w:eastAsia="宋体" w:cs="Times New Roman"/>
                <w:color w:val="000000"/>
                <w:kern w:val="0"/>
                <w:sz w:val="21"/>
                <w:szCs w:val="21"/>
                <w:bdr w:val="none" w:color="auto" w:sz="0" w:space="0"/>
                <w:lang w:val="en-US" w:eastAsia="zh-CN" w:bidi="ar"/>
              </w:rPr>
              <w:t>P3-1</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415.47</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1121.01</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90.84</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05"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0.947</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p>
        </w:tc>
        <w:tc>
          <w:tcPr>
            <w:tcW w:w="768"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100</w:t>
            </w:r>
          </w:p>
        </w:tc>
        <w:tc>
          <w:tcPr>
            <w:tcW w:w="769" w:type="dxa"/>
            <w:tcBorders>
              <w:top w:val="single" w:color="000000" w:sz="6" w:space="0"/>
              <w:left w:val="single" w:color="000000" w:sz="6" w:space="0"/>
              <w:bottom w:val="single" w:color="000000" w:sz="6" w:space="0"/>
              <w:right w:val="nil"/>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 xml:space="preserve">8.85 </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rPr>
        <w:tc>
          <w:tcPr>
            <w:tcW w:w="1101" w:type="dxa"/>
            <w:tcBorders>
              <w:top w:val="single" w:color="000000" w:sz="6" w:space="0"/>
              <w:left w:val="nil"/>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w:t>
            </w:r>
            <w:r>
              <w:rPr>
                <w:rFonts w:hint="eastAsia" w:ascii="Times New Roman" w:hAnsi="Times New Roman" w:eastAsia="宋体" w:cs="Times New Roman"/>
                <w:color w:val="000000"/>
                <w:kern w:val="0"/>
                <w:sz w:val="21"/>
                <w:szCs w:val="21"/>
                <w:bdr w:val="none" w:color="auto" w:sz="0" w:space="0"/>
                <w:lang w:val="en-US" w:eastAsia="zh-CN" w:bidi="ar"/>
              </w:rPr>
              <w:t>电弧炉</w:t>
            </w:r>
            <w:r>
              <w:rPr>
                <w:rFonts w:hint="default" w:ascii="Times New Roman" w:hAnsi="Times New Roman" w:eastAsia="宋体" w:cs="Times New Roman"/>
                <w:color w:val="000000"/>
                <w:kern w:val="0"/>
                <w:sz w:val="21"/>
                <w:szCs w:val="21"/>
                <w:bdr w:val="none" w:color="auto" w:sz="0" w:space="0"/>
                <w:lang w:val="en-US" w:eastAsia="zh-CN" w:bidi="ar"/>
              </w:rPr>
              <w:t>P3-2</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394.55</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1109.06</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92.99</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05"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0.947</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p>
        </w:tc>
        <w:tc>
          <w:tcPr>
            <w:tcW w:w="768"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100</w:t>
            </w:r>
          </w:p>
        </w:tc>
        <w:tc>
          <w:tcPr>
            <w:tcW w:w="769" w:type="dxa"/>
            <w:tcBorders>
              <w:top w:val="single" w:color="000000" w:sz="6" w:space="0"/>
              <w:left w:val="single" w:color="000000" w:sz="6" w:space="0"/>
              <w:bottom w:val="single" w:color="000000" w:sz="6" w:space="0"/>
              <w:right w:val="nil"/>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 xml:space="preserve">8.85 </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rPr>
        <w:tc>
          <w:tcPr>
            <w:tcW w:w="1101" w:type="dxa"/>
            <w:tcBorders>
              <w:top w:val="single" w:color="000000" w:sz="6" w:space="0"/>
              <w:left w:val="nil"/>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w:t>
            </w:r>
            <w:r>
              <w:rPr>
                <w:rFonts w:hint="eastAsia" w:ascii="Times New Roman" w:hAnsi="Times New Roman" w:eastAsia="宋体" w:cs="Times New Roman"/>
                <w:color w:val="000000"/>
                <w:kern w:val="0"/>
                <w:sz w:val="21"/>
                <w:szCs w:val="21"/>
                <w:bdr w:val="none" w:color="auto" w:sz="0" w:space="0"/>
                <w:lang w:val="en-US" w:eastAsia="zh-CN" w:bidi="ar"/>
              </w:rPr>
              <w:t>电弧炉</w:t>
            </w:r>
            <w:r>
              <w:rPr>
                <w:rFonts w:hint="default" w:ascii="Times New Roman" w:hAnsi="Times New Roman" w:eastAsia="宋体" w:cs="Times New Roman"/>
                <w:color w:val="000000"/>
                <w:kern w:val="0"/>
                <w:sz w:val="21"/>
                <w:szCs w:val="21"/>
                <w:bdr w:val="none" w:color="auto" w:sz="0" w:space="0"/>
                <w:lang w:val="en-US" w:eastAsia="zh-CN" w:bidi="ar"/>
              </w:rPr>
              <w:t>P3-3</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380.51</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1100.74</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95.09</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05"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0.947</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p>
        </w:tc>
        <w:tc>
          <w:tcPr>
            <w:tcW w:w="768"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100</w:t>
            </w:r>
          </w:p>
        </w:tc>
        <w:tc>
          <w:tcPr>
            <w:tcW w:w="769" w:type="dxa"/>
            <w:tcBorders>
              <w:top w:val="single" w:color="000000" w:sz="6" w:space="0"/>
              <w:left w:val="single" w:color="000000" w:sz="6" w:space="0"/>
              <w:bottom w:val="single" w:color="000000" w:sz="6" w:space="0"/>
              <w:right w:val="nil"/>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 xml:space="preserve">8.85 </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rPr>
        <w:tc>
          <w:tcPr>
            <w:tcW w:w="1101" w:type="dxa"/>
            <w:tcBorders>
              <w:top w:val="single" w:color="000000" w:sz="6" w:space="0"/>
              <w:left w:val="nil"/>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w:t>
            </w:r>
            <w:r>
              <w:rPr>
                <w:rFonts w:hint="eastAsia" w:ascii="Times New Roman" w:hAnsi="Times New Roman" w:eastAsia="宋体" w:cs="Times New Roman"/>
                <w:color w:val="000000"/>
                <w:kern w:val="0"/>
                <w:sz w:val="21"/>
                <w:szCs w:val="21"/>
                <w:bdr w:val="none" w:color="auto" w:sz="0" w:space="0"/>
                <w:lang w:val="en-US" w:eastAsia="zh-CN" w:bidi="ar"/>
              </w:rPr>
              <w:t>电弧炉</w:t>
            </w:r>
            <w:r>
              <w:rPr>
                <w:rFonts w:hint="default" w:ascii="Times New Roman" w:hAnsi="Times New Roman" w:eastAsia="宋体" w:cs="Times New Roman"/>
                <w:color w:val="000000"/>
                <w:kern w:val="0"/>
                <w:sz w:val="21"/>
                <w:szCs w:val="21"/>
                <w:bdr w:val="none" w:color="auto" w:sz="0" w:space="0"/>
                <w:lang w:val="en-US" w:eastAsia="zh-CN" w:bidi="ar"/>
              </w:rPr>
              <w:t>P3-4</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361.36</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1092.04</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97.97</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05"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0.947</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p>
        </w:tc>
        <w:tc>
          <w:tcPr>
            <w:tcW w:w="768"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100</w:t>
            </w:r>
          </w:p>
        </w:tc>
        <w:tc>
          <w:tcPr>
            <w:tcW w:w="769" w:type="dxa"/>
            <w:tcBorders>
              <w:top w:val="single" w:color="000000" w:sz="6" w:space="0"/>
              <w:left w:val="single" w:color="000000" w:sz="6" w:space="0"/>
              <w:bottom w:val="single" w:color="000000" w:sz="6" w:space="0"/>
              <w:right w:val="nil"/>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 xml:space="preserve">8.85 </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rPr>
        <w:tc>
          <w:tcPr>
            <w:tcW w:w="1101" w:type="dxa"/>
            <w:tcBorders>
              <w:top w:val="single" w:color="000000" w:sz="6" w:space="0"/>
              <w:left w:val="nil"/>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拔坨排气筒</w:t>
            </w:r>
            <w:r>
              <w:rPr>
                <w:rFonts w:hint="default" w:ascii="Times New Roman" w:hAnsi="Times New Roman" w:eastAsia="宋体" w:cs="Times New Roman"/>
                <w:color w:val="000000"/>
                <w:kern w:val="0"/>
                <w:sz w:val="21"/>
                <w:szCs w:val="21"/>
                <w:bdr w:val="none" w:color="auto" w:sz="0" w:space="0"/>
                <w:lang w:val="en-US" w:eastAsia="zh-CN" w:bidi="ar"/>
              </w:rPr>
              <w:t>P3-5</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378.77</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1167.14</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86.42</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05"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0.152</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35</w:t>
            </w:r>
          </w:p>
        </w:tc>
        <w:tc>
          <w:tcPr>
            <w:tcW w:w="768"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0.8</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w:t>
            </w:r>
          </w:p>
        </w:tc>
        <w:tc>
          <w:tcPr>
            <w:tcW w:w="769" w:type="dxa"/>
            <w:tcBorders>
              <w:top w:val="single" w:color="000000" w:sz="6" w:space="0"/>
              <w:left w:val="single" w:color="000000" w:sz="6" w:space="0"/>
              <w:bottom w:val="single" w:color="000000" w:sz="6" w:space="0"/>
              <w:right w:val="nil"/>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 xml:space="preserve">11.06 </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rPr>
        <w:tc>
          <w:tcPr>
            <w:tcW w:w="1101" w:type="dxa"/>
            <w:tcBorders>
              <w:top w:val="single" w:color="000000" w:sz="6" w:space="0"/>
              <w:left w:val="nil"/>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镁碳砖破碎</w:t>
            </w:r>
            <w:r>
              <w:rPr>
                <w:rFonts w:hint="default" w:ascii="Times New Roman" w:hAnsi="Times New Roman" w:eastAsia="宋体" w:cs="Times New Roman"/>
                <w:color w:val="000000"/>
                <w:kern w:val="0"/>
                <w:sz w:val="21"/>
                <w:szCs w:val="21"/>
                <w:bdr w:val="none" w:color="auto" w:sz="0" w:space="0"/>
                <w:lang w:val="en-US" w:eastAsia="zh-CN" w:bidi="ar"/>
              </w:rPr>
              <w:t>P4-1</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-346.64</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1151.32</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66.07</w:t>
            </w:r>
          </w:p>
        </w:tc>
        <w:tc>
          <w:tcPr>
            <w:tcW w:w="851"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05"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 xml:space="preserve">0.130 </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35</w:t>
            </w:r>
          </w:p>
        </w:tc>
        <w:tc>
          <w:tcPr>
            <w:tcW w:w="768"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w:t>
            </w:r>
          </w:p>
        </w:tc>
        <w:tc>
          <w:tcPr>
            <w:tcW w:w="767"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w:t>
            </w:r>
          </w:p>
        </w:tc>
        <w:tc>
          <w:tcPr>
            <w:tcW w:w="769" w:type="dxa"/>
            <w:tcBorders>
              <w:top w:val="single" w:color="000000" w:sz="6" w:space="0"/>
              <w:left w:val="single" w:color="000000" w:sz="6" w:space="0"/>
              <w:bottom w:val="single" w:color="000000" w:sz="6" w:space="0"/>
              <w:right w:val="nil"/>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 xml:space="preserve">9.83 </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trHeight w:val="452" w:hRule="atLeast"/>
        </w:trPr>
        <w:tc>
          <w:tcPr>
            <w:tcW w:w="1101" w:type="dxa"/>
            <w:tcBorders>
              <w:top w:val="single" w:color="000000" w:sz="6" w:space="0"/>
              <w:left w:val="nil"/>
              <w:bottom w:val="thickThinSmallGap" w:color="auto" w:sz="12"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雷蒙机排气筒</w:t>
            </w:r>
            <w:r>
              <w:rPr>
                <w:rFonts w:hint="default" w:ascii="Times New Roman" w:hAnsi="Times New Roman" w:eastAsia="宋体" w:cs="Times New Roman"/>
                <w:color w:val="000000"/>
                <w:kern w:val="0"/>
                <w:sz w:val="21"/>
                <w:szCs w:val="21"/>
                <w:bdr w:val="none" w:color="auto" w:sz="0" w:space="0"/>
                <w:lang w:val="en-US" w:eastAsia="zh-CN" w:bidi="ar"/>
              </w:rPr>
              <w:t>P4-3</w:t>
            </w:r>
          </w:p>
        </w:tc>
        <w:tc>
          <w:tcPr>
            <w:tcW w:w="850"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-327.21</w:t>
            </w:r>
          </w:p>
        </w:tc>
        <w:tc>
          <w:tcPr>
            <w:tcW w:w="851"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1116.1</w:t>
            </w:r>
          </w:p>
        </w:tc>
        <w:tc>
          <w:tcPr>
            <w:tcW w:w="850"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67.34</w:t>
            </w:r>
          </w:p>
        </w:tc>
        <w:tc>
          <w:tcPr>
            <w:tcW w:w="851"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05"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0.0053</w:t>
            </w:r>
          </w:p>
        </w:tc>
        <w:tc>
          <w:tcPr>
            <w:tcW w:w="767"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w:t>
            </w:r>
          </w:p>
        </w:tc>
        <w:tc>
          <w:tcPr>
            <w:tcW w:w="768"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0.4</w:t>
            </w:r>
          </w:p>
        </w:tc>
        <w:tc>
          <w:tcPr>
            <w:tcW w:w="767"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25</w:t>
            </w:r>
          </w:p>
        </w:tc>
        <w:tc>
          <w:tcPr>
            <w:tcW w:w="769" w:type="dxa"/>
            <w:tcBorders>
              <w:top w:val="single" w:color="000000" w:sz="6" w:space="0"/>
              <w:left w:val="single" w:color="000000" w:sz="6" w:space="0"/>
              <w:bottom w:val="thickThinSmallGap" w:color="auto" w:sz="12" w:space="0"/>
              <w:right w:val="nil"/>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 xml:space="preserve">8.85 </w:t>
            </w:r>
          </w:p>
        </w:tc>
      </w:tr>
    </w:tbl>
    <w:p>
      <w:pPr>
        <w:keepNext w:val="0"/>
        <w:keepLines w:val="0"/>
        <w:widowControl/>
        <w:suppressLineNumbers w:val="0"/>
        <w:spacing w:before="0" w:beforeAutospacing="0" w:after="0" w:afterAutospacing="0" w:line="500" w:lineRule="exact"/>
        <w:ind w:left="0" w:right="0"/>
        <w:jc w:val="center"/>
        <w:rPr>
          <w:rFonts w:hint="default" w:ascii="Times New Roman" w:hAnsi="Times New Roman" w:eastAsia="黑体" w:cs="Times New Roman"/>
          <w:color w:val="000000"/>
          <w:lang w:val="en-US"/>
        </w:rPr>
      </w:pP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）预测点确定</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除网格点外，本次评价还根据本项目污染源位置、污染扩散条件、预测范围以及环保目标规模等，选取预测范围内的</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个环保目标以及四个厂界作为预测关心点，各关心点坐标及与本项目场区相对位置见表</w:t>
      </w:r>
      <w:r>
        <w:rPr>
          <w:rFonts w:hint="default" w:ascii="Times New Roman" w:hAnsi="Times New Roman" w:eastAsia="宋体" w:cs="Times New Roman"/>
          <w:color w:val="000000"/>
          <w:kern w:val="0"/>
          <w:sz w:val="24"/>
          <w:szCs w:val="24"/>
          <w:lang w:val="en-US" w:eastAsia="zh-CN" w:bidi="ar"/>
        </w:rPr>
        <w:t>5.2-12</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5.2-12  </w:t>
      </w:r>
      <w:r>
        <w:rPr>
          <w:rFonts w:hint="eastAsia" w:ascii="Times New Roman" w:hAnsi="Times New Roman" w:eastAsia="黑体" w:cs="Times New Roman"/>
          <w:color w:val="000000"/>
          <w:kern w:val="0"/>
          <w:sz w:val="24"/>
          <w:szCs w:val="24"/>
          <w:lang w:val="en-US" w:eastAsia="zh-CN" w:bidi="ar"/>
        </w:rPr>
        <w:t>各关心点与项目厂址的相对位置统计表</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8" w:space="0"/>
          <w:insideV w:val="single" w:color="auto" w:sz="8" w:space="0"/>
        </w:tblBorders>
        <w:shd w:val="clear"/>
        <w:tblLayout w:type="fixed"/>
        <w:tblCellMar>
          <w:top w:w="0" w:type="dxa"/>
          <w:left w:w="108" w:type="dxa"/>
          <w:bottom w:w="0" w:type="dxa"/>
          <w:right w:w="108" w:type="dxa"/>
        </w:tblCellMar>
      </w:tblPr>
      <w:tblGrid>
        <w:gridCol w:w="662"/>
        <w:gridCol w:w="1949"/>
        <w:gridCol w:w="1252"/>
        <w:gridCol w:w="1138"/>
        <w:gridCol w:w="1288"/>
        <w:gridCol w:w="2219"/>
      </w:tblGrid>
      <w:tr>
        <w:tblPrEx>
          <w:tblBorders>
            <w:top w:val="thinThickSmallGap" w:color="auto" w:sz="12" w:space="0"/>
            <w:left w:val="none" w:color="auto" w:sz="6" w:space="0"/>
            <w:bottom w:val="thickThinSmallGap" w:color="auto" w:sz="12" w:space="0"/>
            <w:right w:val="none" w:color="auto" w:sz="6" w:space="0"/>
            <w:insideH w:val="single" w:color="auto" w:sz="8" w:space="0"/>
            <w:insideV w:val="single" w:color="auto" w:sz="8" w:space="0"/>
          </w:tblBorders>
          <w:shd w:val="clear"/>
          <w:tblCellMar>
            <w:top w:w="0" w:type="dxa"/>
            <w:left w:w="108" w:type="dxa"/>
            <w:bottom w:w="0" w:type="dxa"/>
            <w:right w:w="108" w:type="dxa"/>
          </w:tblCellMar>
        </w:tblPrEx>
        <w:trPr>
          <w:trHeight w:val="372" w:hRule="atLeast"/>
          <w:tblHeader/>
        </w:trPr>
        <w:tc>
          <w:tcPr>
            <w:tcW w:w="1534" w:type="pct"/>
            <w:gridSpan w:val="2"/>
            <w:tcBorders>
              <w:top w:val="thinThickSmallGap" w:color="auto" w:sz="12" w:space="0"/>
              <w:left w:val="nil"/>
              <w:bottom w:val="single" w:color="auto" w:sz="8" w:space="0"/>
              <w:right w:val="single" w:color="auto" w:sz="8" w:space="0"/>
            </w:tcBorders>
            <w:shd w:val="clear" w:color="auto" w:fill="DDDDDD"/>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关心点</w:t>
            </w:r>
          </w:p>
        </w:tc>
        <w:tc>
          <w:tcPr>
            <w:tcW w:w="2162" w:type="pct"/>
            <w:gridSpan w:val="3"/>
            <w:tcBorders>
              <w:top w:val="thinThickSmallGap" w:color="auto" w:sz="12" w:space="0"/>
              <w:left w:val="single" w:color="auto" w:sz="8" w:space="0"/>
              <w:bottom w:val="single" w:color="auto" w:sz="8" w:space="0"/>
              <w:right w:val="single" w:color="auto" w:sz="8" w:space="0"/>
            </w:tcBorders>
            <w:shd w:val="clear" w:color="auto" w:fill="DDDDDD"/>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坐标位置</w:t>
            </w:r>
          </w:p>
        </w:tc>
        <w:tc>
          <w:tcPr>
            <w:tcW w:w="1303" w:type="pct"/>
            <w:vMerge w:val="restart"/>
            <w:tcBorders>
              <w:top w:val="thinThickSmallGap" w:color="auto" w:sz="12" w:space="0"/>
              <w:left w:val="single" w:color="auto" w:sz="8" w:space="0"/>
              <w:bottom w:val="single" w:color="auto" w:sz="8" w:space="0"/>
              <w:right w:val="nil"/>
            </w:tcBorders>
            <w:shd w:val="clear" w:color="auto" w:fill="DDDDDD"/>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备注</w:t>
            </w:r>
          </w:p>
        </w:tc>
      </w:tr>
      <w:tr>
        <w:tblPrEx>
          <w:tblBorders>
            <w:top w:val="thinThickSmallGap" w:color="auto" w:sz="12" w:space="0"/>
            <w:left w:val="none" w:color="auto" w:sz="6" w:space="0"/>
            <w:bottom w:val="thickThinSmallGap" w:color="auto" w:sz="12" w:space="0"/>
            <w:right w:val="none" w:color="auto" w:sz="6" w:space="0"/>
            <w:insideH w:val="single" w:color="auto" w:sz="8" w:space="0"/>
            <w:insideV w:val="single" w:color="auto" w:sz="8" w:space="0"/>
          </w:tblBorders>
          <w:tblCellMar>
            <w:top w:w="0" w:type="dxa"/>
            <w:left w:w="108" w:type="dxa"/>
            <w:bottom w:w="0" w:type="dxa"/>
            <w:right w:w="108" w:type="dxa"/>
          </w:tblCellMar>
        </w:tblPrEx>
        <w:trPr>
          <w:trHeight w:val="372" w:hRule="atLeast"/>
          <w:tblHeader/>
        </w:trPr>
        <w:tc>
          <w:tcPr>
            <w:tcW w:w="389" w:type="pct"/>
            <w:tcBorders>
              <w:top w:val="single" w:color="auto" w:sz="8" w:space="0"/>
              <w:left w:val="nil"/>
              <w:bottom w:val="single" w:color="auto" w:sz="8" w:space="0"/>
              <w:right w:val="single" w:color="auto" w:sz="8" w:space="0"/>
            </w:tcBorders>
            <w:shd w:val="clear" w:color="auto" w:fill="DDDDDD"/>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序号</w:t>
            </w:r>
          </w:p>
        </w:tc>
        <w:tc>
          <w:tcPr>
            <w:tcW w:w="1145" w:type="pct"/>
            <w:tcBorders>
              <w:top w:val="single" w:color="auto" w:sz="8" w:space="0"/>
              <w:left w:val="single" w:color="auto" w:sz="8" w:space="0"/>
              <w:bottom w:val="single" w:color="auto" w:sz="8" w:space="0"/>
              <w:right w:val="single" w:color="auto" w:sz="8" w:space="0"/>
            </w:tcBorders>
            <w:shd w:val="clear" w:color="auto" w:fill="DDDDDD"/>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名称</w:t>
            </w:r>
          </w:p>
        </w:tc>
        <w:tc>
          <w:tcPr>
            <w:tcW w:w="736" w:type="pct"/>
            <w:tcBorders>
              <w:top w:val="single" w:color="auto" w:sz="8" w:space="0"/>
              <w:left w:val="single" w:color="auto" w:sz="8" w:space="0"/>
              <w:bottom w:val="single" w:color="auto" w:sz="8" w:space="0"/>
              <w:right w:val="single" w:color="auto" w:sz="8" w:space="0"/>
            </w:tcBorders>
            <w:shd w:val="clear" w:color="auto" w:fill="DDDDDD"/>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X</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669" w:type="pct"/>
            <w:tcBorders>
              <w:top w:val="single" w:color="auto" w:sz="8" w:space="0"/>
              <w:left w:val="single" w:color="auto" w:sz="8" w:space="0"/>
              <w:bottom w:val="single" w:color="auto" w:sz="8" w:space="0"/>
              <w:right w:val="single" w:color="auto" w:sz="8" w:space="0"/>
            </w:tcBorders>
            <w:shd w:val="clear" w:color="auto" w:fill="DDDDDD"/>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Y</w:t>
            </w: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757" w:type="pct"/>
            <w:tcBorders>
              <w:top w:val="single" w:color="auto" w:sz="8" w:space="0"/>
              <w:left w:val="single" w:color="auto" w:sz="8" w:space="0"/>
              <w:bottom w:val="single" w:color="auto" w:sz="8" w:space="0"/>
              <w:right w:val="single" w:color="auto" w:sz="8" w:space="0"/>
            </w:tcBorders>
            <w:shd w:val="clear" w:color="auto" w:fill="DDDDDD"/>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Z</w:t>
            </w:r>
            <w:r>
              <w:rPr>
                <w:rFonts w:hint="eastAsia" w:ascii="Times New Roman" w:hAnsi="Times New Roman" w:eastAsia="宋体" w:cs="Times New Roman"/>
                <w:color w:val="000000"/>
                <w:kern w:val="0"/>
                <w:sz w:val="21"/>
                <w:szCs w:val="21"/>
                <w:bdr w:val="none" w:color="auto" w:sz="0" w:space="0"/>
                <w:lang w:val="en-US" w:eastAsia="zh-CN" w:bidi="ar"/>
              </w:rPr>
              <w:t>（高程）</w:t>
            </w:r>
          </w:p>
        </w:tc>
        <w:tc>
          <w:tcPr>
            <w:tcW w:w="1303" w:type="pct"/>
            <w:vMerge w:val="continue"/>
            <w:tcBorders>
              <w:top w:val="thinThickSmallGap" w:color="auto" w:sz="12" w:space="0"/>
              <w:left w:val="single" w:color="auto" w:sz="8" w:space="0"/>
              <w:bottom w:val="single" w:color="auto" w:sz="8" w:space="0"/>
              <w:right w:val="nil"/>
            </w:tcBorders>
            <w:shd w:val="clear" w:color="auto" w:fill="DDDDDD"/>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8" w:space="0"/>
            <w:insideV w:val="single" w:color="auto" w:sz="8" w:space="0"/>
          </w:tblBorders>
          <w:tblCellMar>
            <w:top w:w="0" w:type="dxa"/>
            <w:left w:w="108" w:type="dxa"/>
            <w:bottom w:w="0" w:type="dxa"/>
            <w:right w:w="108" w:type="dxa"/>
          </w:tblCellMar>
        </w:tblPrEx>
        <w:trPr>
          <w:trHeight w:val="372" w:hRule="atLeast"/>
        </w:trPr>
        <w:tc>
          <w:tcPr>
            <w:tcW w:w="389" w:type="pct"/>
            <w:tcBorders>
              <w:top w:val="single" w:color="auto" w:sz="8" w:space="0"/>
              <w:left w:val="nil"/>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1145"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北厂界</w:t>
            </w:r>
          </w:p>
        </w:tc>
        <w:tc>
          <w:tcPr>
            <w:tcW w:w="736"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10.1</w:t>
            </w:r>
          </w:p>
        </w:tc>
        <w:tc>
          <w:tcPr>
            <w:tcW w:w="669"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144.8</w:t>
            </w:r>
          </w:p>
        </w:tc>
        <w:tc>
          <w:tcPr>
            <w:tcW w:w="757"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19.22</w:t>
            </w:r>
          </w:p>
        </w:tc>
        <w:tc>
          <w:tcPr>
            <w:tcW w:w="1303" w:type="pct"/>
            <w:tcBorders>
              <w:top w:val="single" w:color="auto" w:sz="8" w:space="0"/>
              <w:left w:val="single" w:color="auto" w:sz="8" w:space="0"/>
              <w:bottom w:val="single" w:color="auto" w:sz="8" w:space="0"/>
              <w:right w:val="nil"/>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厂界</w:t>
            </w:r>
          </w:p>
        </w:tc>
      </w:tr>
      <w:tr>
        <w:tblPrEx>
          <w:tblBorders>
            <w:top w:val="thinThickSmallGap" w:color="auto" w:sz="12" w:space="0"/>
            <w:left w:val="none" w:color="auto" w:sz="6" w:space="0"/>
            <w:bottom w:val="thickThinSmallGap" w:color="auto" w:sz="12" w:space="0"/>
            <w:right w:val="none" w:color="auto" w:sz="6" w:space="0"/>
            <w:insideH w:val="single" w:color="auto" w:sz="8" w:space="0"/>
            <w:insideV w:val="single" w:color="auto" w:sz="8" w:space="0"/>
          </w:tblBorders>
          <w:tblCellMar>
            <w:top w:w="0" w:type="dxa"/>
            <w:left w:w="108" w:type="dxa"/>
            <w:bottom w:w="0" w:type="dxa"/>
            <w:right w:w="108" w:type="dxa"/>
          </w:tblCellMar>
        </w:tblPrEx>
        <w:trPr>
          <w:trHeight w:val="372" w:hRule="atLeast"/>
        </w:trPr>
        <w:tc>
          <w:tcPr>
            <w:tcW w:w="389" w:type="pct"/>
            <w:tcBorders>
              <w:top w:val="single" w:color="auto" w:sz="8" w:space="0"/>
              <w:left w:val="nil"/>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w:t>
            </w:r>
          </w:p>
        </w:tc>
        <w:tc>
          <w:tcPr>
            <w:tcW w:w="1145"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东厂界</w:t>
            </w:r>
          </w:p>
        </w:tc>
        <w:tc>
          <w:tcPr>
            <w:tcW w:w="736"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138.68</w:t>
            </w:r>
          </w:p>
        </w:tc>
        <w:tc>
          <w:tcPr>
            <w:tcW w:w="669"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-18</w:t>
            </w:r>
          </w:p>
        </w:tc>
        <w:tc>
          <w:tcPr>
            <w:tcW w:w="757"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w:t>
            </w:r>
          </w:p>
        </w:tc>
        <w:tc>
          <w:tcPr>
            <w:tcW w:w="1303" w:type="pct"/>
            <w:tcBorders>
              <w:top w:val="single" w:color="auto" w:sz="8" w:space="0"/>
              <w:left w:val="single" w:color="auto" w:sz="8" w:space="0"/>
              <w:bottom w:val="single" w:color="auto" w:sz="8" w:space="0"/>
              <w:right w:val="nil"/>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厂界</w:t>
            </w:r>
          </w:p>
        </w:tc>
      </w:tr>
      <w:tr>
        <w:tblPrEx>
          <w:tblBorders>
            <w:top w:val="thinThickSmallGap" w:color="auto" w:sz="12" w:space="0"/>
            <w:left w:val="none" w:color="auto" w:sz="6" w:space="0"/>
            <w:bottom w:val="thickThinSmallGap" w:color="auto" w:sz="12" w:space="0"/>
            <w:right w:val="none" w:color="auto" w:sz="6" w:space="0"/>
            <w:insideH w:val="single" w:color="auto" w:sz="8" w:space="0"/>
            <w:insideV w:val="single" w:color="auto" w:sz="8" w:space="0"/>
          </w:tblBorders>
          <w:tblCellMar>
            <w:top w:w="0" w:type="dxa"/>
            <w:left w:w="108" w:type="dxa"/>
            <w:bottom w:w="0" w:type="dxa"/>
            <w:right w:w="108" w:type="dxa"/>
          </w:tblCellMar>
        </w:tblPrEx>
        <w:trPr>
          <w:trHeight w:val="372" w:hRule="atLeast"/>
        </w:trPr>
        <w:tc>
          <w:tcPr>
            <w:tcW w:w="389" w:type="pct"/>
            <w:tcBorders>
              <w:top w:val="single" w:color="auto" w:sz="8" w:space="0"/>
              <w:left w:val="nil"/>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w:t>
            </w:r>
          </w:p>
        </w:tc>
        <w:tc>
          <w:tcPr>
            <w:tcW w:w="1145"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南厂界</w:t>
            </w:r>
          </w:p>
        </w:tc>
        <w:tc>
          <w:tcPr>
            <w:tcW w:w="736"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-39.67</w:t>
            </w:r>
          </w:p>
        </w:tc>
        <w:tc>
          <w:tcPr>
            <w:tcW w:w="669"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-171.47</w:t>
            </w:r>
          </w:p>
        </w:tc>
        <w:tc>
          <w:tcPr>
            <w:tcW w:w="757"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19.45</w:t>
            </w:r>
          </w:p>
        </w:tc>
        <w:tc>
          <w:tcPr>
            <w:tcW w:w="1303" w:type="pct"/>
            <w:tcBorders>
              <w:top w:val="single" w:color="auto" w:sz="8" w:space="0"/>
              <w:left w:val="single" w:color="auto" w:sz="8" w:space="0"/>
              <w:bottom w:val="single" w:color="auto" w:sz="8" w:space="0"/>
              <w:right w:val="nil"/>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厂界</w:t>
            </w:r>
          </w:p>
        </w:tc>
      </w:tr>
      <w:tr>
        <w:tblPrEx>
          <w:tblBorders>
            <w:top w:val="thinThickSmallGap" w:color="auto" w:sz="12" w:space="0"/>
            <w:left w:val="none" w:color="auto" w:sz="6" w:space="0"/>
            <w:bottom w:val="thickThinSmallGap" w:color="auto" w:sz="12" w:space="0"/>
            <w:right w:val="none" w:color="auto" w:sz="6" w:space="0"/>
            <w:insideH w:val="single" w:color="auto" w:sz="8" w:space="0"/>
            <w:insideV w:val="single" w:color="auto" w:sz="8" w:space="0"/>
          </w:tblBorders>
          <w:tblCellMar>
            <w:top w:w="0" w:type="dxa"/>
            <w:left w:w="108" w:type="dxa"/>
            <w:bottom w:w="0" w:type="dxa"/>
            <w:right w:w="108" w:type="dxa"/>
          </w:tblCellMar>
        </w:tblPrEx>
        <w:trPr>
          <w:trHeight w:val="372" w:hRule="atLeast"/>
        </w:trPr>
        <w:tc>
          <w:tcPr>
            <w:tcW w:w="389" w:type="pct"/>
            <w:tcBorders>
              <w:top w:val="single" w:color="auto" w:sz="8" w:space="0"/>
              <w:left w:val="nil"/>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w:t>
            </w:r>
          </w:p>
        </w:tc>
        <w:tc>
          <w:tcPr>
            <w:tcW w:w="1145"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西厂界</w:t>
            </w:r>
          </w:p>
        </w:tc>
        <w:tc>
          <w:tcPr>
            <w:tcW w:w="736"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-174.47</w:t>
            </w:r>
          </w:p>
        </w:tc>
        <w:tc>
          <w:tcPr>
            <w:tcW w:w="669"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1.7</w:t>
            </w:r>
          </w:p>
        </w:tc>
        <w:tc>
          <w:tcPr>
            <w:tcW w:w="757"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19.34</w:t>
            </w:r>
          </w:p>
        </w:tc>
        <w:tc>
          <w:tcPr>
            <w:tcW w:w="1303" w:type="pct"/>
            <w:tcBorders>
              <w:top w:val="single" w:color="auto" w:sz="8" w:space="0"/>
              <w:left w:val="single" w:color="auto" w:sz="8" w:space="0"/>
              <w:bottom w:val="single" w:color="auto" w:sz="8" w:space="0"/>
              <w:right w:val="nil"/>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厂界</w:t>
            </w:r>
          </w:p>
        </w:tc>
      </w:tr>
      <w:tr>
        <w:tblPrEx>
          <w:tblBorders>
            <w:top w:val="thinThickSmallGap" w:color="auto" w:sz="12" w:space="0"/>
            <w:left w:val="none" w:color="auto" w:sz="6" w:space="0"/>
            <w:bottom w:val="thickThinSmallGap" w:color="auto" w:sz="12" w:space="0"/>
            <w:right w:val="none" w:color="auto" w:sz="6" w:space="0"/>
            <w:insideH w:val="single" w:color="auto" w:sz="8" w:space="0"/>
            <w:insideV w:val="single" w:color="auto" w:sz="8" w:space="0"/>
          </w:tblBorders>
          <w:tblCellMar>
            <w:top w:w="0" w:type="dxa"/>
            <w:left w:w="108" w:type="dxa"/>
            <w:bottom w:w="0" w:type="dxa"/>
            <w:right w:w="108" w:type="dxa"/>
          </w:tblCellMar>
        </w:tblPrEx>
        <w:trPr>
          <w:trHeight w:val="372" w:hRule="atLeast"/>
        </w:trPr>
        <w:tc>
          <w:tcPr>
            <w:tcW w:w="389" w:type="pct"/>
            <w:tcBorders>
              <w:top w:val="single" w:color="auto" w:sz="8" w:space="0"/>
              <w:left w:val="nil"/>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w:t>
            </w:r>
          </w:p>
        </w:tc>
        <w:tc>
          <w:tcPr>
            <w:tcW w:w="1145"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南二道村</w:t>
            </w:r>
          </w:p>
        </w:tc>
        <w:tc>
          <w:tcPr>
            <w:tcW w:w="736"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-508.07</w:t>
            </w:r>
          </w:p>
        </w:tc>
        <w:tc>
          <w:tcPr>
            <w:tcW w:w="669"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1991.92</w:t>
            </w:r>
          </w:p>
        </w:tc>
        <w:tc>
          <w:tcPr>
            <w:tcW w:w="757"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54.25</w:t>
            </w:r>
          </w:p>
        </w:tc>
        <w:tc>
          <w:tcPr>
            <w:tcW w:w="1303" w:type="pct"/>
            <w:vMerge w:val="restart"/>
            <w:tcBorders>
              <w:top w:val="single" w:color="auto" w:sz="8" w:space="0"/>
              <w:left w:val="single" w:color="auto" w:sz="8" w:space="0"/>
              <w:bottom w:val="thickThinSmallGap" w:color="auto" w:sz="12" w:space="0"/>
              <w:right w:val="nil"/>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环保目标，二类区</w:t>
            </w:r>
          </w:p>
        </w:tc>
      </w:tr>
      <w:tr>
        <w:tblPrEx>
          <w:tblBorders>
            <w:top w:val="thinThickSmallGap" w:color="auto" w:sz="12" w:space="0"/>
            <w:left w:val="none" w:color="auto" w:sz="6" w:space="0"/>
            <w:bottom w:val="thickThinSmallGap" w:color="auto" w:sz="12" w:space="0"/>
            <w:right w:val="none" w:color="auto" w:sz="6" w:space="0"/>
            <w:insideH w:val="single" w:color="auto" w:sz="8" w:space="0"/>
            <w:insideV w:val="single" w:color="auto" w:sz="8" w:space="0"/>
          </w:tblBorders>
          <w:tblCellMar>
            <w:top w:w="0" w:type="dxa"/>
            <w:left w:w="108" w:type="dxa"/>
            <w:bottom w:w="0" w:type="dxa"/>
            <w:right w:w="108" w:type="dxa"/>
          </w:tblCellMar>
        </w:tblPrEx>
        <w:trPr>
          <w:trHeight w:val="372" w:hRule="atLeast"/>
        </w:trPr>
        <w:tc>
          <w:tcPr>
            <w:tcW w:w="389" w:type="pct"/>
            <w:tcBorders>
              <w:top w:val="single" w:color="auto" w:sz="8" w:space="0"/>
              <w:left w:val="nil"/>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w:t>
            </w:r>
          </w:p>
        </w:tc>
        <w:tc>
          <w:tcPr>
            <w:tcW w:w="1145"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铧子峪村</w:t>
            </w:r>
          </w:p>
        </w:tc>
        <w:tc>
          <w:tcPr>
            <w:tcW w:w="736"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158.3</w:t>
            </w:r>
          </w:p>
        </w:tc>
        <w:tc>
          <w:tcPr>
            <w:tcW w:w="669"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1539.45</w:t>
            </w:r>
          </w:p>
        </w:tc>
        <w:tc>
          <w:tcPr>
            <w:tcW w:w="757"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97.83</w:t>
            </w:r>
          </w:p>
        </w:tc>
        <w:tc>
          <w:tcPr>
            <w:tcW w:w="1303" w:type="pct"/>
            <w:vMerge w:val="continue"/>
            <w:tcBorders>
              <w:top w:val="single" w:color="auto" w:sz="8" w:space="0"/>
              <w:left w:val="single" w:color="auto" w:sz="8"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8" w:space="0"/>
            <w:insideV w:val="single" w:color="auto" w:sz="8" w:space="0"/>
          </w:tblBorders>
          <w:tblCellMar>
            <w:top w:w="0" w:type="dxa"/>
            <w:left w:w="108" w:type="dxa"/>
            <w:bottom w:w="0" w:type="dxa"/>
            <w:right w:w="108" w:type="dxa"/>
          </w:tblCellMar>
        </w:tblPrEx>
        <w:trPr>
          <w:trHeight w:val="372" w:hRule="atLeast"/>
        </w:trPr>
        <w:tc>
          <w:tcPr>
            <w:tcW w:w="389" w:type="pct"/>
            <w:tcBorders>
              <w:top w:val="single" w:color="auto" w:sz="8" w:space="0"/>
              <w:left w:val="nil"/>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w:t>
            </w:r>
          </w:p>
        </w:tc>
        <w:tc>
          <w:tcPr>
            <w:tcW w:w="1145"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范家峪村</w:t>
            </w:r>
          </w:p>
        </w:tc>
        <w:tc>
          <w:tcPr>
            <w:tcW w:w="736"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-779.55</w:t>
            </w:r>
          </w:p>
        </w:tc>
        <w:tc>
          <w:tcPr>
            <w:tcW w:w="669"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272.52</w:t>
            </w:r>
          </w:p>
        </w:tc>
        <w:tc>
          <w:tcPr>
            <w:tcW w:w="757" w:type="pct"/>
            <w:tcBorders>
              <w:top w:val="single" w:color="auto" w:sz="8" w:space="0"/>
              <w:left w:val="single" w:color="auto" w:sz="8" w:space="0"/>
              <w:bottom w:val="single" w:color="auto" w:sz="8"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120.53</w:t>
            </w:r>
          </w:p>
        </w:tc>
        <w:tc>
          <w:tcPr>
            <w:tcW w:w="1303" w:type="pct"/>
            <w:vMerge w:val="continue"/>
            <w:tcBorders>
              <w:top w:val="single" w:color="auto" w:sz="8" w:space="0"/>
              <w:left w:val="single" w:color="auto" w:sz="8" w:space="0"/>
              <w:bottom w:val="thickThinSmallGap" w:color="auto" w:sz="12"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8" w:space="0"/>
            <w:insideV w:val="single" w:color="auto" w:sz="8" w:space="0"/>
          </w:tblBorders>
          <w:tblCellMar>
            <w:top w:w="0" w:type="dxa"/>
            <w:left w:w="108" w:type="dxa"/>
            <w:bottom w:w="0" w:type="dxa"/>
            <w:right w:w="108" w:type="dxa"/>
          </w:tblCellMar>
        </w:tblPrEx>
        <w:trPr>
          <w:trHeight w:val="372" w:hRule="atLeast"/>
        </w:trPr>
        <w:tc>
          <w:tcPr>
            <w:tcW w:w="389" w:type="pct"/>
            <w:tcBorders>
              <w:top w:val="single" w:color="auto" w:sz="8" w:space="0"/>
              <w:left w:val="nil"/>
              <w:bottom w:val="thickThinSmallGap" w:color="auto" w:sz="12"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w:t>
            </w:r>
          </w:p>
        </w:tc>
        <w:tc>
          <w:tcPr>
            <w:tcW w:w="1145" w:type="pct"/>
            <w:tcBorders>
              <w:top w:val="single" w:color="auto" w:sz="8" w:space="0"/>
              <w:left w:val="single" w:color="auto" w:sz="8" w:space="0"/>
              <w:bottom w:val="thickThinSmallGap" w:color="auto" w:sz="12"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南三道村</w:t>
            </w:r>
          </w:p>
        </w:tc>
        <w:tc>
          <w:tcPr>
            <w:tcW w:w="736" w:type="pct"/>
            <w:tcBorders>
              <w:top w:val="single" w:color="auto" w:sz="8" w:space="0"/>
              <w:left w:val="single" w:color="auto" w:sz="8" w:space="0"/>
              <w:bottom w:val="thickThinSmallGap" w:color="auto" w:sz="12"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-1684.5</w:t>
            </w:r>
          </w:p>
        </w:tc>
        <w:tc>
          <w:tcPr>
            <w:tcW w:w="669" w:type="pct"/>
            <w:tcBorders>
              <w:top w:val="single" w:color="auto" w:sz="8" w:space="0"/>
              <w:left w:val="single" w:color="auto" w:sz="8" w:space="0"/>
              <w:bottom w:val="thickThinSmallGap" w:color="auto" w:sz="12"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1629.94</w:t>
            </w:r>
          </w:p>
        </w:tc>
        <w:tc>
          <w:tcPr>
            <w:tcW w:w="757" w:type="pct"/>
            <w:tcBorders>
              <w:top w:val="single" w:color="auto" w:sz="8" w:space="0"/>
              <w:left w:val="single" w:color="auto" w:sz="8" w:space="0"/>
              <w:bottom w:val="thickThinSmallGap" w:color="auto" w:sz="12" w:space="0"/>
              <w:right w:val="single" w:color="auto" w:sz="8"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101.54</w:t>
            </w:r>
          </w:p>
        </w:tc>
        <w:tc>
          <w:tcPr>
            <w:tcW w:w="1303" w:type="pct"/>
            <w:vMerge w:val="continue"/>
            <w:tcBorders>
              <w:top w:val="single" w:color="auto" w:sz="8" w:space="0"/>
              <w:left w:val="single" w:color="auto" w:sz="8" w:space="0"/>
              <w:bottom w:val="thickThinSmallGap" w:color="auto" w:sz="12" w:space="0"/>
              <w:right w:val="nil"/>
            </w:tcBorders>
            <w:shd w:val="clear"/>
            <w:vAlign w:val="center"/>
          </w:tcPr>
          <w:p>
            <w:pPr>
              <w:rPr>
                <w:rFonts w:hint="default" w:ascii="Times New Roman" w:hAnsi="Times New Roman" w:cs="Times New Roman"/>
                <w:sz w:val="20"/>
                <w:szCs w:val="20"/>
              </w:rPr>
            </w:pPr>
          </w:p>
        </w:tc>
      </w:tr>
    </w:tbl>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color w:val="000000"/>
          <w:lang w:val="en-US"/>
        </w:rPr>
      </w:pP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5.2.8</w:t>
      </w:r>
      <w:r>
        <w:rPr>
          <w:rFonts w:hint="default" w:ascii="Times New Roman" w:hAnsi="Times New Roman" w:cs="Times New Roman"/>
          <w:color w:val="000000"/>
          <w:lang/>
        </w:rPr>
        <w:t xml:space="preserve"> </w:t>
      </w:r>
      <w:r>
        <w:rPr>
          <w:rFonts w:ascii="Times New Roman" w:hAnsi="Times New Roman" w:cs="Times New Roman"/>
          <w:color w:val="000000"/>
          <w:lang w:eastAsia="zh-CN"/>
        </w:rPr>
        <w:t>预测方案</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根据大气导则评价要求以及本项目特点，确定本次评价的预测内容见表</w:t>
      </w:r>
      <w:r>
        <w:rPr>
          <w:rFonts w:hint="default" w:ascii="Times New Roman" w:hAnsi="Times New Roman" w:eastAsia="宋体" w:cs="Times New Roman"/>
          <w:color w:val="000000"/>
          <w:kern w:val="0"/>
          <w:sz w:val="24"/>
          <w:szCs w:val="24"/>
          <w:lang w:val="en-US" w:eastAsia="zh-CN" w:bidi="ar"/>
        </w:rPr>
        <w:t>5.2-13</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5.2-13  </w:t>
      </w:r>
      <w:r>
        <w:rPr>
          <w:rFonts w:hint="eastAsia" w:ascii="Times New Roman" w:hAnsi="Times New Roman" w:eastAsia="黑体" w:cs="Times New Roman"/>
          <w:color w:val="000000"/>
          <w:kern w:val="0"/>
          <w:sz w:val="24"/>
          <w:szCs w:val="24"/>
          <w:lang w:val="en-US" w:eastAsia="zh-CN" w:bidi="ar"/>
        </w:rPr>
        <w:t>大气预测情景组合</w:t>
      </w:r>
    </w:p>
    <w:tbl>
      <w:tblPr>
        <w:tblStyle w:val="32"/>
        <w:tblW w:w="8825" w:type="dxa"/>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944"/>
        <w:gridCol w:w="1345"/>
        <w:gridCol w:w="1837"/>
        <w:gridCol w:w="1291"/>
        <w:gridCol w:w="1577"/>
        <w:gridCol w:w="1831"/>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72" w:hRule="atLeast"/>
          <w:tblHeader/>
        </w:trPr>
        <w:tc>
          <w:tcPr>
            <w:tcW w:w="944" w:type="dxa"/>
            <w:tcBorders>
              <w:top w:val="thinThickSmallGap" w:color="auto" w:sz="12" w:space="0"/>
              <w:left w:val="nil"/>
              <w:bottom w:val="single" w:color="auto" w:sz="6" w:space="0"/>
              <w:right w:val="single" w:color="auto"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评价</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对象</w:t>
            </w:r>
          </w:p>
        </w:tc>
        <w:tc>
          <w:tcPr>
            <w:tcW w:w="1345" w:type="dxa"/>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污染源</w:t>
            </w:r>
          </w:p>
        </w:tc>
        <w:tc>
          <w:tcPr>
            <w:tcW w:w="1837" w:type="dxa"/>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污染源排放方式</w:t>
            </w:r>
          </w:p>
        </w:tc>
        <w:tc>
          <w:tcPr>
            <w:tcW w:w="1291" w:type="dxa"/>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污染因子</w:t>
            </w:r>
          </w:p>
        </w:tc>
        <w:tc>
          <w:tcPr>
            <w:tcW w:w="1577" w:type="dxa"/>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预测内容</w:t>
            </w:r>
          </w:p>
        </w:tc>
        <w:tc>
          <w:tcPr>
            <w:tcW w:w="1831" w:type="dxa"/>
            <w:tcBorders>
              <w:top w:val="thinThickSmallGap" w:color="auto" w:sz="12" w:space="0"/>
              <w:left w:val="single" w:color="auto" w:sz="6" w:space="0"/>
              <w:bottom w:val="single" w:color="auto" w:sz="6" w:space="0"/>
              <w:right w:val="nil"/>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评价内容</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72" w:hRule="atLeast"/>
        </w:trPr>
        <w:tc>
          <w:tcPr>
            <w:tcW w:w="944" w:type="dxa"/>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不达标区评价项目</w:t>
            </w:r>
          </w:p>
        </w:tc>
        <w:tc>
          <w:tcPr>
            <w:tcW w:w="1345" w:type="dxa"/>
            <w:vMerge w:val="restar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新增污染源</w:t>
            </w:r>
          </w:p>
        </w:tc>
        <w:tc>
          <w:tcPr>
            <w:tcW w:w="1837" w:type="dxa"/>
            <w:vMerge w:val="restar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正常排放</w:t>
            </w:r>
          </w:p>
        </w:tc>
        <w:tc>
          <w:tcPr>
            <w:tcW w:w="1291" w:type="dxa"/>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1" w:after="0" w:afterAutospacing="1"/>
              <w:ind w:left="0" w:right="0"/>
              <w:jc w:val="center"/>
              <w:rPr>
                <w:rFonts w:hint="default" w:ascii="Times New Roman" w:hAnsi="Times New Roman" w:eastAsia="Arial Unicode MS" w:cs="Times New Roman"/>
                <w:color w:val="000000"/>
                <w:sz w:val="21"/>
                <w:szCs w:val="21"/>
                <w:bdr w:val="none" w:color="auto" w:sz="0" w:space="0"/>
                <w:lang w:val="en-US"/>
              </w:rPr>
            </w:pPr>
            <w:r>
              <w:rPr>
                <w:rFonts w:hint="default" w:ascii="Times New Roman" w:hAnsi="Times New Roman" w:eastAsia="Arial Unicode MS" w:cs="Times New Roman"/>
                <w:color w:val="000000"/>
                <w:sz w:val="21"/>
                <w:szCs w:val="21"/>
                <w:bdr w:val="none" w:color="auto" w:sz="0" w:space="0"/>
                <w:lang w:val="en-US"/>
              </w:rPr>
              <w:t>TSP</w:t>
            </w:r>
          </w:p>
        </w:tc>
        <w:tc>
          <w:tcPr>
            <w:tcW w:w="1577"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短期浓度</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长期浓度</w:t>
            </w:r>
          </w:p>
        </w:tc>
        <w:tc>
          <w:tcPr>
            <w:tcW w:w="1831" w:type="dxa"/>
            <w:vMerge w:val="restar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最大浓度占标率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72" w:hRule="atLeast"/>
        </w:trPr>
        <w:tc>
          <w:tcPr>
            <w:tcW w:w="944"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345"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837"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291" w:type="dxa"/>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1" w:after="0" w:afterAutospacing="1"/>
              <w:ind w:left="0" w:right="0"/>
              <w:jc w:val="center"/>
              <w:rPr>
                <w:rFonts w:hint="default" w:ascii="Times New Roman" w:hAnsi="Times New Roman" w:eastAsia="Arial Unicode MS" w:cs="Times New Roman"/>
                <w:color w:val="000000"/>
                <w:sz w:val="21"/>
                <w:szCs w:val="21"/>
                <w:bdr w:val="none" w:color="auto" w:sz="0" w:space="0"/>
                <w:lang w:val="en-US"/>
              </w:rPr>
            </w:pPr>
            <w:r>
              <w:rPr>
                <w:rFonts w:hint="default" w:ascii="Times New Roman" w:hAnsi="Times New Roman" w:eastAsia="Arial Unicode MS" w:cs="Times New Roman"/>
                <w:color w:val="000000"/>
                <w:sz w:val="21"/>
                <w:szCs w:val="21"/>
                <w:bdr w:val="none" w:color="auto" w:sz="0" w:space="0"/>
                <w:lang w:val="en-US"/>
              </w:rPr>
              <w:t>PM</w:t>
            </w:r>
            <w:r>
              <w:rPr>
                <w:rFonts w:hint="default" w:ascii="Times New Roman" w:hAnsi="Times New Roman" w:eastAsia="Arial Unicode MS" w:cs="Times New Roman"/>
                <w:color w:val="000000"/>
                <w:sz w:val="21"/>
                <w:szCs w:val="21"/>
                <w:bdr w:val="none" w:color="auto" w:sz="0" w:space="0"/>
                <w:vertAlign w:val="subscript"/>
                <w:lang w:val="en-US"/>
              </w:rPr>
              <w:t>10</w:t>
            </w:r>
          </w:p>
        </w:tc>
        <w:tc>
          <w:tcPr>
            <w:tcW w:w="1577"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短期浓度</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长期浓度</w:t>
            </w:r>
          </w:p>
        </w:tc>
        <w:tc>
          <w:tcPr>
            <w:tcW w:w="1831" w:type="dxa"/>
            <w:vMerge w:val="continue"/>
            <w:tcBorders>
              <w:top w:val="single" w:color="auto" w:sz="6" w:space="0"/>
              <w:left w:val="single" w:color="auto" w:sz="6" w:space="0"/>
              <w:bottom w:val="single" w:color="auto" w:sz="6"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72" w:hRule="atLeast"/>
        </w:trPr>
        <w:tc>
          <w:tcPr>
            <w:tcW w:w="944"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345" w:type="dxa"/>
            <w:vMerge w:val="restar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新增污染源</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区域削减污染源</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其他在建、拟建污染源</w:t>
            </w:r>
          </w:p>
        </w:tc>
        <w:tc>
          <w:tcPr>
            <w:tcW w:w="1837" w:type="dxa"/>
            <w:vMerge w:val="restar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正常排放</w:t>
            </w:r>
          </w:p>
        </w:tc>
        <w:tc>
          <w:tcPr>
            <w:tcW w:w="1291" w:type="dxa"/>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1" w:after="0" w:afterAutospacing="1"/>
              <w:ind w:left="0" w:right="0"/>
              <w:jc w:val="center"/>
              <w:rPr>
                <w:rFonts w:hint="default" w:ascii="Times New Roman" w:hAnsi="Times New Roman" w:eastAsia="Arial Unicode MS" w:cs="Times New Roman"/>
                <w:color w:val="000000"/>
                <w:sz w:val="21"/>
                <w:szCs w:val="21"/>
                <w:bdr w:val="none" w:color="auto" w:sz="0" w:space="0"/>
                <w:lang w:val="en-US"/>
              </w:rPr>
            </w:pPr>
            <w:r>
              <w:rPr>
                <w:rFonts w:hint="default" w:ascii="Times New Roman" w:hAnsi="Times New Roman" w:eastAsia="Arial Unicode MS" w:cs="Times New Roman"/>
                <w:color w:val="000000"/>
                <w:sz w:val="21"/>
                <w:szCs w:val="21"/>
                <w:bdr w:val="none" w:color="auto" w:sz="0" w:space="0"/>
                <w:lang w:val="en-US"/>
              </w:rPr>
              <w:t>TSP</w:t>
            </w:r>
          </w:p>
        </w:tc>
        <w:tc>
          <w:tcPr>
            <w:tcW w:w="1577"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短期浓度</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长期浓度</w:t>
            </w:r>
          </w:p>
        </w:tc>
        <w:tc>
          <w:tcPr>
            <w:tcW w:w="1831" w:type="dxa"/>
            <w:vMerge w:val="restar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叠加环境质量现状浓度后的保证率日平均质量浓度和年平均质量质量浓度的占标率，或短期浓度的达标情况；</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评价年平均质量浓度变化率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72" w:hRule="atLeast"/>
        </w:trPr>
        <w:tc>
          <w:tcPr>
            <w:tcW w:w="944"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345"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837"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291" w:type="dxa"/>
            <w:tcBorders>
              <w:top w:val="single" w:color="auto" w:sz="6" w:space="0"/>
              <w:left w:val="single" w:color="auto" w:sz="6" w:space="0"/>
              <w:bottom w:val="single" w:color="auto" w:sz="6" w:space="0"/>
              <w:right w:val="single" w:color="auto" w:sz="6" w:space="0"/>
            </w:tcBorders>
            <w:shd w:val="clear"/>
            <w:vAlign w:val="center"/>
          </w:tcPr>
          <w:p>
            <w:pPr>
              <w:pStyle w:val="27"/>
              <w:keepNext w:val="0"/>
              <w:keepLines w:val="0"/>
              <w:widowControl/>
              <w:suppressLineNumbers w:val="0"/>
              <w:spacing w:before="0" w:beforeAutospacing="1" w:after="0" w:afterAutospacing="1"/>
              <w:ind w:left="0" w:right="0"/>
              <w:jc w:val="center"/>
              <w:rPr>
                <w:rFonts w:hint="default" w:ascii="Times New Roman" w:hAnsi="Times New Roman" w:eastAsia="Arial Unicode MS" w:cs="Times New Roman"/>
                <w:color w:val="000000"/>
                <w:sz w:val="21"/>
                <w:szCs w:val="21"/>
                <w:bdr w:val="none" w:color="auto" w:sz="0" w:space="0"/>
                <w:lang w:val="en-US"/>
              </w:rPr>
            </w:pPr>
            <w:r>
              <w:rPr>
                <w:rFonts w:hint="default" w:ascii="Times New Roman" w:hAnsi="Times New Roman" w:eastAsia="Arial Unicode MS" w:cs="Times New Roman"/>
                <w:color w:val="000000"/>
                <w:sz w:val="21"/>
                <w:szCs w:val="21"/>
                <w:bdr w:val="none" w:color="auto" w:sz="0" w:space="0"/>
                <w:lang w:val="en-US"/>
              </w:rPr>
              <w:t>PM</w:t>
            </w:r>
            <w:r>
              <w:rPr>
                <w:rFonts w:hint="default" w:ascii="Times New Roman" w:hAnsi="Times New Roman" w:eastAsia="Arial Unicode MS" w:cs="Times New Roman"/>
                <w:color w:val="000000"/>
                <w:sz w:val="21"/>
                <w:szCs w:val="21"/>
                <w:bdr w:val="none" w:color="auto" w:sz="0" w:space="0"/>
                <w:vertAlign w:val="subscript"/>
                <w:lang w:val="en-US"/>
              </w:rPr>
              <w:t>10</w:t>
            </w:r>
          </w:p>
        </w:tc>
        <w:tc>
          <w:tcPr>
            <w:tcW w:w="1577"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短期浓度</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长期浓度</w:t>
            </w:r>
          </w:p>
        </w:tc>
        <w:tc>
          <w:tcPr>
            <w:tcW w:w="1831" w:type="dxa"/>
            <w:vMerge w:val="continue"/>
            <w:tcBorders>
              <w:top w:val="single" w:color="auto" w:sz="6" w:space="0"/>
              <w:left w:val="single" w:color="auto" w:sz="6" w:space="0"/>
              <w:bottom w:val="single" w:color="auto" w:sz="6"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72" w:hRule="atLeast"/>
        </w:trPr>
        <w:tc>
          <w:tcPr>
            <w:tcW w:w="944"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34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新增污染源</w:t>
            </w:r>
          </w:p>
        </w:tc>
        <w:tc>
          <w:tcPr>
            <w:tcW w:w="1837"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非正常排放</w:t>
            </w:r>
          </w:p>
        </w:tc>
        <w:tc>
          <w:tcPr>
            <w:tcW w:w="12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577"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1h</w:t>
            </w:r>
            <w:r>
              <w:rPr>
                <w:rFonts w:hint="eastAsia" w:ascii="Times New Roman" w:hAnsi="Times New Roman" w:eastAsia="宋体" w:cs="Times New Roman"/>
                <w:color w:val="000000"/>
                <w:kern w:val="0"/>
                <w:sz w:val="21"/>
                <w:szCs w:val="21"/>
                <w:bdr w:val="none" w:color="auto" w:sz="0" w:space="0"/>
                <w:lang w:val="en-US" w:eastAsia="zh-CN" w:bidi="ar"/>
              </w:rPr>
              <w:t>平均浓度</w:t>
            </w:r>
          </w:p>
        </w:tc>
        <w:tc>
          <w:tcPr>
            <w:tcW w:w="1831"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最大浓度占标率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72" w:hRule="atLeast"/>
        </w:trPr>
        <w:tc>
          <w:tcPr>
            <w:tcW w:w="944"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厂界</w:t>
            </w:r>
          </w:p>
        </w:tc>
        <w:tc>
          <w:tcPr>
            <w:tcW w:w="134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新增污染源</w:t>
            </w:r>
          </w:p>
        </w:tc>
        <w:tc>
          <w:tcPr>
            <w:tcW w:w="1837"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正常排放</w:t>
            </w:r>
          </w:p>
        </w:tc>
        <w:tc>
          <w:tcPr>
            <w:tcW w:w="12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颗粒物</w:t>
            </w:r>
          </w:p>
        </w:tc>
        <w:tc>
          <w:tcPr>
            <w:tcW w:w="1577"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1h</w:t>
            </w:r>
            <w:r>
              <w:rPr>
                <w:rFonts w:hint="eastAsia" w:ascii="Times New Roman" w:hAnsi="Times New Roman" w:eastAsia="宋体" w:cs="Times New Roman"/>
                <w:color w:val="000000"/>
                <w:kern w:val="0"/>
                <w:sz w:val="21"/>
                <w:szCs w:val="21"/>
                <w:bdr w:val="none" w:color="auto" w:sz="0" w:space="0"/>
                <w:lang w:val="en-US" w:eastAsia="zh-CN" w:bidi="ar"/>
              </w:rPr>
              <w:t>平均浓度</w:t>
            </w:r>
          </w:p>
        </w:tc>
        <w:tc>
          <w:tcPr>
            <w:tcW w:w="1831"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无组织排放厂界达标情况</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72" w:hRule="atLeast"/>
        </w:trPr>
        <w:tc>
          <w:tcPr>
            <w:tcW w:w="944" w:type="dxa"/>
            <w:vMerge w:val="restar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大气环境防护距离</w:t>
            </w:r>
          </w:p>
        </w:tc>
        <w:tc>
          <w:tcPr>
            <w:tcW w:w="1345" w:type="dxa"/>
            <w:vMerge w:val="restar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新增污染源</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项目全厂现有污染源</w:t>
            </w:r>
          </w:p>
        </w:tc>
        <w:tc>
          <w:tcPr>
            <w:tcW w:w="1837" w:type="dxa"/>
            <w:vMerge w:val="restar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正常排放</w:t>
            </w:r>
          </w:p>
        </w:tc>
        <w:tc>
          <w:tcPr>
            <w:tcW w:w="129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1577" w:type="dxa"/>
            <w:vMerge w:val="restar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短期浓度</w:t>
            </w:r>
          </w:p>
        </w:tc>
        <w:tc>
          <w:tcPr>
            <w:tcW w:w="1831" w:type="dxa"/>
            <w:vMerge w:val="restar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大气环境防护距离</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72" w:hRule="atLeast"/>
        </w:trPr>
        <w:tc>
          <w:tcPr>
            <w:tcW w:w="944" w:type="dxa"/>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345" w:type="dxa"/>
            <w:vMerge w:val="continue"/>
            <w:tcBorders>
              <w:top w:val="single" w:color="auto" w:sz="6" w:space="0"/>
              <w:left w:val="single" w:color="auto" w:sz="6" w:space="0"/>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837" w:type="dxa"/>
            <w:vMerge w:val="continue"/>
            <w:tcBorders>
              <w:top w:val="single" w:color="auto" w:sz="6" w:space="0"/>
              <w:left w:val="single" w:color="auto" w:sz="6" w:space="0"/>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291"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577" w:type="dxa"/>
            <w:vMerge w:val="continue"/>
            <w:tcBorders>
              <w:top w:val="single" w:color="auto" w:sz="6" w:space="0"/>
              <w:left w:val="single" w:color="auto" w:sz="6" w:space="0"/>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831"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bl>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预测污染物小时和日平均浓度有多种方法（如典型日法、保证率法等），本评价中采用保证率法。保证率是国际上通用的一种方法，其计算步骤如下：</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首先对任意关心点，根据一年的逐时气象资料，计算其逐时地面浓度，并按日取平均，可得各小时的浓度和日均平均浓度；然后将一年</w:t>
      </w:r>
      <w:r>
        <w:rPr>
          <w:rFonts w:hint="default" w:ascii="Times New Roman" w:hAnsi="Times New Roman" w:eastAsia="宋体" w:cs="Times New Roman"/>
          <w:color w:val="000000"/>
          <w:kern w:val="0"/>
          <w:sz w:val="24"/>
          <w:szCs w:val="24"/>
          <w:lang w:val="en-US" w:eastAsia="zh-CN" w:bidi="ar"/>
        </w:rPr>
        <w:t>8760</w:t>
      </w:r>
      <w:r>
        <w:rPr>
          <w:rFonts w:hint="eastAsia" w:ascii="Times New Roman" w:hAnsi="Times New Roman" w:eastAsia="宋体" w:cs="Times New Roman"/>
          <w:color w:val="000000"/>
          <w:kern w:val="0"/>
          <w:sz w:val="24"/>
          <w:szCs w:val="24"/>
          <w:lang w:val="en-US" w:eastAsia="zh-CN" w:bidi="ar"/>
        </w:rPr>
        <w:t>小时的浓度和</w:t>
      </w:r>
      <w:r>
        <w:rPr>
          <w:rFonts w:hint="default" w:ascii="Times New Roman" w:hAnsi="Times New Roman" w:eastAsia="宋体" w:cs="Times New Roman"/>
          <w:color w:val="000000"/>
          <w:kern w:val="0"/>
          <w:sz w:val="24"/>
          <w:szCs w:val="24"/>
          <w:lang w:val="en-US" w:eastAsia="zh-CN" w:bidi="ar"/>
        </w:rPr>
        <w:t>365</w:t>
      </w:r>
      <w:r>
        <w:rPr>
          <w:rFonts w:hint="eastAsia" w:ascii="Times New Roman" w:hAnsi="Times New Roman" w:eastAsia="宋体" w:cs="Times New Roman"/>
          <w:color w:val="000000"/>
          <w:kern w:val="0"/>
          <w:sz w:val="24"/>
          <w:szCs w:val="24"/>
          <w:lang w:val="en-US" w:eastAsia="zh-CN" w:bidi="ar"/>
        </w:rPr>
        <w:t>天的日平均浓度，按大小次序排列，确定某一累积频率，例如累积频率定为</w:t>
      </w:r>
      <w:r>
        <w:rPr>
          <w:rFonts w:hint="default" w:ascii="Times New Roman" w:hAnsi="Times New Roman" w:eastAsia="宋体" w:cs="Times New Roman"/>
          <w:color w:val="000000"/>
          <w:kern w:val="0"/>
          <w:sz w:val="24"/>
          <w:szCs w:val="24"/>
          <w:lang w:val="en-US" w:eastAsia="zh-CN" w:bidi="ar"/>
        </w:rPr>
        <w:t>100%</w:t>
      </w:r>
      <w:r>
        <w:rPr>
          <w:rFonts w:hint="eastAsia" w:ascii="Times New Roman" w:hAnsi="Times New Roman" w:eastAsia="宋体" w:cs="Times New Roman"/>
          <w:color w:val="000000"/>
          <w:kern w:val="0"/>
          <w:sz w:val="24"/>
          <w:szCs w:val="24"/>
          <w:lang w:val="en-US" w:eastAsia="zh-CN" w:bidi="ar"/>
        </w:rPr>
        <w:t>，则对应于这一频率的日均浓度即该预测点的最大日均浓度。</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5.2.9</w:t>
      </w:r>
      <w:r>
        <w:rPr>
          <w:rFonts w:hint="default" w:ascii="Times New Roman" w:hAnsi="Times New Roman" w:cs="Times New Roman"/>
          <w:color w:val="000000"/>
          <w:lang/>
        </w:rPr>
        <w:t xml:space="preserve"> </w:t>
      </w:r>
      <w:r>
        <w:rPr>
          <w:rFonts w:ascii="Times New Roman" w:hAnsi="Times New Roman" w:cs="Times New Roman"/>
          <w:color w:val="000000"/>
          <w:lang w:eastAsia="zh-CN"/>
        </w:rPr>
        <w:t>大气影响预测结果及评价</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w:t>
      </w:r>
      <w:r>
        <w:rPr>
          <w:rFonts w:hint="default" w:ascii="Times New Roman" w:hAnsi="Times New Roman" w:cs="Times New Roman"/>
          <w:color w:val="000000"/>
          <w:lang w:eastAsia="zh-CN"/>
        </w:rPr>
        <w:t>9</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 xml:space="preserve"> </w:t>
      </w:r>
      <w:r>
        <w:rPr>
          <w:rFonts w:ascii="Times New Roman" w:hAnsi="Times New Roman" w:cs="Times New Roman"/>
          <w:color w:val="000000"/>
          <w:lang w:eastAsia="zh-CN"/>
        </w:rPr>
        <w:t>新增污染源贡献质量浓度预测结果</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）正常排放预测结果</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bCs w:val="0"/>
          <w:color w:val="000000"/>
          <w:kern w:val="0"/>
          <w:sz w:val="24"/>
          <w:szCs w:val="24"/>
          <w:lang w:val="en-US" w:eastAsia="zh-CN" w:bidi="ar"/>
        </w:rPr>
        <w:t>①</w:t>
      </w:r>
      <w:r>
        <w:rPr>
          <w:rFonts w:hint="eastAsia" w:ascii="Times New Roman" w:hAnsi="Times New Roman" w:eastAsia="宋体" w:cs="Times New Roman"/>
          <w:b/>
          <w:bCs w:val="0"/>
          <w:color w:val="000000"/>
          <w:kern w:val="0"/>
          <w:sz w:val="24"/>
          <w:szCs w:val="24"/>
          <w:lang w:val="en-US" w:eastAsia="zh-CN" w:bidi="ar"/>
        </w:rPr>
        <w:t>评价区域最大落地浓度贡献值预测结果</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各预测因子的评价区域最大落地浓度</w:t>
      </w:r>
      <w:r>
        <w:rPr>
          <w:rFonts w:hint="default" w:ascii="Times New Roman" w:hAnsi="Times New Roman" w:eastAsia="宋体" w:cs="Times New Roman"/>
          <w:color w:val="000000"/>
          <w:kern w:val="0"/>
          <w:sz w:val="24"/>
          <w:szCs w:val="24"/>
          <w:lang w:val="en-US" w:eastAsia="zh-CN" w:bidi="ar"/>
        </w:rPr>
        <w:t>24h</w:t>
      </w:r>
      <w:r>
        <w:rPr>
          <w:rFonts w:hint="eastAsia" w:ascii="Times New Roman" w:hAnsi="Times New Roman" w:eastAsia="宋体" w:cs="Times New Roman"/>
          <w:color w:val="000000"/>
          <w:kern w:val="0"/>
          <w:sz w:val="24"/>
          <w:szCs w:val="24"/>
          <w:lang w:val="en-US" w:eastAsia="zh-CN" w:bidi="ar"/>
        </w:rPr>
        <w:t>、年均贡献值预测结果详见表</w:t>
      </w:r>
      <w:r>
        <w:rPr>
          <w:rFonts w:hint="default" w:ascii="Times New Roman" w:hAnsi="Times New Roman" w:eastAsia="宋体" w:cs="Times New Roman"/>
          <w:color w:val="000000"/>
          <w:kern w:val="0"/>
          <w:sz w:val="24"/>
          <w:szCs w:val="24"/>
          <w:lang w:val="en-US" w:eastAsia="zh-CN" w:bidi="ar"/>
        </w:rPr>
        <w:t>5.2-14~</w:t>
      </w:r>
      <w:r>
        <w:rPr>
          <w:rFonts w:hint="eastAsia" w:ascii="Times New Roman" w:hAnsi="Times New Roman" w:eastAsia="宋体" w:cs="Times New Roman"/>
          <w:color w:val="000000"/>
          <w:kern w:val="0"/>
          <w:sz w:val="24"/>
          <w:szCs w:val="24"/>
          <w:lang w:val="en-US" w:eastAsia="zh-CN" w:bidi="ar"/>
        </w:rPr>
        <w:t>表</w:t>
      </w:r>
      <w:r>
        <w:rPr>
          <w:rFonts w:hint="default" w:ascii="Times New Roman" w:hAnsi="Times New Roman" w:eastAsia="宋体" w:cs="Times New Roman"/>
          <w:color w:val="000000"/>
          <w:kern w:val="0"/>
          <w:sz w:val="24"/>
          <w:szCs w:val="24"/>
          <w:lang w:val="en-US" w:eastAsia="zh-CN" w:bidi="ar"/>
        </w:rPr>
        <w:t>5.2-15</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bCs/>
          <w:color w:val="000000"/>
          <w:lang w:val="en-US"/>
        </w:rPr>
      </w:pPr>
      <w:r>
        <w:rPr>
          <w:rFonts w:hint="eastAsia" w:ascii="Times New Roman" w:hAnsi="Times New Roman" w:eastAsia="黑体" w:cs="Times New Roman"/>
          <w:bCs/>
          <w:color w:val="000000"/>
          <w:kern w:val="0"/>
          <w:sz w:val="24"/>
          <w:szCs w:val="24"/>
          <w:lang w:val="en-US" w:eastAsia="zh-CN" w:bidi="ar"/>
        </w:rPr>
        <w:t>表</w:t>
      </w:r>
      <w:r>
        <w:rPr>
          <w:rFonts w:hint="default" w:ascii="Times New Roman" w:hAnsi="Times New Roman" w:eastAsia="黑体" w:cs="Times New Roman"/>
          <w:bCs/>
          <w:color w:val="000000"/>
          <w:kern w:val="0"/>
          <w:sz w:val="24"/>
          <w:szCs w:val="24"/>
          <w:lang w:val="en-US" w:eastAsia="zh-CN" w:bidi="ar"/>
        </w:rPr>
        <w:t xml:space="preserve">5.2-14  </w:t>
      </w:r>
      <w:r>
        <w:rPr>
          <w:rFonts w:hint="eastAsia" w:ascii="Times New Roman" w:hAnsi="Times New Roman" w:eastAsia="黑体" w:cs="Times New Roman"/>
          <w:bCs/>
          <w:color w:val="000000"/>
          <w:kern w:val="0"/>
          <w:sz w:val="24"/>
          <w:szCs w:val="24"/>
          <w:lang w:val="en-US" w:eastAsia="zh-CN" w:bidi="ar"/>
        </w:rPr>
        <w:t>各预测因子最大落地浓度</w:t>
      </w:r>
      <w:r>
        <w:rPr>
          <w:rFonts w:hint="default" w:ascii="Times New Roman" w:hAnsi="Times New Roman" w:eastAsia="黑体" w:cs="Times New Roman"/>
          <w:bCs/>
          <w:color w:val="000000"/>
          <w:kern w:val="0"/>
          <w:sz w:val="24"/>
          <w:szCs w:val="24"/>
          <w:lang w:val="en-US" w:eastAsia="zh-CN" w:bidi="ar"/>
        </w:rPr>
        <w:t>24h</w:t>
      </w:r>
      <w:r>
        <w:rPr>
          <w:rFonts w:hint="eastAsia" w:ascii="Times New Roman" w:hAnsi="Times New Roman" w:eastAsia="黑体" w:cs="Times New Roman"/>
          <w:bCs/>
          <w:color w:val="000000"/>
          <w:kern w:val="0"/>
          <w:sz w:val="24"/>
          <w:szCs w:val="24"/>
          <w:lang w:val="en-US" w:eastAsia="zh-CN" w:bidi="ar"/>
        </w:rPr>
        <w:t>贡献值结果</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417"/>
        <w:gridCol w:w="1574"/>
        <w:gridCol w:w="1484"/>
        <w:gridCol w:w="1211"/>
        <w:gridCol w:w="1925"/>
        <w:gridCol w:w="1116"/>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7" w:hRule="atLeast"/>
          <w:tblHeader/>
          <w:jc w:val="center"/>
        </w:trPr>
        <w:tc>
          <w:tcPr>
            <w:tcW w:w="812" w:type="pct"/>
            <w:tcBorders>
              <w:top w:val="thinThickSmallGap" w:color="auto" w:sz="12" w:space="0"/>
              <w:left w:val="nil"/>
              <w:bottom w:val="single" w:color="auto" w:sz="4" w:space="0"/>
              <w:right w:val="single" w:color="auto" w:sz="4"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预测因子</w:t>
            </w:r>
          </w:p>
        </w:tc>
        <w:tc>
          <w:tcPr>
            <w:tcW w:w="902"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最大贡献值</w:t>
            </w:r>
            <w:r>
              <w:rPr>
                <w:rFonts w:hint="default" w:ascii="Times New Roman" w:hAnsi="Times New Roman" w:eastAsia="宋体" w:cs="Times New Roman"/>
                <w:color w:val="000000"/>
                <w:kern w:val="0"/>
                <w:sz w:val="21"/>
                <w:szCs w:val="21"/>
                <w:bdr w:val="none" w:color="auto" w:sz="0" w:space="0"/>
                <w:lang w:val="en-US" w:eastAsia="zh-CN" w:bidi="ar"/>
              </w:rPr>
              <w:t>(μg/m</w:t>
            </w:r>
            <w:r>
              <w:rPr>
                <w:rFonts w:hint="default" w:ascii="Times New Roman" w:hAnsi="Times New Roman" w:eastAsia="宋体" w:cs="Times New Roman"/>
                <w:color w:val="000000"/>
                <w:kern w:val="0"/>
                <w:sz w:val="21"/>
                <w:szCs w:val="21"/>
                <w:bdr w:val="none" w:color="auto" w:sz="0" w:space="0"/>
                <w:vertAlign w:val="superscript"/>
                <w:lang w:val="en-US" w:eastAsia="zh-CN" w:bidi="ar"/>
              </w:rPr>
              <w:t>3</w:t>
            </w:r>
            <w:r>
              <w:rPr>
                <w:rFonts w:hint="default" w:ascii="Times New Roman" w:hAnsi="Times New Roman" w:eastAsia="宋体" w:cs="Times New Roman"/>
                <w:color w:val="000000"/>
                <w:kern w:val="0"/>
                <w:sz w:val="21"/>
                <w:szCs w:val="21"/>
                <w:bdr w:val="none" w:color="auto" w:sz="0" w:space="0"/>
                <w:lang w:val="en-US" w:eastAsia="zh-CN" w:bidi="ar"/>
              </w:rPr>
              <w:t>)</w:t>
            </w:r>
          </w:p>
        </w:tc>
        <w:tc>
          <w:tcPr>
            <w:tcW w:w="850"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出现时间</w:t>
            </w:r>
          </w:p>
        </w:tc>
        <w:tc>
          <w:tcPr>
            <w:tcW w:w="694"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占标率（</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1103"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坐标</w:t>
            </w:r>
          </w:p>
        </w:tc>
        <w:tc>
          <w:tcPr>
            <w:tcW w:w="639" w:type="pct"/>
            <w:tcBorders>
              <w:top w:val="thinThickSmallGap" w:color="auto" w:sz="12" w:space="0"/>
              <w:left w:val="single" w:color="auto" w:sz="4" w:space="0"/>
              <w:bottom w:val="single" w:color="auto" w:sz="4" w:space="0"/>
              <w:right w:val="nil"/>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情况</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2"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90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等线" w:cs="Times New Roman"/>
                <w:color w:val="000000"/>
                <w:sz w:val="21"/>
                <w:szCs w:val="21"/>
                <w:bdr w:val="none" w:color="auto" w:sz="0" w:space="0"/>
                <w:lang w:val="en-US"/>
              </w:rPr>
            </w:pPr>
            <w:r>
              <w:rPr>
                <w:rFonts w:hint="default" w:ascii="Times New Roman" w:hAnsi="Times New Roman" w:eastAsia="等线" w:cs="Times New Roman"/>
                <w:color w:val="000000"/>
                <w:kern w:val="0"/>
                <w:sz w:val="21"/>
                <w:szCs w:val="21"/>
                <w:bdr w:val="none" w:color="auto" w:sz="0" w:space="0"/>
                <w:lang w:val="en-US" w:eastAsia="zh-CN" w:bidi="ar"/>
              </w:rPr>
              <w:t>89.41</w:t>
            </w:r>
          </w:p>
        </w:tc>
        <w:tc>
          <w:tcPr>
            <w:tcW w:w="8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等线" w:cs="Times New Roman"/>
                <w:color w:val="000000"/>
                <w:sz w:val="21"/>
                <w:szCs w:val="21"/>
                <w:bdr w:val="none" w:color="auto" w:sz="0" w:space="0"/>
                <w:lang w:val="en-US"/>
              </w:rPr>
            </w:pPr>
            <w:r>
              <w:rPr>
                <w:rFonts w:hint="default" w:ascii="Times New Roman" w:hAnsi="Times New Roman" w:eastAsia="等线" w:cs="Times New Roman"/>
                <w:color w:val="000000"/>
                <w:kern w:val="0"/>
                <w:sz w:val="21"/>
                <w:szCs w:val="21"/>
                <w:bdr w:val="none" w:color="auto" w:sz="0" w:space="0"/>
                <w:lang w:val="en-US" w:eastAsia="zh-CN" w:bidi="ar"/>
              </w:rPr>
              <w:t>2018/01/26</w:t>
            </w:r>
          </w:p>
        </w:tc>
        <w:tc>
          <w:tcPr>
            <w:tcW w:w="69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等线" w:cs="Times New Roman"/>
                <w:color w:val="000000"/>
                <w:sz w:val="21"/>
                <w:szCs w:val="21"/>
                <w:bdr w:val="none" w:color="auto" w:sz="0" w:space="0"/>
                <w:lang w:val="en-US"/>
              </w:rPr>
            </w:pPr>
            <w:r>
              <w:rPr>
                <w:rFonts w:hint="default" w:ascii="Times New Roman" w:hAnsi="Times New Roman" w:eastAsia="等线" w:cs="Times New Roman"/>
                <w:color w:val="000000"/>
                <w:kern w:val="0"/>
                <w:sz w:val="21"/>
                <w:szCs w:val="21"/>
                <w:bdr w:val="none" w:color="auto" w:sz="0" w:space="0"/>
                <w:lang w:val="en-US" w:eastAsia="zh-CN" w:bidi="ar"/>
              </w:rPr>
              <w:t>29.80</w:t>
            </w:r>
          </w:p>
        </w:tc>
        <w:tc>
          <w:tcPr>
            <w:tcW w:w="110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pacing w:val="-20"/>
                <w:sz w:val="21"/>
                <w:szCs w:val="21"/>
                <w:bdr w:val="none" w:color="auto" w:sz="0" w:space="0"/>
                <w:lang w:val="en-US"/>
              </w:rPr>
            </w:pPr>
            <w:r>
              <w:rPr>
                <w:rFonts w:hint="eastAsia" w:ascii="Times New Roman" w:hAnsi="Times New Roman" w:eastAsia="宋体" w:cs="Times New Roman"/>
                <w:color w:val="000000"/>
                <w:spacing w:val="-20"/>
                <w:kern w:val="0"/>
                <w:sz w:val="21"/>
                <w:szCs w:val="21"/>
                <w:bdr w:val="none" w:color="auto" w:sz="0" w:space="0"/>
                <w:lang w:val="en-US" w:eastAsia="zh-CN" w:bidi="ar"/>
              </w:rPr>
              <w:t>（</w:t>
            </w:r>
            <w:r>
              <w:rPr>
                <w:rFonts w:hint="default" w:ascii="Times New Roman" w:hAnsi="Times New Roman" w:eastAsia="宋体" w:cs="Times New Roman"/>
                <w:color w:val="000000"/>
                <w:spacing w:val="-20"/>
                <w:kern w:val="0"/>
                <w:sz w:val="21"/>
                <w:szCs w:val="21"/>
                <w:bdr w:val="none" w:color="auto" w:sz="0" w:space="0"/>
                <w:lang w:val="en-US" w:eastAsia="zh-CN" w:bidi="ar"/>
              </w:rPr>
              <w:t>-200</w:t>
            </w:r>
            <w:r>
              <w:rPr>
                <w:rFonts w:hint="eastAsia" w:ascii="Times New Roman" w:hAnsi="Times New Roman" w:eastAsia="宋体" w:cs="Times New Roman"/>
                <w:color w:val="000000"/>
                <w:spacing w:val="-20"/>
                <w:kern w:val="0"/>
                <w:sz w:val="21"/>
                <w:szCs w:val="21"/>
                <w:bdr w:val="none" w:color="auto" w:sz="0" w:space="0"/>
                <w:lang w:val="en-US" w:eastAsia="zh-CN" w:bidi="ar"/>
              </w:rPr>
              <w:t>，</w:t>
            </w:r>
            <w:r>
              <w:rPr>
                <w:rFonts w:hint="default" w:ascii="Times New Roman" w:hAnsi="Times New Roman" w:eastAsia="宋体" w:cs="Times New Roman"/>
                <w:color w:val="000000"/>
                <w:spacing w:val="-20"/>
                <w:kern w:val="0"/>
                <w:sz w:val="21"/>
                <w:szCs w:val="21"/>
                <w:bdr w:val="none" w:color="auto" w:sz="0" w:space="0"/>
                <w:lang w:val="en-US" w:eastAsia="zh-CN" w:bidi="ar"/>
              </w:rPr>
              <w:t>0</w:t>
            </w:r>
            <w:r>
              <w:rPr>
                <w:rFonts w:hint="eastAsia" w:ascii="Times New Roman" w:hAnsi="Times New Roman" w:eastAsia="宋体" w:cs="Times New Roman"/>
                <w:color w:val="000000"/>
                <w:spacing w:val="-20"/>
                <w:kern w:val="0"/>
                <w:sz w:val="21"/>
                <w:szCs w:val="21"/>
                <w:bdr w:val="none" w:color="auto" w:sz="0" w:space="0"/>
                <w:lang w:val="en-US" w:eastAsia="zh-CN" w:bidi="ar"/>
              </w:rPr>
              <w:t>）</w:t>
            </w:r>
          </w:p>
        </w:tc>
        <w:tc>
          <w:tcPr>
            <w:tcW w:w="639"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2" w:type="pc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902"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等线" w:cs="Times New Roman"/>
                <w:color w:val="000000"/>
                <w:sz w:val="21"/>
                <w:szCs w:val="21"/>
                <w:bdr w:val="none" w:color="auto" w:sz="0" w:space="0"/>
                <w:lang w:val="en-US"/>
              </w:rPr>
            </w:pPr>
            <w:r>
              <w:rPr>
                <w:rFonts w:hint="default" w:ascii="Times New Roman" w:hAnsi="Times New Roman" w:eastAsia="等线" w:cs="Times New Roman"/>
                <w:color w:val="000000"/>
                <w:kern w:val="0"/>
                <w:sz w:val="21"/>
                <w:szCs w:val="21"/>
                <w:bdr w:val="none" w:color="auto" w:sz="0" w:space="0"/>
                <w:lang w:val="en-US" w:eastAsia="zh-CN" w:bidi="ar"/>
              </w:rPr>
              <w:t>44.78</w:t>
            </w:r>
          </w:p>
        </w:tc>
        <w:tc>
          <w:tcPr>
            <w:tcW w:w="850"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等线" w:cs="Times New Roman"/>
                <w:color w:val="000000"/>
                <w:sz w:val="21"/>
                <w:szCs w:val="21"/>
                <w:bdr w:val="none" w:color="auto" w:sz="0" w:space="0"/>
                <w:lang w:val="en-US"/>
              </w:rPr>
            </w:pPr>
            <w:r>
              <w:rPr>
                <w:rFonts w:hint="default" w:ascii="Times New Roman" w:hAnsi="Times New Roman" w:eastAsia="等线" w:cs="Times New Roman"/>
                <w:color w:val="000000"/>
                <w:kern w:val="0"/>
                <w:sz w:val="21"/>
                <w:szCs w:val="21"/>
                <w:bdr w:val="none" w:color="auto" w:sz="0" w:space="0"/>
                <w:lang w:val="en-US" w:eastAsia="zh-CN" w:bidi="ar"/>
              </w:rPr>
              <w:t>2018/01/26</w:t>
            </w:r>
          </w:p>
        </w:tc>
        <w:tc>
          <w:tcPr>
            <w:tcW w:w="694"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等线" w:cs="Times New Roman"/>
                <w:color w:val="000000"/>
                <w:sz w:val="21"/>
                <w:szCs w:val="21"/>
                <w:bdr w:val="none" w:color="auto" w:sz="0" w:space="0"/>
                <w:lang w:val="en-US"/>
              </w:rPr>
            </w:pPr>
            <w:r>
              <w:rPr>
                <w:rFonts w:hint="default" w:ascii="Times New Roman" w:hAnsi="Times New Roman" w:eastAsia="等线" w:cs="Times New Roman"/>
                <w:color w:val="000000"/>
                <w:kern w:val="0"/>
                <w:sz w:val="21"/>
                <w:szCs w:val="21"/>
                <w:bdr w:val="none" w:color="auto" w:sz="0" w:space="0"/>
                <w:lang w:val="en-US" w:eastAsia="zh-CN" w:bidi="ar"/>
              </w:rPr>
              <w:t>29.86</w:t>
            </w:r>
          </w:p>
        </w:tc>
        <w:tc>
          <w:tcPr>
            <w:tcW w:w="1103"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pacing w:val="-20"/>
                <w:sz w:val="21"/>
                <w:szCs w:val="21"/>
                <w:bdr w:val="none" w:color="auto" w:sz="0" w:space="0"/>
                <w:lang w:val="en-US"/>
              </w:rPr>
            </w:pPr>
            <w:r>
              <w:rPr>
                <w:rFonts w:hint="eastAsia" w:ascii="Times New Roman" w:hAnsi="Times New Roman" w:eastAsia="宋体" w:cs="Times New Roman"/>
                <w:color w:val="000000"/>
                <w:spacing w:val="-20"/>
                <w:kern w:val="0"/>
                <w:sz w:val="21"/>
                <w:szCs w:val="21"/>
                <w:bdr w:val="none" w:color="auto" w:sz="0" w:space="0"/>
                <w:lang w:val="en-US" w:eastAsia="zh-CN" w:bidi="ar"/>
              </w:rPr>
              <w:t>（</w:t>
            </w:r>
            <w:r>
              <w:rPr>
                <w:rFonts w:hint="default" w:ascii="Times New Roman" w:hAnsi="Times New Roman" w:eastAsia="宋体" w:cs="Times New Roman"/>
                <w:color w:val="000000"/>
                <w:spacing w:val="-20"/>
                <w:kern w:val="0"/>
                <w:sz w:val="21"/>
                <w:szCs w:val="21"/>
                <w:bdr w:val="none" w:color="auto" w:sz="0" w:space="0"/>
                <w:lang w:val="en-US" w:eastAsia="zh-CN" w:bidi="ar"/>
              </w:rPr>
              <w:t>-200</w:t>
            </w:r>
            <w:r>
              <w:rPr>
                <w:rFonts w:hint="eastAsia" w:ascii="Times New Roman" w:hAnsi="Times New Roman" w:eastAsia="宋体" w:cs="Times New Roman"/>
                <w:color w:val="000000"/>
                <w:spacing w:val="-20"/>
                <w:kern w:val="0"/>
                <w:sz w:val="21"/>
                <w:szCs w:val="21"/>
                <w:bdr w:val="none" w:color="auto" w:sz="0" w:space="0"/>
                <w:lang w:val="en-US" w:eastAsia="zh-CN" w:bidi="ar"/>
              </w:rPr>
              <w:t>，</w:t>
            </w:r>
            <w:r>
              <w:rPr>
                <w:rFonts w:hint="default" w:ascii="Times New Roman" w:hAnsi="Times New Roman" w:eastAsia="宋体" w:cs="Times New Roman"/>
                <w:color w:val="000000"/>
                <w:spacing w:val="-20"/>
                <w:kern w:val="0"/>
                <w:sz w:val="21"/>
                <w:szCs w:val="21"/>
                <w:bdr w:val="none" w:color="auto" w:sz="0" w:space="0"/>
                <w:lang w:val="en-US" w:eastAsia="zh-CN" w:bidi="ar"/>
              </w:rPr>
              <w:t>0</w:t>
            </w:r>
            <w:r>
              <w:rPr>
                <w:rFonts w:hint="eastAsia" w:ascii="Times New Roman" w:hAnsi="Times New Roman" w:eastAsia="宋体" w:cs="Times New Roman"/>
                <w:color w:val="000000"/>
                <w:spacing w:val="-20"/>
                <w:kern w:val="0"/>
                <w:sz w:val="21"/>
                <w:szCs w:val="21"/>
                <w:bdr w:val="none" w:color="auto" w:sz="0" w:space="0"/>
                <w:lang w:val="en-US" w:eastAsia="zh-CN" w:bidi="ar"/>
              </w:rPr>
              <w:t>）</w:t>
            </w:r>
          </w:p>
        </w:tc>
        <w:tc>
          <w:tcPr>
            <w:tcW w:w="639"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bl>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bCs/>
          <w:color w:val="000000"/>
          <w:lang w:val="en-US"/>
        </w:rPr>
      </w:pPr>
      <w:r>
        <w:rPr>
          <w:rFonts w:hint="eastAsia" w:ascii="Times New Roman" w:hAnsi="Times New Roman" w:eastAsia="黑体" w:cs="Times New Roman"/>
          <w:bCs/>
          <w:color w:val="000000"/>
          <w:kern w:val="0"/>
          <w:sz w:val="24"/>
          <w:szCs w:val="24"/>
          <w:lang w:val="en-US" w:eastAsia="zh-CN" w:bidi="ar"/>
        </w:rPr>
        <w:t>表</w:t>
      </w:r>
      <w:r>
        <w:rPr>
          <w:rFonts w:hint="default" w:ascii="Times New Roman" w:hAnsi="Times New Roman" w:eastAsia="黑体" w:cs="Times New Roman"/>
          <w:bCs/>
          <w:color w:val="000000"/>
          <w:kern w:val="0"/>
          <w:sz w:val="24"/>
          <w:szCs w:val="24"/>
          <w:lang w:val="en-US" w:eastAsia="zh-CN" w:bidi="ar"/>
        </w:rPr>
        <w:t xml:space="preserve">5.2-15  </w:t>
      </w:r>
      <w:r>
        <w:rPr>
          <w:rFonts w:hint="eastAsia" w:ascii="Times New Roman" w:hAnsi="Times New Roman" w:eastAsia="黑体" w:cs="Times New Roman"/>
          <w:bCs/>
          <w:color w:val="000000"/>
          <w:kern w:val="0"/>
          <w:sz w:val="24"/>
          <w:szCs w:val="24"/>
          <w:lang w:val="en-US" w:eastAsia="zh-CN" w:bidi="ar"/>
        </w:rPr>
        <w:t>各预测因子最大落地浓度年均贡献值结果</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744"/>
        <w:gridCol w:w="2047"/>
        <w:gridCol w:w="1449"/>
        <w:gridCol w:w="2304"/>
        <w:gridCol w:w="1183"/>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7" w:hRule="atLeast"/>
          <w:tblHeader/>
          <w:jc w:val="center"/>
        </w:trPr>
        <w:tc>
          <w:tcPr>
            <w:tcW w:w="999" w:type="pct"/>
            <w:tcBorders>
              <w:top w:val="thinThickSmallGap" w:color="auto" w:sz="12" w:space="0"/>
              <w:left w:val="nil"/>
              <w:bottom w:val="single" w:color="auto" w:sz="4" w:space="0"/>
              <w:right w:val="single" w:color="auto" w:sz="4"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预测因子</w:t>
            </w:r>
          </w:p>
        </w:tc>
        <w:tc>
          <w:tcPr>
            <w:tcW w:w="1173"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最大贡献值</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(μg/m</w:t>
            </w:r>
            <w:r>
              <w:rPr>
                <w:rFonts w:hint="default" w:ascii="Times New Roman" w:hAnsi="Times New Roman" w:eastAsia="宋体" w:cs="Times New Roman"/>
                <w:color w:val="000000"/>
                <w:kern w:val="0"/>
                <w:sz w:val="21"/>
                <w:szCs w:val="21"/>
                <w:bdr w:val="none" w:color="auto" w:sz="0" w:space="0"/>
                <w:vertAlign w:val="superscript"/>
                <w:lang w:val="en-US" w:eastAsia="zh-CN" w:bidi="ar"/>
              </w:rPr>
              <w:t>3</w:t>
            </w:r>
            <w:r>
              <w:rPr>
                <w:rFonts w:hint="default" w:ascii="Times New Roman" w:hAnsi="Times New Roman" w:eastAsia="宋体" w:cs="Times New Roman"/>
                <w:color w:val="000000"/>
                <w:kern w:val="0"/>
                <w:sz w:val="21"/>
                <w:szCs w:val="21"/>
                <w:bdr w:val="none" w:color="auto" w:sz="0" w:space="0"/>
                <w:lang w:val="en-US" w:eastAsia="zh-CN" w:bidi="ar"/>
              </w:rPr>
              <w:t>)</w:t>
            </w:r>
          </w:p>
        </w:tc>
        <w:tc>
          <w:tcPr>
            <w:tcW w:w="830"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占标率（</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1320"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坐标</w:t>
            </w:r>
          </w:p>
        </w:tc>
        <w:tc>
          <w:tcPr>
            <w:tcW w:w="678" w:type="pct"/>
            <w:tcBorders>
              <w:top w:val="thinThickSmallGap" w:color="auto" w:sz="12" w:space="0"/>
              <w:left w:val="single" w:color="auto" w:sz="4" w:space="0"/>
              <w:bottom w:val="single" w:color="auto" w:sz="4" w:space="0"/>
              <w:right w:val="nil"/>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情况</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9"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117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等线" w:cs="Times New Roman"/>
                <w:color w:val="000000"/>
                <w:sz w:val="21"/>
                <w:szCs w:val="21"/>
                <w:bdr w:val="none" w:color="auto" w:sz="0" w:space="0"/>
                <w:lang w:val="en-US"/>
              </w:rPr>
            </w:pPr>
            <w:r>
              <w:rPr>
                <w:rFonts w:hint="default" w:ascii="Times New Roman" w:hAnsi="Times New Roman" w:eastAsia="等线" w:cs="Times New Roman"/>
                <w:color w:val="000000"/>
                <w:kern w:val="0"/>
                <w:sz w:val="21"/>
                <w:szCs w:val="21"/>
                <w:bdr w:val="none" w:color="auto" w:sz="0" w:space="0"/>
                <w:lang w:val="en-US" w:eastAsia="zh-CN" w:bidi="ar"/>
              </w:rPr>
              <w:t>15.53</w:t>
            </w:r>
          </w:p>
        </w:tc>
        <w:tc>
          <w:tcPr>
            <w:tcW w:w="83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等线" w:cs="Times New Roman"/>
                <w:color w:val="000000"/>
                <w:sz w:val="21"/>
                <w:szCs w:val="21"/>
                <w:bdr w:val="none" w:color="auto" w:sz="0" w:space="0"/>
                <w:lang w:val="en-US"/>
              </w:rPr>
            </w:pPr>
            <w:r>
              <w:rPr>
                <w:rFonts w:hint="default" w:ascii="Times New Roman" w:hAnsi="Times New Roman" w:eastAsia="等线" w:cs="Times New Roman"/>
                <w:color w:val="000000"/>
                <w:kern w:val="0"/>
                <w:sz w:val="21"/>
                <w:szCs w:val="21"/>
                <w:bdr w:val="none" w:color="auto" w:sz="0" w:space="0"/>
                <w:lang w:val="en-US" w:eastAsia="zh-CN" w:bidi="ar"/>
              </w:rPr>
              <w:t>7.77</w:t>
            </w:r>
          </w:p>
        </w:tc>
        <w:tc>
          <w:tcPr>
            <w:tcW w:w="132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pacing w:val="-20"/>
                <w:sz w:val="21"/>
                <w:szCs w:val="21"/>
                <w:bdr w:val="none" w:color="auto" w:sz="0" w:space="0"/>
                <w:lang w:val="en-US"/>
              </w:rPr>
            </w:pPr>
            <w:r>
              <w:rPr>
                <w:rFonts w:hint="eastAsia" w:ascii="Times New Roman" w:hAnsi="Times New Roman" w:eastAsia="宋体" w:cs="Times New Roman"/>
                <w:color w:val="000000"/>
                <w:spacing w:val="-20"/>
                <w:kern w:val="0"/>
                <w:sz w:val="21"/>
                <w:szCs w:val="21"/>
                <w:bdr w:val="none" w:color="auto" w:sz="0" w:space="0"/>
                <w:lang w:val="en-US" w:eastAsia="zh-CN" w:bidi="ar"/>
              </w:rPr>
              <w:t>（</w:t>
            </w:r>
            <w:r>
              <w:rPr>
                <w:rFonts w:hint="default" w:ascii="Times New Roman" w:hAnsi="Times New Roman" w:eastAsia="宋体" w:cs="Times New Roman"/>
                <w:color w:val="000000"/>
                <w:spacing w:val="-20"/>
                <w:kern w:val="0"/>
                <w:sz w:val="21"/>
                <w:szCs w:val="21"/>
                <w:bdr w:val="none" w:color="auto" w:sz="0" w:space="0"/>
                <w:lang w:val="en-US" w:eastAsia="zh-CN" w:bidi="ar"/>
              </w:rPr>
              <w:t>0</w:t>
            </w:r>
            <w:r>
              <w:rPr>
                <w:rFonts w:hint="eastAsia" w:ascii="Times New Roman" w:hAnsi="Times New Roman" w:eastAsia="宋体" w:cs="Times New Roman"/>
                <w:color w:val="000000"/>
                <w:spacing w:val="-20"/>
                <w:kern w:val="0"/>
                <w:sz w:val="21"/>
                <w:szCs w:val="21"/>
                <w:bdr w:val="none" w:color="auto" w:sz="0" w:space="0"/>
                <w:lang w:val="en-US" w:eastAsia="zh-CN" w:bidi="ar"/>
              </w:rPr>
              <w:t>，</w:t>
            </w:r>
            <w:r>
              <w:rPr>
                <w:rFonts w:hint="default" w:ascii="Times New Roman" w:hAnsi="Times New Roman" w:eastAsia="宋体" w:cs="Times New Roman"/>
                <w:color w:val="000000"/>
                <w:spacing w:val="-20"/>
                <w:kern w:val="0"/>
                <w:sz w:val="21"/>
                <w:szCs w:val="21"/>
                <w:bdr w:val="none" w:color="auto" w:sz="0" w:space="0"/>
                <w:lang w:val="en-US" w:eastAsia="zh-CN" w:bidi="ar"/>
              </w:rPr>
              <w:t>0</w:t>
            </w:r>
            <w:r>
              <w:rPr>
                <w:rFonts w:hint="eastAsia" w:ascii="Times New Roman" w:hAnsi="Times New Roman" w:eastAsia="宋体" w:cs="Times New Roman"/>
                <w:color w:val="000000"/>
                <w:spacing w:val="-20"/>
                <w:kern w:val="0"/>
                <w:sz w:val="21"/>
                <w:szCs w:val="21"/>
                <w:bdr w:val="none" w:color="auto" w:sz="0" w:space="0"/>
                <w:lang w:val="en-US" w:eastAsia="zh-CN" w:bidi="ar"/>
              </w:rPr>
              <w:t>）</w:t>
            </w:r>
          </w:p>
        </w:tc>
        <w:tc>
          <w:tcPr>
            <w:tcW w:w="678"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PrEx>
        <w:trPr>
          <w:trHeight w:val="397" w:hRule="atLeast"/>
          <w:jc w:val="center"/>
        </w:trPr>
        <w:tc>
          <w:tcPr>
            <w:tcW w:w="999" w:type="pc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173"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等线" w:cs="Times New Roman"/>
                <w:color w:val="000000"/>
                <w:sz w:val="21"/>
                <w:szCs w:val="21"/>
                <w:bdr w:val="none" w:color="auto" w:sz="0" w:space="0"/>
                <w:lang w:val="en-US"/>
              </w:rPr>
            </w:pPr>
            <w:r>
              <w:rPr>
                <w:rFonts w:hint="default" w:ascii="Times New Roman" w:hAnsi="Times New Roman" w:eastAsia="等线" w:cs="Times New Roman"/>
                <w:color w:val="000000"/>
                <w:kern w:val="0"/>
                <w:sz w:val="21"/>
                <w:szCs w:val="21"/>
                <w:bdr w:val="none" w:color="auto" w:sz="0" w:space="0"/>
                <w:lang w:val="en-US" w:eastAsia="zh-CN" w:bidi="ar"/>
              </w:rPr>
              <w:t>8.27</w:t>
            </w:r>
          </w:p>
        </w:tc>
        <w:tc>
          <w:tcPr>
            <w:tcW w:w="830"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等线" w:cs="Times New Roman"/>
                <w:color w:val="000000"/>
                <w:sz w:val="21"/>
                <w:szCs w:val="21"/>
                <w:bdr w:val="none" w:color="auto" w:sz="0" w:space="0"/>
                <w:lang w:val="en-US"/>
              </w:rPr>
            </w:pPr>
            <w:r>
              <w:rPr>
                <w:rFonts w:hint="default" w:ascii="Times New Roman" w:hAnsi="Times New Roman" w:eastAsia="等线" w:cs="Times New Roman"/>
                <w:color w:val="000000"/>
                <w:kern w:val="0"/>
                <w:sz w:val="21"/>
                <w:szCs w:val="21"/>
                <w:bdr w:val="none" w:color="auto" w:sz="0" w:space="0"/>
                <w:lang w:val="en-US" w:eastAsia="zh-CN" w:bidi="ar"/>
              </w:rPr>
              <w:t>11.82</w:t>
            </w:r>
          </w:p>
        </w:tc>
        <w:tc>
          <w:tcPr>
            <w:tcW w:w="1320"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pacing w:val="-20"/>
                <w:sz w:val="21"/>
                <w:szCs w:val="21"/>
                <w:bdr w:val="none" w:color="auto" w:sz="0" w:space="0"/>
                <w:lang w:val="en-US"/>
              </w:rPr>
            </w:pPr>
            <w:r>
              <w:rPr>
                <w:rFonts w:hint="eastAsia" w:ascii="Times New Roman" w:hAnsi="Times New Roman" w:eastAsia="宋体" w:cs="Times New Roman"/>
                <w:color w:val="000000"/>
                <w:spacing w:val="-20"/>
                <w:kern w:val="0"/>
                <w:sz w:val="21"/>
                <w:szCs w:val="21"/>
                <w:bdr w:val="none" w:color="auto" w:sz="0" w:space="0"/>
                <w:lang w:val="en-US" w:eastAsia="zh-CN" w:bidi="ar"/>
              </w:rPr>
              <w:t>（</w:t>
            </w:r>
            <w:r>
              <w:rPr>
                <w:rFonts w:hint="default" w:ascii="Times New Roman" w:hAnsi="Times New Roman" w:eastAsia="宋体" w:cs="Times New Roman"/>
                <w:color w:val="000000"/>
                <w:spacing w:val="-20"/>
                <w:kern w:val="0"/>
                <w:sz w:val="21"/>
                <w:szCs w:val="21"/>
                <w:bdr w:val="none" w:color="auto" w:sz="0" w:space="0"/>
                <w:lang w:val="en-US" w:eastAsia="zh-CN" w:bidi="ar"/>
              </w:rPr>
              <w:t>0</w:t>
            </w:r>
            <w:r>
              <w:rPr>
                <w:rFonts w:hint="eastAsia" w:ascii="Times New Roman" w:hAnsi="Times New Roman" w:eastAsia="宋体" w:cs="Times New Roman"/>
                <w:color w:val="000000"/>
                <w:spacing w:val="-20"/>
                <w:kern w:val="0"/>
                <w:sz w:val="21"/>
                <w:szCs w:val="21"/>
                <w:bdr w:val="none" w:color="auto" w:sz="0" w:space="0"/>
                <w:lang w:val="en-US" w:eastAsia="zh-CN" w:bidi="ar"/>
              </w:rPr>
              <w:t>，</w:t>
            </w:r>
            <w:r>
              <w:rPr>
                <w:rFonts w:hint="default" w:ascii="Times New Roman" w:hAnsi="Times New Roman" w:eastAsia="宋体" w:cs="Times New Roman"/>
                <w:color w:val="000000"/>
                <w:spacing w:val="-20"/>
                <w:kern w:val="0"/>
                <w:sz w:val="21"/>
                <w:szCs w:val="21"/>
                <w:bdr w:val="none" w:color="auto" w:sz="0" w:space="0"/>
                <w:lang w:val="en-US" w:eastAsia="zh-CN" w:bidi="ar"/>
              </w:rPr>
              <w:t>0</w:t>
            </w:r>
            <w:r>
              <w:rPr>
                <w:rFonts w:hint="eastAsia" w:ascii="Times New Roman" w:hAnsi="Times New Roman" w:eastAsia="宋体" w:cs="Times New Roman"/>
                <w:color w:val="000000"/>
                <w:spacing w:val="-20"/>
                <w:kern w:val="0"/>
                <w:sz w:val="21"/>
                <w:szCs w:val="21"/>
                <w:bdr w:val="none" w:color="auto" w:sz="0" w:space="0"/>
                <w:lang w:val="en-US" w:eastAsia="zh-CN" w:bidi="ar"/>
              </w:rPr>
              <w:t>）</w:t>
            </w:r>
          </w:p>
        </w:tc>
        <w:tc>
          <w:tcPr>
            <w:tcW w:w="678"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bl>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由预测结果可知，新增污染物正常排放下，各预测因子在评价区域内的短期贡献值和长期贡献值的最大浓度均达标：各预测因子的</w:t>
      </w:r>
      <w:r>
        <w:rPr>
          <w:rFonts w:hint="default" w:ascii="Times New Roman" w:hAnsi="Times New Roman" w:eastAsia="宋体" w:cs="Times New Roman"/>
          <w:color w:val="000000"/>
          <w:kern w:val="0"/>
          <w:sz w:val="24"/>
          <w:szCs w:val="24"/>
          <w:lang w:val="en-US" w:eastAsia="zh-CN" w:bidi="ar"/>
        </w:rPr>
        <w:t>24h</w:t>
      </w:r>
      <w:r>
        <w:rPr>
          <w:rFonts w:hint="eastAsia" w:ascii="Times New Roman" w:hAnsi="Times New Roman" w:eastAsia="宋体" w:cs="Times New Roman"/>
          <w:color w:val="000000"/>
          <w:kern w:val="0"/>
          <w:sz w:val="24"/>
          <w:szCs w:val="24"/>
          <w:lang w:val="en-US" w:eastAsia="zh-CN" w:bidi="ar"/>
        </w:rPr>
        <w:t>均浓度最大贡献值占标率为</w:t>
      </w:r>
      <w:r>
        <w:rPr>
          <w:rFonts w:hint="default" w:ascii="Times New Roman" w:hAnsi="Times New Roman" w:eastAsia="宋体" w:cs="Times New Roman"/>
          <w:color w:val="000000"/>
          <w:kern w:val="0"/>
          <w:sz w:val="24"/>
          <w:szCs w:val="24"/>
          <w:lang w:val="en-US" w:eastAsia="zh-CN" w:bidi="ar"/>
        </w:rPr>
        <w:t>PM</w:t>
      </w:r>
      <w:r>
        <w:rPr>
          <w:rFonts w:hint="default" w:ascii="Times New Roman" w:hAnsi="Times New Roman" w:eastAsia="宋体" w:cs="Times New Roman"/>
          <w:color w:val="000000"/>
          <w:kern w:val="0"/>
          <w:sz w:val="24"/>
          <w:szCs w:val="24"/>
          <w:vertAlign w:val="subscript"/>
          <w:lang w:val="en-US" w:eastAsia="zh-CN" w:bidi="ar"/>
        </w:rPr>
        <w:t>10</w:t>
      </w:r>
      <w:r>
        <w:rPr>
          <w:rFonts w:hint="eastAsia" w:ascii="Times New Roman" w:hAnsi="Times New Roman" w:eastAsia="宋体" w:cs="Times New Roman"/>
          <w:color w:val="000000"/>
          <w:kern w:val="0"/>
          <w:sz w:val="24"/>
          <w:szCs w:val="24"/>
          <w:lang w:val="en-US" w:eastAsia="zh-CN" w:bidi="ar"/>
        </w:rPr>
        <w:t>的</w:t>
      </w:r>
      <w:r>
        <w:rPr>
          <w:rFonts w:hint="default" w:ascii="Times New Roman" w:hAnsi="Times New Roman" w:eastAsia="宋体" w:cs="Times New Roman"/>
          <w:color w:val="000000"/>
          <w:kern w:val="0"/>
          <w:sz w:val="24"/>
          <w:szCs w:val="24"/>
          <w:lang w:val="en-US" w:eastAsia="zh-CN" w:bidi="ar"/>
        </w:rPr>
        <w:t>29.86%</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100%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TSP</w:t>
      </w:r>
      <w:r>
        <w:rPr>
          <w:rFonts w:hint="eastAsia" w:ascii="Times New Roman" w:hAnsi="Times New Roman" w:eastAsia="宋体" w:cs="Times New Roman"/>
          <w:color w:val="000000"/>
          <w:kern w:val="0"/>
          <w:sz w:val="24"/>
          <w:szCs w:val="24"/>
          <w:lang w:val="en-US" w:eastAsia="zh-CN" w:bidi="ar"/>
        </w:rPr>
        <w:t>的</w:t>
      </w:r>
      <w:r>
        <w:rPr>
          <w:rFonts w:hint="default" w:ascii="Times New Roman" w:hAnsi="Times New Roman" w:eastAsia="宋体" w:cs="Times New Roman"/>
          <w:color w:val="000000"/>
          <w:kern w:val="0"/>
          <w:sz w:val="24"/>
          <w:szCs w:val="24"/>
          <w:lang w:val="en-US" w:eastAsia="zh-CN" w:bidi="ar"/>
        </w:rPr>
        <w:t>29.80%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100%</w:t>
      </w:r>
      <w:r>
        <w:rPr>
          <w:rFonts w:hint="eastAsia" w:ascii="Times New Roman" w:hAnsi="Times New Roman" w:eastAsia="宋体" w:cs="Times New Roman"/>
          <w:color w:val="000000"/>
          <w:kern w:val="0"/>
          <w:sz w:val="24"/>
          <w:szCs w:val="24"/>
          <w:lang w:val="en-US" w:eastAsia="zh-CN" w:bidi="ar"/>
        </w:rPr>
        <w:t>，各预测因子的年均浓度最大贡献值占标率为</w:t>
      </w:r>
      <w:r>
        <w:rPr>
          <w:rFonts w:hint="default" w:ascii="Times New Roman" w:hAnsi="Times New Roman" w:eastAsia="宋体" w:cs="Times New Roman"/>
          <w:color w:val="000000"/>
          <w:kern w:val="0"/>
          <w:sz w:val="24"/>
          <w:szCs w:val="24"/>
          <w:lang w:val="en-US" w:eastAsia="zh-CN" w:bidi="ar"/>
        </w:rPr>
        <w:t>PM</w:t>
      </w:r>
      <w:r>
        <w:rPr>
          <w:rFonts w:hint="default" w:ascii="Times New Roman" w:hAnsi="Times New Roman" w:eastAsia="宋体" w:cs="Times New Roman"/>
          <w:color w:val="000000"/>
          <w:kern w:val="0"/>
          <w:sz w:val="24"/>
          <w:szCs w:val="24"/>
          <w:vertAlign w:val="subscript"/>
          <w:lang w:val="en-US" w:eastAsia="zh-CN" w:bidi="ar"/>
        </w:rPr>
        <w:t>10</w:t>
      </w:r>
      <w:r>
        <w:rPr>
          <w:rFonts w:hint="eastAsia" w:ascii="Times New Roman" w:hAnsi="Times New Roman" w:eastAsia="宋体" w:cs="Times New Roman"/>
          <w:color w:val="000000"/>
          <w:kern w:val="0"/>
          <w:sz w:val="24"/>
          <w:szCs w:val="24"/>
          <w:lang w:val="en-US" w:eastAsia="zh-CN" w:bidi="ar"/>
        </w:rPr>
        <w:t>的</w:t>
      </w:r>
      <w:r>
        <w:rPr>
          <w:rFonts w:hint="default" w:ascii="Times New Roman" w:hAnsi="Times New Roman" w:eastAsia="宋体" w:cs="Times New Roman"/>
          <w:color w:val="000000"/>
          <w:kern w:val="0"/>
          <w:sz w:val="24"/>
          <w:szCs w:val="24"/>
          <w:lang w:val="en-US" w:eastAsia="zh-CN" w:bidi="ar"/>
        </w:rPr>
        <w:t>11.82%</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TSP</w:t>
      </w:r>
      <w:r>
        <w:rPr>
          <w:rFonts w:hint="eastAsia" w:ascii="Times New Roman" w:hAnsi="Times New Roman" w:eastAsia="宋体" w:cs="Times New Roman"/>
          <w:color w:val="000000"/>
          <w:kern w:val="0"/>
          <w:sz w:val="24"/>
          <w:szCs w:val="24"/>
          <w:lang w:val="en-US" w:eastAsia="zh-CN" w:bidi="ar"/>
        </w:rPr>
        <w:t>的</w:t>
      </w:r>
      <w:r>
        <w:rPr>
          <w:rFonts w:hint="default" w:ascii="Times New Roman" w:hAnsi="Times New Roman" w:eastAsia="宋体" w:cs="Times New Roman"/>
          <w:color w:val="000000"/>
          <w:kern w:val="0"/>
          <w:sz w:val="24"/>
          <w:szCs w:val="24"/>
          <w:lang w:val="en-US" w:eastAsia="zh-CN" w:bidi="ar"/>
        </w:rPr>
        <w:t>7.77%</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30%</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bCs w:val="0"/>
          <w:color w:val="000000"/>
          <w:kern w:val="0"/>
          <w:sz w:val="24"/>
          <w:szCs w:val="24"/>
          <w:lang w:val="en-US" w:eastAsia="zh-CN" w:bidi="ar"/>
        </w:rPr>
        <w:t>②</w:t>
      </w:r>
      <w:r>
        <w:rPr>
          <w:rFonts w:hint="eastAsia" w:ascii="Times New Roman" w:hAnsi="Times New Roman" w:eastAsia="宋体" w:cs="Times New Roman"/>
          <w:b/>
          <w:bCs w:val="0"/>
          <w:color w:val="000000"/>
          <w:kern w:val="0"/>
          <w:sz w:val="24"/>
          <w:szCs w:val="24"/>
          <w:lang w:val="en-US" w:eastAsia="zh-CN" w:bidi="ar"/>
        </w:rPr>
        <w:t>各环保目标处最大落地浓度贡献值预测结果</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各预测因子扩散到各敏感目标处的最大落地浓度</w:t>
      </w:r>
      <w:r>
        <w:rPr>
          <w:rFonts w:hint="default" w:ascii="Times New Roman" w:hAnsi="Times New Roman" w:eastAsia="宋体" w:cs="Times New Roman"/>
          <w:color w:val="000000"/>
          <w:kern w:val="0"/>
          <w:sz w:val="24"/>
          <w:szCs w:val="24"/>
          <w:lang w:val="en-US" w:eastAsia="zh-CN" w:bidi="ar"/>
        </w:rPr>
        <w:t>24h</w:t>
      </w:r>
      <w:r>
        <w:rPr>
          <w:rFonts w:hint="eastAsia" w:ascii="Times New Roman" w:hAnsi="Times New Roman" w:eastAsia="宋体" w:cs="Times New Roman"/>
          <w:color w:val="000000"/>
          <w:kern w:val="0"/>
          <w:sz w:val="24"/>
          <w:szCs w:val="24"/>
          <w:lang w:val="en-US" w:eastAsia="zh-CN" w:bidi="ar"/>
        </w:rPr>
        <w:t>、年均贡献值预测结果详见表</w:t>
      </w:r>
      <w:r>
        <w:rPr>
          <w:rFonts w:hint="default" w:ascii="Times New Roman" w:hAnsi="Times New Roman" w:eastAsia="宋体" w:cs="Times New Roman"/>
          <w:color w:val="000000"/>
          <w:kern w:val="0"/>
          <w:sz w:val="24"/>
          <w:szCs w:val="24"/>
          <w:lang w:val="en-US" w:eastAsia="zh-CN" w:bidi="ar"/>
        </w:rPr>
        <w:t>5.2-16~</w:t>
      </w:r>
      <w:r>
        <w:rPr>
          <w:rFonts w:hint="eastAsia" w:ascii="Times New Roman" w:hAnsi="Times New Roman" w:eastAsia="宋体" w:cs="Times New Roman"/>
          <w:color w:val="000000"/>
          <w:kern w:val="0"/>
          <w:sz w:val="24"/>
          <w:szCs w:val="24"/>
          <w:lang w:val="en-US" w:eastAsia="zh-CN" w:bidi="ar"/>
        </w:rPr>
        <w:t>表</w:t>
      </w:r>
      <w:r>
        <w:rPr>
          <w:rFonts w:hint="default" w:ascii="Times New Roman" w:hAnsi="Times New Roman" w:eastAsia="宋体" w:cs="Times New Roman"/>
          <w:color w:val="000000"/>
          <w:kern w:val="0"/>
          <w:sz w:val="24"/>
          <w:szCs w:val="24"/>
          <w:lang w:val="en-US" w:eastAsia="zh-CN" w:bidi="ar"/>
        </w:rPr>
        <w:t>5.2-17</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jc w:val="center"/>
        <w:rPr>
          <w:rFonts w:hint="default" w:ascii="Times New Roman" w:hAnsi="Times New Roman" w:eastAsia="黑体" w:cs="Times New Roman"/>
          <w:bCs/>
          <w:color w:val="000000"/>
          <w:lang w:val="en-US"/>
        </w:rPr>
      </w:pPr>
      <w:r>
        <w:rPr>
          <w:rFonts w:hint="eastAsia" w:ascii="Times New Roman" w:hAnsi="Times New Roman" w:eastAsia="黑体" w:cs="Times New Roman"/>
          <w:bCs/>
          <w:color w:val="000000"/>
          <w:kern w:val="0"/>
          <w:sz w:val="24"/>
          <w:szCs w:val="24"/>
          <w:lang w:val="en-US" w:eastAsia="zh-CN" w:bidi="ar"/>
        </w:rPr>
        <w:t>表</w:t>
      </w:r>
      <w:r>
        <w:rPr>
          <w:rFonts w:hint="default" w:ascii="Times New Roman" w:hAnsi="Times New Roman" w:eastAsia="黑体" w:cs="Times New Roman"/>
          <w:bCs/>
          <w:color w:val="000000"/>
          <w:kern w:val="0"/>
          <w:sz w:val="24"/>
          <w:szCs w:val="24"/>
          <w:lang w:val="en-US" w:eastAsia="zh-CN" w:bidi="ar"/>
        </w:rPr>
        <w:t xml:space="preserve">5.2-16  </w:t>
      </w:r>
      <w:r>
        <w:rPr>
          <w:rFonts w:hint="eastAsia" w:ascii="Times New Roman" w:hAnsi="Times New Roman" w:eastAsia="黑体" w:cs="Times New Roman"/>
          <w:bCs/>
          <w:color w:val="000000"/>
          <w:kern w:val="0"/>
          <w:sz w:val="24"/>
          <w:szCs w:val="24"/>
          <w:lang w:val="en-US" w:eastAsia="zh-CN" w:bidi="ar"/>
        </w:rPr>
        <w:t>各预测因子到敏感点处最大落地浓度</w:t>
      </w:r>
      <w:r>
        <w:rPr>
          <w:rFonts w:hint="default" w:ascii="Times New Roman" w:hAnsi="Times New Roman" w:eastAsia="黑体" w:cs="Times New Roman"/>
          <w:bCs/>
          <w:color w:val="000000"/>
          <w:kern w:val="0"/>
          <w:sz w:val="24"/>
          <w:szCs w:val="24"/>
          <w:lang w:val="en-US" w:eastAsia="zh-CN" w:bidi="ar"/>
        </w:rPr>
        <w:t>24h</w:t>
      </w:r>
      <w:r>
        <w:rPr>
          <w:rFonts w:hint="eastAsia" w:ascii="Times New Roman" w:hAnsi="Times New Roman" w:eastAsia="黑体" w:cs="Times New Roman"/>
          <w:bCs/>
          <w:color w:val="000000"/>
          <w:kern w:val="0"/>
          <w:sz w:val="24"/>
          <w:szCs w:val="24"/>
          <w:lang w:val="en-US" w:eastAsia="zh-CN" w:bidi="ar"/>
        </w:rPr>
        <w:t>贡献值结果</w:t>
      </w:r>
    </w:p>
    <w:tbl>
      <w:tblPr>
        <w:tblStyle w:val="32"/>
        <w:tblW w:w="4899"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188"/>
        <w:gridCol w:w="1184"/>
        <w:gridCol w:w="1184"/>
        <w:gridCol w:w="1442"/>
        <w:gridCol w:w="1184"/>
        <w:gridCol w:w="1185"/>
        <w:gridCol w:w="1184"/>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5" w:hRule="atLeast"/>
          <w:tblHeader/>
          <w:jc w:val="center"/>
        </w:trPr>
        <w:tc>
          <w:tcPr>
            <w:tcW w:w="695" w:type="pct"/>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环保目标</w:t>
            </w:r>
          </w:p>
        </w:tc>
        <w:tc>
          <w:tcPr>
            <w:tcW w:w="692"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预测因子</w:t>
            </w:r>
          </w:p>
        </w:tc>
        <w:tc>
          <w:tcPr>
            <w:tcW w:w="692"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最大贡献值</w:t>
            </w:r>
            <w:r>
              <w:rPr>
                <w:rFonts w:hint="default" w:ascii="Times New Roman" w:hAnsi="Times New Roman" w:eastAsia="宋体" w:cs="Times New Roman"/>
                <w:color w:val="000000"/>
                <w:kern w:val="0"/>
                <w:sz w:val="21"/>
                <w:szCs w:val="21"/>
                <w:bdr w:val="none" w:color="auto" w:sz="0" w:space="0"/>
                <w:lang w:val="en-US" w:eastAsia="zh-CN" w:bidi="ar"/>
              </w:rPr>
              <w:t>(μg/m</w:t>
            </w:r>
            <w:r>
              <w:rPr>
                <w:rFonts w:hint="default" w:ascii="Times New Roman" w:hAnsi="Times New Roman" w:eastAsia="宋体" w:cs="Times New Roman"/>
                <w:color w:val="000000"/>
                <w:kern w:val="0"/>
                <w:sz w:val="21"/>
                <w:szCs w:val="21"/>
                <w:bdr w:val="none" w:color="auto" w:sz="0" w:space="0"/>
                <w:vertAlign w:val="superscript"/>
                <w:lang w:val="en-US" w:eastAsia="zh-CN" w:bidi="ar"/>
              </w:rPr>
              <w:t>3</w:t>
            </w:r>
            <w:r>
              <w:rPr>
                <w:rFonts w:hint="default" w:ascii="Times New Roman" w:hAnsi="Times New Roman" w:eastAsia="宋体" w:cs="Times New Roman"/>
                <w:color w:val="000000"/>
                <w:kern w:val="0"/>
                <w:sz w:val="21"/>
                <w:szCs w:val="21"/>
                <w:bdr w:val="none" w:color="auto" w:sz="0" w:space="0"/>
                <w:lang w:val="en-US" w:eastAsia="zh-CN" w:bidi="ar"/>
              </w:rPr>
              <w:t>)</w:t>
            </w:r>
          </w:p>
        </w:tc>
        <w:tc>
          <w:tcPr>
            <w:tcW w:w="843"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出现时间</w:t>
            </w:r>
          </w:p>
        </w:tc>
        <w:tc>
          <w:tcPr>
            <w:tcW w:w="692"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占标率（</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693"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功能区</w:t>
            </w:r>
          </w:p>
        </w:tc>
        <w:tc>
          <w:tcPr>
            <w:tcW w:w="692" w:type="pct"/>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达标情况</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95" w:type="pct"/>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南二道村</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3.39</w:t>
            </w:r>
          </w:p>
        </w:tc>
        <w:tc>
          <w:tcPr>
            <w:tcW w:w="84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2018/02/18</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1.13</w:t>
            </w:r>
          </w:p>
        </w:tc>
        <w:tc>
          <w:tcPr>
            <w:tcW w:w="693" w:type="pct"/>
            <w:vMerge w:val="restar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二类区</w:t>
            </w:r>
          </w:p>
        </w:tc>
        <w:tc>
          <w:tcPr>
            <w:tcW w:w="692"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95"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1.70</w:t>
            </w:r>
          </w:p>
        </w:tc>
        <w:tc>
          <w:tcPr>
            <w:tcW w:w="84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2018/02/18</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1.13</w:t>
            </w:r>
          </w:p>
        </w:tc>
        <w:tc>
          <w:tcPr>
            <w:tcW w:w="693"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692"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95" w:type="pct"/>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铧子峪村</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3.09</w:t>
            </w:r>
          </w:p>
        </w:tc>
        <w:tc>
          <w:tcPr>
            <w:tcW w:w="84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2018/04/12</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1.03</w:t>
            </w:r>
          </w:p>
        </w:tc>
        <w:tc>
          <w:tcPr>
            <w:tcW w:w="693"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692"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95"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1.55</w:t>
            </w:r>
          </w:p>
        </w:tc>
        <w:tc>
          <w:tcPr>
            <w:tcW w:w="84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2018/04/12</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1.03</w:t>
            </w:r>
          </w:p>
        </w:tc>
        <w:tc>
          <w:tcPr>
            <w:tcW w:w="693"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692"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95" w:type="pct"/>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范家峪村</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19.55</w:t>
            </w:r>
          </w:p>
        </w:tc>
        <w:tc>
          <w:tcPr>
            <w:tcW w:w="84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2018/01/26</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6.52</w:t>
            </w:r>
          </w:p>
        </w:tc>
        <w:tc>
          <w:tcPr>
            <w:tcW w:w="693"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692"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95"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9.78</w:t>
            </w:r>
          </w:p>
        </w:tc>
        <w:tc>
          <w:tcPr>
            <w:tcW w:w="84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2018/01/26</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6.52</w:t>
            </w:r>
          </w:p>
        </w:tc>
        <w:tc>
          <w:tcPr>
            <w:tcW w:w="693"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692"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95" w:type="pct"/>
            <w:vMerge w:val="restar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南三道村</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3.26</w:t>
            </w:r>
          </w:p>
        </w:tc>
        <w:tc>
          <w:tcPr>
            <w:tcW w:w="84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2018/01/12</w:t>
            </w:r>
          </w:p>
        </w:tc>
        <w:tc>
          <w:tcPr>
            <w:tcW w:w="69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1.09</w:t>
            </w:r>
          </w:p>
        </w:tc>
        <w:tc>
          <w:tcPr>
            <w:tcW w:w="693"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692"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95"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692"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692"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1.64</w:t>
            </w:r>
          </w:p>
        </w:tc>
        <w:tc>
          <w:tcPr>
            <w:tcW w:w="843"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2018/01/12</w:t>
            </w:r>
          </w:p>
        </w:tc>
        <w:tc>
          <w:tcPr>
            <w:tcW w:w="692"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1.10</w:t>
            </w:r>
          </w:p>
        </w:tc>
        <w:tc>
          <w:tcPr>
            <w:tcW w:w="693"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692"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bl>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bCs/>
          <w:color w:val="000000"/>
          <w:lang w:val="en-US"/>
        </w:rPr>
      </w:pPr>
      <w:r>
        <w:rPr>
          <w:rFonts w:hint="eastAsia" w:ascii="Times New Roman" w:hAnsi="Times New Roman" w:eastAsia="黑体" w:cs="Times New Roman"/>
          <w:bCs/>
          <w:color w:val="000000"/>
          <w:kern w:val="0"/>
          <w:sz w:val="24"/>
          <w:szCs w:val="24"/>
          <w:lang w:val="en-US" w:eastAsia="zh-CN" w:bidi="ar"/>
        </w:rPr>
        <w:t>表</w:t>
      </w:r>
      <w:r>
        <w:rPr>
          <w:rFonts w:hint="default" w:ascii="Times New Roman" w:hAnsi="Times New Roman" w:eastAsia="黑体" w:cs="Times New Roman"/>
          <w:bCs/>
          <w:color w:val="000000"/>
          <w:kern w:val="0"/>
          <w:sz w:val="24"/>
          <w:szCs w:val="24"/>
          <w:lang w:val="en-US" w:eastAsia="zh-CN" w:bidi="ar"/>
        </w:rPr>
        <w:t xml:space="preserve">5.2-17 </w:t>
      </w:r>
      <w:r>
        <w:rPr>
          <w:rFonts w:hint="eastAsia" w:ascii="Times New Roman" w:hAnsi="Times New Roman" w:eastAsia="黑体" w:cs="Times New Roman"/>
          <w:bCs/>
          <w:color w:val="000000"/>
          <w:kern w:val="0"/>
          <w:sz w:val="24"/>
          <w:szCs w:val="24"/>
          <w:lang w:val="en-US" w:eastAsia="zh-CN" w:bidi="ar"/>
        </w:rPr>
        <w:t>各预测因子到敏感点处最大落地浓度年均贡献值结果</w:t>
      </w:r>
    </w:p>
    <w:tbl>
      <w:tblPr>
        <w:tblStyle w:val="32"/>
        <w:tblW w:w="4788"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393"/>
        <w:gridCol w:w="1393"/>
        <w:gridCol w:w="1393"/>
        <w:gridCol w:w="1393"/>
        <w:gridCol w:w="1394"/>
        <w:gridCol w:w="1391"/>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5" w:hRule="atLeast"/>
          <w:tblHeader/>
          <w:jc w:val="center"/>
        </w:trPr>
        <w:tc>
          <w:tcPr>
            <w:tcW w:w="834" w:type="pct"/>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环保目标</w:t>
            </w:r>
          </w:p>
        </w:tc>
        <w:tc>
          <w:tcPr>
            <w:tcW w:w="833"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预测因子</w:t>
            </w:r>
          </w:p>
        </w:tc>
        <w:tc>
          <w:tcPr>
            <w:tcW w:w="833"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最大贡献值</w:t>
            </w:r>
            <w:r>
              <w:rPr>
                <w:rFonts w:hint="default" w:ascii="Times New Roman" w:hAnsi="Times New Roman" w:eastAsia="宋体" w:cs="Times New Roman"/>
                <w:color w:val="000000"/>
                <w:kern w:val="0"/>
                <w:sz w:val="21"/>
                <w:szCs w:val="21"/>
                <w:bdr w:val="none" w:color="auto" w:sz="0" w:space="0"/>
                <w:lang w:val="en-US" w:eastAsia="zh-CN" w:bidi="ar"/>
              </w:rPr>
              <w:t>(μg/m</w:t>
            </w:r>
            <w:r>
              <w:rPr>
                <w:rFonts w:hint="default" w:ascii="Times New Roman" w:hAnsi="Times New Roman" w:eastAsia="宋体" w:cs="Times New Roman"/>
                <w:color w:val="000000"/>
                <w:kern w:val="0"/>
                <w:sz w:val="21"/>
                <w:szCs w:val="21"/>
                <w:bdr w:val="none" w:color="auto" w:sz="0" w:space="0"/>
                <w:vertAlign w:val="superscript"/>
                <w:lang w:val="en-US" w:eastAsia="zh-CN" w:bidi="ar"/>
              </w:rPr>
              <w:t>3</w:t>
            </w:r>
            <w:r>
              <w:rPr>
                <w:rFonts w:hint="default" w:ascii="Times New Roman" w:hAnsi="Times New Roman" w:eastAsia="宋体" w:cs="Times New Roman"/>
                <w:color w:val="000000"/>
                <w:kern w:val="0"/>
                <w:sz w:val="21"/>
                <w:szCs w:val="21"/>
                <w:bdr w:val="none" w:color="auto" w:sz="0" w:space="0"/>
                <w:lang w:val="en-US" w:eastAsia="zh-CN" w:bidi="ar"/>
              </w:rPr>
              <w:t>)</w:t>
            </w:r>
          </w:p>
        </w:tc>
        <w:tc>
          <w:tcPr>
            <w:tcW w:w="833"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占标率（</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834"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功能区</w:t>
            </w:r>
          </w:p>
        </w:tc>
        <w:tc>
          <w:tcPr>
            <w:tcW w:w="832" w:type="pct"/>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达标情况</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34" w:type="pct"/>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南二道村</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0.20</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0.10</w:t>
            </w:r>
          </w:p>
        </w:tc>
        <w:tc>
          <w:tcPr>
            <w:tcW w:w="834" w:type="pct"/>
            <w:vMerge w:val="restar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二类区</w:t>
            </w:r>
          </w:p>
        </w:tc>
        <w:tc>
          <w:tcPr>
            <w:tcW w:w="832"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34"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0.12</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0.17</w:t>
            </w:r>
          </w:p>
        </w:tc>
        <w:tc>
          <w:tcPr>
            <w:tcW w:w="834"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32"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34" w:type="pct"/>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铧子峪村</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0.30</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0.15</w:t>
            </w:r>
          </w:p>
        </w:tc>
        <w:tc>
          <w:tcPr>
            <w:tcW w:w="834"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32"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34"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0.18</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0.25</w:t>
            </w:r>
          </w:p>
        </w:tc>
        <w:tc>
          <w:tcPr>
            <w:tcW w:w="834"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32"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34" w:type="pct"/>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范家峪村</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0.54</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0.27</w:t>
            </w:r>
          </w:p>
        </w:tc>
        <w:tc>
          <w:tcPr>
            <w:tcW w:w="834"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32"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34" w:type="pct"/>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0.30</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0.42</w:t>
            </w:r>
          </w:p>
        </w:tc>
        <w:tc>
          <w:tcPr>
            <w:tcW w:w="834"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32"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34" w:type="pct"/>
            <w:vMerge w:val="restar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南三道村</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0.28</w:t>
            </w:r>
          </w:p>
        </w:tc>
        <w:tc>
          <w:tcPr>
            <w:tcW w:w="83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0.14</w:t>
            </w:r>
          </w:p>
        </w:tc>
        <w:tc>
          <w:tcPr>
            <w:tcW w:w="834"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32"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834" w:type="pct"/>
            <w:vMerge w:val="continue"/>
            <w:tcBorders>
              <w:top w:val="single" w:color="auto" w:sz="4" w:space="0"/>
              <w:left w:val="nil"/>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33"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833"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0.16</w:t>
            </w:r>
          </w:p>
        </w:tc>
        <w:tc>
          <w:tcPr>
            <w:tcW w:w="833"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0.23</w:t>
            </w:r>
          </w:p>
        </w:tc>
        <w:tc>
          <w:tcPr>
            <w:tcW w:w="834"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32"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bl>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default" w:ascii="Times New Roman" w:hAnsi="Times New Roman" w:eastAsia="黑体" w:cs="Times New Roman"/>
          <w:color w:val="000000"/>
          <w:kern w:val="0"/>
          <w:sz w:val="24"/>
          <w:szCs w:val="24"/>
          <w:lang w:val="en-US" w:eastAsia="zh-CN" w:bidi="ar"/>
        </w:rPr>
        <w:drawing>
          <wp:inline distT="0" distB="0" distL="114300" distR="114300">
            <wp:extent cx="4953000" cy="4133850"/>
            <wp:effectExtent l="0" t="0" r="0" b="0"/>
            <wp:docPr id="66" name="图片 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9" descr="1"/>
                    <pic:cNvPicPr>
                      <a:picLocks noChangeAspect="1"/>
                    </pic:cNvPicPr>
                  </pic:nvPicPr>
                  <pic:blipFill>
                    <a:blip r:embed="rId59"/>
                    <a:srcRect l="36360" t="3041" r="5701" b="6345"/>
                    <a:stretch>
                      <a:fillRect/>
                    </a:stretch>
                  </pic:blipFill>
                  <pic:spPr>
                    <a:xfrm>
                      <a:off x="0" y="0"/>
                      <a:ext cx="4953000" cy="4133850"/>
                    </a:xfrm>
                    <a:prstGeom prst="rect">
                      <a:avLst/>
                    </a:prstGeom>
                    <a:noFill/>
                    <a:ln>
                      <a:noFill/>
                    </a:ln>
                  </pic:spPr>
                </pic:pic>
              </a:graphicData>
            </a:graphic>
          </wp:inline>
        </w:drawing>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sz w:val="21"/>
          <w:szCs w:val="21"/>
          <w:vertAlign w:val="superscript"/>
          <w:lang w:val="en-US"/>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5-5  </w:t>
      </w:r>
      <w:r>
        <w:rPr>
          <w:rFonts w:hint="eastAsia" w:ascii="Times New Roman" w:hAnsi="Times New Roman" w:eastAsia="黑体" w:cs="Times New Roman"/>
          <w:color w:val="000000"/>
          <w:kern w:val="0"/>
          <w:sz w:val="24"/>
          <w:szCs w:val="24"/>
          <w:lang w:val="en-US" w:eastAsia="zh-CN" w:bidi="ar"/>
        </w:rPr>
        <w:t>本项目</w:t>
      </w:r>
      <w:r>
        <w:rPr>
          <w:rFonts w:hint="default" w:ascii="Times New Roman" w:hAnsi="Times New Roman" w:eastAsia="黑体" w:cs="Times New Roman"/>
          <w:color w:val="000000"/>
          <w:kern w:val="0"/>
          <w:sz w:val="24"/>
          <w:szCs w:val="24"/>
          <w:lang w:val="en-US" w:eastAsia="zh-CN" w:bidi="ar"/>
        </w:rPr>
        <w:t>PM</w:t>
      </w:r>
      <w:r>
        <w:rPr>
          <w:rFonts w:hint="default" w:ascii="Times New Roman" w:hAnsi="Times New Roman" w:eastAsia="黑体" w:cs="Times New Roman"/>
          <w:color w:val="000000"/>
          <w:kern w:val="0"/>
          <w:sz w:val="24"/>
          <w:szCs w:val="24"/>
          <w:vertAlign w:val="subscript"/>
          <w:lang w:val="en-US" w:eastAsia="zh-CN" w:bidi="ar"/>
        </w:rPr>
        <w:t>10</w:t>
      </w:r>
      <w:r>
        <w:rPr>
          <w:rFonts w:hint="default" w:ascii="Times New Roman" w:hAnsi="Times New Roman" w:eastAsia="黑体" w:cs="Times New Roman"/>
          <w:color w:val="000000"/>
          <w:kern w:val="0"/>
          <w:sz w:val="24"/>
          <w:szCs w:val="24"/>
          <w:lang w:val="en-US" w:eastAsia="zh-CN" w:bidi="ar"/>
        </w:rPr>
        <w:t xml:space="preserve"> </w:t>
      </w:r>
      <w:r>
        <w:rPr>
          <w:rFonts w:hint="default" w:ascii="Times New Roman" w:hAnsi="Times New Roman" w:eastAsia="黑体" w:cs="Times New Roman"/>
          <w:bCs/>
          <w:color w:val="000000"/>
          <w:kern w:val="0"/>
          <w:sz w:val="24"/>
          <w:szCs w:val="24"/>
          <w:lang w:val="en-US" w:eastAsia="zh-CN" w:bidi="ar"/>
        </w:rPr>
        <w:t>24h</w:t>
      </w:r>
      <w:r>
        <w:rPr>
          <w:rFonts w:hint="eastAsia" w:ascii="Times New Roman" w:hAnsi="Times New Roman" w:eastAsia="黑体" w:cs="Times New Roman"/>
          <w:bCs/>
          <w:color w:val="000000"/>
          <w:kern w:val="0"/>
          <w:sz w:val="24"/>
          <w:szCs w:val="24"/>
          <w:lang w:val="en-US" w:eastAsia="zh-CN" w:bidi="ar"/>
        </w:rPr>
        <w:t>均值贡献浓度分布</w:t>
      </w: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1"/>
          <w:szCs w:val="21"/>
          <w:lang w:val="en-US" w:eastAsia="zh-CN" w:bidi="ar"/>
        </w:rPr>
        <w:t>单位：</w:t>
      </w:r>
      <w:r>
        <w:rPr>
          <w:rFonts w:hint="default" w:ascii="Times New Roman" w:hAnsi="Times New Roman" w:eastAsia="黑体" w:cs="Times New Roman"/>
          <w:color w:val="000000"/>
          <w:kern w:val="0"/>
          <w:sz w:val="21"/>
          <w:szCs w:val="21"/>
          <w:lang w:val="en-US" w:eastAsia="zh-CN" w:bidi="ar"/>
        </w:rPr>
        <w:t>μg/m</w:t>
      </w:r>
      <w:r>
        <w:rPr>
          <w:rFonts w:hint="default" w:ascii="Times New Roman" w:hAnsi="Times New Roman" w:eastAsia="黑体" w:cs="Times New Roman"/>
          <w:color w:val="000000"/>
          <w:kern w:val="0"/>
          <w:sz w:val="21"/>
          <w:szCs w:val="21"/>
          <w:vertAlign w:val="superscript"/>
          <w:lang w:val="en-US" w:eastAsia="zh-CN" w:bidi="ar"/>
        </w:rPr>
        <w:t>3</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default" w:ascii="Times New Roman" w:hAnsi="Times New Roman" w:eastAsia="黑体" w:cs="Times New Roman"/>
          <w:color w:val="000000"/>
          <w:kern w:val="0"/>
          <w:sz w:val="24"/>
          <w:szCs w:val="24"/>
          <w:lang w:val="en-US" w:eastAsia="zh-CN" w:bidi="ar"/>
        </w:rPr>
        <w:drawing>
          <wp:inline distT="0" distB="0" distL="114300" distR="114300">
            <wp:extent cx="4438650" cy="3676650"/>
            <wp:effectExtent l="0" t="0" r="0" b="0"/>
            <wp:docPr id="67" name="图片 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0" descr="2"/>
                    <pic:cNvPicPr>
                      <a:picLocks noChangeAspect="1"/>
                    </pic:cNvPicPr>
                  </pic:nvPicPr>
                  <pic:blipFill>
                    <a:blip r:embed="rId60"/>
                    <a:srcRect l="37186" t="4076" r="5006" b="5969"/>
                    <a:stretch>
                      <a:fillRect/>
                    </a:stretch>
                  </pic:blipFill>
                  <pic:spPr>
                    <a:xfrm>
                      <a:off x="0" y="0"/>
                      <a:ext cx="4438650" cy="3676650"/>
                    </a:xfrm>
                    <a:prstGeom prst="rect">
                      <a:avLst/>
                    </a:prstGeom>
                    <a:noFill/>
                    <a:ln>
                      <a:noFill/>
                    </a:ln>
                  </pic:spPr>
                </pic:pic>
              </a:graphicData>
            </a:graphic>
          </wp:inline>
        </w:drawing>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sz w:val="21"/>
          <w:szCs w:val="21"/>
          <w:vertAlign w:val="superscript"/>
          <w:lang w:val="en-US"/>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5-6  </w:t>
      </w:r>
      <w:r>
        <w:rPr>
          <w:rFonts w:hint="eastAsia" w:ascii="Times New Roman" w:hAnsi="Times New Roman" w:eastAsia="黑体" w:cs="Times New Roman"/>
          <w:color w:val="000000"/>
          <w:kern w:val="0"/>
          <w:sz w:val="24"/>
          <w:szCs w:val="24"/>
          <w:lang w:val="en-US" w:eastAsia="zh-CN" w:bidi="ar"/>
        </w:rPr>
        <w:t>项目实施后</w:t>
      </w:r>
      <w:r>
        <w:rPr>
          <w:rFonts w:hint="default" w:ascii="Times New Roman" w:hAnsi="Times New Roman" w:eastAsia="黑体" w:cs="Times New Roman"/>
          <w:color w:val="000000"/>
          <w:kern w:val="0"/>
          <w:sz w:val="24"/>
          <w:szCs w:val="24"/>
          <w:lang w:val="en-US" w:eastAsia="zh-CN" w:bidi="ar"/>
        </w:rPr>
        <w:t>TSP 24h</w:t>
      </w:r>
      <w:r>
        <w:rPr>
          <w:rFonts w:hint="eastAsia" w:ascii="Times New Roman" w:hAnsi="Times New Roman" w:eastAsia="黑体" w:cs="Times New Roman"/>
          <w:color w:val="000000"/>
          <w:kern w:val="0"/>
          <w:sz w:val="24"/>
          <w:szCs w:val="24"/>
          <w:lang w:val="en-US" w:eastAsia="zh-CN" w:bidi="ar"/>
        </w:rPr>
        <w:t>均值</w:t>
      </w:r>
      <w:r>
        <w:rPr>
          <w:rFonts w:hint="eastAsia" w:ascii="Times New Roman" w:hAnsi="Times New Roman" w:eastAsia="黑体" w:cs="Times New Roman"/>
          <w:bCs/>
          <w:color w:val="000000"/>
          <w:kern w:val="0"/>
          <w:sz w:val="24"/>
          <w:szCs w:val="24"/>
          <w:lang w:val="en-US" w:eastAsia="zh-CN" w:bidi="ar"/>
        </w:rPr>
        <w:t>贡献</w:t>
      </w:r>
      <w:r>
        <w:rPr>
          <w:rFonts w:hint="eastAsia" w:ascii="Times New Roman" w:hAnsi="Times New Roman" w:eastAsia="黑体" w:cs="Times New Roman"/>
          <w:color w:val="000000"/>
          <w:kern w:val="0"/>
          <w:sz w:val="24"/>
          <w:szCs w:val="24"/>
          <w:lang w:val="en-US" w:eastAsia="zh-CN" w:bidi="ar"/>
        </w:rPr>
        <w:t>浓度分布图</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1"/>
          <w:szCs w:val="21"/>
          <w:lang w:val="en-US" w:eastAsia="zh-CN" w:bidi="ar"/>
        </w:rPr>
        <w:t>单位：</w:t>
      </w:r>
      <w:r>
        <w:rPr>
          <w:rFonts w:hint="default" w:ascii="Times New Roman" w:hAnsi="Times New Roman" w:eastAsia="黑体" w:cs="Times New Roman"/>
          <w:color w:val="000000"/>
          <w:kern w:val="0"/>
          <w:sz w:val="21"/>
          <w:szCs w:val="21"/>
          <w:lang w:val="en-US" w:eastAsia="zh-CN" w:bidi="ar"/>
        </w:rPr>
        <w:t>μg/m</w:t>
      </w:r>
      <w:r>
        <w:rPr>
          <w:rFonts w:hint="default" w:ascii="Times New Roman" w:hAnsi="Times New Roman" w:eastAsia="黑体" w:cs="Times New Roman"/>
          <w:color w:val="000000"/>
          <w:kern w:val="0"/>
          <w:sz w:val="21"/>
          <w:szCs w:val="21"/>
          <w:vertAlign w:val="superscript"/>
          <w:lang w:val="en-US" w:eastAsia="zh-CN" w:bidi="ar"/>
        </w:rPr>
        <w:t>3</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default" w:ascii="Times New Roman" w:hAnsi="Times New Roman" w:eastAsia="黑体" w:cs="Times New Roman"/>
          <w:color w:val="000000"/>
          <w:kern w:val="0"/>
          <w:sz w:val="24"/>
          <w:szCs w:val="24"/>
          <w:lang w:val="en-US" w:eastAsia="zh-CN" w:bidi="ar"/>
        </w:rPr>
        <w:drawing>
          <wp:inline distT="0" distB="0" distL="114300" distR="114300">
            <wp:extent cx="4476750" cy="3790950"/>
            <wp:effectExtent l="0" t="0" r="0" b="0"/>
            <wp:docPr id="68" name="图片 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1" descr="3"/>
                    <pic:cNvPicPr>
                      <a:picLocks noChangeAspect="1"/>
                    </pic:cNvPicPr>
                  </pic:nvPicPr>
                  <pic:blipFill>
                    <a:blip r:embed="rId61"/>
                    <a:srcRect l="36772" t="4318" r="5972" b="5449"/>
                    <a:stretch>
                      <a:fillRect/>
                    </a:stretch>
                  </pic:blipFill>
                  <pic:spPr>
                    <a:xfrm>
                      <a:off x="0" y="0"/>
                      <a:ext cx="4476750" cy="3790950"/>
                    </a:xfrm>
                    <a:prstGeom prst="rect">
                      <a:avLst/>
                    </a:prstGeom>
                    <a:noFill/>
                    <a:ln>
                      <a:noFill/>
                    </a:ln>
                  </pic:spPr>
                </pic:pic>
              </a:graphicData>
            </a:graphic>
          </wp:inline>
        </w:drawing>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sz w:val="21"/>
          <w:szCs w:val="21"/>
          <w:vertAlign w:val="superscript"/>
          <w:lang w:val="en-US"/>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5-7  </w:t>
      </w:r>
      <w:r>
        <w:rPr>
          <w:rFonts w:hint="eastAsia" w:ascii="Times New Roman" w:hAnsi="Times New Roman" w:eastAsia="黑体" w:cs="Times New Roman"/>
          <w:color w:val="000000"/>
          <w:kern w:val="0"/>
          <w:sz w:val="24"/>
          <w:szCs w:val="24"/>
          <w:lang w:val="en-US" w:eastAsia="zh-CN" w:bidi="ar"/>
        </w:rPr>
        <w:t>本项目</w:t>
      </w:r>
      <w:r>
        <w:rPr>
          <w:rFonts w:hint="default" w:ascii="Times New Roman" w:hAnsi="Times New Roman" w:eastAsia="黑体" w:cs="Times New Roman"/>
          <w:color w:val="000000"/>
          <w:kern w:val="0"/>
          <w:sz w:val="24"/>
          <w:szCs w:val="24"/>
          <w:lang w:val="en-US" w:eastAsia="zh-CN" w:bidi="ar"/>
        </w:rPr>
        <w:t>PM</w:t>
      </w:r>
      <w:r>
        <w:rPr>
          <w:rFonts w:hint="default" w:ascii="Times New Roman" w:hAnsi="Times New Roman" w:eastAsia="黑体" w:cs="Times New Roman"/>
          <w:color w:val="000000"/>
          <w:kern w:val="0"/>
          <w:sz w:val="24"/>
          <w:szCs w:val="24"/>
          <w:vertAlign w:val="subscript"/>
          <w:lang w:val="en-US" w:eastAsia="zh-CN" w:bidi="ar"/>
        </w:rPr>
        <w:t>10</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bCs/>
          <w:color w:val="000000"/>
          <w:kern w:val="0"/>
          <w:sz w:val="24"/>
          <w:szCs w:val="24"/>
          <w:lang w:val="en-US" w:eastAsia="zh-CN" w:bidi="ar"/>
        </w:rPr>
        <w:t>年均贡献浓度分布</w:t>
      </w: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1"/>
          <w:szCs w:val="21"/>
          <w:lang w:val="en-US" w:eastAsia="zh-CN" w:bidi="ar"/>
        </w:rPr>
        <w:t>单位：</w:t>
      </w:r>
      <w:r>
        <w:rPr>
          <w:rFonts w:hint="default" w:ascii="Times New Roman" w:hAnsi="Times New Roman" w:eastAsia="黑体" w:cs="Times New Roman"/>
          <w:color w:val="000000"/>
          <w:kern w:val="0"/>
          <w:sz w:val="21"/>
          <w:szCs w:val="21"/>
          <w:lang w:val="en-US" w:eastAsia="zh-CN" w:bidi="ar"/>
        </w:rPr>
        <w:t>μg/m</w:t>
      </w:r>
      <w:r>
        <w:rPr>
          <w:rFonts w:hint="default" w:ascii="Times New Roman" w:hAnsi="Times New Roman" w:eastAsia="黑体" w:cs="Times New Roman"/>
          <w:color w:val="000000"/>
          <w:kern w:val="0"/>
          <w:sz w:val="21"/>
          <w:szCs w:val="21"/>
          <w:vertAlign w:val="superscript"/>
          <w:lang w:val="en-US" w:eastAsia="zh-CN" w:bidi="ar"/>
        </w:rPr>
        <w:t>3</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default" w:ascii="Times New Roman" w:hAnsi="Times New Roman" w:eastAsia="黑体" w:cs="Times New Roman"/>
          <w:color w:val="000000"/>
          <w:kern w:val="0"/>
          <w:sz w:val="24"/>
          <w:szCs w:val="24"/>
          <w:lang w:val="en-US" w:eastAsia="zh-CN" w:bidi="ar"/>
        </w:rPr>
        <w:drawing>
          <wp:inline distT="0" distB="0" distL="114300" distR="114300">
            <wp:extent cx="4705350" cy="3952875"/>
            <wp:effectExtent l="0" t="0" r="0" b="9525"/>
            <wp:docPr id="69" name="图片 3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2" descr="4"/>
                    <pic:cNvPicPr>
                      <a:picLocks noChangeAspect="1"/>
                    </pic:cNvPicPr>
                  </pic:nvPicPr>
                  <pic:blipFill>
                    <a:blip r:embed="rId62"/>
                    <a:srcRect l="36490" t="4561" r="6360" b="5331"/>
                    <a:stretch>
                      <a:fillRect/>
                    </a:stretch>
                  </pic:blipFill>
                  <pic:spPr>
                    <a:xfrm>
                      <a:off x="0" y="0"/>
                      <a:ext cx="4705350" cy="3952875"/>
                    </a:xfrm>
                    <a:prstGeom prst="rect">
                      <a:avLst/>
                    </a:prstGeom>
                    <a:noFill/>
                    <a:ln>
                      <a:noFill/>
                    </a:ln>
                  </pic:spPr>
                </pic:pic>
              </a:graphicData>
            </a:graphic>
          </wp:inline>
        </w:drawing>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sz w:val="21"/>
          <w:szCs w:val="21"/>
          <w:vertAlign w:val="superscript"/>
          <w:lang w:val="en-US"/>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5-8  </w:t>
      </w:r>
      <w:r>
        <w:rPr>
          <w:rFonts w:hint="eastAsia" w:ascii="Times New Roman" w:hAnsi="Times New Roman" w:eastAsia="黑体" w:cs="Times New Roman"/>
          <w:color w:val="000000"/>
          <w:kern w:val="0"/>
          <w:sz w:val="24"/>
          <w:szCs w:val="24"/>
          <w:lang w:val="en-US" w:eastAsia="zh-CN" w:bidi="ar"/>
        </w:rPr>
        <w:t>项目实施后</w:t>
      </w:r>
      <w:r>
        <w:rPr>
          <w:rFonts w:hint="default" w:ascii="Times New Roman" w:hAnsi="Times New Roman" w:eastAsia="黑体" w:cs="Times New Roman"/>
          <w:color w:val="000000"/>
          <w:kern w:val="0"/>
          <w:sz w:val="24"/>
          <w:szCs w:val="24"/>
          <w:lang w:val="en-US" w:eastAsia="zh-CN" w:bidi="ar"/>
        </w:rPr>
        <w:t xml:space="preserve">TSP </w:t>
      </w:r>
      <w:r>
        <w:rPr>
          <w:rFonts w:hint="eastAsia" w:ascii="Times New Roman" w:hAnsi="Times New Roman" w:eastAsia="黑体" w:cs="Times New Roman"/>
          <w:color w:val="000000"/>
          <w:kern w:val="0"/>
          <w:sz w:val="24"/>
          <w:szCs w:val="24"/>
          <w:lang w:val="en-US" w:eastAsia="zh-CN" w:bidi="ar"/>
        </w:rPr>
        <w:t>年均</w:t>
      </w:r>
      <w:r>
        <w:rPr>
          <w:rFonts w:hint="eastAsia" w:ascii="Times New Roman" w:hAnsi="Times New Roman" w:eastAsia="黑体" w:cs="Times New Roman"/>
          <w:bCs/>
          <w:color w:val="000000"/>
          <w:kern w:val="0"/>
          <w:sz w:val="24"/>
          <w:szCs w:val="24"/>
          <w:lang w:val="en-US" w:eastAsia="zh-CN" w:bidi="ar"/>
        </w:rPr>
        <w:t>贡献</w:t>
      </w:r>
      <w:r>
        <w:rPr>
          <w:rFonts w:hint="eastAsia" w:ascii="Times New Roman" w:hAnsi="Times New Roman" w:eastAsia="黑体" w:cs="Times New Roman"/>
          <w:color w:val="000000"/>
          <w:kern w:val="0"/>
          <w:sz w:val="24"/>
          <w:szCs w:val="24"/>
          <w:lang w:val="en-US" w:eastAsia="zh-CN" w:bidi="ar"/>
        </w:rPr>
        <w:t>浓度分布图</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1"/>
          <w:szCs w:val="21"/>
          <w:lang w:val="en-US" w:eastAsia="zh-CN" w:bidi="ar"/>
        </w:rPr>
        <w:t>单位：</w:t>
      </w:r>
      <w:r>
        <w:rPr>
          <w:rFonts w:hint="default" w:ascii="Times New Roman" w:hAnsi="Times New Roman" w:eastAsia="黑体" w:cs="Times New Roman"/>
          <w:color w:val="000000"/>
          <w:kern w:val="0"/>
          <w:sz w:val="21"/>
          <w:szCs w:val="21"/>
          <w:lang w:val="en-US" w:eastAsia="zh-CN" w:bidi="ar"/>
        </w:rPr>
        <w:t>μg/m</w:t>
      </w:r>
      <w:r>
        <w:rPr>
          <w:rFonts w:hint="default" w:ascii="Times New Roman" w:hAnsi="Times New Roman" w:eastAsia="黑体" w:cs="Times New Roman"/>
          <w:color w:val="000000"/>
          <w:kern w:val="0"/>
          <w:sz w:val="21"/>
          <w:szCs w:val="21"/>
          <w:vertAlign w:val="superscript"/>
          <w:lang w:val="en-US" w:eastAsia="zh-CN" w:bidi="ar"/>
        </w:rPr>
        <w:t>3</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由预测结果可知，新增污染物正常排放下，各预测因子扩散到各敏感点处的短期贡献值和长期贡献值的最大浓度均达标，且年均最大浓度贡献值占标率＜</w:t>
      </w:r>
      <w:r>
        <w:rPr>
          <w:rFonts w:hint="default" w:ascii="Times New Roman" w:hAnsi="Times New Roman" w:eastAsia="宋体" w:cs="Times New Roman"/>
          <w:color w:val="000000"/>
          <w:kern w:val="0"/>
          <w:sz w:val="24"/>
          <w:szCs w:val="24"/>
          <w:lang w:val="en-US" w:eastAsia="zh-CN" w:bidi="ar"/>
        </w:rPr>
        <w:t>30%</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）非正常排放预测结果</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bCs w:val="0"/>
          <w:color w:val="000000"/>
          <w:kern w:val="0"/>
          <w:sz w:val="24"/>
          <w:szCs w:val="24"/>
          <w:lang w:val="en-US" w:eastAsia="zh-CN" w:bidi="ar"/>
        </w:rPr>
        <w:t>①</w:t>
      </w:r>
      <w:r>
        <w:rPr>
          <w:rFonts w:hint="eastAsia" w:ascii="Times New Roman" w:hAnsi="Times New Roman" w:eastAsia="宋体" w:cs="Times New Roman"/>
          <w:b/>
          <w:bCs w:val="0"/>
          <w:color w:val="000000"/>
          <w:kern w:val="0"/>
          <w:sz w:val="24"/>
          <w:szCs w:val="24"/>
          <w:lang w:val="en-US" w:eastAsia="zh-CN" w:bidi="ar"/>
        </w:rPr>
        <w:t>评价区域最大落地浓度贡献值预测结果</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非正常工况下，预测因子的评价区域最大落地浓度</w:t>
      </w:r>
      <w:r>
        <w:rPr>
          <w:rFonts w:hint="default" w:ascii="Times New Roman" w:hAnsi="Times New Roman" w:eastAsia="宋体" w:cs="Times New Roman"/>
          <w:color w:val="000000"/>
          <w:kern w:val="0"/>
          <w:sz w:val="24"/>
          <w:szCs w:val="24"/>
          <w:lang w:val="en-US" w:eastAsia="zh-CN" w:bidi="ar"/>
        </w:rPr>
        <w:t>1h</w:t>
      </w:r>
      <w:r>
        <w:rPr>
          <w:rFonts w:hint="eastAsia" w:ascii="Times New Roman" w:hAnsi="Times New Roman" w:eastAsia="宋体" w:cs="Times New Roman"/>
          <w:color w:val="000000"/>
          <w:kern w:val="0"/>
          <w:sz w:val="24"/>
          <w:szCs w:val="24"/>
          <w:lang w:val="en-US" w:eastAsia="zh-CN" w:bidi="ar"/>
        </w:rPr>
        <w:t>贡献值预测结果详见表</w:t>
      </w:r>
      <w:r>
        <w:rPr>
          <w:rFonts w:hint="default" w:ascii="Times New Roman" w:hAnsi="Times New Roman" w:eastAsia="宋体" w:cs="Times New Roman"/>
          <w:color w:val="000000"/>
          <w:kern w:val="0"/>
          <w:sz w:val="24"/>
          <w:szCs w:val="24"/>
          <w:lang w:val="en-US" w:eastAsia="zh-CN" w:bidi="ar"/>
        </w:rPr>
        <w:t>5.2-18</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bCs/>
          <w:color w:val="000000"/>
          <w:lang w:val="en-US"/>
        </w:rPr>
      </w:pPr>
      <w:r>
        <w:rPr>
          <w:rFonts w:hint="eastAsia" w:ascii="Times New Roman" w:hAnsi="Times New Roman" w:eastAsia="黑体" w:cs="Times New Roman"/>
          <w:bCs/>
          <w:color w:val="000000"/>
          <w:kern w:val="0"/>
          <w:sz w:val="24"/>
          <w:szCs w:val="24"/>
          <w:lang w:val="en-US" w:eastAsia="zh-CN" w:bidi="ar"/>
        </w:rPr>
        <w:t>表</w:t>
      </w:r>
      <w:r>
        <w:rPr>
          <w:rFonts w:hint="default" w:ascii="Times New Roman" w:hAnsi="Times New Roman" w:eastAsia="黑体" w:cs="Times New Roman"/>
          <w:bCs/>
          <w:color w:val="000000"/>
          <w:kern w:val="0"/>
          <w:sz w:val="24"/>
          <w:szCs w:val="24"/>
          <w:lang w:val="en-US" w:eastAsia="zh-CN" w:bidi="ar"/>
        </w:rPr>
        <w:t xml:space="preserve">5.2-18  </w:t>
      </w:r>
      <w:r>
        <w:rPr>
          <w:rFonts w:hint="eastAsia" w:ascii="Times New Roman" w:hAnsi="Times New Roman" w:eastAsia="黑体" w:cs="Times New Roman"/>
          <w:bCs/>
          <w:color w:val="000000"/>
          <w:kern w:val="0"/>
          <w:sz w:val="24"/>
          <w:szCs w:val="24"/>
          <w:lang w:val="en-US" w:eastAsia="zh-CN" w:bidi="ar"/>
        </w:rPr>
        <w:t>非正常工况各预测因子最大落地浓度</w:t>
      </w:r>
      <w:r>
        <w:rPr>
          <w:rFonts w:hint="default" w:ascii="Times New Roman" w:hAnsi="Times New Roman" w:eastAsia="黑体" w:cs="Times New Roman"/>
          <w:bCs/>
          <w:color w:val="000000"/>
          <w:kern w:val="0"/>
          <w:sz w:val="24"/>
          <w:szCs w:val="24"/>
          <w:lang w:val="en-US" w:eastAsia="zh-CN" w:bidi="ar"/>
        </w:rPr>
        <w:t>1h</w:t>
      </w:r>
      <w:r>
        <w:rPr>
          <w:rFonts w:hint="eastAsia" w:ascii="Times New Roman" w:hAnsi="Times New Roman" w:eastAsia="黑体" w:cs="Times New Roman"/>
          <w:bCs/>
          <w:color w:val="000000"/>
          <w:kern w:val="0"/>
          <w:sz w:val="24"/>
          <w:szCs w:val="24"/>
          <w:lang w:val="en-US" w:eastAsia="zh-CN" w:bidi="ar"/>
        </w:rPr>
        <w:t>贡献值结果</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411"/>
        <w:gridCol w:w="1591"/>
        <w:gridCol w:w="1812"/>
        <w:gridCol w:w="1093"/>
        <w:gridCol w:w="1760"/>
        <w:gridCol w:w="1060"/>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7" w:hRule="atLeast"/>
          <w:tblHeader/>
          <w:jc w:val="center"/>
        </w:trPr>
        <w:tc>
          <w:tcPr>
            <w:tcW w:w="808" w:type="pct"/>
            <w:tcBorders>
              <w:top w:val="thinThickSmallGap" w:color="auto" w:sz="12" w:space="0"/>
              <w:left w:val="nil"/>
              <w:bottom w:val="single" w:color="auto" w:sz="4" w:space="0"/>
              <w:right w:val="single" w:color="auto" w:sz="4"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预测因子</w:t>
            </w:r>
          </w:p>
        </w:tc>
        <w:tc>
          <w:tcPr>
            <w:tcW w:w="911"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最大贡献值</w:t>
            </w:r>
            <w:r>
              <w:rPr>
                <w:rFonts w:hint="default" w:ascii="Times New Roman" w:hAnsi="Times New Roman" w:eastAsia="宋体" w:cs="Times New Roman"/>
                <w:color w:val="000000"/>
                <w:kern w:val="0"/>
                <w:sz w:val="21"/>
                <w:szCs w:val="21"/>
                <w:bdr w:val="none" w:color="auto" w:sz="0" w:space="0"/>
                <w:lang w:val="en-US" w:eastAsia="zh-CN" w:bidi="ar"/>
              </w:rPr>
              <w:t>(μg/m</w:t>
            </w:r>
            <w:r>
              <w:rPr>
                <w:rFonts w:hint="default" w:ascii="Times New Roman" w:hAnsi="Times New Roman" w:eastAsia="宋体" w:cs="Times New Roman"/>
                <w:color w:val="000000"/>
                <w:kern w:val="0"/>
                <w:sz w:val="21"/>
                <w:szCs w:val="21"/>
                <w:bdr w:val="none" w:color="auto" w:sz="0" w:space="0"/>
                <w:vertAlign w:val="superscript"/>
                <w:lang w:val="en-US" w:eastAsia="zh-CN" w:bidi="ar"/>
              </w:rPr>
              <w:t>3</w:t>
            </w:r>
            <w:r>
              <w:rPr>
                <w:rFonts w:hint="default" w:ascii="Times New Roman" w:hAnsi="Times New Roman" w:eastAsia="宋体" w:cs="Times New Roman"/>
                <w:color w:val="000000"/>
                <w:kern w:val="0"/>
                <w:sz w:val="21"/>
                <w:szCs w:val="21"/>
                <w:bdr w:val="none" w:color="auto" w:sz="0" w:space="0"/>
                <w:lang w:val="en-US" w:eastAsia="zh-CN" w:bidi="ar"/>
              </w:rPr>
              <w:t>)</w:t>
            </w:r>
          </w:p>
        </w:tc>
        <w:tc>
          <w:tcPr>
            <w:tcW w:w="1038"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出现时间</w:t>
            </w:r>
          </w:p>
        </w:tc>
        <w:tc>
          <w:tcPr>
            <w:tcW w:w="626"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占标率（</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1008"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坐标</w:t>
            </w:r>
          </w:p>
        </w:tc>
        <w:tc>
          <w:tcPr>
            <w:tcW w:w="607" w:type="pct"/>
            <w:tcBorders>
              <w:top w:val="thinThickSmallGap" w:color="auto" w:sz="12" w:space="0"/>
              <w:left w:val="single" w:color="auto" w:sz="4" w:space="0"/>
              <w:bottom w:val="single" w:color="auto" w:sz="4" w:space="0"/>
              <w:right w:val="nil"/>
            </w:tcBorders>
            <w:shd w:val="clear" w:color="auto" w:fill="E0E0E0"/>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情况</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8" w:type="pc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911"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等线" w:cs="Times New Roman"/>
                <w:color w:val="000000"/>
                <w:sz w:val="21"/>
                <w:szCs w:val="21"/>
                <w:bdr w:val="none" w:color="auto" w:sz="0" w:space="0"/>
                <w:lang w:val="en-US"/>
              </w:rPr>
            </w:pPr>
            <w:r>
              <w:rPr>
                <w:rFonts w:hint="default" w:ascii="Times New Roman" w:hAnsi="Times New Roman" w:eastAsia="等线" w:cs="Times New Roman"/>
                <w:color w:val="000000"/>
                <w:kern w:val="0"/>
                <w:sz w:val="21"/>
                <w:szCs w:val="21"/>
                <w:bdr w:val="none" w:color="auto" w:sz="0" w:space="0"/>
                <w:lang w:val="en-US" w:eastAsia="zh-CN" w:bidi="ar"/>
              </w:rPr>
              <w:t>15920</w:t>
            </w:r>
          </w:p>
        </w:tc>
        <w:tc>
          <w:tcPr>
            <w:tcW w:w="1038"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等线" w:cs="Times New Roman"/>
                <w:color w:val="000000"/>
                <w:sz w:val="21"/>
                <w:szCs w:val="21"/>
                <w:bdr w:val="none" w:color="auto" w:sz="0" w:space="0"/>
                <w:lang w:val="en-US"/>
              </w:rPr>
            </w:pPr>
            <w:r>
              <w:rPr>
                <w:rFonts w:hint="default" w:ascii="Times New Roman" w:hAnsi="Times New Roman" w:eastAsia="等线" w:cs="Times New Roman"/>
                <w:color w:val="000000"/>
                <w:kern w:val="0"/>
                <w:sz w:val="21"/>
                <w:szCs w:val="21"/>
                <w:bdr w:val="none" w:color="auto" w:sz="0" w:space="0"/>
                <w:lang w:val="en-US" w:eastAsia="zh-CN" w:bidi="ar"/>
              </w:rPr>
              <w:t>2018/07/14/21</w:t>
            </w:r>
          </w:p>
        </w:tc>
        <w:tc>
          <w:tcPr>
            <w:tcW w:w="626"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等线" w:cs="Times New Roman"/>
                <w:color w:val="000000"/>
                <w:sz w:val="21"/>
                <w:szCs w:val="21"/>
                <w:bdr w:val="none" w:color="auto" w:sz="0" w:space="0"/>
                <w:lang w:val="en-US"/>
              </w:rPr>
            </w:pPr>
            <w:r>
              <w:rPr>
                <w:rFonts w:hint="default" w:ascii="Times New Roman" w:hAnsi="Times New Roman" w:eastAsia="等线" w:cs="Times New Roman"/>
                <w:color w:val="000000"/>
                <w:kern w:val="0"/>
                <w:sz w:val="21"/>
                <w:szCs w:val="21"/>
                <w:bdr w:val="none" w:color="auto" w:sz="0" w:space="0"/>
                <w:lang w:val="en-US" w:eastAsia="zh-CN" w:bidi="ar"/>
              </w:rPr>
              <w:t>3537.8</w:t>
            </w:r>
          </w:p>
        </w:tc>
        <w:tc>
          <w:tcPr>
            <w:tcW w:w="1008"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pacing w:val="-20"/>
                <w:sz w:val="21"/>
                <w:szCs w:val="21"/>
                <w:bdr w:val="none" w:color="auto" w:sz="0" w:space="0"/>
                <w:lang w:val="en-US"/>
              </w:rPr>
            </w:pPr>
            <w:r>
              <w:rPr>
                <w:rFonts w:hint="eastAsia" w:ascii="Times New Roman" w:hAnsi="Times New Roman" w:eastAsia="宋体" w:cs="Times New Roman"/>
                <w:color w:val="000000"/>
                <w:spacing w:val="-20"/>
                <w:kern w:val="0"/>
                <w:sz w:val="21"/>
                <w:szCs w:val="21"/>
                <w:bdr w:val="none" w:color="auto" w:sz="0" w:space="0"/>
                <w:lang w:val="en-US" w:eastAsia="zh-CN" w:bidi="ar"/>
              </w:rPr>
              <w:t>（</w:t>
            </w:r>
            <w:r>
              <w:rPr>
                <w:rFonts w:hint="default" w:ascii="Times New Roman" w:hAnsi="Times New Roman" w:eastAsia="宋体" w:cs="Times New Roman"/>
                <w:color w:val="000000"/>
                <w:spacing w:val="-20"/>
                <w:kern w:val="0"/>
                <w:sz w:val="21"/>
                <w:szCs w:val="21"/>
                <w:bdr w:val="none" w:color="auto" w:sz="0" w:space="0"/>
                <w:lang w:val="en-US" w:eastAsia="zh-CN" w:bidi="ar"/>
              </w:rPr>
              <w:t>-100</w:t>
            </w:r>
            <w:r>
              <w:rPr>
                <w:rFonts w:hint="eastAsia" w:ascii="Times New Roman" w:hAnsi="Times New Roman" w:eastAsia="宋体" w:cs="Times New Roman"/>
                <w:color w:val="000000"/>
                <w:spacing w:val="-20"/>
                <w:kern w:val="0"/>
                <w:sz w:val="21"/>
                <w:szCs w:val="21"/>
                <w:bdr w:val="none" w:color="auto" w:sz="0" w:space="0"/>
                <w:lang w:val="en-US" w:eastAsia="zh-CN" w:bidi="ar"/>
              </w:rPr>
              <w:t>，</w:t>
            </w:r>
            <w:r>
              <w:rPr>
                <w:rFonts w:hint="default" w:ascii="Times New Roman" w:hAnsi="Times New Roman" w:eastAsia="宋体" w:cs="Times New Roman"/>
                <w:color w:val="000000"/>
                <w:spacing w:val="-20"/>
                <w:kern w:val="0"/>
                <w:sz w:val="21"/>
                <w:szCs w:val="21"/>
                <w:bdr w:val="none" w:color="auto" w:sz="0" w:space="0"/>
                <w:lang w:val="en-US" w:eastAsia="zh-CN" w:bidi="ar"/>
              </w:rPr>
              <w:t>-100</w:t>
            </w:r>
            <w:r>
              <w:rPr>
                <w:rFonts w:hint="eastAsia" w:ascii="Times New Roman" w:hAnsi="Times New Roman" w:eastAsia="宋体" w:cs="Times New Roman"/>
                <w:color w:val="000000"/>
                <w:spacing w:val="-20"/>
                <w:kern w:val="0"/>
                <w:sz w:val="21"/>
                <w:szCs w:val="21"/>
                <w:bdr w:val="none" w:color="auto" w:sz="0" w:space="0"/>
                <w:lang w:val="en-US" w:eastAsia="zh-CN" w:bidi="ar"/>
              </w:rPr>
              <w:t>）</w:t>
            </w:r>
          </w:p>
        </w:tc>
        <w:tc>
          <w:tcPr>
            <w:tcW w:w="607"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不达标</w:t>
            </w:r>
          </w:p>
        </w:tc>
      </w:tr>
    </w:tbl>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bCs w:val="0"/>
          <w:color w:val="000000"/>
          <w:kern w:val="0"/>
          <w:sz w:val="24"/>
          <w:szCs w:val="24"/>
          <w:lang w:val="en-US" w:eastAsia="zh-CN" w:bidi="ar"/>
        </w:rPr>
        <w:t>②</w:t>
      </w:r>
      <w:r>
        <w:rPr>
          <w:rFonts w:hint="eastAsia" w:ascii="Times New Roman" w:hAnsi="Times New Roman" w:eastAsia="宋体" w:cs="Times New Roman"/>
          <w:b/>
          <w:bCs w:val="0"/>
          <w:color w:val="000000"/>
          <w:kern w:val="0"/>
          <w:sz w:val="24"/>
          <w:szCs w:val="24"/>
          <w:lang w:val="en-US" w:eastAsia="zh-CN" w:bidi="ar"/>
        </w:rPr>
        <w:t>各环保目标处最大落地浓度贡献值预测结果</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非正常工况下，各预测因子扩散到各敏感目标处的最大落地浓度</w:t>
      </w:r>
      <w:r>
        <w:rPr>
          <w:rFonts w:hint="default" w:ascii="Times New Roman" w:hAnsi="Times New Roman" w:eastAsia="宋体" w:cs="Times New Roman"/>
          <w:color w:val="000000"/>
          <w:kern w:val="0"/>
          <w:sz w:val="24"/>
          <w:szCs w:val="24"/>
          <w:lang w:val="en-US" w:eastAsia="zh-CN" w:bidi="ar"/>
        </w:rPr>
        <w:t>1h</w:t>
      </w:r>
      <w:r>
        <w:rPr>
          <w:rFonts w:hint="eastAsia" w:ascii="Times New Roman" w:hAnsi="Times New Roman" w:eastAsia="宋体" w:cs="Times New Roman"/>
          <w:color w:val="000000"/>
          <w:kern w:val="0"/>
          <w:sz w:val="24"/>
          <w:szCs w:val="24"/>
          <w:lang w:val="en-US" w:eastAsia="zh-CN" w:bidi="ar"/>
        </w:rPr>
        <w:t>贡献值预测结果详见表</w:t>
      </w:r>
      <w:r>
        <w:rPr>
          <w:rFonts w:hint="default" w:ascii="Times New Roman" w:hAnsi="Times New Roman" w:eastAsia="宋体" w:cs="Times New Roman"/>
          <w:color w:val="000000"/>
          <w:kern w:val="0"/>
          <w:sz w:val="24"/>
          <w:szCs w:val="24"/>
          <w:lang w:val="en-US" w:eastAsia="zh-CN" w:bidi="ar"/>
        </w:rPr>
        <w:t>5.2-19</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bCs/>
          <w:color w:val="000000"/>
          <w:lang w:val="en-US"/>
        </w:rPr>
      </w:pPr>
      <w:r>
        <w:rPr>
          <w:rFonts w:hint="eastAsia" w:ascii="Times New Roman" w:hAnsi="Times New Roman" w:eastAsia="黑体" w:cs="Times New Roman"/>
          <w:bCs/>
          <w:color w:val="000000"/>
          <w:kern w:val="0"/>
          <w:sz w:val="24"/>
          <w:szCs w:val="24"/>
          <w:lang w:val="en-US" w:eastAsia="zh-CN" w:bidi="ar"/>
        </w:rPr>
        <w:t>表</w:t>
      </w:r>
      <w:r>
        <w:rPr>
          <w:rFonts w:hint="default" w:ascii="Times New Roman" w:hAnsi="Times New Roman" w:eastAsia="黑体" w:cs="Times New Roman"/>
          <w:bCs/>
          <w:color w:val="000000"/>
          <w:kern w:val="0"/>
          <w:sz w:val="24"/>
          <w:szCs w:val="24"/>
          <w:lang w:val="en-US" w:eastAsia="zh-CN" w:bidi="ar"/>
        </w:rPr>
        <w:t xml:space="preserve">5.2-19  </w:t>
      </w:r>
      <w:r>
        <w:rPr>
          <w:rFonts w:hint="eastAsia" w:ascii="Times New Roman" w:hAnsi="Times New Roman" w:eastAsia="黑体" w:cs="Times New Roman"/>
          <w:bCs/>
          <w:color w:val="000000"/>
          <w:kern w:val="0"/>
          <w:sz w:val="24"/>
          <w:szCs w:val="24"/>
          <w:lang w:val="en-US" w:eastAsia="zh-CN" w:bidi="ar"/>
        </w:rPr>
        <w:t>非正常工况各预测因子到敏感点处最大落地浓度</w:t>
      </w:r>
      <w:r>
        <w:rPr>
          <w:rFonts w:hint="default" w:ascii="Times New Roman" w:hAnsi="Times New Roman" w:eastAsia="黑体" w:cs="Times New Roman"/>
          <w:bCs/>
          <w:color w:val="000000"/>
          <w:kern w:val="0"/>
          <w:sz w:val="24"/>
          <w:szCs w:val="24"/>
          <w:lang w:val="en-US" w:eastAsia="zh-CN" w:bidi="ar"/>
        </w:rPr>
        <w:t>1h</w:t>
      </w:r>
      <w:r>
        <w:rPr>
          <w:rFonts w:hint="eastAsia" w:ascii="Times New Roman" w:hAnsi="Times New Roman" w:eastAsia="黑体" w:cs="Times New Roman"/>
          <w:bCs/>
          <w:color w:val="000000"/>
          <w:kern w:val="0"/>
          <w:sz w:val="24"/>
          <w:szCs w:val="24"/>
          <w:lang w:val="en-US" w:eastAsia="zh-CN" w:bidi="ar"/>
        </w:rPr>
        <w:t>贡献值结果</w:t>
      </w:r>
    </w:p>
    <w:tbl>
      <w:tblPr>
        <w:tblStyle w:val="32"/>
        <w:tblW w:w="4899"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133"/>
        <w:gridCol w:w="1127"/>
        <w:gridCol w:w="1177"/>
        <w:gridCol w:w="1778"/>
        <w:gridCol w:w="1078"/>
        <w:gridCol w:w="1129"/>
        <w:gridCol w:w="1129"/>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5" w:hRule="atLeast"/>
          <w:tblHeader/>
          <w:jc w:val="center"/>
        </w:trPr>
        <w:tc>
          <w:tcPr>
            <w:tcW w:w="662" w:type="pct"/>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环保目标</w:t>
            </w:r>
          </w:p>
        </w:tc>
        <w:tc>
          <w:tcPr>
            <w:tcW w:w="659"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预测因子</w:t>
            </w:r>
          </w:p>
        </w:tc>
        <w:tc>
          <w:tcPr>
            <w:tcW w:w="688"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最大贡献值</w:t>
            </w:r>
            <w:r>
              <w:rPr>
                <w:rFonts w:hint="default" w:ascii="Times New Roman" w:hAnsi="Times New Roman" w:eastAsia="宋体" w:cs="Times New Roman"/>
                <w:color w:val="000000"/>
                <w:kern w:val="0"/>
                <w:sz w:val="21"/>
                <w:szCs w:val="21"/>
                <w:bdr w:val="none" w:color="auto" w:sz="0" w:space="0"/>
                <w:lang w:val="en-US" w:eastAsia="zh-CN" w:bidi="ar"/>
              </w:rPr>
              <w:t>(μg/m</w:t>
            </w:r>
            <w:r>
              <w:rPr>
                <w:rFonts w:hint="default" w:ascii="Times New Roman" w:hAnsi="Times New Roman" w:eastAsia="宋体" w:cs="Times New Roman"/>
                <w:color w:val="000000"/>
                <w:kern w:val="0"/>
                <w:sz w:val="21"/>
                <w:szCs w:val="21"/>
                <w:bdr w:val="none" w:color="auto" w:sz="0" w:space="0"/>
                <w:vertAlign w:val="superscript"/>
                <w:lang w:val="en-US" w:eastAsia="zh-CN" w:bidi="ar"/>
              </w:rPr>
              <w:t>3</w:t>
            </w:r>
            <w:r>
              <w:rPr>
                <w:rFonts w:hint="default" w:ascii="Times New Roman" w:hAnsi="Times New Roman" w:eastAsia="宋体" w:cs="Times New Roman"/>
                <w:color w:val="000000"/>
                <w:kern w:val="0"/>
                <w:sz w:val="21"/>
                <w:szCs w:val="21"/>
                <w:bdr w:val="none" w:color="auto" w:sz="0" w:space="0"/>
                <w:lang w:val="en-US" w:eastAsia="zh-CN" w:bidi="ar"/>
              </w:rPr>
              <w:t>)</w:t>
            </w:r>
          </w:p>
        </w:tc>
        <w:tc>
          <w:tcPr>
            <w:tcW w:w="1039"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出现时间</w:t>
            </w:r>
          </w:p>
        </w:tc>
        <w:tc>
          <w:tcPr>
            <w:tcW w:w="630"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占标率（</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660"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环境</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功能区</w:t>
            </w:r>
          </w:p>
        </w:tc>
        <w:tc>
          <w:tcPr>
            <w:tcW w:w="660" w:type="pct"/>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达标情况</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62"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南二道村</w:t>
            </w:r>
          </w:p>
        </w:tc>
        <w:tc>
          <w:tcPr>
            <w:tcW w:w="65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68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316.8</w:t>
            </w:r>
          </w:p>
        </w:tc>
        <w:tc>
          <w:tcPr>
            <w:tcW w:w="103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2018/07/30/21</w:t>
            </w:r>
          </w:p>
        </w:tc>
        <w:tc>
          <w:tcPr>
            <w:tcW w:w="63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70.4</w:t>
            </w:r>
          </w:p>
        </w:tc>
        <w:tc>
          <w:tcPr>
            <w:tcW w:w="660" w:type="pct"/>
            <w:vMerge w:val="restar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二类区</w:t>
            </w:r>
          </w:p>
        </w:tc>
        <w:tc>
          <w:tcPr>
            <w:tcW w:w="66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62"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铧子峪村</w:t>
            </w:r>
          </w:p>
        </w:tc>
        <w:tc>
          <w:tcPr>
            <w:tcW w:w="65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68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650.2</w:t>
            </w:r>
          </w:p>
        </w:tc>
        <w:tc>
          <w:tcPr>
            <w:tcW w:w="103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2018/08/06/20</w:t>
            </w:r>
          </w:p>
        </w:tc>
        <w:tc>
          <w:tcPr>
            <w:tcW w:w="63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144.5</w:t>
            </w:r>
          </w:p>
        </w:tc>
        <w:tc>
          <w:tcPr>
            <w:tcW w:w="660"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66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不达标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62"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范家峪村</w:t>
            </w:r>
          </w:p>
        </w:tc>
        <w:tc>
          <w:tcPr>
            <w:tcW w:w="65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68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1318.4</w:t>
            </w:r>
          </w:p>
        </w:tc>
        <w:tc>
          <w:tcPr>
            <w:tcW w:w="1039"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2018/07/23/19</w:t>
            </w:r>
          </w:p>
        </w:tc>
        <w:tc>
          <w:tcPr>
            <w:tcW w:w="63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293.0</w:t>
            </w:r>
          </w:p>
        </w:tc>
        <w:tc>
          <w:tcPr>
            <w:tcW w:w="660"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660"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不达标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62" w:type="pc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南三道村</w:t>
            </w:r>
          </w:p>
        </w:tc>
        <w:tc>
          <w:tcPr>
            <w:tcW w:w="659"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688"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406.7</w:t>
            </w:r>
          </w:p>
        </w:tc>
        <w:tc>
          <w:tcPr>
            <w:tcW w:w="1039"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2018/07/27/22</w:t>
            </w:r>
          </w:p>
        </w:tc>
        <w:tc>
          <w:tcPr>
            <w:tcW w:w="630"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90.4</w:t>
            </w:r>
          </w:p>
        </w:tc>
        <w:tc>
          <w:tcPr>
            <w:tcW w:w="660" w:type="pct"/>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660"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bl>
    <w:p>
      <w:pPr>
        <w:keepNext w:val="0"/>
        <w:keepLines w:val="0"/>
        <w:widowControl/>
        <w:suppressLineNumbers w:val="0"/>
        <w:spacing w:before="0" w:beforeAutospacing="0" w:after="0" w:afterAutospacing="0" w:line="500" w:lineRule="exact"/>
        <w:ind w:left="0" w:right="0"/>
        <w:jc w:val="center"/>
        <w:rPr>
          <w:rFonts w:hint="default" w:ascii="Times New Roman" w:hAnsi="Times New Roman" w:cs="Times New Roman"/>
          <w:color w:val="000000"/>
          <w:lang w:val="en-US"/>
        </w:rPr>
      </w:pP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default" w:ascii="Times New Roman" w:hAnsi="Times New Roman" w:eastAsia="黑体" w:cs="Times New Roman"/>
          <w:color w:val="000000"/>
          <w:kern w:val="0"/>
          <w:sz w:val="24"/>
          <w:szCs w:val="24"/>
          <w:lang w:val="en-US" w:eastAsia="zh-CN" w:bidi="ar"/>
        </w:rPr>
        <w:drawing>
          <wp:inline distT="0" distB="0" distL="114300" distR="114300">
            <wp:extent cx="4591050" cy="3905250"/>
            <wp:effectExtent l="0" t="0" r="0" b="0"/>
            <wp:docPr id="70" name="图片 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3" descr="5"/>
                    <pic:cNvPicPr>
                      <a:picLocks noChangeAspect="1"/>
                    </pic:cNvPicPr>
                  </pic:nvPicPr>
                  <pic:blipFill>
                    <a:blip r:embed="rId63"/>
                    <a:srcRect l="36360" t="3305" r="6372" b="5331"/>
                    <a:stretch>
                      <a:fillRect/>
                    </a:stretch>
                  </pic:blipFill>
                  <pic:spPr>
                    <a:xfrm>
                      <a:off x="0" y="0"/>
                      <a:ext cx="4591050" cy="3905250"/>
                    </a:xfrm>
                    <a:prstGeom prst="rect">
                      <a:avLst/>
                    </a:prstGeom>
                    <a:noFill/>
                    <a:ln>
                      <a:noFill/>
                    </a:ln>
                  </pic:spPr>
                </pic:pic>
              </a:graphicData>
            </a:graphic>
          </wp:inline>
        </w:drawing>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sz w:val="21"/>
          <w:szCs w:val="21"/>
          <w:vertAlign w:val="superscript"/>
          <w:lang w:val="en-US"/>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5-9  </w:t>
      </w:r>
      <w:r>
        <w:rPr>
          <w:rFonts w:hint="eastAsia" w:ascii="Times New Roman" w:hAnsi="Times New Roman" w:eastAsia="黑体" w:cs="Times New Roman"/>
          <w:color w:val="000000"/>
          <w:kern w:val="0"/>
          <w:sz w:val="24"/>
          <w:szCs w:val="24"/>
          <w:lang w:val="en-US" w:eastAsia="zh-CN" w:bidi="ar"/>
        </w:rPr>
        <w:t>非正常工况下</w:t>
      </w:r>
      <w:r>
        <w:rPr>
          <w:rFonts w:hint="default" w:ascii="Times New Roman" w:hAnsi="Times New Roman" w:eastAsia="黑体" w:cs="Times New Roman"/>
          <w:color w:val="000000"/>
          <w:kern w:val="0"/>
          <w:sz w:val="24"/>
          <w:szCs w:val="24"/>
          <w:lang w:val="en-US" w:eastAsia="zh-CN" w:bidi="ar"/>
        </w:rPr>
        <w:t>PM</w:t>
      </w:r>
      <w:r>
        <w:rPr>
          <w:rFonts w:hint="default" w:ascii="Times New Roman" w:hAnsi="Times New Roman" w:eastAsia="黑体" w:cs="Times New Roman"/>
          <w:color w:val="000000"/>
          <w:kern w:val="0"/>
          <w:sz w:val="24"/>
          <w:szCs w:val="24"/>
          <w:vertAlign w:val="subscript"/>
          <w:lang w:val="en-US" w:eastAsia="zh-CN" w:bidi="ar"/>
        </w:rPr>
        <w:t>10</w:t>
      </w:r>
      <w:r>
        <w:rPr>
          <w:rFonts w:hint="default" w:ascii="Times New Roman" w:hAnsi="Times New Roman" w:eastAsia="黑体" w:cs="Times New Roman"/>
          <w:color w:val="000000"/>
          <w:kern w:val="0"/>
          <w:sz w:val="24"/>
          <w:szCs w:val="24"/>
          <w:lang w:val="en-US" w:eastAsia="zh-CN" w:bidi="ar"/>
        </w:rPr>
        <w:t xml:space="preserve"> </w:t>
      </w:r>
      <w:r>
        <w:rPr>
          <w:rFonts w:hint="default" w:ascii="Times New Roman" w:hAnsi="Times New Roman" w:eastAsia="黑体" w:cs="Times New Roman"/>
          <w:bCs/>
          <w:color w:val="000000"/>
          <w:kern w:val="0"/>
          <w:sz w:val="24"/>
          <w:szCs w:val="24"/>
          <w:lang w:val="en-US" w:eastAsia="zh-CN" w:bidi="ar"/>
        </w:rPr>
        <w:t>1h</w:t>
      </w:r>
      <w:r>
        <w:rPr>
          <w:rFonts w:hint="eastAsia" w:ascii="Times New Roman" w:hAnsi="Times New Roman" w:eastAsia="黑体" w:cs="Times New Roman"/>
          <w:bCs/>
          <w:color w:val="000000"/>
          <w:kern w:val="0"/>
          <w:sz w:val="24"/>
          <w:szCs w:val="24"/>
          <w:lang w:val="en-US" w:eastAsia="zh-CN" w:bidi="ar"/>
        </w:rPr>
        <w:t>均贡献浓度分布</w:t>
      </w: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1"/>
          <w:szCs w:val="21"/>
          <w:lang w:val="en-US" w:eastAsia="zh-CN" w:bidi="ar"/>
        </w:rPr>
        <w:t>单位：</w:t>
      </w:r>
      <w:r>
        <w:rPr>
          <w:rFonts w:hint="default" w:ascii="Times New Roman" w:hAnsi="Times New Roman" w:eastAsia="黑体" w:cs="Times New Roman"/>
          <w:color w:val="000000"/>
          <w:kern w:val="0"/>
          <w:sz w:val="21"/>
          <w:szCs w:val="21"/>
          <w:lang w:val="en-US" w:eastAsia="zh-CN" w:bidi="ar"/>
        </w:rPr>
        <w:t>μg/m</w:t>
      </w:r>
      <w:r>
        <w:rPr>
          <w:rFonts w:hint="default" w:ascii="Times New Roman" w:hAnsi="Times New Roman" w:eastAsia="黑体" w:cs="Times New Roman"/>
          <w:color w:val="000000"/>
          <w:kern w:val="0"/>
          <w:sz w:val="21"/>
          <w:szCs w:val="21"/>
          <w:vertAlign w:val="superscript"/>
          <w:lang w:val="en-US" w:eastAsia="zh-CN" w:bidi="ar"/>
        </w:rPr>
        <w:t>3</w:t>
      </w:r>
    </w:p>
    <w:p>
      <w:pPr>
        <w:keepNext w:val="0"/>
        <w:keepLines w:val="0"/>
        <w:widowControl/>
        <w:suppressLineNumbers w:val="0"/>
        <w:spacing w:before="0" w:beforeAutospacing="0" w:after="0" w:afterAutospacing="0" w:line="500" w:lineRule="exact"/>
        <w:ind w:left="0" w:right="0"/>
        <w:jc w:val="left"/>
        <w:rPr>
          <w:rFonts w:hint="default" w:ascii="Times New Roman" w:hAnsi="Times New Roman" w:cs="Times New Roman"/>
          <w:color w:val="000000"/>
          <w:lang w:val="en-US"/>
        </w:rPr>
      </w:pP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w:t>
      </w:r>
      <w:r>
        <w:rPr>
          <w:rFonts w:hint="default" w:ascii="Times New Roman" w:hAnsi="Times New Roman" w:cs="Times New Roman"/>
          <w:color w:val="000000"/>
          <w:lang w:eastAsia="zh-CN"/>
        </w:rPr>
        <w:t>9</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 </w:t>
      </w:r>
      <w:r>
        <w:rPr>
          <w:rFonts w:ascii="Times New Roman" w:hAnsi="Times New Roman" w:cs="Times New Roman"/>
          <w:color w:val="000000"/>
          <w:lang w:eastAsia="zh-CN"/>
        </w:rPr>
        <w:t>叠加现状和削减后预测结果</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本项目评价范围内的鞍山市为不达标区，本次评价根据《环境影响评价技术导则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大气环境》（</w:t>
      </w:r>
      <w:r>
        <w:rPr>
          <w:rFonts w:hint="default" w:ascii="Times New Roman" w:hAnsi="Times New Roman" w:eastAsia="宋体" w:cs="Times New Roman"/>
          <w:color w:val="000000"/>
          <w:kern w:val="0"/>
          <w:sz w:val="24"/>
          <w:szCs w:val="24"/>
          <w:lang w:val="en-US" w:eastAsia="zh-CN" w:bidi="ar"/>
        </w:rPr>
        <w:t>HJ22-2018</w:t>
      </w:r>
      <w:r>
        <w:rPr>
          <w:rFonts w:hint="eastAsia" w:ascii="Times New Roman" w:hAnsi="Times New Roman" w:eastAsia="宋体" w:cs="Times New Roman"/>
          <w:color w:val="000000"/>
          <w:kern w:val="0"/>
          <w:sz w:val="24"/>
          <w:szCs w:val="24"/>
          <w:lang w:val="en-US" w:eastAsia="zh-CN" w:bidi="ar"/>
        </w:rPr>
        <w:t>）中不达标区评价方法，对年均值超标的</w:t>
      </w:r>
      <w:r>
        <w:rPr>
          <w:rFonts w:hint="default" w:ascii="Times New Roman" w:hAnsi="Times New Roman" w:eastAsia="宋体" w:cs="Times New Roman"/>
          <w:color w:val="000000"/>
          <w:kern w:val="0"/>
          <w:sz w:val="24"/>
          <w:szCs w:val="24"/>
          <w:lang w:val="en-US" w:eastAsia="zh-CN" w:bidi="ar"/>
        </w:rPr>
        <w:t>PM</w:t>
      </w:r>
      <w:r>
        <w:rPr>
          <w:rFonts w:hint="default" w:ascii="Times New Roman" w:hAnsi="Times New Roman" w:eastAsia="宋体" w:cs="Times New Roman"/>
          <w:color w:val="000000"/>
          <w:kern w:val="0"/>
          <w:sz w:val="24"/>
          <w:szCs w:val="24"/>
          <w:vertAlign w:val="subscript"/>
          <w:lang w:val="en-US" w:eastAsia="zh-CN" w:bidi="ar"/>
        </w:rPr>
        <w:t>10</w:t>
      </w:r>
      <w:r>
        <w:rPr>
          <w:rFonts w:hint="eastAsia" w:ascii="Times New Roman" w:hAnsi="Times New Roman" w:eastAsia="宋体" w:cs="Times New Roman"/>
          <w:color w:val="000000"/>
          <w:kern w:val="0"/>
          <w:sz w:val="24"/>
          <w:szCs w:val="24"/>
          <w:lang w:val="en-US" w:eastAsia="zh-CN" w:bidi="ar"/>
        </w:rPr>
        <w:t>采用计算削减后预测范围的年平均质量浓度变化率</w:t>
      </w:r>
      <w:r>
        <w:rPr>
          <w:rFonts w:hint="default" w:ascii="Times New Roman" w:hAnsi="Times New Roman" w:eastAsia="宋体" w:cs="Times New Roman"/>
          <w:color w:val="000000"/>
          <w:kern w:val="0"/>
          <w:sz w:val="24"/>
          <w:szCs w:val="24"/>
          <w:lang w:val="en-US" w:eastAsia="zh-CN" w:bidi="ar"/>
        </w:rPr>
        <w:t>K</w:t>
      </w:r>
      <w:r>
        <w:rPr>
          <w:rFonts w:hint="eastAsia" w:ascii="Times New Roman" w:hAnsi="Times New Roman" w:eastAsia="宋体" w:cs="Times New Roman"/>
          <w:color w:val="000000"/>
          <w:kern w:val="0"/>
          <w:sz w:val="24"/>
          <w:szCs w:val="24"/>
          <w:lang w:val="en-US" w:eastAsia="zh-CN" w:bidi="ar"/>
        </w:rPr>
        <w:t>值进行评价，其余达标因子按达标区项目预测内容评价。</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）评价区域及保护目标处最大落地浓度预测结果</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常规因子在评价区域内最大落地浓度</w:t>
      </w:r>
      <w:r>
        <w:rPr>
          <w:rFonts w:hint="default" w:ascii="Times New Roman" w:hAnsi="Times New Roman" w:eastAsia="宋体" w:cs="Times New Roman"/>
          <w:color w:val="000000"/>
          <w:kern w:val="0"/>
          <w:sz w:val="24"/>
          <w:szCs w:val="24"/>
          <w:lang w:val="en-US" w:eastAsia="zh-CN" w:bidi="ar"/>
        </w:rPr>
        <w:t>24h</w:t>
      </w:r>
      <w:r>
        <w:rPr>
          <w:rFonts w:hint="eastAsia" w:ascii="Times New Roman" w:hAnsi="Times New Roman" w:eastAsia="宋体" w:cs="Times New Roman"/>
          <w:color w:val="000000"/>
          <w:kern w:val="0"/>
          <w:sz w:val="24"/>
          <w:szCs w:val="24"/>
          <w:lang w:val="en-US" w:eastAsia="zh-CN" w:bidi="ar"/>
        </w:rPr>
        <w:t>贡献值、及常规因子扩散到各环保目标处的最大落地浓度</w:t>
      </w:r>
      <w:r>
        <w:rPr>
          <w:rFonts w:hint="default" w:ascii="Times New Roman" w:hAnsi="Times New Roman" w:eastAsia="宋体" w:cs="Times New Roman"/>
          <w:color w:val="000000"/>
          <w:kern w:val="0"/>
          <w:sz w:val="24"/>
          <w:szCs w:val="24"/>
          <w:lang w:val="en-US" w:eastAsia="zh-CN" w:bidi="ar"/>
        </w:rPr>
        <w:t>24h</w:t>
      </w:r>
      <w:r>
        <w:rPr>
          <w:rFonts w:hint="eastAsia" w:ascii="Times New Roman" w:hAnsi="Times New Roman" w:eastAsia="宋体" w:cs="Times New Roman"/>
          <w:color w:val="000000"/>
          <w:kern w:val="0"/>
          <w:sz w:val="24"/>
          <w:szCs w:val="24"/>
          <w:lang w:val="en-US" w:eastAsia="zh-CN" w:bidi="ar"/>
        </w:rPr>
        <w:t>贡献值，叠加削减源、在建拟建项目污染源和现状浓度后的保证率日平均质量浓度见表</w:t>
      </w:r>
      <w:r>
        <w:rPr>
          <w:rFonts w:hint="default" w:ascii="Times New Roman" w:hAnsi="Times New Roman" w:eastAsia="宋体" w:cs="Times New Roman"/>
          <w:color w:val="000000"/>
          <w:kern w:val="0"/>
          <w:sz w:val="24"/>
          <w:szCs w:val="24"/>
          <w:lang w:val="en-US" w:eastAsia="zh-CN" w:bidi="ar"/>
        </w:rPr>
        <w:t>5.2-20</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特征因子在评价区域内最大落地浓度相应的短期贡献值、特征因子扩散到各环保目标处的短期贡献值及叠加削减源、在建拟建项目污染源和现状浓度后的环境质量浓度预测值见表</w:t>
      </w:r>
      <w:r>
        <w:rPr>
          <w:rFonts w:hint="default" w:ascii="Times New Roman" w:hAnsi="Times New Roman" w:eastAsia="宋体" w:cs="Times New Roman"/>
          <w:color w:val="000000"/>
          <w:kern w:val="0"/>
          <w:sz w:val="24"/>
          <w:szCs w:val="24"/>
          <w:lang w:val="en-US" w:eastAsia="zh-CN" w:bidi="ar"/>
        </w:rPr>
        <w:t>5.2-21</w:t>
      </w:r>
      <w:r>
        <w:rPr>
          <w:rFonts w:hint="eastAsia" w:ascii="Times New Roman" w:hAnsi="Times New Roman" w:eastAsia="宋体" w:cs="Times New Roman"/>
          <w:color w:val="000000"/>
          <w:kern w:val="0"/>
          <w:sz w:val="24"/>
          <w:szCs w:val="24"/>
          <w:lang w:val="en-US" w:eastAsia="zh-CN" w:bidi="ar"/>
        </w:rPr>
        <w:t>。</w:t>
      </w:r>
    </w:p>
    <w:p>
      <w:pPr>
        <w:rPr>
          <w:rFonts w:hint="default" w:ascii="Times New Roman" w:hAnsi="Times New Roman" w:eastAsia="宋体" w:cs="Times New Roman"/>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p>
      <w:pPr>
        <w:keepNext w:val="0"/>
        <w:keepLines w:val="0"/>
        <w:widowControl/>
        <w:suppressLineNumbers w:val="0"/>
        <w:spacing w:before="0" w:beforeAutospacing="1" w:after="0" w:afterAutospacing="0"/>
        <w:ind w:left="0" w:right="0"/>
        <w:jc w:val="center"/>
        <w:rPr>
          <w:rFonts w:hint="default" w:ascii="Times New Roman" w:hAnsi="Times New Roman" w:eastAsia="黑体" w:cs="Times New Roman"/>
          <w:bCs/>
          <w:color w:val="000000"/>
          <w:lang w:val="en-US"/>
        </w:rPr>
      </w:pPr>
      <w:r>
        <w:rPr>
          <w:rFonts w:hint="eastAsia" w:ascii="Times New Roman" w:hAnsi="Times New Roman" w:eastAsia="黑体" w:cs="Times New Roman"/>
          <w:bCs/>
          <w:color w:val="000000"/>
          <w:kern w:val="0"/>
          <w:sz w:val="24"/>
          <w:szCs w:val="24"/>
          <w:lang w:val="en-US" w:eastAsia="zh-CN" w:bidi="ar"/>
        </w:rPr>
        <w:t>表</w:t>
      </w:r>
      <w:r>
        <w:rPr>
          <w:rFonts w:hint="default" w:ascii="Times New Roman" w:hAnsi="Times New Roman" w:eastAsia="黑体" w:cs="Times New Roman"/>
          <w:bCs/>
          <w:color w:val="000000"/>
          <w:kern w:val="0"/>
          <w:sz w:val="24"/>
          <w:szCs w:val="24"/>
          <w:lang w:val="en-US" w:eastAsia="zh-CN" w:bidi="ar"/>
        </w:rPr>
        <w:t xml:space="preserve">5.2-20  </w:t>
      </w:r>
      <w:r>
        <w:rPr>
          <w:rFonts w:hint="eastAsia" w:ascii="Times New Roman" w:hAnsi="Times New Roman" w:eastAsia="黑体" w:cs="Times New Roman"/>
          <w:bCs/>
          <w:color w:val="000000"/>
          <w:kern w:val="0"/>
          <w:sz w:val="24"/>
          <w:szCs w:val="24"/>
          <w:lang w:val="en-US" w:eastAsia="zh-CN" w:bidi="ar"/>
        </w:rPr>
        <w:t>常规因子叠加后保证率日平均质量浓度预测结果统计表</w:t>
      </w:r>
    </w:p>
    <w:tbl>
      <w:tblPr>
        <w:tblStyle w:val="32"/>
        <w:tblW w:w="0" w:type="auto"/>
        <w:tblInd w:w="0" w:type="dxa"/>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1026"/>
        <w:gridCol w:w="2165"/>
        <w:gridCol w:w="1477"/>
        <w:gridCol w:w="1477"/>
        <w:gridCol w:w="1615"/>
        <w:gridCol w:w="1346"/>
        <w:gridCol w:w="1246"/>
        <w:gridCol w:w="1327"/>
        <w:gridCol w:w="1096"/>
        <w:gridCol w:w="655"/>
      </w:tblGrid>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283" w:hRule="atLeast"/>
        </w:trPr>
        <w:tc>
          <w:tcPr>
            <w:tcW w:w="382" w:type="pct"/>
            <w:vMerge w:val="restart"/>
            <w:tcBorders>
              <w:top w:val="thinThickSmallGap" w:color="auto" w:sz="12" w:space="0"/>
              <w:left w:val="nil"/>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污染物</w:t>
            </w:r>
          </w:p>
        </w:tc>
        <w:tc>
          <w:tcPr>
            <w:tcW w:w="806" w:type="pct"/>
            <w:vMerge w:val="restar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预测点</w:t>
            </w:r>
          </w:p>
        </w:tc>
        <w:tc>
          <w:tcPr>
            <w:tcW w:w="550" w:type="pct"/>
            <w:vMerge w:val="restar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平均时段</w:t>
            </w:r>
          </w:p>
        </w:tc>
        <w:tc>
          <w:tcPr>
            <w:tcW w:w="550" w:type="pct"/>
            <w:vMerge w:val="restar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出现时刻</w:t>
            </w:r>
          </w:p>
        </w:tc>
        <w:tc>
          <w:tcPr>
            <w:tcW w:w="1102" w:type="pct"/>
            <w:gridSpan w:val="2"/>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贡献值</w:t>
            </w:r>
          </w:p>
        </w:tc>
        <w:tc>
          <w:tcPr>
            <w:tcW w:w="463" w:type="pct"/>
            <w:vMerge w:val="restar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现状浓度</w:t>
            </w:r>
          </w:p>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bCs/>
                <w:color w:val="000000"/>
                <w:sz w:val="21"/>
                <w:szCs w:val="24"/>
                <w:bdr w:val="none" w:color="auto" w:sz="0" w:space="0"/>
                <w:vertAlign w:val="baseline"/>
                <w:lang w:val="en-US"/>
              </w:rPr>
            </w:pPr>
            <w:r>
              <w:rPr>
                <w:rFonts w:hint="eastAsia" w:ascii="Times New Roman" w:hAnsi="Times New Roman" w:eastAsia="宋体" w:cs="Times New Roman"/>
                <w:bCs/>
                <w:color w:val="000000"/>
                <w:kern w:val="0"/>
                <w:sz w:val="21"/>
                <w:szCs w:val="24"/>
                <w:bdr w:val="none" w:color="auto" w:sz="0" w:space="0"/>
                <w:vertAlign w:val="baseline"/>
                <w:lang w:val="en-US" w:eastAsia="zh-CN" w:bidi="ar"/>
              </w:rPr>
              <w:t>（</w:t>
            </w:r>
            <w:r>
              <w:rPr>
                <w:rFonts w:hint="default" w:ascii="Times New Roman" w:hAnsi="Times New Roman" w:eastAsia="宋体" w:cs="Times New Roman"/>
                <w:bCs/>
                <w:color w:val="000000"/>
                <w:kern w:val="0"/>
                <w:sz w:val="21"/>
                <w:szCs w:val="24"/>
                <w:bdr w:val="none" w:color="auto" w:sz="0" w:space="0"/>
                <w:vertAlign w:val="baseline"/>
                <w:lang w:val="en-US" w:eastAsia="zh-CN" w:bidi="ar"/>
              </w:rPr>
              <w:t>μg/m</w:t>
            </w:r>
            <w:r>
              <w:rPr>
                <w:rFonts w:hint="default" w:ascii="Times New Roman" w:hAnsi="Times New Roman" w:eastAsia="宋体" w:cs="Times New Roman"/>
                <w:bCs/>
                <w:color w:val="000000"/>
                <w:kern w:val="0"/>
                <w:sz w:val="21"/>
                <w:szCs w:val="24"/>
                <w:bdr w:val="none" w:color="auto" w:sz="0" w:space="0"/>
                <w:vertAlign w:val="superscript"/>
                <w:lang w:val="en-US" w:eastAsia="zh-CN" w:bidi="ar"/>
              </w:rPr>
              <w:t>3</w:t>
            </w:r>
            <w:r>
              <w:rPr>
                <w:rFonts w:hint="eastAsia" w:ascii="Times New Roman" w:hAnsi="Times New Roman" w:eastAsia="宋体" w:cs="Times New Roman"/>
                <w:bCs/>
                <w:color w:val="000000"/>
                <w:kern w:val="0"/>
                <w:sz w:val="21"/>
                <w:szCs w:val="24"/>
                <w:bdr w:val="none" w:color="auto" w:sz="0" w:space="0"/>
                <w:vertAlign w:val="baseline"/>
                <w:lang w:val="en-US" w:eastAsia="zh-CN" w:bidi="ar"/>
              </w:rPr>
              <w:t>）</w:t>
            </w:r>
          </w:p>
        </w:tc>
        <w:tc>
          <w:tcPr>
            <w:tcW w:w="902" w:type="pct"/>
            <w:gridSpan w:val="2"/>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叠加值</w:t>
            </w:r>
          </w:p>
        </w:tc>
        <w:tc>
          <w:tcPr>
            <w:tcW w:w="243" w:type="pct"/>
            <w:vMerge w:val="restart"/>
            <w:tcBorders>
              <w:top w:val="thinThickSmallGap" w:color="auto" w:sz="12" w:space="0"/>
              <w:left w:val="single" w:color="auto" w:sz="4" w:space="0"/>
              <w:bottom w:val="single" w:color="auto" w:sz="4" w:space="0"/>
              <w:right w:val="nil"/>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达标</w:t>
            </w:r>
          </w:p>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eastAsia" w:ascii="Times New Roman" w:hAnsi="Times New Roman" w:eastAsia="宋体" w:cs="Times New Roman"/>
                <w:bCs/>
                <w:color w:val="000000"/>
                <w:kern w:val="0"/>
                <w:sz w:val="21"/>
                <w:szCs w:val="24"/>
                <w:bdr w:val="none" w:color="auto" w:sz="0" w:space="0"/>
                <w:vertAlign w:val="baseline"/>
                <w:lang w:val="en-US" w:eastAsia="zh-CN" w:bidi="ar"/>
              </w:rPr>
              <w:t>情况</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2" w:type="pct"/>
            <w:vMerge w:val="continue"/>
            <w:tcBorders>
              <w:top w:val="thinThickSmallGap" w:color="auto" w:sz="12" w:space="0"/>
              <w:left w:val="nil"/>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806"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550"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550"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601"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预测结果</w:t>
            </w:r>
            <w:r>
              <w:rPr>
                <w:rFonts w:hint="default" w:ascii="Times New Roman" w:hAnsi="Times New Roman" w:eastAsia="宋体" w:cs="Times New Roman"/>
                <w:bCs/>
                <w:color w:val="000000"/>
                <w:kern w:val="0"/>
                <w:sz w:val="21"/>
                <w:szCs w:val="24"/>
                <w:bdr w:val="none" w:color="auto" w:sz="0" w:space="0"/>
                <w:lang w:val="en-US" w:eastAsia="zh-CN" w:bidi="ar"/>
              </w:rPr>
              <w:t>(μg/m</w:t>
            </w:r>
            <w:r>
              <w:rPr>
                <w:rFonts w:hint="default" w:ascii="Times New Roman" w:hAnsi="Times New Roman" w:eastAsia="宋体" w:cs="Times New Roman"/>
                <w:bCs/>
                <w:color w:val="000000"/>
                <w:kern w:val="0"/>
                <w:sz w:val="21"/>
                <w:szCs w:val="24"/>
                <w:bdr w:val="none" w:color="auto" w:sz="0" w:space="0"/>
                <w:vertAlign w:val="superscript"/>
                <w:lang w:val="en-US" w:eastAsia="zh-CN" w:bidi="ar"/>
              </w:rPr>
              <w:t>3</w:t>
            </w:r>
            <w:r>
              <w:rPr>
                <w:rFonts w:hint="default" w:ascii="Times New Roman" w:hAnsi="Times New Roman" w:eastAsia="宋体" w:cs="Times New Roman"/>
                <w:bCs/>
                <w:color w:val="000000"/>
                <w:kern w:val="0"/>
                <w:sz w:val="21"/>
                <w:szCs w:val="24"/>
                <w:bdr w:val="none" w:color="auto" w:sz="0" w:space="0"/>
                <w:lang w:val="en-US" w:eastAsia="zh-CN" w:bidi="ar"/>
              </w:rPr>
              <w:t>)</w:t>
            </w:r>
          </w:p>
        </w:tc>
        <w:tc>
          <w:tcPr>
            <w:tcW w:w="501"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占标率（</w:t>
            </w:r>
            <w:r>
              <w:rPr>
                <w:rFonts w:hint="default" w:ascii="Times New Roman" w:hAnsi="Times New Roman" w:eastAsia="宋体" w:cs="Times New Roman"/>
                <w:bCs/>
                <w:color w:val="000000"/>
                <w:kern w:val="0"/>
                <w:sz w:val="21"/>
                <w:szCs w:val="24"/>
                <w:bdr w:val="none" w:color="auto" w:sz="0" w:space="0"/>
                <w:lang w:val="en-US" w:eastAsia="zh-CN" w:bidi="ar"/>
              </w:rPr>
              <w:t>%</w:t>
            </w:r>
            <w:r>
              <w:rPr>
                <w:rFonts w:hint="eastAsia" w:ascii="Times New Roman" w:hAnsi="Times New Roman" w:eastAsia="宋体" w:cs="Times New Roman"/>
                <w:bCs/>
                <w:color w:val="000000"/>
                <w:kern w:val="0"/>
                <w:sz w:val="21"/>
                <w:szCs w:val="24"/>
                <w:bdr w:val="none" w:color="auto" w:sz="0" w:space="0"/>
                <w:lang w:val="en-US" w:eastAsia="zh-CN" w:bidi="ar"/>
              </w:rPr>
              <w:t>）</w:t>
            </w:r>
          </w:p>
        </w:tc>
        <w:tc>
          <w:tcPr>
            <w:tcW w:w="463"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494"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叠加后浓度</w:t>
            </w:r>
            <w:r>
              <w:rPr>
                <w:rFonts w:hint="default" w:ascii="Times New Roman" w:hAnsi="Times New Roman" w:eastAsia="宋体" w:cs="Times New Roman"/>
                <w:bCs/>
                <w:color w:val="000000"/>
                <w:kern w:val="0"/>
                <w:sz w:val="21"/>
                <w:szCs w:val="24"/>
                <w:bdr w:val="none" w:color="auto" w:sz="0" w:space="0"/>
                <w:lang w:val="en-US" w:eastAsia="zh-CN" w:bidi="ar"/>
              </w:rPr>
              <w:t>(μg/m</w:t>
            </w:r>
            <w:r>
              <w:rPr>
                <w:rFonts w:hint="default" w:ascii="Times New Roman" w:hAnsi="Times New Roman" w:eastAsia="宋体" w:cs="Times New Roman"/>
                <w:bCs/>
                <w:color w:val="000000"/>
                <w:kern w:val="0"/>
                <w:sz w:val="21"/>
                <w:szCs w:val="24"/>
                <w:bdr w:val="none" w:color="auto" w:sz="0" w:space="0"/>
                <w:vertAlign w:val="superscript"/>
                <w:lang w:val="en-US" w:eastAsia="zh-CN" w:bidi="ar"/>
              </w:rPr>
              <w:t>3</w:t>
            </w:r>
            <w:r>
              <w:rPr>
                <w:rFonts w:hint="default" w:ascii="Times New Roman" w:hAnsi="Times New Roman" w:eastAsia="宋体" w:cs="Times New Roman"/>
                <w:bCs/>
                <w:color w:val="000000"/>
                <w:kern w:val="0"/>
                <w:sz w:val="21"/>
                <w:szCs w:val="24"/>
                <w:bdr w:val="none" w:color="auto" w:sz="0" w:space="0"/>
                <w:lang w:val="en-US" w:eastAsia="zh-CN" w:bidi="ar"/>
              </w:rPr>
              <w:t>)</w:t>
            </w:r>
          </w:p>
        </w:tc>
        <w:tc>
          <w:tcPr>
            <w:tcW w:w="408"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占标率（</w:t>
            </w:r>
            <w:r>
              <w:rPr>
                <w:rFonts w:hint="default" w:ascii="Times New Roman" w:hAnsi="Times New Roman" w:eastAsia="宋体" w:cs="Times New Roman"/>
                <w:bCs/>
                <w:color w:val="000000"/>
                <w:kern w:val="0"/>
                <w:sz w:val="21"/>
                <w:szCs w:val="24"/>
                <w:bdr w:val="none" w:color="auto" w:sz="0" w:space="0"/>
                <w:lang w:val="en-US" w:eastAsia="zh-CN" w:bidi="ar"/>
              </w:rPr>
              <w:t>%</w:t>
            </w:r>
            <w:r>
              <w:rPr>
                <w:rFonts w:hint="eastAsia" w:ascii="Times New Roman" w:hAnsi="Times New Roman" w:eastAsia="宋体" w:cs="Times New Roman"/>
                <w:bCs/>
                <w:color w:val="000000"/>
                <w:kern w:val="0"/>
                <w:sz w:val="21"/>
                <w:szCs w:val="24"/>
                <w:bdr w:val="none" w:color="auto" w:sz="0" w:space="0"/>
                <w:lang w:val="en-US" w:eastAsia="zh-CN" w:bidi="ar"/>
              </w:rPr>
              <w:t>）</w:t>
            </w:r>
          </w:p>
        </w:tc>
        <w:tc>
          <w:tcPr>
            <w:tcW w:w="243" w:type="pct"/>
            <w:vMerge w:val="continue"/>
            <w:tcBorders>
              <w:top w:val="thinThickSmallGap" w:color="auto" w:sz="12" w:space="0"/>
              <w:left w:val="single" w:color="auto" w:sz="4" w:space="0"/>
              <w:bottom w:val="single" w:color="auto" w:sz="4" w:space="0"/>
              <w:right w:val="nil"/>
            </w:tcBorders>
            <w:shd w:val="clear" w:color="auto" w:fill="D9D9D9"/>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2" w:type="pct"/>
            <w:vMerge w:val="restart"/>
            <w:tcBorders>
              <w:top w:val="single" w:color="auto" w:sz="4" w:space="0"/>
              <w:left w:val="nil"/>
              <w:bottom w:val="thinThick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PM</w:t>
            </w:r>
            <w:r>
              <w:rPr>
                <w:rFonts w:hint="default" w:ascii="Times New Roman" w:hAnsi="Times New Roman" w:eastAsia="宋体" w:cs="Times New Roman"/>
                <w:color w:val="000000"/>
                <w:kern w:val="0"/>
                <w:sz w:val="21"/>
                <w:szCs w:val="24"/>
                <w:bdr w:val="none" w:color="auto" w:sz="0" w:space="0"/>
                <w:vertAlign w:val="subscript"/>
                <w:lang w:val="en-US" w:eastAsia="zh-CN" w:bidi="ar"/>
              </w:rPr>
              <w:t>10</w:t>
            </w:r>
          </w:p>
        </w:tc>
        <w:tc>
          <w:tcPr>
            <w:tcW w:w="806"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rFonts w:hint="eastAsia" w:ascii="Times New Roman" w:hAnsi="Times New Roman" w:eastAsia="宋体" w:cs="宋体"/>
                <w:color w:val="000000"/>
                <w:sz w:val="21"/>
                <w:szCs w:val="21"/>
                <w:bdr w:val="none" w:color="auto" w:sz="0" w:space="0"/>
                <w:vertAlign w:val="baseline"/>
              </w:rPr>
              <w:t>南二道村</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24</w:t>
            </w:r>
            <w:r>
              <w:rPr>
                <w:rFonts w:hint="eastAsia" w:ascii="Times New Roman" w:hAnsi="Times New Roman" w:eastAsia="宋体" w:cs="Times New Roman"/>
                <w:color w:val="000000"/>
                <w:spacing w:val="-6"/>
                <w:kern w:val="0"/>
                <w:sz w:val="21"/>
                <w:szCs w:val="24"/>
                <w:bdr w:val="none" w:color="auto" w:sz="0" w:space="0"/>
                <w:lang w:val="en-US" w:eastAsia="zh-CN" w:bidi="ar"/>
              </w:rPr>
              <w:t>小时平均</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2018/02/18</w:t>
            </w:r>
          </w:p>
        </w:tc>
        <w:tc>
          <w:tcPr>
            <w:tcW w:w="6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1.55</w:t>
            </w:r>
          </w:p>
        </w:tc>
        <w:tc>
          <w:tcPr>
            <w:tcW w:w="5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1.03</w:t>
            </w:r>
          </w:p>
        </w:tc>
        <w:tc>
          <w:tcPr>
            <w:tcW w:w="4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9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0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243"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2" w:type="pct"/>
            <w:vMerge w:val="continue"/>
            <w:tcBorders>
              <w:top w:val="single" w:color="auto" w:sz="4" w:space="0"/>
              <w:left w:val="nil"/>
              <w:bottom w:val="thinThick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06"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rFonts w:hint="eastAsia" w:ascii="Times New Roman" w:hAnsi="Times New Roman" w:eastAsia="宋体" w:cs="宋体"/>
                <w:color w:val="000000"/>
                <w:sz w:val="21"/>
                <w:szCs w:val="21"/>
                <w:bdr w:val="none" w:color="auto" w:sz="0" w:space="0"/>
                <w:vertAlign w:val="baseline"/>
              </w:rPr>
              <w:t>铧子峪村</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24</w:t>
            </w:r>
            <w:r>
              <w:rPr>
                <w:rFonts w:hint="eastAsia" w:ascii="Times New Roman" w:hAnsi="Times New Roman" w:eastAsia="宋体" w:cs="Times New Roman"/>
                <w:color w:val="000000"/>
                <w:spacing w:val="-6"/>
                <w:kern w:val="0"/>
                <w:sz w:val="21"/>
                <w:szCs w:val="24"/>
                <w:bdr w:val="none" w:color="auto" w:sz="0" w:space="0"/>
                <w:lang w:val="en-US" w:eastAsia="zh-CN" w:bidi="ar"/>
              </w:rPr>
              <w:t>小时平均</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2018/7/17</w:t>
            </w:r>
          </w:p>
        </w:tc>
        <w:tc>
          <w:tcPr>
            <w:tcW w:w="6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3.17</w:t>
            </w:r>
          </w:p>
        </w:tc>
        <w:tc>
          <w:tcPr>
            <w:tcW w:w="5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2.11</w:t>
            </w:r>
          </w:p>
        </w:tc>
        <w:tc>
          <w:tcPr>
            <w:tcW w:w="4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9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0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243"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2" w:type="pct"/>
            <w:vMerge w:val="continue"/>
            <w:tcBorders>
              <w:top w:val="single" w:color="auto" w:sz="4" w:space="0"/>
              <w:left w:val="nil"/>
              <w:bottom w:val="thinThick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06"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rFonts w:hint="eastAsia" w:ascii="Times New Roman" w:hAnsi="Times New Roman" w:eastAsia="宋体" w:cs="宋体"/>
                <w:color w:val="000000"/>
                <w:sz w:val="21"/>
                <w:szCs w:val="21"/>
                <w:bdr w:val="none" w:color="auto" w:sz="0" w:space="0"/>
                <w:vertAlign w:val="baseline"/>
              </w:rPr>
              <w:t>范家峪村</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24</w:t>
            </w:r>
            <w:r>
              <w:rPr>
                <w:rFonts w:hint="eastAsia" w:ascii="Times New Roman" w:hAnsi="Times New Roman" w:eastAsia="宋体" w:cs="Times New Roman"/>
                <w:color w:val="000000"/>
                <w:spacing w:val="-6"/>
                <w:kern w:val="0"/>
                <w:sz w:val="21"/>
                <w:szCs w:val="24"/>
                <w:bdr w:val="none" w:color="auto" w:sz="0" w:space="0"/>
                <w:lang w:val="en-US" w:eastAsia="zh-CN" w:bidi="ar"/>
              </w:rPr>
              <w:t>小时平均</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2018/01/26</w:t>
            </w:r>
          </w:p>
        </w:tc>
        <w:tc>
          <w:tcPr>
            <w:tcW w:w="6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6.48</w:t>
            </w:r>
          </w:p>
        </w:tc>
        <w:tc>
          <w:tcPr>
            <w:tcW w:w="5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4.32</w:t>
            </w:r>
          </w:p>
        </w:tc>
        <w:tc>
          <w:tcPr>
            <w:tcW w:w="4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9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0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243"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2" w:type="pct"/>
            <w:vMerge w:val="continue"/>
            <w:tcBorders>
              <w:top w:val="single" w:color="auto" w:sz="4" w:space="0"/>
              <w:left w:val="nil"/>
              <w:bottom w:val="thinThick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06"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rFonts w:hint="eastAsia" w:ascii="Times New Roman" w:hAnsi="Times New Roman" w:eastAsia="宋体" w:cs="宋体"/>
                <w:color w:val="000000"/>
                <w:sz w:val="21"/>
                <w:szCs w:val="21"/>
                <w:bdr w:val="none" w:color="auto" w:sz="0" w:space="0"/>
                <w:vertAlign w:val="baseline"/>
              </w:rPr>
              <w:t>南三道村</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24</w:t>
            </w:r>
            <w:r>
              <w:rPr>
                <w:rFonts w:hint="eastAsia" w:ascii="Times New Roman" w:hAnsi="Times New Roman" w:eastAsia="宋体" w:cs="Times New Roman"/>
                <w:color w:val="000000"/>
                <w:spacing w:val="-6"/>
                <w:kern w:val="0"/>
                <w:sz w:val="21"/>
                <w:szCs w:val="24"/>
                <w:bdr w:val="none" w:color="auto" w:sz="0" w:space="0"/>
                <w:lang w:val="en-US" w:eastAsia="zh-CN" w:bidi="ar"/>
              </w:rPr>
              <w:t>小时平均</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2018/01/06</w:t>
            </w:r>
          </w:p>
        </w:tc>
        <w:tc>
          <w:tcPr>
            <w:tcW w:w="6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1.27</w:t>
            </w:r>
          </w:p>
        </w:tc>
        <w:tc>
          <w:tcPr>
            <w:tcW w:w="5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0.85</w:t>
            </w:r>
          </w:p>
        </w:tc>
        <w:tc>
          <w:tcPr>
            <w:tcW w:w="4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9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0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243"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2" w:type="pct"/>
            <w:vMerge w:val="continue"/>
            <w:tcBorders>
              <w:top w:val="single" w:color="auto" w:sz="4" w:space="0"/>
              <w:left w:val="nil"/>
              <w:bottom w:val="thinThick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06"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eastAsia" w:ascii="Times New Roman" w:hAnsi="Times New Roman" w:eastAsia="宋体" w:cs="Times New Roman"/>
                <w:color w:val="000000"/>
                <w:kern w:val="0"/>
                <w:sz w:val="21"/>
                <w:szCs w:val="24"/>
                <w:bdr w:val="none" w:color="auto" w:sz="0" w:space="0"/>
                <w:vertAlign w:val="baseline"/>
                <w:lang w:val="en-US" w:eastAsia="zh-CN" w:bidi="ar"/>
              </w:rPr>
              <w:t>区域最大值</w:t>
            </w:r>
            <w:r>
              <w:rPr>
                <w:rFonts w:hint="eastAsia" w:ascii="Times New Roman" w:hAnsi="Times New Roman" w:eastAsia="宋体" w:cs="Times New Roman"/>
                <w:color w:val="000000"/>
                <w:spacing w:val="-20"/>
                <w:kern w:val="0"/>
                <w:sz w:val="21"/>
                <w:szCs w:val="21"/>
                <w:bdr w:val="none" w:color="auto" w:sz="0" w:space="0"/>
                <w:vertAlign w:val="baseline"/>
                <w:lang w:val="en-US" w:eastAsia="zh-CN" w:bidi="ar"/>
              </w:rPr>
              <w:t>（</w:t>
            </w:r>
            <w:r>
              <w:rPr>
                <w:rFonts w:hint="default" w:ascii="Times New Roman" w:hAnsi="Times New Roman" w:eastAsia="宋体" w:cs="Times New Roman"/>
                <w:color w:val="000000"/>
                <w:spacing w:val="-20"/>
                <w:kern w:val="0"/>
                <w:sz w:val="21"/>
                <w:szCs w:val="21"/>
                <w:bdr w:val="none" w:color="auto" w:sz="0" w:space="0"/>
                <w:vertAlign w:val="baseline"/>
                <w:lang w:val="en-US" w:eastAsia="zh-CN" w:bidi="ar"/>
              </w:rPr>
              <w:t>-200</w:t>
            </w:r>
            <w:r>
              <w:rPr>
                <w:rFonts w:hint="eastAsia" w:ascii="Times New Roman" w:hAnsi="Times New Roman" w:eastAsia="宋体" w:cs="Times New Roman"/>
                <w:color w:val="000000"/>
                <w:spacing w:val="-20"/>
                <w:kern w:val="0"/>
                <w:sz w:val="21"/>
                <w:szCs w:val="21"/>
                <w:bdr w:val="none" w:color="auto" w:sz="0" w:space="0"/>
                <w:vertAlign w:val="baseline"/>
                <w:lang w:val="en-US" w:eastAsia="zh-CN" w:bidi="ar"/>
              </w:rPr>
              <w:t>，</w:t>
            </w:r>
            <w:r>
              <w:rPr>
                <w:rFonts w:hint="default" w:ascii="Times New Roman" w:hAnsi="Times New Roman" w:eastAsia="宋体" w:cs="Times New Roman"/>
                <w:color w:val="000000"/>
                <w:spacing w:val="-20"/>
                <w:kern w:val="0"/>
                <w:sz w:val="21"/>
                <w:szCs w:val="21"/>
                <w:bdr w:val="none" w:color="auto" w:sz="0" w:space="0"/>
                <w:vertAlign w:val="baseline"/>
                <w:lang w:val="en-US" w:eastAsia="zh-CN" w:bidi="ar"/>
              </w:rPr>
              <w:t>0</w:t>
            </w:r>
            <w:r>
              <w:rPr>
                <w:rFonts w:hint="eastAsia" w:ascii="Times New Roman" w:hAnsi="Times New Roman" w:eastAsia="宋体" w:cs="Times New Roman"/>
                <w:color w:val="000000"/>
                <w:spacing w:val="-20"/>
                <w:kern w:val="0"/>
                <w:sz w:val="21"/>
                <w:szCs w:val="21"/>
                <w:bdr w:val="none" w:color="auto" w:sz="0" w:space="0"/>
                <w:vertAlign w:val="baseline"/>
                <w:lang w:val="en-US" w:eastAsia="zh-CN" w:bidi="ar"/>
              </w:rPr>
              <w:t>）</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spacing w:val="-6"/>
                <w:kern w:val="0"/>
                <w:sz w:val="21"/>
                <w:szCs w:val="24"/>
                <w:bdr w:val="none" w:color="auto" w:sz="0" w:space="0"/>
                <w:vertAlign w:val="baseline"/>
                <w:lang w:val="en-US" w:eastAsia="zh-CN" w:bidi="ar"/>
              </w:rPr>
              <w:t>24</w:t>
            </w:r>
            <w:r>
              <w:rPr>
                <w:rFonts w:hint="eastAsia" w:ascii="Times New Roman" w:hAnsi="Times New Roman" w:eastAsia="宋体" w:cs="Times New Roman"/>
                <w:color w:val="000000"/>
                <w:spacing w:val="-6"/>
                <w:kern w:val="0"/>
                <w:sz w:val="21"/>
                <w:szCs w:val="24"/>
                <w:bdr w:val="none" w:color="auto" w:sz="0" w:space="0"/>
                <w:vertAlign w:val="baseline"/>
                <w:lang w:val="en-US" w:eastAsia="zh-CN" w:bidi="ar"/>
              </w:rPr>
              <w:t>小时平均</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2018/01/26</w:t>
            </w:r>
          </w:p>
        </w:tc>
        <w:tc>
          <w:tcPr>
            <w:tcW w:w="6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43.98</w:t>
            </w:r>
          </w:p>
        </w:tc>
        <w:tc>
          <w:tcPr>
            <w:tcW w:w="5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29.32</w:t>
            </w:r>
          </w:p>
        </w:tc>
        <w:tc>
          <w:tcPr>
            <w:tcW w:w="4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9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0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243"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2" w:type="pct"/>
            <w:vMerge w:val="continue"/>
            <w:tcBorders>
              <w:top w:val="single" w:color="auto" w:sz="4" w:space="0"/>
              <w:left w:val="nil"/>
              <w:bottom w:val="thinThick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06"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rFonts w:hint="eastAsia" w:ascii="Times New Roman" w:hAnsi="Times New Roman" w:eastAsia="宋体" w:cs="宋体"/>
                <w:color w:val="000000"/>
                <w:sz w:val="21"/>
                <w:szCs w:val="21"/>
                <w:bdr w:val="none" w:color="auto" w:sz="0" w:space="0"/>
                <w:vertAlign w:val="baseline"/>
              </w:rPr>
              <w:t>南二道村</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年平均</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pacing w:val="-6"/>
                <w:sz w:val="21"/>
                <w:szCs w:val="24"/>
                <w:bdr w:val="none" w:color="auto" w:sz="0" w:space="0"/>
                <w:vertAlign w:val="baseline"/>
                <w:lang w:val="en-US"/>
              </w:rPr>
            </w:pPr>
            <w:r>
              <w:rPr>
                <w:rFonts w:hint="default" w:ascii="Times New Roman" w:hAnsi="Times New Roman" w:eastAsia="宋体" w:cs="Times New Roman"/>
                <w:color w:val="000000"/>
                <w:spacing w:val="-6"/>
                <w:kern w:val="0"/>
                <w:sz w:val="21"/>
                <w:szCs w:val="24"/>
                <w:bdr w:val="none" w:color="auto" w:sz="0" w:space="0"/>
                <w:vertAlign w:val="baseline"/>
                <w:lang w:val="en-US" w:eastAsia="zh-CN" w:bidi="ar"/>
              </w:rPr>
              <w:t>--</w:t>
            </w:r>
          </w:p>
        </w:tc>
        <w:tc>
          <w:tcPr>
            <w:tcW w:w="6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-0.91</w:t>
            </w:r>
          </w:p>
        </w:tc>
        <w:tc>
          <w:tcPr>
            <w:tcW w:w="5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-1.30</w:t>
            </w:r>
          </w:p>
        </w:tc>
        <w:tc>
          <w:tcPr>
            <w:tcW w:w="4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9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0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243"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2" w:type="pct"/>
            <w:vMerge w:val="continue"/>
            <w:tcBorders>
              <w:top w:val="single" w:color="auto" w:sz="4" w:space="0"/>
              <w:left w:val="nil"/>
              <w:bottom w:val="thinThick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06"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rFonts w:hint="eastAsia" w:ascii="Times New Roman" w:hAnsi="Times New Roman" w:eastAsia="宋体" w:cs="宋体"/>
                <w:color w:val="000000"/>
                <w:sz w:val="21"/>
                <w:szCs w:val="21"/>
                <w:bdr w:val="none" w:color="auto" w:sz="0" w:space="0"/>
                <w:vertAlign w:val="baseline"/>
              </w:rPr>
              <w:t>铧子峪村</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年平均</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pacing w:val="-6"/>
                <w:sz w:val="21"/>
                <w:szCs w:val="24"/>
                <w:bdr w:val="none" w:color="auto" w:sz="0" w:space="0"/>
                <w:vertAlign w:val="baseline"/>
                <w:lang w:val="en-US"/>
              </w:rPr>
            </w:pPr>
            <w:r>
              <w:rPr>
                <w:rFonts w:hint="default" w:ascii="Times New Roman" w:hAnsi="Times New Roman" w:eastAsia="宋体" w:cs="Times New Roman"/>
                <w:color w:val="000000"/>
                <w:spacing w:val="-6"/>
                <w:kern w:val="0"/>
                <w:sz w:val="21"/>
                <w:szCs w:val="24"/>
                <w:bdr w:val="none" w:color="auto" w:sz="0" w:space="0"/>
                <w:vertAlign w:val="baseline"/>
                <w:lang w:val="en-US" w:eastAsia="zh-CN" w:bidi="ar"/>
              </w:rPr>
              <w:t>--</w:t>
            </w:r>
          </w:p>
        </w:tc>
        <w:tc>
          <w:tcPr>
            <w:tcW w:w="6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-1.38</w:t>
            </w:r>
          </w:p>
        </w:tc>
        <w:tc>
          <w:tcPr>
            <w:tcW w:w="5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-1.97</w:t>
            </w:r>
          </w:p>
        </w:tc>
        <w:tc>
          <w:tcPr>
            <w:tcW w:w="4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9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0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243"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2" w:type="pct"/>
            <w:vMerge w:val="continue"/>
            <w:tcBorders>
              <w:top w:val="single" w:color="auto" w:sz="4" w:space="0"/>
              <w:left w:val="nil"/>
              <w:bottom w:val="thinThick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06"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rFonts w:hint="eastAsia" w:ascii="Times New Roman" w:hAnsi="Times New Roman" w:eastAsia="宋体" w:cs="宋体"/>
                <w:color w:val="000000"/>
                <w:sz w:val="21"/>
                <w:szCs w:val="21"/>
                <w:bdr w:val="none" w:color="auto" w:sz="0" w:space="0"/>
                <w:vertAlign w:val="baseline"/>
              </w:rPr>
              <w:t>范家峪村</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年平均</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pacing w:val="-6"/>
                <w:sz w:val="21"/>
                <w:szCs w:val="24"/>
                <w:bdr w:val="none" w:color="auto" w:sz="0" w:space="0"/>
                <w:vertAlign w:val="baseline"/>
                <w:lang w:val="en-US"/>
              </w:rPr>
            </w:pPr>
            <w:r>
              <w:rPr>
                <w:rFonts w:hint="default" w:ascii="Times New Roman" w:hAnsi="Times New Roman" w:eastAsia="宋体" w:cs="Times New Roman"/>
                <w:color w:val="000000"/>
                <w:spacing w:val="-6"/>
                <w:kern w:val="0"/>
                <w:sz w:val="21"/>
                <w:szCs w:val="24"/>
                <w:bdr w:val="none" w:color="auto" w:sz="0" w:space="0"/>
                <w:vertAlign w:val="baseline"/>
                <w:lang w:val="en-US" w:eastAsia="zh-CN" w:bidi="ar"/>
              </w:rPr>
              <w:t>--</w:t>
            </w:r>
          </w:p>
        </w:tc>
        <w:tc>
          <w:tcPr>
            <w:tcW w:w="6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-1.11</w:t>
            </w:r>
          </w:p>
        </w:tc>
        <w:tc>
          <w:tcPr>
            <w:tcW w:w="5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-1.59</w:t>
            </w:r>
          </w:p>
        </w:tc>
        <w:tc>
          <w:tcPr>
            <w:tcW w:w="4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9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0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243"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2" w:type="pct"/>
            <w:vMerge w:val="continue"/>
            <w:tcBorders>
              <w:top w:val="single" w:color="auto" w:sz="4" w:space="0"/>
              <w:left w:val="nil"/>
              <w:bottom w:val="thinThick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06"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rFonts w:hint="eastAsia" w:ascii="Times New Roman" w:hAnsi="Times New Roman" w:eastAsia="宋体" w:cs="宋体"/>
                <w:color w:val="000000"/>
                <w:sz w:val="21"/>
                <w:szCs w:val="21"/>
                <w:bdr w:val="none" w:color="auto" w:sz="0" w:space="0"/>
                <w:vertAlign w:val="baseline"/>
              </w:rPr>
              <w:t>南三道村</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年平均</w:t>
            </w:r>
          </w:p>
        </w:tc>
        <w:tc>
          <w:tcPr>
            <w:tcW w:w="5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pacing w:val="-6"/>
                <w:sz w:val="21"/>
                <w:szCs w:val="24"/>
                <w:bdr w:val="none" w:color="auto" w:sz="0" w:space="0"/>
                <w:vertAlign w:val="baseline"/>
                <w:lang w:val="en-US"/>
              </w:rPr>
            </w:pPr>
            <w:r>
              <w:rPr>
                <w:rFonts w:hint="default" w:ascii="Times New Roman" w:hAnsi="Times New Roman" w:eastAsia="宋体" w:cs="Times New Roman"/>
                <w:color w:val="000000"/>
                <w:spacing w:val="-6"/>
                <w:kern w:val="0"/>
                <w:sz w:val="21"/>
                <w:szCs w:val="24"/>
                <w:bdr w:val="none" w:color="auto" w:sz="0" w:space="0"/>
                <w:vertAlign w:val="baseline"/>
                <w:lang w:val="en-US" w:eastAsia="zh-CN" w:bidi="ar"/>
              </w:rPr>
              <w:t>--</w:t>
            </w:r>
          </w:p>
        </w:tc>
        <w:tc>
          <w:tcPr>
            <w:tcW w:w="6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0.01</w:t>
            </w:r>
          </w:p>
        </w:tc>
        <w:tc>
          <w:tcPr>
            <w:tcW w:w="50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0.02</w:t>
            </w:r>
          </w:p>
        </w:tc>
        <w:tc>
          <w:tcPr>
            <w:tcW w:w="46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94"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0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243"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2" w:type="pct"/>
            <w:vMerge w:val="continue"/>
            <w:tcBorders>
              <w:top w:val="single" w:color="auto" w:sz="4" w:space="0"/>
              <w:left w:val="nil"/>
              <w:bottom w:val="thinThick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06" w:type="pct"/>
            <w:tcBorders>
              <w:top w:val="single" w:color="auto" w:sz="4" w:space="0"/>
              <w:left w:val="single" w:color="auto" w:sz="4" w:space="0"/>
              <w:bottom w:val="thinThick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eastAsia" w:ascii="Times New Roman" w:hAnsi="Times New Roman" w:eastAsia="宋体" w:cs="Times New Roman"/>
                <w:color w:val="000000"/>
                <w:kern w:val="0"/>
                <w:sz w:val="21"/>
                <w:szCs w:val="24"/>
                <w:bdr w:val="none" w:color="auto" w:sz="0" w:space="0"/>
                <w:vertAlign w:val="baseline"/>
                <w:lang w:val="en-US" w:eastAsia="zh-CN" w:bidi="ar"/>
              </w:rPr>
              <w:t>区域最大值（</w:t>
            </w:r>
            <w:r>
              <w:rPr>
                <w:rFonts w:hint="default" w:ascii="Times New Roman" w:hAnsi="Times New Roman" w:eastAsia="宋体" w:cs="Times New Roman"/>
                <w:color w:val="000000"/>
                <w:kern w:val="0"/>
                <w:sz w:val="21"/>
                <w:szCs w:val="24"/>
                <w:bdr w:val="none" w:color="auto" w:sz="0" w:space="0"/>
                <w:vertAlign w:val="baseline"/>
                <w:lang w:val="en-US" w:eastAsia="zh-CN" w:bidi="ar"/>
              </w:rPr>
              <w:t>0</w:t>
            </w:r>
            <w:r>
              <w:rPr>
                <w:rFonts w:hint="eastAsia" w:ascii="Times New Roman" w:hAnsi="Times New Roman" w:eastAsia="宋体" w:cs="Times New Roman"/>
                <w:color w:val="000000"/>
                <w:kern w:val="0"/>
                <w:sz w:val="21"/>
                <w:szCs w:val="24"/>
                <w:bdr w:val="none" w:color="auto" w:sz="0" w:space="0"/>
                <w:vertAlign w:val="baseline"/>
                <w:lang w:val="en-US" w:eastAsia="zh-CN" w:bidi="ar"/>
              </w:rPr>
              <w:t>，</w:t>
            </w:r>
            <w:r>
              <w:rPr>
                <w:rFonts w:hint="default" w:ascii="Times New Roman" w:hAnsi="Times New Roman" w:eastAsia="宋体" w:cs="Times New Roman"/>
                <w:color w:val="000000"/>
                <w:kern w:val="0"/>
                <w:sz w:val="21"/>
                <w:szCs w:val="24"/>
                <w:bdr w:val="none" w:color="auto" w:sz="0" w:space="0"/>
                <w:vertAlign w:val="baseline"/>
                <w:lang w:val="en-US" w:eastAsia="zh-CN" w:bidi="ar"/>
              </w:rPr>
              <w:t>0</w:t>
            </w:r>
            <w:r>
              <w:rPr>
                <w:rFonts w:hint="eastAsia" w:ascii="Times New Roman" w:hAnsi="Times New Roman" w:eastAsia="宋体" w:cs="Times New Roman"/>
                <w:color w:val="000000"/>
                <w:kern w:val="0"/>
                <w:sz w:val="21"/>
                <w:szCs w:val="24"/>
                <w:bdr w:val="none" w:color="auto" w:sz="0" w:space="0"/>
                <w:vertAlign w:val="baseline"/>
                <w:lang w:val="en-US" w:eastAsia="zh-CN" w:bidi="ar"/>
              </w:rPr>
              <w:t>）</w:t>
            </w:r>
          </w:p>
        </w:tc>
        <w:tc>
          <w:tcPr>
            <w:tcW w:w="550" w:type="pct"/>
            <w:tcBorders>
              <w:top w:val="single" w:color="auto" w:sz="4" w:space="0"/>
              <w:left w:val="single" w:color="auto" w:sz="4" w:space="0"/>
              <w:bottom w:val="thinThick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eastAsia" w:ascii="Times New Roman" w:hAnsi="Times New Roman" w:eastAsia="宋体" w:cs="Times New Roman"/>
                <w:color w:val="000000"/>
                <w:kern w:val="0"/>
                <w:sz w:val="21"/>
                <w:szCs w:val="24"/>
                <w:bdr w:val="none" w:color="auto" w:sz="0" w:space="0"/>
                <w:vertAlign w:val="baseline"/>
                <w:lang w:val="en-US" w:eastAsia="zh-CN" w:bidi="ar"/>
              </w:rPr>
              <w:t>年平均</w:t>
            </w:r>
          </w:p>
        </w:tc>
        <w:tc>
          <w:tcPr>
            <w:tcW w:w="550" w:type="pct"/>
            <w:tcBorders>
              <w:top w:val="single" w:color="auto" w:sz="4" w:space="0"/>
              <w:left w:val="single" w:color="auto" w:sz="4" w:space="0"/>
              <w:bottom w:val="thinThick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601" w:type="pct"/>
            <w:tcBorders>
              <w:top w:val="single" w:color="auto" w:sz="4" w:space="0"/>
              <w:left w:val="single" w:color="auto" w:sz="4" w:space="0"/>
              <w:bottom w:val="thinThickSmallGap" w:color="auto" w:sz="12"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7.71</w:t>
            </w:r>
          </w:p>
        </w:tc>
        <w:tc>
          <w:tcPr>
            <w:tcW w:w="501" w:type="pct"/>
            <w:tcBorders>
              <w:top w:val="single" w:color="auto" w:sz="4" w:space="0"/>
              <w:left w:val="single" w:color="auto" w:sz="4" w:space="0"/>
              <w:bottom w:val="thinThickSmallGap" w:color="auto" w:sz="12"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11.02</w:t>
            </w:r>
          </w:p>
        </w:tc>
        <w:tc>
          <w:tcPr>
            <w:tcW w:w="463" w:type="pct"/>
            <w:tcBorders>
              <w:top w:val="single" w:color="auto" w:sz="4" w:space="0"/>
              <w:left w:val="single" w:color="auto" w:sz="4" w:space="0"/>
              <w:bottom w:val="thinThick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94" w:type="pct"/>
            <w:tcBorders>
              <w:top w:val="single" w:color="auto" w:sz="4" w:space="0"/>
              <w:left w:val="single" w:color="auto" w:sz="4" w:space="0"/>
              <w:bottom w:val="thinThick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408" w:type="pct"/>
            <w:tcBorders>
              <w:top w:val="single" w:color="auto" w:sz="4" w:space="0"/>
              <w:left w:val="single" w:color="auto" w:sz="4" w:space="0"/>
              <w:bottom w:val="thinThick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kern w:val="0"/>
                <w:sz w:val="21"/>
                <w:szCs w:val="24"/>
                <w:bdr w:val="none" w:color="auto" w:sz="0" w:space="0"/>
                <w:vertAlign w:val="baseline"/>
                <w:lang w:val="en-US" w:eastAsia="zh-CN" w:bidi="ar"/>
              </w:rPr>
              <w:t>--</w:t>
            </w:r>
          </w:p>
        </w:tc>
        <w:tc>
          <w:tcPr>
            <w:tcW w:w="243" w:type="pct"/>
            <w:tcBorders>
              <w:top w:val="single" w:color="auto" w:sz="4" w:space="0"/>
              <w:left w:val="single" w:color="auto" w:sz="4" w:space="0"/>
              <w:bottom w:val="thinThickSmallGap" w:color="auto" w:sz="12"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w:t>
            </w:r>
          </w:p>
        </w:tc>
      </w:tr>
    </w:tbl>
    <w:p>
      <w:pPr>
        <w:keepNext w:val="0"/>
        <w:keepLines w:val="0"/>
        <w:widowControl/>
        <w:suppressLineNumbers w:val="0"/>
        <w:spacing w:before="0" w:beforeAutospacing="1" w:after="0" w:afterAutospacing="0"/>
        <w:ind w:left="0" w:right="0"/>
        <w:jc w:val="center"/>
        <w:rPr>
          <w:rFonts w:hint="default" w:ascii="Times New Roman" w:hAnsi="Times New Roman" w:eastAsia="黑体" w:cs="Times New Roman"/>
          <w:bCs/>
          <w:color w:val="000000"/>
          <w:lang w:val="en-US"/>
        </w:rPr>
      </w:pPr>
      <w:r>
        <w:rPr>
          <w:rFonts w:hint="eastAsia" w:ascii="Times New Roman" w:hAnsi="Times New Roman" w:eastAsia="黑体" w:cs="Times New Roman"/>
          <w:bCs/>
          <w:color w:val="000000"/>
          <w:kern w:val="0"/>
          <w:sz w:val="24"/>
          <w:szCs w:val="24"/>
          <w:lang w:val="en-US" w:eastAsia="zh-CN" w:bidi="ar"/>
        </w:rPr>
        <w:t>表</w:t>
      </w:r>
      <w:r>
        <w:rPr>
          <w:rFonts w:hint="default" w:ascii="Times New Roman" w:hAnsi="Times New Roman" w:eastAsia="黑体" w:cs="Times New Roman"/>
          <w:bCs/>
          <w:color w:val="000000"/>
          <w:kern w:val="0"/>
          <w:sz w:val="24"/>
          <w:szCs w:val="24"/>
          <w:lang w:val="en-US" w:eastAsia="zh-CN" w:bidi="ar"/>
        </w:rPr>
        <w:t xml:space="preserve">5.2-21  </w:t>
      </w:r>
      <w:r>
        <w:rPr>
          <w:rFonts w:hint="eastAsia" w:ascii="Times New Roman" w:hAnsi="Times New Roman" w:eastAsia="黑体" w:cs="Times New Roman"/>
          <w:bCs/>
          <w:color w:val="000000"/>
          <w:kern w:val="0"/>
          <w:sz w:val="24"/>
          <w:szCs w:val="24"/>
          <w:lang w:val="en-US" w:eastAsia="zh-CN" w:bidi="ar"/>
        </w:rPr>
        <w:t>特征因子叠加后浓度预测结果统计表</w:t>
      </w:r>
    </w:p>
    <w:tbl>
      <w:tblPr>
        <w:tblStyle w:val="32"/>
        <w:tblW w:w="5000" w:type="pct"/>
        <w:tblInd w:w="0" w:type="dxa"/>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059"/>
        <w:gridCol w:w="2449"/>
        <w:gridCol w:w="1701"/>
        <w:gridCol w:w="1420"/>
        <w:gridCol w:w="1414"/>
        <w:gridCol w:w="994"/>
        <w:gridCol w:w="1559"/>
        <w:gridCol w:w="1417"/>
        <w:gridCol w:w="931"/>
        <w:gridCol w:w="708"/>
      </w:tblGrid>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283" w:hRule="atLeast"/>
        </w:trPr>
        <w:tc>
          <w:tcPr>
            <w:tcW w:w="388" w:type="pct"/>
            <w:vMerge w:val="restart"/>
            <w:tcBorders>
              <w:top w:val="thinThickSmallGap" w:color="auto" w:sz="12" w:space="0"/>
              <w:left w:val="nil"/>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污染物</w:t>
            </w:r>
          </w:p>
        </w:tc>
        <w:tc>
          <w:tcPr>
            <w:tcW w:w="897" w:type="pct"/>
            <w:vMerge w:val="restar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预测点</w:t>
            </w:r>
          </w:p>
        </w:tc>
        <w:tc>
          <w:tcPr>
            <w:tcW w:w="623" w:type="pct"/>
            <w:vMerge w:val="restar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平均时段</w:t>
            </w:r>
          </w:p>
        </w:tc>
        <w:tc>
          <w:tcPr>
            <w:tcW w:w="520" w:type="pct"/>
            <w:vMerge w:val="restar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出现时刻</w:t>
            </w:r>
          </w:p>
        </w:tc>
        <w:tc>
          <w:tcPr>
            <w:tcW w:w="882" w:type="pct"/>
            <w:gridSpan w:val="2"/>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贡献值</w:t>
            </w:r>
          </w:p>
        </w:tc>
        <w:tc>
          <w:tcPr>
            <w:tcW w:w="571" w:type="pct"/>
            <w:vMerge w:val="restart"/>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现状浓度</w:t>
            </w:r>
          </w:p>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bCs/>
                <w:color w:val="000000"/>
                <w:sz w:val="21"/>
                <w:szCs w:val="24"/>
                <w:bdr w:val="none" w:color="auto" w:sz="0" w:space="0"/>
                <w:vertAlign w:val="baseline"/>
                <w:lang w:val="en-US"/>
              </w:rPr>
            </w:pPr>
            <w:r>
              <w:rPr>
                <w:rFonts w:hint="eastAsia" w:ascii="Times New Roman" w:hAnsi="Times New Roman" w:eastAsia="宋体" w:cs="Times New Roman"/>
                <w:bCs/>
                <w:color w:val="000000"/>
                <w:kern w:val="0"/>
                <w:sz w:val="21"/>
                <w:szCs w:val="24"/>
                <w:bdr w:val="none" w:color="auto" w:sz="0" w:space="0"/>
                <w:vertAlign w:val="baseline"/>
                <w:lang w:val="en-US" w:eastAsia="zh-CN" w:bidi="ar"/>
              </w:rPr>
              <w:t>（</w:t>
            </w:r>
            <w:r>
              <w:rPr>
                <w:rFonts w:hint="default" w:ascii="Times New Roman" w:hAnsi="Times New Roman" w:eastAsia="宋体" w:cs="Times New Roman"/>
                <w:bCs/>
                <w:color w:val="000000"/>
                <w:kern w:val="0"/>
                <w:sz w:val="21"/>
                <w:szCs w:val="24"/>
                <w:bdr w:val="none" w:color="auto" w:sz="0" w:space="0"/>
                <w:vertAlign w:val="baseline"/>
                <w:lang w:val="en-US" w:eastAsia="zh-CN" w:bidi="ar"/>
              </w:rPr>
              <w:t>μg/m</w:t>
            </w:r>
            <w:r>
              <w:rPr>
                <w:rFonts w:hint="default" w:ascii="Times New Roman" w:hAnsi="Times New Roman" w:eastAsia="宋体" w:cs="Times New Roman"/>
                <w:bCs/>
                <w:color w:val="000000"/>
                <w:kern w:val="0"/>
                <w:sz w:val="21"/>
                <w:szCs w:val="24"/>
                <w:bdr w:val="none" w:color="auto" w:sz="0" w:space="0"/>
                <w:vertAlign w:val="superscript"/>
                <w:lang w:val="en-US" w:eastAsia="zh-CN" w:bidi="ar"/>
              </w:rPr>
              <w:t>3</w:t>
            </w:r>
            <w:r>
              <w:rPr>
                <w:rFonts w:hint="eastAsia" w:ascii="Times New Roman" w:hAnsi="Times New Roman" w:eastAsia="宋体" w:cs="Times New Roman"/>
                <w:bCs/>
                <w:color w:val="000000"/>
                <w:kern w:val="0"/>
                <w:sz w:val="21"/>
                <w:szCs w:val="24"/>
                <w:bdr w:val="none" w:color="auto" w:sz="0" w:space="0"/>
                <w:vertAlign w:val="baseline"/>
                <w:lang w:val="en-US" w:eastAsia="zh-CN" w:bidi="ar"/>
              </w:rPr>
              <w:t>）</w:t>
            </w:r>
          </w:p>
        </w:tc>
        <w:tc>
          <w:tcPr>
            <w:tcW w:w="859" w:type="pct"/>
            <w:gridSpan w:val="2"/>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叠加值</w:t>
            </w:r>
          </w:p>
        </w:tc>
        <w:tc>
          <w:tcPr>
            <w:tcW w:w="259" w:type="pct"/>
            <w:vMerge w:val="restart"/>
            <w:tcBorders>
              <w:top w:val="thinThickSmallGap" w:color="auto" w:sz="12" w:space="0"/>
              <w:left w:val="single" w:color="auto" w:sz="4" w:space="0"/>
              <w:bottom w:val="single" w:color="auto" w:sz="4" w:space="0"/>
              <w:right w:val="nil"/>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达标</w:t>
            </w:r>
          </w:p>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eastAsia" w:ascii="Times New Roman" w:hAnsi="Times New Roman" w:eastAsia="宋体" w:cs="Times New Roman"/>
                <w:bCs/>
                <w:color w:val="000000"/>
                <w:kern w:val="0"/>
                <w:sz w:val="21"/>
                <w:szCs w:val="24"/>
                <w:bdr w:val="none" w:color="auto" w:sz="0" w:space="0"/>
                <w:vertAlign w:val="baseline"/>
                <w:lang w:val="en-US" w:eastAsia="zh-CN" w:bidi="ar"/>
              </w:rPr>
              <w:t>情况</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8" w:type="pct"/>
            <w:vMerge w:val="continue"/>
            <w:tcBorders>
              <w:top w:val="thinThickSmallGap" w:color="auto" w:sz="12" w:space="0"/>
              <w:left w:val="nil"/>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897"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623"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520"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518"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预测结果</w:t>
            </w:r>
            <w:r>
              <w:rPr>
                <w:rFonts w:hint="default" w:ascii="Times New Roman" w:hAnsi="Times New Roman" w:eastAsia="宋体" w:cs="Times New Roman"/>
                <w:bCs/>
                <w:color w:val="000000"/>
                <w:kern w:val="0"/>
                <w:sz w:val="21"/>
                <w:szCs w:val="24"/>
                <w:bdr w:val="none" w:color="auto" w:sz="0" w:space="0"/>
                <w:lang w:val="en-US" w:eastAsia="zh-CN" w:bidi="ar"/>
              </w:rPr>
              <w:t>(μg/m</w:t>
            </w:r>
            <w:r>
              <w:rPr>
                <w:rFonts w:hint="default" w:ascii="Times New Roman" w:hAnsi="Times New Roman" w:eastAsia="宋体" w:cs="Times New Roman"/>
                <w:bCs/>
                <w:color w:val="000000"/>
                <w:kern w:val="0"/>
                <w:sz w:val="21"/>
                <w:szCs w:val="24"/>
                <w:bdr w:val="none" w:color="auto" w:sz="0" w:space="0"/>
                <w:vertAlign w:val="superscript"/>
                <w:lang w:val="en-US" w:eastAsia="zh-CN" w:bidi="ar"/>
              </w:rPr>
              <w:t>3</w:t>
            </w:r>
            <w:r>
              <w:rPr>
                <w:rFonts w:hint="default" w:ascii="Times New Roman" w:hAnsi="Times New Roman" w:eastAsia="宋体" w:cs="Times New Roman"/>
                <w:bCs/>
                <w:color w:val="000000"/>
                <w:kern w:val="0"/>
                <w:sz w:val="21"/>
                <w:szCs w:val="24"/>
                <w:bdr w:val="none" w:color="auto" w:sz="0" w:space="0"/>
                <w:lang w:val="en-US" w:eastAsia="zh-CN" w:bidi="ar"/>
              </w:rPr>
              <w:t>)</w:t>
            </w:r>
          </w:p>
        </w:tc>
        <w:tc>
          <w:tcPr>
            <w:tcW w:w="364"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占标率（</w:t>
            </w:r>
            <w:r>
              <w:rPr>
                <w:rFonts w:hint="default" w:ascii="Times New Roman" w:hAnsi="Times New Roman" w:eastAsia="宋体" w:cs="Times New Roman"/>
                <w:bCs/>
                <w:color w:val="000000"/>
                <w:kern w:val="0"/>
                <w:sz w:val="21"/>
                <w:szCs w:val="24"/>
                <w:bdr w:val="none" w:color="auto" w:sz="0" w:space="0"/>
                <w:lang w:val="en-US" w:eastAsia="zh-CN" w:bidi="ar"/>
              </w:rPr>
              <w:t>%</w:t>
            </w:r>
            <w:r>
              <w:rPr>
                <w:rFonts w:hint="eastAsia" w:ascii="Times New Roman" w:hAnsi="Times New Roman" w:eastAsia="宋体" w:cs="Times New Roman"/>
                <w:bCs/>
                <w:color w:val="000000"/>
                <w:kern w:val="0"/>
                <w:sz w:val="21"/>
                <w:szCs w:val="24"/>
                <w:bdr w:val="none" w:color="auto" w:sz="0" w:space="0"/>
                <w:lang w:val="en-US" w:eastAsia="zh-CN" w:bidi="ar"/>
              </w:rPr>
              <w:t>）</w:t>
            </w:r>
          </w:p>
        </w:tc>
        <w:tc>
          <w:tcPr>
            <w:tcW w:w="571" w:type="pct"/>
            <w:vMerge w:val="continue"/>
            <w:tcBorders>
              <w:top w:val="thinThickSmallGap" w:color="auto" w:sz="12" w:space="0"/>
              <w:left w:val="single" w:color="auto" w:sz="4" w:space="0"/>
              <w:bottom w:val="single" w:color="auto" w:sz="4" w:space="0"/>
              <w:right w:val="single" w:color="auto" w:sz="4" w:space="0"/>
            </w:tcBorders>
            <w:shd w:val="clear" w:color="auto" w:fill="D9D9D9"/>
            <w:vAlign w:val="center"/>
          </w:tcPr>
          <w:p>
            <w:pPr>
              <w:rPr>
                <w:rFonts w:hint="default" w:ascii="Times New Roman" w:hAnsi="Times New Roman" w:cs="Times New Roman"/>
                <w:sz w:val="20"/>
                <w:szCs w:val="20"/>
              </w:rPr>
            </w:pPr>
          </w:p>
        </w:tc>
        <w:tc>
          <w:tcPr>
            <w:tcW w:w="519"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叠加后浓度</w:t>
            </w:r>
            <w:r>
              <w:rPr>
                <w:rFonts w:hint="default" w:ascii="Times New Roman" w:hAnsi="Times New Roman" w:eastAsia="宋体" w:cs="Times New Roman"/>
                <w:bCs/>
                <w:color w:val="000000"/>
                <w:kern w:val="0"/>
                <w:sz w:val="21"/>
                <w:szCs w:val="24"/>
                <w:bdr w:val="none" w:color="auto" w:sz="0" w:space="0"/>
                <w:lang w:val="en-US" w:eastAsia="zh-CN" w:bidi="ar"/>
              </w:rPr>
              <w:t>(μg/m</w:t>
            </w:r>
            <w:r>
              <w:rPr>
                <w:rFonts w:hint="default" w:ascii="Times New Roman" w:hAnsi="Times New Roman" w:eastAsia="宋体" w:cs="Times New Roman"/>
                <w:bCs/>
                <w:color w:val="000000"/>
                <w:kern w:val="0"/>
                <w:sz w:val="21"/>
                <w:szCs w:val="24"/>
                <w:bdr w:val="none" w:color="auto" w:sz="0" w:space="0"/>
                <w:vertAlign w:val="superscript"/>
                <w:lang w:val="en-US" w:eastAsia="zh-CN" w:bidi="ar"/>
              </w:rPr>
              <w:t>3</w:t>
            </w:r>
            <w:r>
              <w:rPr>
                <w:rFonts w:hint="default" w:ascii="Times New Roman" w:hAnsi="Times New Roman" w:eastAsia="宋体" w:cs="Times New Roman"/>
                <w:bCs/>
                <w:color w:val="000000"/>
                <w:kern w:val="0"/>
                <w:sz w:val="21"/>
                <w:szCs w:val="24"/>
                <w:bdr w:val="none" w:color="auto" w:sz="0" w:space="0"/>
                <w:lang w:val="en-US" w:eastAsia="zh-CN" w:bidi="ar"/>
              </w:rPr>
              <w:t>)</w:t>
            </w:r>
          </w:p>
        </w:tc>
        <w:tc>
          <w:tcPr>
            <w:tcW w:w="341" w:type="pct"/>
            <w:tcBorders>
              <w:top w:val="single" w:color="auto" w:sz="4"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hint="eastAsia" w:ascii="Times New Roman" w:hAnsi="Times New Roman" w:eastAsia="宋体" w:cs="Times New Roman"/>
                <w:bCs/>
                <w:color w:val="000000"/>
                <w:kern w:val="0"/>
                <w:sz w:val="21"/>
                <w:szCs w:val="24"/>
                <w:bdr w:val="none" w:color="auto" w:sz="0" w:space="0"/>
                <w:lang w:val="en-US" w:eastAsia="zh-CN" w:bidi="ar"/>
              </w:rPr>
              <w:t>占标率（</w:t>
            </w:r>
            <w:r>
              <w:rPr>
                <w:rFonts w:hint="default" w:ascii="Times New Roman" w:hAnsi="Times New Roman" w:eastAsia="宋体" w:cs="Times New Roman"/>
                <w:bCs/>
                <w:color w:val="000000"/>
                <w:kern w:val="0"/>
                <w:sz w:val="21"/>
                <w:szCs w:val="24"/>
                <w:bdr w:val="none" w:color="auto" w:sz="0" w:space="0"/>
                <w:lang w:val="en-US" w:eastAsia="zh-CN" w:bidi="ar"/>
              </w:rPr>
              <w:t>%</w:t>
            </w:r>
            <w:r>
              <w:rPr>
                <w:rFonts w:hint="eastAsia" w:ascii="Times New Roman" w:hAnsi="Times New Roman" w:eastAsia="宋体" w:cs="Times New Roman"/>
                <w:bCs/>
                <w:color w:val="000000"/>
                <w:kern w:val="0"/>
                <w:sz w:val="21"/>
                <w:szCs w:val="24"/>
                <w:bdr w:val="none" w:color="auto" w:sz="0" w:space="0"/>
                <w:lang w:val="en-US" w:eastAsia="zh-CN" w:bidi="ar"/>
              </w:rPr>
              <w:t>）</w:t>
            </w:r>
          </w:p>
        </w:tc>
        <w:tc>
          <w:tcPr>
            <w:tcW w:w="259" w:type="pct"/>
            <w:vMerge w:val="continue"/>
            <w:tcBorders>
              <w:top w:val="thinThickSmallGap" w:color="auto" w:sz="12" w:space="0"/>
              <w:left w:val="single" w:color="auto" w:sz="4" w:space="0"/>
              <w:bottom w:val="single" w:color="auto" w:sz="4" w:space="0"/>
              <w:right w:val="nil"/>
            </w:tcBorders>
            <w:shd w:val="clear" w:color="auto" w:fill="D9D9D9"/>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8" w:type="pct"/>
            <w:vMerge w:val="restart"/>
            <w:tcBorders>
              <w:top w:val="single" w:color="auto" w:sz="4" w:space="0"/>
              <w:left w:val="nil"/>
              <w:bottom w:val="thinThick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eastAsia="宋体" w:cs="Times New Roman"/>
                <w:color w:val="000000"/>
                <w:kern w:val="0"/>
                <w:sz w:val="21"/>
                <w:szCs w:val="24"/>
                <w:bdr w:val="none" w:color="auto" w:sz="0" w:space="0"/>
                <w:lang w:val="en-US" w:eastAsia="zh-CN" w:bidi="ar"/>
              </w:rPr>
              <w:t>TSP</w:t>
            </w:r>
          </w:p>
        </w:tc>
        <w:tc>
          <w:tcPr>
            <w:tcW w:w="897"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rFonts w:hint="eastAsia" w:ascii="Times New Roman" w:hAnsi="Times New Roman" w:eastAsia="宋体" w:cs="宋体"/>
                <w:color w:val="000000"/>
                <w:sz w:val="21"/>
                <w:szCs w:val="21"/>
                <w:bdr w:val="none" w:color="auto" w:sz="0" w:space="0"/>
                <w:vertAlign w:val="baseline"/>
              </w:rPr>
              <w:t>南二道村</w:t>
            </w:r>
          </w:p>
        </w:tc>
        <w:tc>
          <w:tcPr>
            <w:tcW w:w="62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24</w:t>
            </w:r>
            <w:r>
              <w:rPr>
                <w:rFonts w:hint="eastAsia" w:ascii="Times New Roman" w:hAnsi="Times New Roman" w:eastAsia="宋体" w:cs="Times New Roman"/>
                <w:color w:val="000000"/>
                <w:spacing w:val="-6"/>
                <w:kern w:val="0"/>
                <w:sz w:val="21"/>
                <w:szCs w:val="24"/>
                <w:bdr w:val="none" w:color="auto" w:sz="0" w:space="0"/>
                <w:lang w:val="en-US" w:eastAsia="zh-CN" w:bidi="ar"/>
              </w:rPr>
              <w:t>小时平均</w:t>
            </w:r>
          </w:p>
        </w:tc>
        <w:tc>
          <w:tcPr>
            <w:tcW w:w="520"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2018/02/18</w:t>
            </w:r>
          </w:p>
        </w:tc>
        <w:tc>
          <w:tcPr>
            <w:tcW w:w="518"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3.39</w:t>
            </w:r>
          </w:p>
        </w:tc>
        <w:tc>
          <w:tcPr>
            <w:tcW w:w="364"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1.13</w:t>
            </w:r>
          </w:p>
        </w:tc>
        <w:tc>
          <w:tcPr>
            <w:tcW w:w="57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108</w:t>
            </w:r>
          </w:p>
        </w:tc>
        <w:tc>
          <w:tcPr>
            <w:tcW w:w="519"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111.39</w:t>
            </w:r>
          </w:p>
        </w:tc>
        <w:tc>
          <w:tcPr>
            <w:tcW w:w="34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37.13</w:t>
            </w:r>
          </w:p>
        </w:tc>
        <w:tc>
          <w:tcPr>
            <w:tcW w:w="25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eastAsia" w:ascii="Times New Roman" w:hAnsi="Times New Roman" w:eastAsia="宋体" w:cs="Times New Roman"/>
                <w:color w:val="000000"/>
                <w:spacing w:val="-6"/>
                <w:kern w:val="0"/>
                <w:sz w:val="21"/>
                <w:szCs w:val="24"/>
                <w:bdr w:val="none" w:color="auto" w:sz="0" w:space="0"/>
                <w:lang w:val="en-US" w:eastAsia="zh-CN" w:bidi="ar"/>
              </w:rPr>
              <w:t>达标</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8" w:type="pct"/>
            <w:vMerge w:val="continue"/>
            <w:tcBorders>
              <w:top w:val="single" w:color="auto" w:sz="4" w:space="0"/>
              <w:left w:val="nil"/>
              <w:bottom w:val="thinThick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97"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rFonts w:hint="eastAsia" w:ascii="Times New Roman" w:hAnsi="Times New Roman" w:eastAsia="宋体" w:cs="宋体"/>
                <w:color w:val="000000"/>
                <w:sz w:val="21"/>
                <w:szCs w:val="21"/>
                <w:bdr w:val="none" w:color="auto" w:sz="0" w:space="0"/>
                <w:vertAlign w:val="baseline"/>
              </w:rPr>
              <w:t>铧子峪村</w:t>
            </w:r>
          </w:p>
        </w:tc>
        <w:tc>
          <w:tcPr>
            <w:tcW w:w="62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24</w:t>
            </w:r>
            <w:r>
              <w:rPr>
                <w:rFonts w:hint="eastAsia" w:ascii="Times New Roman" w:hAnsi="Times New Roman" w:eastAsia="宋体" w:cs="Times New Roman"/>
                <w:color w:val="000000"/>
                <w:spacing w:val="-6"/>
                <w:kern w:val="0"/>
                <w:sz w:val="21"/>
                <w:szCs w:val="24"/>
                <w:bdr w:val="none" w:color="auto" w:sz="0" w:space="0"/>
                <w:lang w:val="en-US" w:eastAsia="zh-CN" w:bidi="ar"/>
              </w:rPr>
              <w:t>小时平均</w:t>
            </w:r>
          </w:p>
        </w:tc>
        <w:tc>
          <w:tcPr>
            <w:tcW w:w="520"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2018/04/12</w:t>
            </w:r>
          </w:p>
        </w:tc>
        <w:tc>
          <w:tcPr>
            <w:tcW w:w="518"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3.09</w:t>
            </w:r>
          </w:p>
        </w:tc>
        <w:tc>
          <w:tcPr>
            <w:tcW w:w="364"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1.03</w:t>
            </w:r>
          </w:p>
        </w:tc>
        <w:tc>
          <w:tcPr>
            <w:tcW w:w="57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108</w:t>
            </w:r>
          </w:p>
        </w:tc>
        <w:tc>
          <w:tcPr>
            <w:tcW w:w="519"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110.09</w:t>
            </w:r>
          </w:p>
        </w:tc>
        <w:tc>
          <w:tcPr>
            <w:tcW w:w="34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37.03</w:t>
            </w:r>
          </w:p>
        </w:tc>
        <w:tc>
          <w:tcPr>
            <w:tcW w:w="25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eastAsia" w:ascii="Times New Roman" w:hAnsi="Times New Roman" w:eastAsia="宋体" w:cs="Times New Roman"/>
                <w:color w:val="000000"/>
                <w:spacing w:val="-6"/>
                <w:kern w:val="0"/>
                <w:sz w:val="21"/>
                <w:szCs w:val="24"/>
                <w:bdr w:val="none" w:color="auto" w:sz="0" w:space="0"/>
                <w:lang w:val="en-US" w:eastAsia="zh-CN" w:bidi="ar"/>
              </w:rPr>
              <w:t>达标</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8" w:type="pct"/>
            <w:vMerge w:val="continue"/>
            <w:tcBorders>
              <w:top w:val="single" w:color="auto" w:sz="4" w:space="0"/>
              <w:left w:val="nil"/>
              <w:bottom w:val="thinThick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97"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rFonts w:hint="eastAsia" w:ascii="Times New Roman" w:hAnsi="Times New Roman" w:eastAsia="宋体" w:cs="宋体"/>
                <w:color w:val="000000"/>
                <w:sz w:val="21"/>
                <w:szCs w:val="21"/>
                <w:bdr w:val="none" w:color="auto" w:sz="0" w:space="0"/>
                <w:vertAlign w:val="baseline"/>
              </w:rPr>
              <w:t>范家峪村</w:t>
            </w:r>
          </w:p>
        </w:tc>
        <w:tc>
          <w:tcPr>
            <w:tcW w:w="62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24</w:t>
            </w:r>
            <w:r>
              <w:rPr>
                <w:rFonts w:hint="eastAsia" w:ascii="Times New Roman" w:hAnsi="Times New Roman" w:eastAsia="宋体" w:cs="Times New Roman"/>
                <w:color w:val="000000"/>
                <w:spacing w:val="-6"/>
                <w:kern w:val="0"/>
                <w:sz w:val="21"/>
                <w:szCs w:val="24"/>
                <w:bdr w:val="none" w:color="auto" w:sz="0" w:space="0"/>
                <w:lang w:val="en-US" w:eastAsia="zh-CN" w:bidi="ar"/>
              </w:rPr>
              <w:t>小时平均</w:t>
            </w:r>
          </w:p>
        </w:tc>
        <w:tc>
          <w:tcPr>
            <w:tcW w:w="520"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2018/01/26</w:t>
            </w:r>
          </w:p>
        </w:tc>
        <w:tc>
          <w:tcPr>
            <w:tcW w:w="518"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19.55</w:t>
            </w:r>
          </w:p>
        </w:tc>
        <w:tc>
          <w:tcPr>
            <w:tcW w:w="364"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6.52</w:t>
            </w:r>
          </w:p>
        </w:tc>
        <w:tc>
          <w:tcPr>
            <w:tcW w:w="57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108</w:t>
            </w:r>
          </w:p>
        </w:tc>
        <w:tc>
          <w:tcPr>
            <w:tcW w:w="519"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127.55</w:t>
            </w:r>
          </w:p>
        </w:tc>
        <w:tc>
          <w:tcPr>
            <w:tcW w:w="34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42.52</w:t>
            </w:r>
          </w:p>
        </w:tc>
        <w:tc>
          <w:tcPr>
            <w:tcW w:w="25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eastAsia" w:ascii="Times New Roman" w:hAnsi="Times New Roman" w:eastAsia="宋体" w:cs="Times New Roman"/>
                <w:color w:val="000000"/>
                <w:spacing w:val="-6"/>
                <w:kern w:val="0"/>
                <w:sz w:val="21"/>
                <w:szCs w:val="24"/>
                <w:bdr w:val="none" w:color="auto" w:sz="0" w:space="0"/>
                <w:lang w:val="en-US" w:eastAsia="zh-CN" w:bidi="ar"/>
              </w:rPr>
              <w:t>达标</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8" w:type="pct"/>
            <w:vMerge w:val="continue"/>
            <w:tcBorders>
              <w:top w:val="single" w:color="auto" w:sz="4" w:space="0"/>
              <w:left w:val="nil"/>
              <w:bottom w:val="thinThick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97"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rFonts w:hint="eastAsia" w:ascii="Times New Roman" w:hAnsi="Times New Roman" w:eastAsia="宋体" w:cs="宋体"/>
                <w:color w:val="000000"/>
                <w:sz w:val="21"/>
                <w:szCs w:val="21"/>
                <w:bdr w:val="none" w:color="auto" w:sz="0" w:space="0"/>
                <w:vertAlign w:val="baseline"/>
              </w:rPr>
              <w:t>南三道村</w:t>
            </w:r>
          </w:p>
        </w:tc>
        <w:tc>
          <w:tcPr>
            <w:tcW w:w="623"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default" w:ascii="Times New Roman" w:hAnsi="Times New Roman" w:eastAsia="宋体" w:cs="Times New Roman"/>
                <w:color w:val="000000"/>
                <w:spacing w:val="-6"/>
                <w:kern w:val="0"/>
                <w:sz w:val="21"/>
                <w:szCs w:val="24"/>
                <w:bdr w:val="none" w:color="auto" w:sz="0" w:space="0"/>
                <w:lang w:val="en-US" w:eastAsia="zh-CN" w:bidi="ar"/>
              </w:rPr>
              <w:t>24</w:t>
            </w:r>
            <w:r>
              <w:rPr>
                <w:rFonts w:hint="eastAsia" w:ascii="Times New Roman" w:hAnsi="Times New Roman" w:eastAsia="宋体" w:cs="Times New Roman"/>
                <w:color w:val="000000"/>
                <w:spacing w:val="-6"/>
                <w:kern w:val="0"/>
                <w:sz w:val="21"/>
                <w:szCs w:val="24"/>
                <w:bdr w:val="none" w:color="auto" w:sz="0" w:space="0"/>
                <w:lang w:val="en-US" w:eastAsia="zh-CN" w:bidi="ar"/>
              </w:rPr>
              <w:t>小时平均</w:t>
            </w:r>
          </w:p>
        </w:tc>
        <w:tc>
          <w:tcPr>
            <w:tcW w:w="520"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2018/01/12</w:t>
            </w:r>
          </w:p>
        </w:tc>
        <w:tc>
          <w:tcPr>
            <w:tcW w:w="518"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3.26</w:t>
            </w:r>
          </w:p>
        </w:tc>
        <w:tc>
          <w:tcPr>
            <w:tcW w:w="364"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1.09</w:t>
            </w:r>
          </w:p>
        </w:tc>
        <w:tc>
          <w:tcPr>
            <w:tcW w:w="57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108</w:t>
            </w:r>
          </w:p>
        </w:tc>
        <w:tc>
          <w:tcPr>
            <w:tcW w:w="519"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111.26</w:t>
            </w:r>
          </w:p>
        </w:tc>
        <w:tc>
          <w:tcPr>
            <w:tcW w:w="341" w:type="pct"/>
            <w:tcBorders>
              <w:top w:val="single" w:color="auto" w:sz="4" w:space="0"/>
              <w:left w:val="single" w:color="auto" w:sz="4" w:space="0"/>
              <w:bottom w:val="single" w:color="auto" w:sz="4"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37.09</w:t>
            </w:r>
          </w:p>
        </w:tc>
        <w:tc>
          <w:tcPr>
            <w:tcW w:w="259"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eastAsia" w:ascii="Times New Roman" w:hAnsi="Times New Roman" w:eastAsia="宋体" w:cs="Times New Roman"/>
                <w:color w:val="000000"/>
                <w:spacing w:val="-6"/>
                <w:kern w:val="0"/>
                <w:sz w:val="21"/>
                <w:szCs w:val="24"/>
                <w:bdr w:val="none" w:color="auto" w:sz="0" w:space="0"/>
                <w:lang w:val="en-US" w:eastAsia="zh-CN" w:bidi="ar"/>
              </w:rPr>
              <w:t>达标</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8" w:type="pct"/>
            <w:vMerge w:val="continue"/>
            <w:tcBorders>
              <w:top w:val="single" w:color="auto" w:sz="4" w:space="0"/>
              <w:left w:val="nil"/>
              <w:bottom w:val="thinThick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97" w:type="pct"/>
            <w:tcBorders>
              <w:top w:val="single" w:color="auto" w:sz="4" w:space="0"/>
              <w:left w:val="single" w:color="auto" w:sz="4" w:space="0"/>
              <w:bottom w:val="thinThick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eastAsia" w:ascii="Times New Roman" w:hAnsi="Times New Roman" w:eastAsia="宋体" w:cs="Times New Roman"/>
                <w:color w:val="000000"/>
                <w:kern w:val="0"/>
                <w:sz w:val="21"/>
                <w:szCs w:val="24"/>
                <w:bdr w:val="none" w:color="auto" w:sz="0" w:space="0"/>
                <w:vertAlign w:val="baseline"/>
                <w:lang w:val="en-US" w:eastAsia="zh-CN" w:bidi="ar"/>
              </w:rPr>
              <w:t>区域最大值</w:t>
            </w:r>
            <w:r>
              <w:rPr>
                <w:rFonts w:hint="eastAsia" w:ascii="Times New Roman" w:hAnsi="Times New Roman" w:eastAsia="宋体" w:cs="Times New Roman"/>
                <w:color w:val="000000"/>
                <w:spacing w:val="-20"/>
                <w:kern w:val="0"/>
                <w:sz w:val="21"/>
                <w:szCs w:val="21"/>
                <w:bdr w:val="none" w:color="auto" w:sz="0" w:space="0"/>
                <w:vertAlign w:val="baseline"/>
                <w:lang w:val="en-US" w:eastAsia="zh-CN" w:bidi="ar"/>
              </w:rPr>
              <w:t>（</w:t>
            </w:r>
            <w:r>
              <w:rPr>
                <w:rFonts w:hint="default" w:ascii="Times New Roman" w:hAnsi="Times New Roman" w:eastAsia="宋体" w:cs="Times New Roman"/>
                <w:color w:val="000000"/>
                <w:spacing w:val="-20"/>
                <w:kern w:val="0"/>
                <w:sz w:val="21"/>
                <w:szCs w:val="21"/>
                <w:bdr w:val="none" w:color="auto" w:sz="0" w:space="0"/>
                <w:vertAlign w:val="baseline"/>
                <w:lang w:val="en-US" w:eastAsia="zh-CN" w:bidi="ar"/>
              </w:rPr>
              <w:t>-200</w:t>
            </w:r>
            <w:r>
              <w:rPr>
                <w:rFonts w:hint="eastAsia" w:ascii="Times New Roman" w:hAnsi="Times New Roman" w:eastAsia="宋体" w:cs="Times New Roman"/>
                <w:color w:val="000000"/>
                <w:spacing w:val="-20"/>
                <w:kern w:val="0"/>
                <w:sz w:val="21"/>
                <w:szCs w:val="21"/>
                <w:bdr w:val="none" w:color="auto" w:sz="0" w:space="0"/>
                <w:vertAlign w:val="baseline"/>
                <w:lang w:val="en-US" w:eastAsia="zh-CN" w:bidi="ar"/>
              </w:rPr>
              <w:t>，</w:t>
            </w:r>
            <w:r>
              <w:rPr>
                <w:rFonts w:hint="default" w:ascii="Times New Roman" w:hAnsi="Times New Roman" w:eastAsia="宋体" w:cs="Times New Roman"/>
                <w:color w:val="000000"/>
                <w:spacing w:val="-20"/>
                <w:kern w:val="0"/>
                <w:sz w:val="21"/>
                <w:szCs w:val="21"/>
                <w:bdr w:val="none" w:color="auto" w:sz="0" w:space="0"/>
                <w:vertAlign w:val="baseline"/>
                <w:lang w:val="en-US" w:eastAsia="zh-CN" w:bidi="ar"/>
              </w:rPr>
              <w:t>0</w:t>
            </w:r>
            <w:r>
              <w:rPr>
                <w:rFonts w:hint="eastAsia" w:ascii="Times New Roman" w:hAnsi="Times New Roman" w:eastAsia="宋体" w:cs="Times New Roman"/>
                <w:color w:val="000000"/>
                <w:spacing w:val="-20"/>
                <w:kern w:val="0"/>
                <w:sz w:val="21"/>
                <w:szCs w:val="21"/>
                <w:bdr w:val="none" w:color="auto" w:sz="0" w:space="0"/>
                <w:vertAlign w:val="baseline"/>
                <w:lang w:val="en-US" w:eastAsia="zh-CN" w:bidi="ar"/>
              </w:rPr>
              <w:t>）</w:t>
            </w:r>
          </w:p>
        </w:tc>
        <w:tc>
          <w:tcPr>
            <w:tcW w:w="623" w:type="pct"/>
            <w:tcBorders>
              <w:top w:val="single" w:color="auto" w:sz="4" w:space="0"/>
              <w:left w:val="single" w:color="auto" w:sz="4" w:space="0"/>
              <w:bottom w:val="thinThick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eastAsia="宋体" w:cs="Times New Roman"/>
                <w:color w:val="000000"/>
                <w:spacing w:val="-6"/>
                <w:kern w:val="0"/>
                <w:sz w:val="21"/>
                <w:szCs w:val="24"/>
                <w:bdr w:val="none" w:color="auto" w:sz="0" w:space="0"/>
                <w:vertAlign w:val="baseline"/>
                <w:lang w:val="en-US" w:eastAsia="zh-CN" w:bidi="ar"/>
              </w:rPr>
              <w:t>24</w:t>
            </w:r>
            <w:r>
              <w:rPr>
                <w:rFonts w:hint="eastAsia" w:ascii="Times New Roman" w:hAnsi="Times New Roman" w:eastAsia="宋体" w:cs="Times New Roman"/>
                <w:color w:val="000000"/>
                <w:spacing w:val="-6"/>
                <w:kern w:val="0"/>
                <w:sz w:val="21"/>
                <w:szCs w:val="24"/>
                <w:bdr w:val="none" w:color="auto" w:sz="0" w:space="0"/>
                <w:vertAlign w:val="baseline"/>
                <w:lang w:val="en-US" w:eastAsia="zh-CN" w:bidi="ar"/>
              </w:rPr>
              <w:t>小时平均</w:t>
            </w:r>
          </w:p>
        </w:tc>
        <w:tc>
          <w:tcPr>
            <w:tcW w:w="520" w:type="pct"/>
            <w:tcBorders>
              <w:top w:val="single" w:color="auto" w:sz="4" w:space="0"/>
              <w:left w:val="single" w:color="auto" w:sz="4" w:space="0"/>
              <w:bottom w:val="thinThickSmallGap" w:color="auto" w:sz="12"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rFonts w:eastAsia="等线"/>
                <w:color w:val="000000"/>
                <w:sz w:val="21"/>
                <w:szCs w:val="21"/>
                <w:bdr w:val="none" w:color="auto" w:sz="0" w:space="0"/>
                <w:vertAlign w:val="baseline"/>
                <w:lang w:val="en-US"/>
              </w:rPr>
              <w:t>2018/01/26</w:t>
            </w:r>
          </w:p>
        </w:tc>
        <w:tc>
          <w:tcPr>
            <w:tcW w:w="518" w:type="pct"/>
            <w:tcBorders>
              <w:top w:val="single" w:color="auto" w:sz="4" w:space="0"/>
              <w:left w:val="single" w:color="auto" w:sz="4" w:space="0"/>
              <w:bottom w:val="thinThickSmallGap" w:color="auto" w:sz="12"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rFonts w:eastAsia="等线"/>
                <w:color w:val="000000"/>
                <w:sz w:val="21"/>
                <w:szCs w:val="21"/>
                <w:bdr w:val="none" w:color="auto" w:sz="0" w:space="0"/>
                <w:vertAlign w:val="baseline"/>
                <w:lang w:val="en-US"/>
              </w:rPr>
              <w:t>89.4</w:t>
            </w:r>
          </w:p>
        </w:tc>
        <w:tc>
          <w:tcPr>
            <w:tcW w:w="364" w:type="pct"/>
            <w:tcBorders>
              <w:top w:val="single" w:color="auto" w:sz="4" w:space="0"/>
              <w:left w:val="single" w:color="auto" w:sz="4" w:space="0"/>
              <w:bottom w:val="thinThickSmallGap" w:color="auto" w:sz="12"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rFonts w:eastAsia="等线"/>
                <w:color w:val="000000"/>
                <w:sz w:val="21"/>
                <w:szCs w:val="21"/>
                <w:bdr w:val="none" w:color="auto" w:sz="0" w:space="0"/>
                <w:vertAlign w:val="baseline"/>
                <w:lang w:val="en-US"/>
              </w:rPr>
              <w:t>29.80</w:t>
            </w:r>
          </w:p>
        </w:tc>
        <w:tc>
          <w:tcPr>
            <w:tcW w:w="571" w:type="pct"/>
            <w:tcBorders>
              <w:top w:val="single" w:color="auto" w:sz="4" w:space="0"/>
              <w:left w:val="single" w:color="auto" w:sz="4" w:space="0"/>
              <w:bottom w:val="thinThickSmallGap" w:color="auto" w:sz="12"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108</w:t>
            </w:r>
          </w:p>
        </w:tc>
        <w:tc>
          <w:tcPr>
            <w:tcW w:w="519" w:type="pct"/>
            <w:tcBorders>
              <w:top w:val="single" w:color="auto" w:sz="4" w:space="0"/>
              <w:left w:val="single" w:color="auto" w:sz="4" w:space="0"/>
              <w:bottom w:val="thinThickSmallGap" w:color="auto" w:sz="12"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197.4</w:t>
            </w:r>
          </w:p>
        </w:tc>
        <w:tc>
          <w:tcPr>
            <w:tcW w:w="341" w:type="pct"/>
            <w:tcBorders>
              <w:top w:val="single" w:color="auto" w:sz="4" w:space="0"/>
              <w:left w:val="single" w:color="auto" w:sz="4" w:space="0"/>
              <w:bottom w:val="thinThickSmallGap" w:color="auto" w:sz="12" w:space="0"/>
              <w:right w:val="single" w:color="auto" w:sz="4" w:space="0"/>
            </w:tcBorders>
            <w:shd w:val="clear"/>
            <w:vAlign w:val="center"/>
          </w:tcPr>
          <w:p>
            <w:pPr>
              <w:pStyle w:val="356"/>
              <w:widowControl/>
              <w:adjustRightInd w:val="0"/>
              <w:snapToGrid w:val="0"/>
              <w:spacing w:line="240" w:lineRule="auto"/>
              <w:ind w:left="0" w:firstLine="0" w:firstLineChars="0"/>
              <w:jc w:val="center"/>
              <w:textAlignment w:val="baseline"/>
              <w:rPr>
                <w:color w:val="000000"/>
                <w:sz w:val="21"/>
                <w:szCs w:val="21"/>
                <w:bdr w:val="none" w:color="auto" w:sz="0" w:space="0"/>
                <w:vertAlign w:val="baseline"/>
                <w:lang w:val="en-US"/>
              </w:rPr>
            </w:pPr>
            <w:r>
              <w:rPr>
                <w:color w:val="000000"/>
                <w:sz w:val="21"/>
                <w:szCs w:val="21"/>
                <w:bdr w:val="none" w:color="auto" w:sz="0" w:space="0"/>
                <w:vertAlign w:val="baseline"/>
                <w:lang w:val="en-US"/>
              </w:rPr>
              <w:t>65.80</w:t>
            </w:r>
          </w:p>
        </w:tc>
        <w:tc>
          <w:tcPr>
            <w:tcW w:w="259" w:type="pct"/>
            <w:tcBorders>
              <w:top w:val="single" w:color="auto" w:sz="4" w:space="0"/>
              <w:left w:val="single" w:color="auto" w:sz="4" w:space="0"/>
              <w:bottom w:val="thinThickSmallGap" w:color="auto" w:sz="12"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6"/>
                <w:sz w:val="21"/>
                <w:szCs w:val="24"/>
                <w:bdr w:val="none" w:color="auto" w:sz="0" w:space="0"/>
                <w:lang w:val="en-US"/>
              </w:rPr>
            </w:pPr>
            <w:r>
              <w:rPr>
                <w:rFonts w:hint="eastAsia" w:ascii="Times New Roman" w:hAnsi="Times New Roman" w:eastAsia="宋体" w:cs="Times New Roman"/>
                <w:color w:val="000000"/>
                <w:spacing w:val="-6"/>
                <w:kern w:val="0"/>
                <w:sz w:val="21"/>
                <w:szCs w:val="24"/>
                <w:bdr w:val="none" w:color="auto" w:sz="0" w:space="0"/>
                <w:lang w:val="en-US" w:eastAsia="zh-CN" w:bidi="ar"/>
              </w:rPr>
              <w:t>达标</w:t>
            </w:r>
          </w:p>
        </w:tc>
      </w:tr>
    </w:tbl>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color w:val="000000"/>
          <w:lang w:val="en-US"/>
        </w:rPr>
      </w:pPr>
    </w:p>
    <w:p>
      <w:pPr>
        <w:rPr>
          <w:rFonts w:hint="default" w:ascii="Times New Roman" w:hAnsi="Times New Roman" w:eastAsia="宋体" w:cs="Times New Roman"/>
          <w:color w:val="000000"/>
          <w:sz w:val="24"/>
          <w:szCs w:val="24"/>
          <w:lang w:val="en-US" w:eastAsia="zh-CN" w:bidi="ar"/>
        </w:rPr>
        <w:sectPr>
          <w:pgSz w:w="16840" w:h="11915" w:orient="landscape"/>
          <w:pgMar w:top="1702" w:right="1702" w:bottom="1702" w:left="1702" w:header="851" w:footer="1077" w:gutter="0"/>
          <w:paperSrc/>
          <w:cols w:space="425" w:num="1"/>
          <w:docGrid w:type="lines" w:linePitch="479" w:charSpace="0"/>
        </w:sectPr>
      </w:pP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default" w:ascii="Times New Roman" w:hAnsi="Times New Roman" w:eastAsia="黑体" w:cs="Times New Roman"/>
          <w:color w:val="000000"/>
          <w:kern w:val="0"/>
          <w:sz w:val="24"/>
          <w:szCs w:val="24"/>
          <w:lang w:val="en-US" w:eastAsia="zh-CN" w:bidi="ar"/>
        </w:rPr>
        <w:drawing>
          <wp:inline distT="0" distB="0" distL="114300" distR="114300">
            <wp:extent cx="4743450" cy="3838575"/>
            <wp:effectExtent l="0" t="0" r="0" b="9525"/>
            <wp:docPr id="71" name="图片 3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4" descr="6"/>
                    <pic:cNvPicPr>
                      <a:picLocks noChangeAspect="1"/>
                    </pic:cNvPicPr>
                  </pic:nvPicPr>
                  <pic:blipFill>
                    <a:blip r:embed="rId64"/>
                    <a:srcRect l="35818" t="4561" r="5148" b="5838"/>
                    <a:stretch>
                      <a:fillRect/>
                    </a:stretch>
                  </pic:blipFill>
                  <pic:spPr>
                    <a:xfrm>
                      <a:off x="0" y="0"/>
                      <a:ext cx="4743450" cy="3838575"/>
                    </a:xfrm>
                    <a:prstGeom prst="rect">
                      <a:avLst/>
                    </a:prstGeom>
                    <a:noFill/>
                    <a:ln>
                      <a:noFill/>
                    </a:ln>
                  </pic:spPr>
                </pic:pic>
              </a:graphicData>
            </a:graphic>
          </wp:inline>
        </w:drawing>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sz w:val="21"/>
          <w:szCs w:val="21"/>
          <w:vertAlign w:val="superscript"/>
          <w:lang w:val="en-US"/>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5-10  </w:t>
      </w:r>
      <w:r>
        <w:rPr>
          <w:rFonts w:hint="eastAsia" w:ascii="Times New Roman" w:hAnsi="Times New Roman" w:eastAsia="黑体" w:cs="Times New Roman"/>
          <w:color w:val="000000"/>
          <w:kern w:val="0"/>
          <w:sz w:val="24"/>
          <w:szCs w:val="24"/>
          <w:lang w:val="en-US" w:eastAsia="zh-CN" w:bidi="ar"/>
        </w:rPr>
        <w:t>项目实施后</w:t>
      </w:r>
      <w:r>
        <w:rPr>
          <w:rFonts w:hint="default" w:ascii="Times New Roman" w:hAnsi="Times New Roman" w:eastAsia="黑体" w:cs="Times New Roman"/>
          <w:color w:val="000000"/>
          <w:kern w:val="0"/>
          <w:sz w:val="24"/>
          <w:szCs w:val="24"/>
          <w:lang w:val="en-US" w:eastAsia="zh-CN" w:bidi="ar"/>
        </w:rPr>
        <w:t>TSP 24h</w:t>
      </w:r>
      <w:r>
        <w:rPr>
          <w:rFonts w:hint="eastAsia" w:ascii="Times New Roman" w:hAnsi="Times New Roman" w:eastAsia="黑体" w:cs="Times New Roman"/>
          <w:color w:val="000000"/>
          <w:kern w:val="0"/>
          <w:sz w:val="24"/>
          <w:szCs w:val="24"/>
          <w:lang w:val="en-US" w:eastAsia="zh-CN" w:bidi="ar"/>
        </w:rPr>
        <w:t>平均浓度分布图</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1"/>
          <w:szCs w:val="21"/>
          <w:lang w:val="en-US" w:eastAsia="zh-CN" w:bidi="ar"/>
        </w:rPr>
        <w:t>单位：</w:t>
      </w:r>
      <w:r>
        <w:rPr>
          <w:rFonts w:hint="default" w:ascii="Times New Roman" w:hAnsi="Times New Roman" w:eastAsia="黑体" w:cs="Times New Roman"/>
          <w:color w:val="000000"/>
          <w:kern w:val="0"/>
          <w:sz w:val="21"/>
          <w:szCs w:val="21"/>
          <w:lang w:val="en-US" w:eastAsia="zh-CN" w:bidi="ar"/>
        </w:rPr>
        <w:t>μg/m</w:t>
      </w:r>
      <w:r>
        <w:rPr>
          <w:rFonts w:hint="default" w:ascii="Times New Roman" w:hAnsi="Times New Roman" w:eastAsia="黑体" w:cs="Times New Roman"/>
          <w:color w:val="000000"/>
          <w:kern w:val="0"/>
          <w:sz w:val="21"/>
          <w:szCs w:val="21"/>
          <w:vertAlign w:val="superscript"/>
          <w:lang w:val="en-US" w:eastAsia="zh-CN" w:bidi="ar"/>
        </w:rPr>
        <w:t>3</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预测结果可知，本项目常规因子扩散到各敏感点处的贡献值叠加现状、在建和削减污染源后的保证率日平均质量浓度满足相应的环境空气质量标准限值；特征因子扩散到各敏感点处的贡献值叠加现状、在建和削减污染源后的短期环境质量浓度满足相应环境空气质量标准限值。</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）超标因子区域环境质量变化评价</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根据大气导则要求，对超标的预测因子进行实施削减方案后预测范围内年平均质量浓度变化率</w:t>
      </w:r>
      <w:r>
        <w:rPr>
          <w:rFonts w:hint="default" w:ascii="Times New Roman" w:hAnsi="Times New Roman" w:eastAsia="宋体" w:cs="Times New Roman"/>
          <w:color w:val="000000"/>
          <w:kern w:val="0"/>
          <w:sz w:val="24"/>
          <w:szCs w:val="24"/>
          <w:lang w:val="en-US" w:eastAsia="zh-CN" w:bidi="ar"/>
        </w:rPr>
        <w:t>K</w:t>
      </w:r>
      <w:r>
        <w:rPr>
          <w:rFonts w:hint="eastAsia" w:ascii="Times New Roman" w:hAnsi="Times New Roman" w:eastAsia="宋体" w:cs="Times New Roman"/>
          <w:color w:val="000000"/>
          <w:kern w:val="0"/>
          <w:sz w:val="24"/>
          <w:szCs w:val="24"/>
          <w:lang w:val="en-US" w:eastAsia="zh-CN" w:bidi="ar"/>
        </w:rPr>
        <w:t>计算，进行区域环境质量变化评价，计算公式如下：</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drawing>
          <wp:inline distT="0" distB="0" distL="114300" distR="114300">
            <wp:extent cx="5895975" cy="1152525"/>
            <wp:effectExtent l="0" t="0" r="9525" b="9525"/>
            <wp:docPr id="7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5"/>
                    <pic:cNvPicPr>
                      <a:picLocks noChangeAspect="1"/>
                    </pic:cNvPicPr>
                  </pic:nvPicPr>
                  <pic:blipFill>
                    <a:blip r:embed="rId65"/>
                    <a:stretch>
                      <a:fillRect/>
                    </a:stretch>
                  </pic:blipFill>
                  <pic:spPr>
                    <a:xfrm>
                      <a:off x="0" y="0"/>
                      <a:ext cx="5895975" cy="1152525"/>
                    </a:xfrm>
                    <a:prstGeom prst="rect">
                      <a:avLst/>
                    </a:prstGeom>
                    <a:noFill/>
                    <a:ln>
                      <a:noFill/>
                    </a:ln>
                  </pic:spPr>
                </pic:pic>
              </a:graphicData>
            </a:graphic>
          </wp:inline>
        </w:drawing>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本项目所在区域年平均浓度超标因子为</w:t>
      </w:r>
      <w:r>
        <w:rPr>
          <w:rFonts w:hint="default" w:ascii="Times New Roman" w:hAnsi="Times New Roman" w:eastAsia="宋体" w:cs="Times New Roman"/>
          <w:color w:val="000000"/>
          <w:kern w:val="0"/>
          <w:sz w:val="24"/>
          <w:szCs w:val="24"/>
          <w:lang w:val="en-US" w:eastAsia="zh-CN" w:bidi="ar"/>
        </w:rPr>
        <w:t>PM</w:t>
      </w:r>
      <w:r>
        <w:rPr>
          <w:rFonts w:hint="default" w:ascii="Times New Roman" w:hAnsi="Times New Roman" w:eastAsia="宋体" w:cs="Times New Roman"/>
          <w:color w:val="000000"/>
          <w:kern w:val="0"/>
          <w:sz w:val="24"/>
          <w:szCs w:val="24"/>
          <w:vertAlign w:val="subscript"/>
          <w:lang w:val="en-US" w:eastAsia="zh-CN" w:bidi="ar"/>
        </w:rPr>
        <w:t>10</w:t>
      </w:r>
      <w:r>
        <w:rPr>
          <w:rFonts w:hint="eastAsia" w:ascii="Times New Roman" w:hAnsi="Times New Roman" w:eastAsia="宋体" w:cs="Times New Roman"/>
          <w:color w:val="000000"/>
          <w:kern w:val="0"/>
          <w:sz w:val="24"/>
          <w:szCs w:val="24"/>
          <w:lang w:val="en-US" w:eastAsia="zh-CN" w:bidi="ar"/>
        </w:rPr>
        <w:t>，针对上述因子计算</w:t>
      </w:r>
      <w:r>
        <w:rPr>
          <w:rFonts w:hint="default" w:ascii="Times New Roman" w:hAnsi="Times New Roman" w:eastAsia="宋体" w:cs="Times New Roman"/>
          <w:color w:val="000000"/>
          <w:kern w:val="0"/>
          <w:sz w:val="24"/>
          <w:szCs w:val="24"/>
          <w:lang w:val="en-US" w:eastAsia="zh-CN" w:bidi="ar"/>
        </w:rPr>
        <w:t>K</w:t>
      </w:r>
      <w:r>
        <w:rPr>
          <w:rFonts w:hint="eastAsia" w:ascii="Times New Roman" w:hAnsi="Times New Roman" w:eastAsia="宋体" w:cs="Times New Roman"/>
          <w:color w:val="000000"/>
          <w:kern w:val="0"/>
          <w:sz w:val="24"/>
          <w:szCs w:val="24"/>
          <w:lang w:val="en-US" w:eastAsia="zh-CN" w:bidi="ar"/>
        </w:rPr>
        <w:t>值，详见表</w:t>
      </w:r>
      <w:r>
        <w:rPr>
          <w:rFonts w:hint="default" w:ascii="Times New Roman" w:hAnsi="Times New Roman" w:eastAsia="黑体" w:cs="Times New Roman"/>
          <w:bCs/>
          <w:color w:val="000000"/>
          <w:kern w:val="0"/>
          <w:sz w:val="24"/>
          <w:szCs w:val="24"/>
          <w:lang w:val="en-US" w:eastAsia="zh-CN" w:bidi="ar"/>
        </w:rPr>
        <w:t>5.2-22</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eastAsia="黑体" w:cs="Times New Roman"/>
          <w:color w:val="000000"/>
          <w:lang w:val="en-US"/>
        </w:rPr>
      </w:pP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bCs/>
          <w:color w:val="000000"/>
          <w:kern w:val="0"/>
          <w:sz w:val="24"/>
          <w:szCs w:val="24"/>
          <w:lang w:val="en-US" w:eastAsia="zh-CN" w:bidi="ar"/>
        </w:rPr>
        <w:t>5.2-22</w:t>
      </w:r>
      <w:r>
        <w:rPr>
          <w:rFonts w:hint="default" w:ascii="Times New Roman" w:hAnsi="Times New Roman" w:eastAsia="黑体" w:cs="Times New Roman"/>
          <w:color w:val="000000"/>
          <w:kern w:val="0"/>
          <w:sz w:val="24"/>
          <w:szCs w:val="24"/>
          <w:lang w:val="en-US" w:eastAsia="zh-CN" w:bidi="ar"/>
        </w:rPr>
        <w:t xml:space="preserve">  K</w:t>
      </w:r>
      <w:r>
        <w:rPr>
          <w:rFonts w:hint="eastAsia" w:ascii="Times New Roman" w:hAnsi="Times New Roman" w:eastAsia="黑体" w:cs="Times New Roman"/>
          <w:color w:val="000000"/>
          <w:kern w:val="0"/>
          <w:sz w:val="24"/>
          <w:szCs w:val="24"/>
          <w:lang w:val="en-US" w:eastAsia="zh-CN" w:bidi="ar"/>
        </w:rPr>
        <w:t>值计算一览表</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1"/>
          <w:szCs w:val="21"/>
          <w:lang w:val="en-US" w:eastAsia="zh-CN" w:bidi="ar"/>
        </w:rPr>
        <w:t>单位：</w:t>
      </w:r>
      <w:r>
        <w:rPr>
          <w:rFonts w:hint="default" w:ascii="Times New Roman" w:hAnsi="Times New Roman" w:eastAsia="黑体" w:cs="Times New Roman"/>
          <w:color w:val="000000"/>
          <w:kern w:val="0"/>
          <w:sz w:val="21"/>
          <w:szCs w:val="21"/>
          <w:lang w:val="en-US" w:eastAsia="zh-CN" w:bidi="ar"/>
        </w:rPr>
        <w:t>μg/m</w:t>
      </w:r>
      <w:r>
        <w:rPr>
          <w:rFonts w:hint="default" w:ascii="Times New Roman" w:hAnsi="Times New Roman" w:eastAsia="黑体" w:cs="Times New Roman"/>
          <w:color w:val="000000"/>
          <w:kern w:val="0"/>
          <w:sz w:val="21"/>
          <w:szCs w:val="21"/>
          <w:vertAlign w:val="superscript"/>
          <w:lang w:val="en-US" w:eastAsia="zh-CN" w:bidi="ar"/>
        </w:rPr>
        <w:t>3</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2183"/>
        <w:gridCol w:w="2182"/>
        <w:gridCol w:w="2182"/>
        <w:gridCol w:w="2180"/>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97" w:hRule="atLeast"/>
          <w:jc w:val="center"/>
        </w:trPr>
        <w:tc>
          <w:tcPr>
            <w:tcW w:w="1251" w:type="pct"/>
            <w:tcBorders>
              <w:top w:val="thinThickSmallGap" w:color="auto" w:sz="12" w:space="0"/>
              <w:left w:val="nil"/>
              <w:bottom w:val="single" w:color="auto" w:sz="6" w:space="0"/>
              <w:right w:val="single" w:color="auto"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eastAsia" w:ascii="Times New Roman" w:hAnsi="Times New Roman" w:eastAsia="宋体" w:cs="Times New Roman"/>
                <w:color w:val="000000"/>
                <w:kern w:val="0"/>
                <w:sz w:val="21"/>
                <w:szCs w:val="21"/>
                <w:bdr w:val="none" w:color="auto" w:sz="0" w:space="0"/>
                <w:vertAlign w:val="baseline"/>
                <w:lang w:val="en-US" w:eastAsia="zh-CN" w:bidi="ar"/>
              </w:rPr>
              <w:t>污染物</w:t>
            </w:r>
          </w:p>
        </w:tc>
        <w:tc>
          <w:tcPr>
            <w:tcW w:w="1250" w:type="pct"/>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C</w:t>
            </w:r>
            <w:r>
              <w:rPr>
                <w:rFonts w:hint="eastAsia" w:ascii="Times New Roman" w:hAnsi="Times New Roman" w:eastAsia="宋体" w:cs="Times New Roman"/>
                <w:color w:val="000000"/>
                <w:kern w:val="0"/>
                <w:sz w:val="21"/>
                <w:szCs w:val="21"/>
                <w:bdr w:val="none" w:color="auto" w:sz="0" w:space="0"/>
                <w:vertAlign w:val="subscript"/>
                <w:lang w:val="en-US" w:eastAsia="zh-CN" w:bidi="ar"/>
              </w:rPr>
              <w:t>本项目</w:t>
            </w:r>
          </w:p>
        </w:tc>
        <w:tc>
          <w:tcPr>
            <w:tcW w:w="1250" w:type="pct"/>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C</w:t>
            </w:r>
            <w:r>
              <w:rPr>
                <w:rFonts w:hint="eastAsia" w:ascii="Times New Roman" w:hAnsi="Times New Roman" w:eastAsia="宋体" w:cs="Times New Roman"/>
                <w:color w:val="000000"/>
                <w:kern w:val="0"/>
                <w:sz w:val="21"/>
                <w:szCs w:val="21"/>
                <w:bdr w:val="none" w:color="auto" w:sz="0" w:space="0"/>
                <w:vertAlign w:val="subscript"/>
                <w:lang w:val="en-US" w:eastAsia="zh-CN" w:bidi="ar"/>
              </w:rPr>
              <w:t>区域削减</w:t>
            </w:r>
          </w:p>
        </w:tc>
        <w:tc>
          <w:tcPr>
            <w:tcW w:w="1249" w:type="pct"/>
            <w:tcBorders>
              <w:top w:val="thinThickSmallGap" w:color="auto" w:sz="12" w:space="0"/>
              <w:left w:val="single" w:color="auto" w:sz="6" w:space="0"/>
              <w:bottom w:val="single" w:color="auto" w:sz="6" w:space="0"/>
              <w:right w:val="nil"/>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K</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51"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250"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0.1341</w:t>
            </w:r>
          </w:p>
        </w:tc>
        <w:tc>
          <w:tcPr>
            <w:tcW w:w="1250"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0.5478</w:t>
            </w:r>
          </w:p>
        </w:tc>
        <w:tc>
          <w:tcPr>
            <w:tcW w:w="1249"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val="en-US"/>
              </w:rPr>
            </w:pPr>
            <w:r>
              <w:rPr>
                <w:rFonts w:hint="default" w:ascii="Times New Roman" w:hAnsi="Times New Roman" w:eastAsia="宋体" w:cs="Times New Roman"/>
                <w:color w:val="000000"/>
                <w:kern w:val="0"/>
                <w:sz w:val="21"/>
                <w:szCs w:val="21"/>
                <w:bdr w:val="none" w:color="auto" w:sz="0" w:space="0"/>
                <w:vertAlign w:val="baseline"/>
                <w:lang w:val="en-US" w:eastAsia="zh-CN" w:bidi="ar"/>
              </w:rPr>
              <w:t>-75.5%</w:t>
            </w:r>
          </w:p>
        </w:tc>
      </w:tr>
    </w:tbl>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由表</w:t>
      </w:r>
      <w:r>
        <w:rPr>
          <w:rFonts w:hint="default" w:ascii="Times New Roman" w:hAnsi="Times New Roman" w:eastAsia="黑体" w:cs="Times New Roman"/>
          <w:bCs/>
          <w:color w:val="000000"/>
          <w:kern w:val="0"/>
          <w:sz w:val="24"/>
          <w:szCs w:val="24"/>
          <w:lang w:val="en-US" w:eastAsia="zh-CN" w:bidi="ar"/>
        </w:rPr>
        <w:t>5.2-22</w:t>
      </w:r>
      <w:r>
        <w:rPr>
          <w:rFonts w:hint="eastAsia" w:ascii="Times New Roman" w:hAnsi="Times New Roman" w:eastAsia="宋体" w:cs="Times New Roman"/>
          <w:color w:val="000000"/>
          <w:kern w:val="0"/>
          <w:sz w:val="24"/>
          <w:szCs w:val="24"/>
          <w:lang w:val="en-US" w:eastAsia="zh-CN" w:bidi="ar"/>
        </w:rPr>
        <w:t>计算结果可知，本项目实施替代削减后，</w:t>
      </w:r>
      <w:r>
        <w:rPr>
          <w:rFonts w:hint="default" w:ascii="Times New Roman" w:hAnsi="Times New Roman" w:eastAsia="宋体" w:cs="Times New Roman"/>
          <w:color w:val="000000"/>
          <w:kern w:val="0"/>
          <w:sz w:val="24"/>
          <w:szCs w:val="24"/>
          <w:lang w:val="en-US" w:eastAsia="zh-CN" w:bidi="ar"/>
        </w:rPr>
        <w:t>PM</w:t>
      </w:r>
      <w:r>
        <w:rPr>
          <w:rFonts w:hint="default" w:ascii="Times New Roman" w:hAnsi="Times New Roman" w:eastAsia="宋体" w:cs="Times New Roman"/>
          <w:color w:val="000000"/>
          <w:kern w:val="0"/>
          <w:sz w:val="24"/>
          <w:szCs w:val="24"/>
          <w:vertAlign w:val="subscript"/>
          <w:lang w:val="en-US" w:eastAsia="zh-CN" w:bidi="ar"/>
        </w:rPr>
        <w:t>10</w:t>
      </w:r>
      <w:r>
        <w:rPr>
          <w:rFonts w:hint="eastAsia" w:ascii="Times New Roman" w:hAnsi="Times New Roman" w:eastAsia="宋体" w:cs="Times New Roman"/>
          <w:color w:val="000000"/>
          <w:kern w:val="0"/>
          <w:sz w:val="24"/>
          <w:szCs w:val="24"/>
          <w:lang w:val="en-US" w:eastAsia="zh-CN" w:bidi="ar"/>
        </w:rPr>
        <w:t>的</w:t>
      </w:r>
      <w:r>
        <w:rPr>
          <w:rFonts w:hint="default" w:ascii="Times New Roman" w:hAnsi="Times New Roman" w:eastAsia="宋体" w:cs="Times New Roman"/>
          <w:color w:val="000000"/>
          <w:kern w:val="0"/>
          <w:sz w:val="24"/>
          <w:szCs w:val="24"/>
          <w:lang w:val="en-US" w:eastAsia="zh-CN" w:bidi="ar"/>
        </w:rPr>
        <w:t>K</w:t>
      </w:r>
      <w:r>
        <w:rPr>
          <w:rFonts w:hint="eastAsia" w:ascii="Times New Roman" w:hAnsi="Times New Roman" w:eastAsia="宋体" w:cs="Times New Roman"/>
          <w:color w:val="000000"/>
          <w:kern w:val="0"/>
          <w:sz w:val="24"/>
          <w:szCs w:val="24"/>
          <w:lang w:val="en-US" w:eastAsia="zh-CN" w:bidi="ar"/>
        </w:rPr>
        <w:t>值为</w:t>
      </w:r>
      <w:r>
        <w:rPr>
          <w:rFonts w:hint="default" w:ascii="Times New Roman" w:hAnsi="Times New Roman" w:eastAsia="宋体" w:cs="Times New Roman"/>
          <w:color w:val="000000"/>
          <w:kern w:val="0"/>
          <w:sz w:val="24"/>
          <w:szCs w:val="24"/>
          <w:lang w:val="en-US" w:eastAsia="zh-CN" w:bidi="ar"/>
        </w:rPr>
        <w:t>-75.5%</w:t>
      </w:r>
      <w:r>
        <w:rPr>
          <w:rFonts w:hint="eastAsia" w:ascii="Times New Roman" w:hAnsi="Times New Roman" w:eastAsia="宋体" w:cs="Times New Roman"/>
          <w:color w:val="000000"/>
          <w:kern w:val="0"/>
          <w:sz w:val="24"/>
          <w:szCs w:val="24"/>
          <w:lang w:val="en-US" w:eastAsia="zh-CN" w:bidi="ar"/>
        </w:rPr>
        <w:t>。根据大气导则规定，当</w:t>
      </w:r>
      <w:r>
        <w:rPr>
          <w:rFonts w:hint="default" w:ascii="Times New Roman" w:hAnsi="Times New Roman" w:eastAsia="宋体" w:cs="Times New Roman"/>
          <w:color w:val="000000"/>
          <w:kern w:val="0"/>
          <w:sz w:val="24"/>
          <w:szCs w:val="24"/>
          <w:lang w:val="en-US" w:eastAsia="zh-CN" w:bidi="ar"/>
        </w:rPr>
        <w:t>K≤-20%</w:t>
      </w:r>
      <w:r>
        <w:rPr>
          <w:rFonts w:hint="eastAsia" w:ascii="Times New Roman" w:hAnsi="Times New Roman" w:eastAsia="宋体" w:cs="Times New Roman"/>
          <w:color w:val="000000"/>
          <w:kern w:val="0"/>
          <w:sz w:val="24"/>
          <w:szCs w:val="24"/>
          <w:lang w:val="en-US" w:eastAsia="zh-CN" w:bidi="ar"/>
        </w:rPr>
        <w:t>时，可判定项目建设后区域环境质量得到整体改善。因此本项目营运后，通过区域削减，大幅削减区域超标污染物的排放量及浓度，可使区域环境质量得到改善。</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5.2.10</w:t>
      </w:r>
      <w:r>
        <w:rPr>
          <w:rFonts w:hint="default" w:ascii="Times New Roman" w:hAnsi="Times New Roman" w:cs="Times New Roman"/>
          <w:color w:val="000000"/>
          <w:lang/>
        </w:rPr>
        <w:t xml:space="preserve"> </w:t>
      </w:r>
      <w:r>
        <w:rPr>
          <w:rFonts w:ascii="Times New Roman" w:hAnsi="Times New Roman" w:cs="Times New Roman"/>
          <w:color w:val="000000"/>
          <w:lang w:eastAsia="zh-CN"/>
        </w:rPr>
        <w:t>厂界达标排放评价</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无组织排放污染物扩散到厂界处的最大浓度预测结果见表</w:t>
      </w:r>
      <w:r>
        <w:rPr>
          <w:rFonts w:hint="default" w:ascii="Times New Roman" w:hAnsi="Times New Roman" w:eastAsia="黑体" w:cs="Times New Roman"/>
          <w:bCs/>
          <w:color w:val="000000"/>
          <w:kern w:val="0"/>
          <w:sz w:val="24"/>
          <w:szCs w:val="24"/>
          <w:lang w:val="en-US" w:eastAsia="zh-CN" w:bidi="ar"/>
        </w:rPr>
        <w:t>5.2-23</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bCs/>
          <w:color w:val="000000"/>
          <w:kern w:val="0"/>
          <w:sz w:val="24"/>
          <w:szCs w:val="24"/>
          <w:lang w:val="en-US" w:eastAsia="zh-CN" w:bidi="ar"/>
        </w:rPr>
        <w:t>5.2-23</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4"/>
          <w:szCs w:val="24"/>
          <w:lang w:val="en-US" w:eastAsia="zh-CN" w:bidi="ar"/>
        </w:rPr>
        <w:t>各厂界无组织排放浓度预测结果</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1978"/>
        <w:gridCol w:w="1869"/>
        <w:gridCol w:w="2012"/>
        <w:gridCol w:w="1680"/>
        <w:gridCol w:w="1207"/>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7" w:hRule="atLeast"/>
          <w:tblHeader/>
        </w:trPr>
        <w:tc>
          <w:tcPr>
            <w:tcW w:w="1978" w:type="dxa"/>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关心点</w:t>
            </w:r>
          </w:p>
        </w:tc>
        <w:tc>
          <w:tcPr>
            <w:tcW w:w="1869" w:type="dxa"/>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预测因子</w:t>
            </w:r>
          </w:p>
        </w:tc>
        <w:tc>
          <w:tcPr>
            <w:tcW w:w="2012" w:type="dxa"/>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厂界</w:t>
            </w:r>
            <w:r>
              <w:rPr>
                <w:rFonts w:hint="default" w:ascii="Times New Roman" w:hAnsi="Times New Roman" w:eastAsia="宋体" w:cs="Times New Roman"/>
                <w:color w:val="000000"/>
                <w:kern w:val="0"/>
                <w:sz w:val="21"/>
                <w:szCs w:val="21"/>
                <w:bdr w:val="none" w:color="auto" w:sz="0" w:space="0"/>
                <w:lang w:val="en-US" w:eastAsia="zh-CN" w:bidi="ar"/>
              </w:rPr>
              <w:t>1h</w:t>
            </w:r>
            <w:r>
              <w:rPr>
                <w:rFonts w:hint="eastAsia" w:ascii="Times New Roman" w:hAnsi="Times New Roman" w:eastAsia="宋体" w:cs="Times New Roman"/>
                <w:color w:val="000000"/>
                <w:kern w:val="0"/>
                <w:sz w:val="21"/>
                <w:szCs w:val="21"/>
                <w:bdr w:val="none" w:color="auto" w:sz="0" w:space="0"/>
                <w:lang w:val="en-US" w:eastAsia="zh-CN" w:bidi="ar"/>
              </w:rPr>
              <w:t>平均浓度</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mg/m</w:t>
            </w:r>
            <w:r>
              <w:rPr>
                <w:rFonts w:hint="default" w:ascii="Times New Roman" w:hAnsi="Times New Roman" w:eastAsia="宋体" w:cs="Times New Roman"/>
                <w:color w:val="000000"/>
                <w:kern w:val="0"/>
                <w:sz w:val="21"/>
                <w:szCs w:val="21"/>
                <w:bdr w:val="none" w:color="auto" w:sz="0" w:space="0"/>
                <w:vertAlign w:val="superscript"/>
                <w:lang w:val="en-US" w:eastAsia="zh-CN" w:bidi="ar"/>
              </w:rPr>
              <w:t>3</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1680" w:type="dxa"/>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排放标准限值</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mg/m</w:t>
            </w:r>
            <w:r>
              <w:rPr>
                <w:rFonts w:hint="default" w:ascii="Times New Roman" w:hAnsi="Times New Roman" w:eastAsia="宋体" w:cs="Times New Roman"/>
                <w:color w:val="000000"/>
                <w:kern w:val="0"/>
                <w:sz w:val="21"/>
                <w:szCs w:val="21"/>
                <w:bdr w:val="none" w:color="auto" w:sz="0" w:space="0"/>
                <w:vertAlign w:val="superscript"/>
                <w:lang w:val="en-US" w:eastAsia="zh-CN" w:bidi="ar"/>
              </w:rPr>
              <w:t>3</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1207" w:type="dxa"/>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达标情况</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78"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厂址北边界</w:t>
            </w:r>
          </w:p>
        </w:tc>
        <w:tc>
          <w:tcPr>
            <w:tcW w:w="186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2012"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0.19</w:t>
            </w:r>
          </w:p>
        </w:tc>
        <w:tc>
          <w:tcPr>
            <w:tcW w:w="1680"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0.8</w:t>
            </w:r>
          </w:p>
        </w:tc>
        <w:tc>
          <w:tcPr>
            <w:tcW w:w="120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78"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厂址东边界</w:t>
            </w:r>
          </w:p>
        </w:tc>
        <w:tc>
          <w:tcPr>
            <w:tcW w:w="186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2012"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0.31</w:t>
            </w:r>
          </w:p>
        </w:tc>
        <w:tc>
          <w:tcPr>
            <w:tcW w:w="1680"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0.8</w:t>
            </w:r>
          </w:p>
        </w:tc>
        <w:tc>
          <w:tcPr>
            <w:tcW w:w="120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78"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厂址南边界</w:t>
            </w:r>
          </w:p>
        </w:tc>
        <w:tc>
          <w:tcPr>
            <w:tcW w:w="1869"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2012"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0.09</w:t>
            </w:r>
          </w:p>
        </w:tc>
        <w:tc>
          <w:tcPr>
            <w:tcW w:w="1680"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0.8</w:t>
            </w:r>
          </w:p>
        </w:tc>
        <w:tc>
          <w:tcPr>
            <w:tcW w:w="1207"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78" w:type="dxa"/>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264" w:lineRule="auto"/>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厂址西边界</w:t>
            </w:r>
          </w:p>
        </w:tc>
        <w:tc>
          <w:tcPr>
            <w:tcW w:w="1869"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2012"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0.60</w:t>
            </w:r>
          </w:p>
        </w:tc>
        <w:tc>
          <w:tcPr>
            <w:tcW w:w="1680"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0.8</w:t>
            </w:r>
          </w:p>
        </w:tc>
        <w:tc>
          <w:tcPr>
            <w:tcW w:w="1207" w:type="dxa"/>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bl>
    <w:p>
      <w:pPr>
        <w:pStyle w:val="27"/>
        <w:keepNext w:val="0"/>
        <w:keepLines w:val="0"/>
        <w:widowControl/>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eastAsia="zh-CN"/>
        </w:rPr>
      </w:pPr>
      <w:r>
        <w:rPr>
          <w:rFonts w:hint="eastAsia" w:ascii="Times New Roman" w:hAnsi="Times New Roman" w:eastAsia="宋体" w:cs="Times New Roman"/>
          <w:color w:val="000000"/>
          <w:kern w:val="0"/>
          <w:sz w:val="24"/>
          <w:szCs w:val="24"/>
          <w:lang w:eastAsia="zh-CN" w:bidi="ar"/>
        </w:rPr>
        <w:t>本项目无组织排放颗粒物在周界外</w:t>
      </w:r>
      <w:r>
        <w:rPr>
          <w:rFonts w:hint="default" w:ascii="Times New Roman" w:hAnsi="Times New Roman" w:eastAsia="宋体" w:cs="Times New Roman"/>
          <w:color w:val="000000"/>
          <w:kern w:val="0"/>
          <w:sz w:val="24"/>
          <w:szCs w:val="24"/>
          <w:lang w:eastAsia="zh-CN" w:bidi="ar"/>
        </w:rPr>
        <w:t>10m</w:t>
      </w:r>
      <w:r>
        <w:rPr>
          <w:rFonts w:hint="eastAsia" w:ascii="Times New Roman" w:hAnsi="Times New Roman" w:eastAsia="宋体" w:cs="Times New Roman"/>
          <w:color w:val="000000"/>
          <w:kern w:val="0"/>
          <w:sz w:val="24"/>
          <w:szCs w:val="24"/>
          <w:lang w:eastAsia="zh-CN" w:bidi="ar"/>
        </w:rPr>
        <w:t>范围内的最高浓度出现在</w:t>
      </w:r>
      <w:r>
        <w:rPr>
          <w:rFonts w:hint="eastAsia" w:ascii="Times New Roman" w:hAnsi="Times New Roman" w:eastAsia="宋体" w:cs="Times New Roman"/>
          <w:color w:val="000000"/>
          <w:kern w:val="0"/>
          <w:sz w:val="24"/>
          <w:szCs w:val="24"/>
          <w:lang w:val="en-US" w:eastAsia="zh-CN" w:bidi="ar"/>
        </w:rPr>
        <w:t>西</w:t>
      </w:r>
      <w:r>
        <w:rPr>
          <w:rFonts w:hint="eastAsia" w:ascii="Times New Roman" w:hAnsi="Times New Roman" w:eastAsia="宋体" w:cs="Times New Roman"/>
          <w:color w:val="000000"/>
          <w:kern w:val="0"/>
          <w:sz w:val="24"/>
          <w:szCs w:val="24"/>
          <w:lang w:eastAsia="zh-CN" w:bidi="ar"/>
        </w:rPr>
        <w:t>厂界，为</w:t>
      </w:r>
      <w:r>
        <w:rPr>
          <w:rFonts w:hint="default" w:ascii="Times New Roman" w:hAnsi="Times New Roman" w:eastAsia="宋体" w:cs="Times New Roman"/>
          <w:color w:val="000000"/>
          <w:kern w:val="0"/>
          <w:sz w:val="24"/>
          <w:szCs w:val="24"/>
          <w:lang w:eastAsia="zh-CN" w:bidi="ar"/>
        </w:rPr>
        <w:t>0.60mg/m</w:t>
      </w:r>
      <w:r>
        <w:rPr>
          <w:rFonts w:hint="default" w:ascii="Times New Roman" w:hAnsi="Times New Roman" w:eastAsia="宋体" w:cs="Times New Roman"/>
          <w:color w:val="000000"/>
          <w:kern w:val="0"/>
          <w:sz w:val="24"/>
          <w:szCs w:val="24"/>
          <w:vertAlign w:val="superscript"/>
          <w:lang w:eastAsia="zh-CN" w:bidi="ar"/>
        </w:rPr>
        <w:t>3</w:t>
      </w:r>
      <w:r>
        <w:rPr>
          <w:rFonts w:hint="eastAsia" w:ascii="Times New Roman" w:hAnsi="Times New Roman" w:eastAsia="宋体" w:cs="Times New Roman"/>
          <w:color w:val="000000"/>
          <w:kern w:val="0"/>
          <w:sz w:val="24"/>
          <w:szCs w:val="24"/>
          <w:lang w:eastAsia="zh-CN" w:bidi="ar"/>
        </w:rPr>
        <w:t>，满足</w:t>
      </w:r>
      <w:r>
        <w:rPr>
          <w:rFonts w:hint="eastAsia" w:ascii="宋体" w:hAnsi="宋体" w:eastAsia="宋体" w:cs="宋体"/>
          <w:color w:val="000000"/>
          <w:kern w:val="0"/>
          <w:sz w:val="24"/>
          <w:szCs w:val="24"/>
          <w:lang w:eastAsia="zh-CN" w:bidi="ar"/>
        </w:rPr>
        <w:t>《镁质耐火材料工业大气污染物排放标准》</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DB21/3011-2018</w:t>
      </w:r>
      <w:r>
        <w:rPr>
          <w:rFonts w:hint="eastAsia" w:ascii="Times New Roman" w:hAnsi="Times New Roman" w:eastAsia="宋体" w:cs="Times New Roman"/>
          <w:color w:val="000000"/>
          <w:kern w:val="0"/>
          <w:sz w:val="24"/>
          <w:szCs w:val="24"/>
          <w:lang w:eastAsia="zh-CN" w:bidi="ar"/>
        </w:rPr>
        <w:t>）</w:t>
      </w:r>
      <w:r>
        <w:rPr>
          <w:rFonts w:hint="eastAsia" w:ascii="Times New Roman" w:hAnsi="Times New Roman" w:eastAsia="宋体" w:cs="Times New Roman"/>
          <w:color w:val="000000"/>
          <w:kern w:val="0"/>
          <w:sz w:val="24"/>
          <w:szCs w:val="24"/>
          <w:lang w:val="en-US" w:eastAsia="zh-CN" w:bidi="ar"/>
        </w:rPr>
        <w:t>无组织排放监控浓度限值</w:t>
      </w:r>
      <w:r>
        <w:rPr>
          <w:rFonts w:hint="default" w:ascii="Times New Roman" w:hAnsi="Times New Roman" w:eastAsia="宋体" w:cs="Times New Roman"/>
          <w:color w:val="000000"/>
          <w:kern w:val="0"/>
          <w:sz w:val="24"/>
          <w:szCs w:val="24"/>
          <w:lang w:eastAsia="zh-CN" w:bidi="ar"/>
        </w:rPr>
        <w:t>0.8mg/m</w:t>
      </w:r>
      <w:r>
        <w:rPr>
          <w:rFonts w:hint="default" w:ascii="Times New Roman" w:hAnsi="Times New Roman" w:eastAsia="宋体" w:cs="Times New Roman"/>
          <w:color w:val="000000"/>
          <w:kern w:val="0"/>
          <w:sz w:val="24"/>
          <w:szCs w:val="24"/>
          <w:vertAlign w:val="superscript"/>
          <w:lang w:eastAsia="zh-CN" w:bidi="ar"/>
        </w:rPr>
        <w:t>3</w:t>
      </w:r>
      <w:r>
        <w:rPr>
          <w:rFonts w:hint="eastAsia" w:ascii="Times New Roman" w:hAnsi="Times New Roman" w:eastAsia="宋体" w:cs="Times New Roman"/>
          <w:color w:val="000000"/>
          <w:kern w:val="0"/>
          <w:sz w:val="24"/>
          <w:szCs w:val="24"/>
          <w:lang w:val="en-US" w:eastAsia="zh-CN" w:bidi="ar"/>
        </w:rPr>
        <w:t>，能够达标排放。</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5.2.11</w:t>
      </w:r>
      <w:r>
        <w:rPr>
          <w:rFonts w:hint="default" w:ascii="Times New Roman" w:hAnsi="Times New Roman" w:cs="Times New Roman"/>
          <w:color w:val="000000"/>
          <w:lang/>
        </w:rPr>
        <w:t xml:space="preserve"> </w:t>
      </w:r>
      <w:r>
        <w:rPr>
          <w:rFonts w:ascii="Times New Roman" w:hAnsi="Times New Roman" w:cs="Times New Roman"/>
          <w:color w:val="000000"/>
          <w:lang w:eastAsia="zh-CN"/>
        </w:rPr>
        <w:t>环境防护距离</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w:t>
      </w:r>
      <w:r>
        <w:rPr>
          <w:rFonts w:hint="default" w:ascii="Times New Roman" w:hAnsi="Times New Roman" w:cs="Times New Roman"/>
          <w:color w:val="000000"/>
          <w:lang w:eastAsia="zh-CN"/>
        </w:rPr>
        <w:t>11</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 xml:space="preserve"> </w:t>
      </w:r>
      <w:r>
        <w:rPr>
          <w:rFonts w:ascii="Times New Roman" w:hAnsi="Times New Roman" w:cs="Times New Roman"/>
          <w:color w:val="000000"/>
          <w:lang w:eastAsia="zh-CN"/>
        </w:rPr>
        <w:t>大气环境</w:t>
      </w:r>
      <w:r>
        <w:rPr>
          <w:rFonts w:ascii="Times New Roman" w:hAnsi="Times New Roman" w:cs="Times New Roman"/>
          <w:color w:val="000000"/>
          <w:lang/>
        </w:rPr>
        <w:t>防护距离</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大气环境》（</w:t>
      </w:r>
      <w:r>
        <w:rPr>
          <w:rFonts w:hint="default" w:ascii="Times New Roman" w:hAnsi="Times New Roman" w:eastAsia="宋体" w:cs="Times New Roman"/>
          <w:color w:val="000000"/>
          <w:kern w:val="0"/>
          <w:sz w:val="24"/>
          <w:szCs w:val="24"/>
          <w:lang w:val="en-US" w:eastAsia="zh-CN" w:bidi="ar"/>
        </w:rPr>
        <w:t>HJ2.2-2018</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根据导则要求，给出企业原有污染源源强及排放参数，详见下表。</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color w:val="000000"/>
          <w:lang w:val="en-US"/>
        </w:rPr>
      </w:pP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5.2-24  </w:t>
      </w:r>
      <w:r>
        <w:rPr>
          <w:rFonts w:hint="eastAsia" w:ascii="Times New Roman" w:hAnsi="Times New Roman" w:eastAsia="黑体" w:cs="Times New Roman"/>
          <w:color w:val="000000"/>
          <w:kern w:val="0"/>
          <w:sz w:val="24"/>
          <w:szCs w:val="24"/>
          <w:lang w:val="en-US" w:eastAsia="zh-CN" w:bidi="ar"/>
        </w:rPr>
        <w:t>企业现有污染源预测源强及参数统计表</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shd w:val="clear"/>
        <w:tblLayout w:type="fixed"/>
        <w:tblCellMar>
          <w:top w:w="0" w:type="dxa"/>
          <w:left w:w="108" w:type="dxa"/>
          <w:bottom w:w="0" w:type="dxa"/>
          <w:right w:w="108" w:type="dxa"/>
        </w:tblCellMar>
      </w:tblPr>
      <w:tblGrid>
        <w:gridCol w:w="959"/>
        <w:gridCol w:w="850"/>
        <w:gridCol w:w="993"/>
        <w:gridCol w:w="992"/>
        <w:gridCol w:w="850"/>
        <w:gridCol w:w="1135"/>
        <w:gridCol w:w="709"/>
        <w:gridCol w:w="851"/>
        <w:gridCol w:w="708"/>
        <w:gridCol w:w="674"/>
      </w:tblGrid>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shd w:val="clear"/>
          <w:tblCellMar>
            <w:top w:w="0" w:type="dxa"/>
            <w:left w:w="108" w:type="dxa"/>
            <w:bottom w:w="0" w:type="dxa"/>
            <w:right w:w="108" w:type="dxa"/>
          </w:tblCellMar>
        </w:tblPrEx>
        <w:trPr>
          <w:cantSplit/>
          <w:trHeight w:val="340" w:hRule="atLeast"/>
          <w:tblHeader/>
          <w:jc w:val="center"/>
        </w:trPr>
        <w:tc>
          <w:tcPr>
            <w:tcW w:w="959" w:type="dxa"/>
            <w:vMerge w:val="restart"/>
            <w:tcBorders>
              <w:top w:val="thinThickSmallGap" w:color="auto" w:sz="12" w:space="0"/>
              <w:left w:val="nil"/>
              <w:bottom w:val="single" w:color="000000" w:sz="6" w:space="0"/>
              <w:right w:val="single" w:color="000000"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污染源</w:t>
            </w:r>
          </w:p>
        </w:tc>
        <w:tc>
          <w:tcPr>
            <w:tcW w:w="1843" w:type="dxa"/>
            <w:gridSpan w:val="2"/>
            <w:tcBorders>
              <w:top w:val="thinThickSmallGap" w:color="auto" w:sz="12" w:space="0"/>
              <w:left w:val="single" w:color="000000" w:sz="6" w:space="0"/>
              <w:bottom w:val="single" w:color="000000" w:sz="6" w:space="0"/>
              <w:right w:val="single" w:color="000000"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面源起点</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坐标</w:t>
            </w:r>
          </w:p>
        </w:tc>
        <w:tc>
          <w:tcPr>
            <w:tcW w:w="992" w:type="dxa"/>
            <w:vMerge w:val="restart"/>
            <w:tcBorders>
              <w:top w:val="thinThickSmallGap" w:color="auto" w:sz="12" w:space="0"/>
              <w:left w:val="single" w:color="000000" w:sz="6" w:space="0"/>
              <w:bottom w:val="single" w:color="000000" w:sz="6" w:space="0"/>
              <w:right w:val="single" w:color="000000"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污染物</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名称</w:t>
            </w:r>
          </w:p>
        </w:tc>
        <w:tc>
          <w:tcPr>
            <w:tcW w:w="850" w:type="dxa"/>
            <w:vMerge w:val="restart"/>
            <w:tcBorders>
              <w:top w:val="thinThickSmallGap" w:color="auto" w:sz="12" w:space="0"/>
              <w:left w:val="single" w:color="000000" w:sz="6" w:space="0"/>
              <w:bottom w:val="single" w:color="000000" w:sz="6" w:space="0"/>
              <w:right w:val="single" w:color="000000" w:sz="6" w:space="0"/>
            </w:tcBorders>
            <w:shd w:val="clear" w:color="auto" w:fill="DDDDDD"/>
            <w:vAlign w:val="center"/>
          </w:tcPr>
          <w:p>
            <w:pPr>
              <w:keepNext w:val="0"/>
              <w:keepLines w:val="0"/>
              <w:widowControl/>
              <w:suppressLineNumbers w:val="0"/>
              <w:tabs>
                <w:tab w:val="left" w:pos="851"/>
                <w:tab w:val="left" w:pos="1141"/>
                <w:tab w:val="left" w:pos="4335"/>
              </w:tabs>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排放</w:t>
            </w:r>
          </w:p>
          <w:p>
            <w:pPr>
              <w:keepNext w:val="0"/>
              <w:keepLines w:val="0"/>
              <w:widowControl/>
              <w:suppressLineNumbers w:val="0"/>
              <w:tabs>
                <w:tab w:val="left" w:pos="851"/>
                <w:tab w:val="left" w:pos="1141"/>
                <w:tab w:val="left" w:pos="4335"/>
              </w:tabs>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源强</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(kg/h)</w:t>
            </w:r>
          </w:p>
        </w:tc>
        <w:tc>
          <w:tcPr>
            <w:tcW w:w="1135" w:type="dxa"/>
            <w:vMerge w:val="restart"/>
            <w:tcBorders>
              <w:top w:val="thinThickSmallGap" w:color="auto" w:sz="12" w:space="0"/>
              <w:left w:val="single" w:color="000000" w:sz="6" w:space="0"/>
              <w:bottom w:val="single" w:color="000000" w:sz="6" w:space="0"/>
              <w:right w:val="single" w:color="000000"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与正北向</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夹角</w:t>
            </w:r>
            <w:r>
              <w:rPr>
                <w:rFonts w:hint="default" w:ascii="Times New Roman" w:hAnsi="Times New Roman" w:eastAsia="宋体" w:cs="Times New Roman"/>
                <w:color w:val="000000"/>
                <w:kern w:val="0"/>
                <w:sz w:val="21"/>
                <w:szCs w:val="21"/>
                <w:bdr w:val="none" w:color="auto" w:sz="0" w:space="0"/>
                <w:lang w:val="en-US" w:eastAsia="zh-CN" w:bidi="ar"/>
              </w:rPr>
              <w:t>°</w:t>
            </w:r>
          </w:p>
        </w:tc>
        <w:tc>
          <w:tcPr>
            <w:tcW w:w="709" w:type="dxa"/>
            <w:vMerge w:val="restart"/>
            <w:tcBorders>
              <w:top w:val="thinThickSmallGap" w:color="auto" w:sz="12" w:space="0"/>
              <w:left w:val="single" w:color="000000" w:sz="6" w:space="0"/>
              <w:bottom w:val="single" w:color="000000" w:sz="6" w:space="0"/>
              <w:right w:val="single" w:color="000000"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海拔</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高度</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w:t>
            </w:r>
          </w:p>
        </w:tc>
        <w:tc>
          <w:tcPr>
            <w:tcW w:w="851" w:type="dxa"/>
            <w:vMerge w:val="restart"/>
            <w:tcBorders>
              <w:top w:val="thinThickSmallGap" w:color="auto" w:sz="12" w:space="0"/>
              <w:left w:val="single" w:color="000000" w:sz="6" w:space="0"/>
              <w:bottom w:val="single" w:color="000000" w:sz="6" w:space="0"/>
              <w:right w:val="single" w:color="000000"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有效</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高度</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w:t>
            </w:r>
          </w:p>
        </w:tc>
        <w:tc>
          <w:tcPr>
            <w:tcW w:w="708" w:type="dxa"/>
            <w:vMerge w:val="restart"/>
            <w:tcBorders>
              <w:top w:val="thinThickSmallGap" w:color="auto" w:sz="12" w:space="0"/>
              <w:left w:val="single" w:color="000000" w:sz="6" w:space="0"/>
              <w:bottom w:val="single" w:color="000000" w:sz="6" w:space="0"/>
              <w:right w:val="single" w:color="000000"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长度</w:t>
            </w:r>
          </w:p>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(m)</w:t>
            </w:r>
          </w:p>
        </w:tc>
        <w:tc>
          <w:tcPr>
            <w:tcW w:w="674" w:type="dxa"/>
            <w:vMerge w:val="restart"/>
            <w:tcBorders>
              <w:top w:val="thinThickSmallGap" w:color="auto" w:sz="12" w:space="0"/>
              <w:left w:val="single" w:color="000000" w:sz="6" w:space="0"/>
              <w:bottom w:val="single" w:color="000000" w:sz="6" w:space="0"/>
              <w:right w:val="nil"/>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宽度</w:t>
            </w:r>
            <w:r>
              <w:rPr>
                <w:rFonts w:hint="default" w:ascii="Times New Roman" w:hAnsi="Times New Roman" w:eastAsia="宋体" w:cs="Times New Roman"/>
                <w:color w:val="000000"/>
                <w:kern w:val="0"/>
                <w:sz w:val="21"/>
                <w:szCs w:val="21"/>
                <w:bdr w:val="none" w:color="auto" w:sz="0" w:space="0"/>
                <w:lang w:val="en-US" w:eastAsia="zh-CN" w:bidi="ar"/>
              </w:rPr>
              <w:t>(m)</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tblHeader/>
          <w:jc w:val="center"/>
        </w:trPr>
        <w:tc>
          <w:tcPr>
            <w:tcW w:w="959" w:type="dxa"/>
            <w:vMerge w:val="continue"/>
            <w:tcBorders>
              <w:top w:val="thinThickSmallGap" w:color="auto" w:sz="12" w:space="0"/>
              <w:left w:val="nil"/>
              <w:bottom w:val="single" w:color="000000" w:sz="6" w:space="0"/>
              <w:right w:val="single" w:color="000000" w:sz="6" w:space="0"/>
            </w:tcBorders>
            <w:shd w:val="clear" w:color="auto" w:fill="DDDDDD"/>
            <w:vAlign w:val="center"/>
          </w:tcPr>
          <w:p>
            <w:pPr>
              <w:rPr>
                <w:rFonts w:hint="default" w:ascii="Times New Roman" w:hAnsi="Times New Roman" w:cs="Times New Roman"/>
                <w:sz w:val="20"/>
                <w:szCs w:val="20"/>
              </w:rPr>
            </w:pPr>
          </w:p>
        </w:tc>
        <w:tc>
          <w:tcPr>
            <w:tcW w:w="850" w:type="dxa"/>
            <w:tcBorders>
              <w:top w:val="single" w:color="000000" w:sz="6" w:space="0"/>
              <w:left w:val="single" w:color="000000" w:sz="6" w:space="0"/>
              <w:bottom w:val="single" w:color="000000" w:sz="6" w:space="0"/>
              <w:right w:val="single" w:color="000000"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X</w:t>
            </w:r>
          </w:p>
        </w:tc>
        <w:tc>
          <w:tcPr>
            <w:tcW w:w="993" w:type="dxa"/>
            <w:tcBorders>
              <w:top w:val="single" w:color="000000" w:sz="6" w:space="0"/>
              <w:left w:val="single" w:color="000000" w:sz="6" w:space="0"/>
              <w:bottom w:val="single" w:color="000000" w:sz="6" w:space="0"/>
              <w:right w:val="single" w:color="000000" w:sz="6" w:space="0"/>
            </w:tcBorders>
            <w:shd w:val="clear" w:color="auto" w:fill="DDDDDD"/>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Y</w:t>
            </w:r>
          </w:p>
        </w:tc>
        <w:tc>
          <w:tcPr>
            <w:tcW w:w="992" w:type="dxa"/>
            <w:vMerge w:val="continue"/>
            <w:tcBorders>
              <w:top w:val="thinThickSmallGap" w:color="auto" w:sz="12" w:space="0"/>
              <w:left w:val="single" w:color="000000" w:sz="6" w:space="0"/>
              <w:bottom w:val="single" w:color="000000" w:sz="6" w:space="0"/>
              <w:right w:val="single" w:color="000000" w:sz="6" w:space="0"/>
            </w:tcBorders>
            <w:shd w:val="clear" w:color="auto" w:fill="DDDDDD"/>
            <w:vAlign w:val="center"/>
          </w:tcPr>
          <w:p>
            <w:pPr>
              <w:rPr>
                <w:rFonts w:hint="default" w:ascii="Times New Roman" w:hAnsi="Times New Roman" w:cs="Times New Roman"/>
                <w:sz w:val="20"/>
                <w:szCs w:val="20"/>
              </w:rPr>
            </w:pPr>
          </w:p>
        </w:tc>
        <w:tc>
          <w:tcPr>
            <w:tcW w:w="850" w:type="dxa"/>
            <w:vMerge w:val="continue"/>
            <w:tcBorders>
              <w:top w:val="thinThickSmallGap" w:color="auto" w:sz="12" w:space="0"/>
              <w:left w:val="single" w:color="000000" w:sz="6" w:space="0"/>
              <w:bottom w:val="single" w:color="000000" w:sz="6" w:space="0"/>
              <w:right w:val="single" w:color="000000" w:sz="6" w:space="0"/>
            </w:tcBorders>
            <w:shd w:val="clear" w:color="auto" w:fill="DDDDDD"/>
            <w:vAlign w:val="center"/>
          </w:tcPr>
          <w:p>
            <w:pPr>
              <w:rPr>
                <w:rFonts w:hint="default" w:ascii="Times New Roman" w:hAnsi="Times New Roman" w:cs="Times New Roman"/>
                <w:sz w:val="20"/>
                <w:szCs w:val="20"/>
              </w:rPr>
            </w:pPr>
          </w:p>
        </w:tc>
        <w:tc>
          <w:tcPr>
            <w:tcW w:w="1135" w:type="dxa"/>
            <w:vMerge w:val="continue"/>
            <w:tcBorders>
              <w:top w:val="thinThickSmallGap" w:color="auto" w:sz="12" w:space="0"/>
              <w:left w:val="single" w:color="000000" w:sz="6" w:space="0"/>
              <w:bottom w:val="single" w:color="000000" w:sz="6" w:space="0"/>
              <w:right w:val="single" w:color="000000" w:sz="6" w:space="0"/>
            </w:tcBorders>
            <w:shd w:val="clear" w:color="auto" w:fill="DDDDDD"/>
            <w:vAlign w:val="center"/>
          </w:tcPr>
          <w:p>
            <w:pPr>
              <w:rPr>
                <w:rFonts w:hint="default" w:ascii="Times New Roman" w:hAnsi="Times New Roman" w:cs="Times New Roman"/>
                <w:sz w:val="20"/>
                <w:szCs w:val="20"/>
              </w:rPr>
            </w:pPr>
          </w:p>
        </w:tc>
        <w:tc>
          <w:tcPr>
            <w:tcW w:w="709" w:type="dxa"/>
            <w:vMerge w:val="continue"/>
            <w:tcBorders>
              <w:top w:val="thinThickSmallGap" w:color="auto" w:sz="12" w:space="0"/>
              <w:left w:val="single" w:color="000000" w:sz="6" w:space="0"/>
              <w:bottom w:val="single" w:color="000000" w:sz="6" w:space="0"/>
              <w:right w:val="single" w:color="000000" w:sz="6" w:space="0"/>
            </w:tcBorders>
            <w:shd w:val="clear" w:color="auto" w:fill="DDDDDD"/>
            <w:vAlign w:val="center"/>
          </w:tcPr>
          <w:p>
            <w:pPr>
              <w:rPr>
                <w:rFonts w:hint="default" w:ascii="Times New Roman" w:hAnsi="Times New Roman" w:cs="Times New Roman"/>
                <w:sz w:val="20"/>
                <w:szCs w:val="20"/>
              </w:rPr>
            </w:pPr>
          </w:p>
        </w:tc>
        <w:tc>
          <w:tcPr>
            <w:tcW w:w="851" w:type="dxa"/>
            <w:vMerge w:val="continue"/>
            <w:tcBorders>
              <w:top w:val="thinThickSmallGap" w:color="auto" w:sz="12" w:space="0"/>
              <w:left w:val="single" w:color="000000" w:sz="6" w:space="0"/>
              <w:bottom w:val="single" w:color="000000" w:sz="6" w:space="0"/>
              <w:right w:val="single" w:color="000000" w:sz="6" w:space="0"/>
            </w:tcBorders>
            <w:shd w:val="clear" w:color="auto" w:fill="DDDDDD"/>
            <w:vAlign w:val="center"/>
          </w:tcPr>
          <w:p>
            <w:pPr>
              <w:rPr>
                <w:rFonts w:hint="default" w:ascii="Times New Roman" w:hAnsi="Times New Roman" w:cs="Times New Roman"/>
                <w:sz w:val="20"/>
                <w:szCs w:val="20"/>
              </w:rPr>
            </w:pPr>
          </w:p>
        </w:tc>
        <w:tc>
          <w:tcPr>
            <w:tcW w:w="708" w:type="dxa"/>
            <w:vMerge w:val="continue"/>
            <w:tcBorders>
              <w:top w:val="thinThickSmallGap" w:color="auto" w:sz="12" w:space="0"/>
              <w:left w:val="single" w:color="000000" w:sz="6" w:space="0"/>
              <w:bottom w:val="single" w:color="000000" w:sz="6" w:space="0"/>
              <w:right w:val="single" w:color="000000" w:sz="6" w:space="0"/>
            </w:tcBorders>
            <w:shd w:val="clear" w:color="auto" w:fill="DDDDDD"/>
            <w:vAlign w:val="center"/>
          </w:tcPr>
          <w:p>
            <w:pPr>
              <w:rPr>
                <w:rFonts w:hint="default" w:ascii="Times New Roman" w:hAnsi="Times New Roman" w:cs="Times New Roman"/>
                <w:sz w:val="20"/>
                <w:szCs w:val="20"/>
              </w:rPr>
            </w:pPr>
          </w:p>
        </w:tc>
        <w:tc>
          <w:tcPr>
            <w:tcW w:w="674" w:type="dxa"/>
            <w:vMerge w:val="continue"/>
            <w:tcBorders>
              <w:top w:val="thinThickSmallGap" w:color="auto" w:sz="12" w:space="0"/>
              <w:left w:val="single" w:color="000000" w:sz="6" w:space="0"/>
              <w:bottom w:val="single" w:color="000000" w:sz="6" w:space="0"/>
              <w:right w:val="nil"/>
            </w:tcBorders>
            <w:shd w:val="clear" w:color="auto" w:fill="DDDDDD"/>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59" w:type="dxa"/>
            <w:vMerge w:val="restart"/>
            <w:tcBorders>
              <w:top w:val="single" w:color="000000" w:sz="6" w:space="0"/>
              <w:left w:val="nil"/>
              <w:bottom w:val="single" w:color="000000" w:sz="6"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原料库</w:t>
            </w:r>
          </w:p>
        </w:tc>
        <w:tc>
          <w:tcPr>
            <w:tcW w:w="850" w:type="dxa"/>
            <w:vMerge w:val="restart"/>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432.09</w:t>
            </w:r>
          </w:p>
        </w:tc>
        <w:tc>
          <w:tcPr>
            <w:tcW w:w="993" w:type="dxa"/>
            <w:vMerge w:val="restart"/>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1116.76</w:t>
            </w:r>
          </w:p>
        </w:tc>
        <w:tc>
          <w:tcPr>
            <w:tcW w:w="992"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0.13</w:t>
            </w:r>
          </w:p>
        </w:tc>
        <w:tc>
          <w:tcPr>
            <w:tcW w:w="1135" w:type="dxa"/>
            <w:vMerge w:val="restart"/>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52.25</w:t>
            </w:r>
          </w:p>
        </w:tc>
        <w:tc>
          <w:tcPr>
            <w:tcW w:w="709" w:type="dxa"/>
            <w:vMerge w:val="restart"/>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91.5</w:t>
            </w:r>
          </w:p>
        </w:tc>
        <w:tc>
          <w:tcPr>
            <w:tcW w:w="851" w:type="dxa"/>
            <w:vMerge w:val="restart"/>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bCs/>
                <w:color w:val="000000"/>
                <w:kern w:val="0"/>
                <w:sz w:val="21"/>
                <w:szCs w:val="21"/>
                <w:bdr w:val="none" w:color="auto" w:sz="0" w:space="0"/>
                <w:lang w:val="en-US" w:eastAsia="zh-CN" w:bidi="ar"/>
              </w:rPr>
              <w:t>14</w:t>
            </w:r>
          </w:p>
        </w:tc>
        <w:tc>
          <w:tcPr>
            <w:tcW w:w="708" w:type="dxa"/>
            <w:vMerge w:val="restart"/>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bCs/>
                <w:color w:val="000000"/>
                <w:kern w:val="0"/>
                <w:sz w:val="21"/>
                <w:szCs w:val="21"/>
                <w:bdr w:val="none" w:color="auto" w:sz="0" w:space="0"/>
                <w:lang w:val="en-US" w:eastAsia="zh-CN" w:bidi="ar"/>
              </w:rPr>
              <w:t>70</w:t>
            </w:r>
          </w:p>
        </w:tc>
        <w:tc>
          <w:tcPr>
            <w:tcW w:w="674" w:type="dxa"/>
            <w:vMerge w:val="restart"/>
            <w:tcBorders>
              <w:top w:val="single" w:color="000000" w:sz="6" w:space="0"/>
              <w:left w:val="single" w:color="000000" w:sz="6" w:space="0"/>
              <w:bottom w:val="single" w:color="000000"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bCs/>
                <w:color w:val="000000"/>
                <w:kern w:val="0"/>
                <w:sz w:val="21"/>
                <w:szCs w:val="21"/>
                <w:bdr w:val="none" w:color="auto" w:sz="0" w:space="0"/>
                <w:lang w:val="en-US" w:eastAsia="zh-CN" w:bidi="ar"/>
              </w:rPr>
              <w:t>40</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59" w:type="dxa"/>
            <w:vMerge w:val="continue"/>
            <w:tcBorders>
              <w:top w:val="single" w:color="000000" w:sz="6" w:space="0"/>
              <w:left w:val="nil"/>
              <w:bottom w:val="single" w:color="000000" w:sz="6" w:space="0"/>
              <w:right w:val="single" w:color="000000" w:sz="6" w:space="0"/>
            </w:tcBorders>
            <w:shd w:val="clear"/>
            <w:vAlign w:val="center"/>
          </w:tcPr>
          <w:p>
            <w:pPr>
              <w:rPr>
                <w:rFonts w:hint="default" w:ascii="Times New Roman" w:hAnsi="Times New Roman" w:cs="Times New Roman"/>
                <w:sz w:val="20"/>
                <w:szCs w:val="20"/>
              </w:rPr>
            </w:pPr>
          </w:p>
        </w:tc>
        <w:tc>
          <w:tcPr>
            <w:tcW w:w="850" w:type="dxa"/>
            <w:vMerge w:val="continue"/>
            <w:tcBorders>
              <w:top w:val="single" w:color="000000" w:sz="6" w:space="0"/>
              <w:left w:val="single" w:color="000000" w:sz="6" w:space="0"/>
              <w:bottom w:val="single" w:color="000000" w:sz="6" w:space="0"/>
              <w:right w:val="single" w:color="000000" w:sz="6" w:space="0"/>
            </w:tcBorders>
            <w:shd w:val="clear"/>
            <w:vAlign w:val="center"/>
          </w:tcPr>
          <w:p>
            <w:pPr>
              <w:rPr>
                <w:rFonts w:hint="default" w:ascii="Times New Roman" w:hAnsi="Times New Roman" w:cs="Times New Roman"/>
                <w:sz w:val="20"/>
                <w:szCs w:val="20"/>
              </w:rPr>
            </w:pPr>
          </w:p>
        </w:tc>
        <w:tc>
          <w:tcPr>
            <w:tcW w:w="993" w:type="dxa"/>
            <w:vMerge w:val="continue"/>
            <w:tcBorders>
              <w:top w:val="single" w:color="000000" w:sz="6" w:space="0"/>
              <w:left w:val="single" w:color="000000" w:sz="6" w:space="0"/>
              <w:bottom w:val="single" w:color="000000" w:sz="6" w:space="0"/>
              <w:right w:val="single" w:color="000000" w:sz="6" w:space="0"/>
            </w:tcBorders>
            <w:shd w:val="clear"/>
            <w:vAlign w:val="center"/>
          </w:tcPr>
          <w:p>
            <w:pPr>
              <w:rPr>
                <w:rFonts w:hint="default" w:ascii="Times New Roman" w:hAnsi="Times New Roman" w:cs="Times New Roman"/>
                <w:sz w:val="20"/>
                <w:szCs w:val="20"/>
              </w:rPr>
            </w:pPr>
          </w:p>
        </w:tc>
        <w:tc>
          <w:tcPr>
            <w:tcW w:w="992"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0.065</w:t>
            </w:r>
          </w:p>
        </w:tc>
        <w:tc>
          <w:tcPr>
            <w:tcW w:w="1135" w:type="dxa"/>
            <w:vMerge w:val="continue"/>
            <w:tcBorders>
              <w:top w:val="single" w:color="000000" w:sz="6" w:space="0"/>
              <w:left w:val="single" w:color="000000" w:sz="6" w:space="0"/>
              <w:bottom w:val="single" w:color="000000" w:sz="6" w:space="0"/>
              <w:right w:val="single" w:color="000000" w:sz="6" w:space="0"/>
            </w:tcBorders>
            <w:shd w:val="clear"/>
            <w:vAlign w:val="center"/>
          </w:tcPr>
          <w:p>
            <w:pPr>
              <w:rPr>
                <w:rFonts w:hint="default" w:ascii="Times New Roman" w:hAnsi="Times New Roman" w:cs="Times New Roman"/>
                <w:sz w:val="20"/>
                <w:szCs w:val="20"/>
              </w:rPr>
            </w:pPr>
          </w:p>
        </w:tc>
        <w:tc>
          <w:tcPr>
            <w:tcW w:w="709" w:type="dxa"/>
            <w:vMerge w:val="continue"/>
            <w:tcBorders>
              <w:top w:val="single" w:color="000000" w:sz="6" w:space="0"/>
              <w:left w:val="single" w:color="000000" w:sz="6" w:space="0"/>
              <w:bottom w:val="single" w:color="000000" w:sz="6" w:space="0"/>
              <w:right w:val="single" w:color="000000" w:sz="6" w:space="0"/>
            </w:tcBorders>
            <w:shd w:val="clear"/>
            <w:vAlign w:val="center"/>
          </w:tcPr>
          <w:p>
            <w:pPr>
              <w:rPr>
                <w:rFonts w:hint="default" w:ascii="Times New Roman" w:hAnsi="Times New Roman" w:cs="Times New Roman"/>
                <w:sz w:val="20"/>
                <w:szCs w:val="20"/>
              </w:rPr>
            </w:pPr>
          </w:p>
        </w:tc>
        <w:tc>
          <w:tcPr>
            <w:tcW w:w="851" w:type="dxa"/>
            <w:vMerge w:val="continue"/>
            <w:tcBorders>
              <w:top w:val="single" w:color="000000" w:sz="6" w:space="0"/>
              <w:left w:val="single" w:color="000000" w:sz="6" w:space="0"/>
              <w:bottom w:val="single" w:color="000000" w:sz="6" w:space="0"/>
              <w:right w:val="single" w:color="000000" w:sz="6" w:space="0"/>
            </w:tcBorders>
            <w:shd w:val="clear"/>
            <w:vAlign w:val="center"/>
          </w:tcPr>
          <w:p>
            <w:pPr>
              <w:rPr>
                <w:rFonts w:hint="default" w:ascii="Times New Roman" w:hAnsi="Times New Roman" w:cs="Times New Roman"/>
                <w:sz w:val="20"/>
                <w:szCs w:val="20"/>
              </w:rPr>
            </w:pPr>
          </w:p>
        </w:tc>
        <w:tc>
          <w:tcPr>
            <w:tcW w:w="708" w:type="dxa"/>
            <w:vMerge w:val="continue"/>
            <w:tcBorders>
              <w:top w:val="single" w:color="000000" w:sz="6" w:space="0"/>
              <w:left w:val="single" w:color="000000" w:sz="6" w:space="0"/>
              <w:bottom w:val="single" w:color="000000" w:sz="6" w:space="0"/>
              <w:right w:val="single" w:color="000000" w:sz="6" w:space="0"/>
            </w:tcBorders>
            <w:shd w:val="clear"/>
            <w:vAlign w:val="center"/>
          </w:tcPr>
          <w:p>
            <w:pPr>
              <w:rPr>
                <w:rFonts w:hint="default" w:ascii="Times New Roman" w:hAnsi="Times New Roman" w:cs="Times New Roman"/>
                <w:sz w:val="20"/>
                <w:szCs w:val="20"/>
              </w:rPr>
            </w:pPr>
          </w:p>
        </w:tc>
        <w:tc>
          <w:tcPr>
            <w:tcW w:w="674" w:type="dxa"/>
            <w:vMerge w:val="continue"/>
            <w:tcBorders>
              <w:top w:val="single" w:color="000000" w:sz="6" w:space="0"/>
              <w:left w:val="single" w:color="000000" w:sz="6" w:space="0"/>
              <w:bottom w:val="single" w:color="000000" w:sz="6"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59" w:type="dxa"/>
            <w:vMerge w:val="restart"/>
            <w:tcBorders>
              <w:top w:val="single" w:color="000000" w:sz="6" w:space="0"/>
              <w:left w:val="nil"/>
              <w:bottom w:val="thickThinSmallGap" w:color="auto" w:sz="12"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成品库房</w:t>
            </w:r>
          </w:p>
        </w:tc>
        <w:tc>
          <w:tcPr>
            <w:tcW w:w="850" w:type="dxa"/>
            <w:vMerge w:val="restart"/>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317.85</w:t>
            </w:r>
          </w:p>
        </w:tc>
        <w:tc>
          <w:tcPr>
            <w:tcW w:w="993" w:type="dxa"/>
            <w:vMerge w:val="restart"/>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w w:val="90"/>
                <w:sz w:val="21"/>
                <w:szCs w:val="21"/>
                <w:bdr w:val="none" w:color="auto" w:sz="0" w:space="0"/>
                <w:lang w:val="en-US"/>
              </w:rPr>
            </w:pPr>
            <w:r>
              <w:rPr>
                <w:rFonts w:hint="default" w:ascii="Times New Roman" w:hAnsi="Times New Roman" w:eastAsia="宋体" w:cs="Times New Roman"/>
                <w:color w:val="000000"/>
                <w:w w:val="90"/>
                <w:kern w:val="0"/>
                <w:sz w:val="21"/>
                <w:szCs w:val="21"/>
                <w:bdr w:val="none" w:color="auto" w:sz="0" w:space="0"/>
                <w:lang w:val="en-US" w:eastAsia="zh-CN" w:bidi="ar"/>
              </w:rPr>
              <w:t>1056.4</w:t>
            </w:r>
          </w:p>
        </w:tc>
        <w:tc>
          <w:tcPr>
            <w:tcW w:w="992"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TSP</w:t>
            </w:r>
          </w:p>
        </w:tc>
        <w:tc>
          <w:tcPr>
            <w:tcW w:w="850" w:type="dxa"/>
            <w:tcBorders>
              <w:top w:val="single" w:color="000000" w:sz="6" w:space="0"/>
              <w:left w:val="single" w:color="000000" w:sz="6" w:space="0"/>
              <w:bottom w:val="single" w:color="000000" w:sz="6"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0.08</w:t>
            </w:r>
          </w:p>
        </w:tc>
        <w:tc>
          <w:tcPr>
            <w:tcW w:w="1135" w:type="dxa"/>
            <w:vMerge w:val="restart"/>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52.25</w:t>
            </w:r>
          </w:p>
        </w:tc>
        <w:tc>
          <w:tcPr>
            <w:tcW w:w="709" w:type="dxa"/>
            <w:vMerge w:val="restart"/>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91.5</w:t>
            </w:r>
          </w:p>
        </w:tc>
        <w:tc>
          <w:tcPr>
            <w:tcW w:w="851" w:type="dxa"/>
            <w:vMerge w:val="restart"/>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eastAsia="宋体" w:cs="Times New Roman"/>
                <w:bCs/>
                <w:color w:val="000000"/>
                <w:kern w:val="0"/>
                <w:sz w:val="21"/>
                <w:szCs w:val="21"/>
                <w:bdr w:val="none" w:color="auto" w:sz="0" w:space="0"/>
                <w:lang w:val="en-US" w:eastAsia="zh-CN" w:bidi="ar"/>
              </w:rPr>
              <w:t>14</w:t>
            </w:r>
          </w:p>
        </w:tc>
        <w:tc>
          <w:tcPr>
            <w:tcW w:w="708" w:type="dxa"/>
            <w:vMerge w:val="restart"/>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eastAsia="宋体" w:cs="Times New Roman"/>
                <w:bCs/>
                <w:color w:val="000000"/>
                <w:kern w:val="0"/>
                <w:sz w:val="21"/>
                <w:szCs w:val="21"/>
                <w:bdr w:val="none" w:color="auto" w:sz="0" w:space="0"/>
                <w:lang w:val="en-US" w:eastAsia="zh-CN" w:bidi="ar"/>
              </w:rPr>
              <w:t>45</w:t>
            </w:r>
          </w:p>
        </w:tc>
        <w:tc>
          <w:tcPr>
            <w:tcW w:w="674" w:type="dxa"/>
            <w:vMerge w:val="restart"/>
            <w:tcBorders>
              <w:top w:val="single" w:color="000000" w:sz="6" w:space="0"/>
              <w:left w:val="single" w:color="000000" w:sz="6" w:space="0"/>
              <w:bottom w:val="thickThinSmallGap" w:color="auto" w:sz="12"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eastAsia="宋体" w:cs="Times New Roman"/>
                <w:bCs/>
                <w:color w:val="000000"/>
                <w:kern w:val="0"/>
                <w:sz w:val="21"/>
                <w:szCs w:val="21"/>
                <w:bdr w:val="none" w:color="auto" w:sz="0" w:space="0"/>
                <w:lang w:val="en-US" w:eastAsia="zh-CN" w:bidi="ar"/>
              </w:rPr>
              <w:t>40</w:t>
            </w:r>
          </w:p>
        </w:tc>
      </w:tr>
      <w:tr>
        <w:tblPrEx>
          <w:tblBorders>
            <w:top w:val="thinThickSmallGap" w:color="auto" w:sz="12" w:space="0"/>
            <w:left w:val="none" w:color="auto" w:sz="6" w:space="0"/>
            <w:bottom w:val="thickThinSmallGap" w:color="auto" w:sz="12" w:space="0"/>
            <w:right w:val="none" w:color="auto"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59" w:type="dxa"/>
            <w:vMerge w:val="continue"/>
            <w:tcBorders>
              <w:top w:val="single" w:color="000000" w:sz="6" w:space="0"/>
              <w:left w:val="nil"/>
              <w:bottom w:val="thickThinSmallGap" w:color="auto" w:sz="12" w:space="0"/>
              <w:right w:val="single" w:color="000000" w:sz="6" w:space="0"/>
            </w:tcBorders>
            <w:shd w:val="clear"/>
            <w:vAlign w:val="center"/>
          </w:tcPr>
          <w:p>
            <w:pPr>
              <w:rPr>
                <w:rFonts w:hint="default" w:ascii="Times New Roman" w:hAnsi="Times New Roman" w:cs="Times New Roman"/>
                <w:sz w:val="20"/>
                <w:szCs w:val="20"/>
              </w:rPr>
            </w:pPr>
          </w:p>
        </w:tc>
        <w:tc>
          <w:tcPr>
            <w:tcW w:w="850" w:type="dxa"/>
            <w:vMerge w:val="continue"/>
            <w:tcBorders>
              <w:top w:val="single" w:color="000000" w:sz="6" w:space="0"/>
              <w:left w:val="single" w:color="000000" w:sz="6" w:space="0"/>
              <w:bottom w:val="thickThinSmallGap" w:color="auto" w:sz="12" w:space="0"/>
              <w:right w:val="single" w:color="000000" w:sz="6" w:space="0"/>
            </w:tcBorders>
            <w:shd w:val="clear"/>
            <w:vAlign w:val="center"/>
          </w:tcPr>
          <w:p>
            <w:pPr>
              <w:rPr>
                <w:rFonts w:hint="default" w:ascii="Times New Roman" w:hAnsi="Times New Roman" w:cs="Times New Roman"/>
                <w:sz w:val="20"/>
                <w:szCs w:val="20"/>
              </w:rPr>
            </w:pPr>
          </w:p>
        </w:tc>
        <w:tc>
          <w:tcPr>
            <w:tcW w:w="993" w:type="dxa"/>
            <w:vMerge w:val="continue"/>
            <w:tcBorders>
              <w:top w:val="single" w:color="000000" w:sz="6" w:space="0"/>
              <w:left w:val="single" w:color="000000" w:sz="6" w:space="0"/>
              <w:bottom w:val="thickThinSmallGap" w:color="auto" w:sz="12" w:space="0"/>
              <w:right w:val="single" w:color="000000" w:sz="6" w:space="0"/>
            </w:tcBorders>
            <w:shd w:val="clear"/>
            <w:vAlign w:val="center"/>
          </w:tcPr>
          <w:p>
            <w:pPr>
              <w:rPr>
                <w:rFonts w:hint="default" w:ascii="Times New Roman" w:hAnsi="Times New Roman" w:cs="Times New Roman"/>
                <w:sz w:val="20"/>
                <w:szCs w:val="20"/>
              </w:rPr>
            </w:pPr>
          </w:p>
        </w:tc>
        <w:tc>
          <w:tcPr>
            <w:tcW w:w="992"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PM</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850" w:type="dxa"/>
            <w:tcBorders>
              <w:top w:val="single" w:color="000000" w:sz="6" w:space="0"/>
              <w:left w:val="single" w:color="000000" w:sz="6" w:space="0"/>
              <w:bottom w:val="thickThinSmallGap" w:color="auto" w:sz="12" w:space="0"/>
              <w:right w:val="single" w:color="000000"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0.04</w:t>
            </w:r>
          </w:p>
        </w:tc>
        <w:tc>
          <w:tcPr>
            <w:tcW w:w="1135" w:type="dxa"/>
            <w:vMerge w:val="continue"/>
            <w:tcBorders>
              <w:top w:val="single" w:color="000000" w:sz="6" w:space="0"/>
              <w:left w:val="single" w:color="000000" w:sz="6" w:space="0"/>
              <w:bottom w:val="thickThinSmallGap" w:color="auto" w:sz="12" w:space="0"/>
              <w:right w:val="single" w:color="000000" w:sz="6" w:space="0"/>
            </w:tcBorders>
            <w:shd w:val="clear"/>
            <w:vAlign w:val="center"/>
          </w:tcPr>
          <w:p>
            <w:pPr>
              <w:rPr>
                <w:rFonts w:hint="default" w:ascii="Times New Roman" w:hAnsi="Times New Roman" w:cs="Times New Roman"/>
                <w:sz w:val="20"/>
                <w:szCs w:val="20"/>
              </w:rPr>
            </w:pPr>
          </w:p>
        </w:tc>
        <w:tc>
          <w:tcPr>
            <w:tcW w:w="709" w:type="dxa"/>
            <w:vMerge w:val="continue"/>
            <w:tcBorders>
              <w:top w:val="single" w:color="000000" w:sz="6" w:space="0"/>
              <w:left w:val="single" w:color="000000" w:sz="6" w:space="0"/>
              <w:bottom w:val="thickThinSmallGap" w:color="auto" w:sz="12" w:space="0"/>
              <w:right w:val="single" w:color="000000" w:sz="6" w:space="0"/>
            </w:tcBorders>
            <w:shd w:val="clear"/>
            <w:vAlign w:val="center"/>
          </w:tcPr>
          <w:p>
            <w:pPr>
              <w:rPr>
                <w:rFonts w:hint="default" w:ascii="Times New Roman" w:hAnsi="Times New Roman" w:cs="Times New Roman"/>
                <w:sz w:val="20"/>
                <w:szCs w:val="20"/>
              </w:rPr>
            </w:pPr>
          </w:p>
        </w:tc>
        <w:tc>
          <w:tcPr>
            <w:tcW w:w="851" w:type="dxa"/>
            <w:vMerge w:val="continue"/>
            <w:tcBorders>
              <w:top w:val="single" w:color="000000" w:sz="6" w:space="0"/>
              <w:left w:val="single" w:color="000000" w:sz="6" w:space="0"/>
              <w:bottom w:val="thickThinSmallGap" w:color="auto" w:sz="12" w:space="0"/>
              <w:right w:val="single" w:color="000000" w:sz="6" w:space="0"/>
            </w:tcBorders>
            <w:shd w:val="clear"/>
            <w:vAlign w:val="center"/>
          </w:tcPr>
          <w:p>
            <w:pPr>
              <w:rPr>
                <w:rFonts w:hint="default" w:ascii="Times New Roman" w:hAnsi="Times New Roman" w:cs="Times New Roman"/>
                <w:sz w:val="20"/>
                <w:szCs w:val="20"/>
              </w:rPr>
            </w:pPr>
          </w:p>
        </w:tc>
        <w:tc>
          <w:tcPr>
            <w:tcW w:w="708" w:type="dxa"/>
            <w:vMerge w:val="continue"/>
            <w:tcBorders>
              <w:top w:val="single" w:color="000000" w:sz="6" w:space="0"/>
              <w:left w:val="single" w:color="000000" w:sz="6" w:space="0"/>
              <w:bottom w:val="thickThinSmallGap" w:color="auto" w:sz="12" w:space="0"/>
              <w:right w:val="single" w:color="000000" w:sz="6" w:space="0"/>
            </w:tcBorders>
            <w:shd w:val="clear"/>
            <w:vAlign w:val="center"/>
          </w:tcPr>
          <w:p>
            <w:pPr>
              <w:rPr>
                <w:rFonts w:hint="default" w:ascii="Times New Roman" w:hAnsi="Times New Roman" w:cs="Times New Roman"/>
                <w:sz w:val="20"/>
                <w:szCs w:val="20"/>
              </w:rPr>
            </w:pPr>
          </w:p>
        </w:tc>
        <w:tc>
          <w:tcPr>
            <w:tcW w:w="674" w:type="dxa"/>
            <w:vMerge w:val="continue"/>
            <w:tcBorders>
              <w:top w:val="single" w:color="000000" w:sz="6" w:space="0"/>
              <w:left w:val="single" w:color="000000" w:sz="6" w:space="0"/>
              <w:bottom w:val="thickThinSmallGap" w:color="auto" w:sz="12" w:space="0"/>
              <w:right w:val="nil"/>
            </w:tcBorders>
            <w:shd w:val="clear"/>
            <w:vAlign w:val="center"/>
          </w:tcPr>
          <w:p>
            <w:pPr>
              <w:rPr>
                <w:rFonts w:hint="default" w:ascii="Times New Roman" w:hAnsi="Times New Roman" w:cs="Times New Roman"/>
                <w:sz w:val="20"/>
                <w:szCs w:val="20"/>
              </w:rPr>
            </w:pPr>
          </w:p>
        </w:tc>
      </w:tr>
    </w:tbl>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通过预测模型，以</w:t>
      </w:r>
      <w:r>
        <w:rPr>
          <w:rFonts w:hint="default" w:ascii="Times New Roman" w:hAnsi="Times New Roman" w:eastAsia="宋体" w:cs="Times New Roman"/>
          <w:color w:val="000000"/>
          <w:kern w:val="0"/>
          <w:sz w:val="24"/>
          <w:szCs w:val="24"/>
          <w:lang w:val="en-US" w:eastAsia="zh-CN" w:bidi="ar"/>
        </w:rPr>
        <w:t>50m</w:t>
      </w:r>
      <w:r>
        <w:rPr>
          <w:rFonts w:hint="eastAsia" w:ascii="Times New Roman" w:hAnsi="Times New Roman" w:eastAsia="宋体" w:cs="Times New Roman"/>
          <w:color w:val="000000"/>
          <w:kern w:val="0"/>
          <w:sz w:val="24"/>
          <w:szCs w:val="24"/>
          <w:lang w:val="en-US" w:eastAsia="zh-CN" w:bidi="ar"/>
        </w:rPr>
        <w:t>网格为步长模拟本项目营运后全厂污染源对厂界外污染物的短期贡献浓度分布，各污染物均未出现厂界外超标区域，故本项目不需设置大气环境防护距离。</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w:t>
      </w:r>
      <w:r>
        <w:rPr>
          <w:rFonts w:hint="default" w:ascii="Times New Roman" w:hAnsi="Times New Roman" w:cs="Times New Roman"/>
          <w:color w:val="000000"/>
          <w:lang w:eastAsia="zh-CN"/>
        </w:rPr>
        <w:t>11</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 </w:t>
      </w:r>
      <w:r>
        <w:rPr>
          <w:rFonts w:ascii="Times New Roman" w:hAnsi="Times New Roman" w:cs="Times New Roman"/>
          <w:color w:val="000000"/>
          <w:lang/>
        </w:rPr>
        <w:t>卫生防护距离</w:t>
      </w:r>
    </w:p>
    <w:p>
      <w:pPr>
        <w:keepNext w:val="0"/>
        <w:keepLines w:val="0"/>
        <w:widowControl/>
        <w:suppressLineNumbers w:val="0"/>
        <w:adjustRightInd w:val="0"/>
        <w:snapToGrid w:val="0"/>
        <w:spacing w:before="0" w:beforeAutospacing="0" w:after="0" w:afterAutospacing="0" w:line="500" w:lineRule="exact"/>
        <w:ind w:left="-34" w:right="-34" w:firstLine="482"/>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）公式法</w:t>
      </w:r>
    </w:p>
    <w:p>
      <w:pPr>
        <w:keepNext w:val="0"/>
        <w:keepLines w:val="0"/>
        <w:widowControl/>
        <w:suppressLineNumbers w:val="0"/>
        <w:adjustRightInd w:val="0"/>
        <w:snapToGrid w:val="0"/>
        <w:spacing w:before="0" w:beforeAutospacing="0" w:after="0" w:afterAutospacing="0" w:line="500" w:lineRule="exact"/>
        <w:ind w:left="-34" w:right="-34"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根据《制定地方大气污染物排放标准的技术方法》（</w:t>
      </w:r>
      <w:r>
        <w:rPr>
          <w:rFonts w:hint="default" w:ascii="Times New Roman" w:hAnsi="Times New Roman" w:eastAsia="宋体" w:cs="Times New Roman"/>
          <w:color w:val="000000"/>
          <w:kern w:val="0"/>
          <w:sz w:val="24"/>
          <w:szCs w:val="24"/>
          <w:lang w:val="en-US" w:eastAsia="zh-CN" w:bidi="ar"/>
        </w:rPr>
        <w:t>GB/T3840-91</w:t>
      </w:r>
      <w:r>
        <w:rPr>
          <w:rFonts w:hint="eastAsia" w:ascii="Times New Roman" w:hAnsi="Times New Roman" w:eastAsia="宋体" w:cs="Times New Roman"/>
          <w:color w:val="000000"/>
          <w:kern w:val="0"/>
          <w:sz w:val="24"/>
          <w:szCs w:val="24"/>
          <w:lang w:val="en-US" w:eastAsia="zh-CN" w:bidi="ar"/>
        </w:rPr>
        <w:t>）中给出的</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有害气体无组织排放的工业企业卫生防护距离</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公式计算卫生防护距离：</w:t>
      </w:r>
    </w:p>
    <w:p>
      <w:pPr>
        <w:keepNext w:val="0"/>
        <w:keepLines w:val="0"/>
        <w:widowControl/>
        <w:suppressLineNumbers w:val="0"/>
        <w:adjustRightInd w:val="0"/>
        <w:spacing w:before="0" w:beforeAutospacing="0" w:after="0" w:afterAutospacing="0" w:line="360" w:lineRule="auto"/>
        <w:ind w:left="0" w:right="0"/>
        <w:jc w:val="center"/>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Q</w:t>
      </w:r>
      <w:r>
        <w:rPr>
          <w:rFonts w:hint="default" w:ascii="Times New Roman" w:hAnsi="Times New Roman" w:eastAsia="宋体" w:cs="Times New Roman"/>
          <w:color w:val="000000"/>
          <w:kern w:val="0"/>
          <w:sz w:val="24"/>
          <w:szCs w:val="24"/>
          <w:vertAlign w:val="subscript"/>
          <w:lang w:val="en-US" w:eastAsia="zh-CN" w:bidi="ar"/>
        </w:rPr>
        <w:t>c</w:t>
      </w:r>
      <w:r>
        <w:rPr>
          <w:rFonts w:hint="default" w:ascii="Times New Roman" w:hAnsi="Times New Roman" w:eastAsia="宋体" w:cs="Times New Roman"/>
          <w:color w:val="000000"/>
          <w:kern w:val="0"/>
          <w:sz w:val="24"/>
          <w:szCs w:val="24"/>
          <w:lang w:val="en-US" w:eastAsia="zh-CN" w:bidi="ar"/>
        </w:rPr>
        <w:t>/C</w:t>
      </w:r>
      <w:r>
        <w:rPr>
          <w:rFonts w:hint="default" w:ascii="Times New Roman" w:hAnsi="Times New Roman" w:eastAsia="宋体" w:cs="Times New Roman"/>
          <w:color w:val="000000"/>
          <w:kern w:val="0"/>
          <w:sz w:val="24"/>
          <w:szCs w:val="24"/>
          <w:vertAlign w:val="subscript"/>
          <w:lang w:val="en-US" w:eastAsia="zh-CN" w:bidi="ar"/>
        </w:rPr>
        <w:t>m</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 xml:space="preserve">1/A(BL </w:t>
      </w:r>
      <w:r>
        <w:rPr>
          <w:rFonts w:hint="default" w:ascii="Times New Roman" w:hAnsi="Times New Roman" w:eastAsia="宋体" w:cs="Times New Roman"/>
          <w:color w:val="000000"/>
          <w:kern w:val="0"/>
          <w:sz w:val="24"/>
          <w:szCs w:val="24"/>
          <w:vertAlign w:val="superscript"/>
          <w:lang w:val="en-US" w:eastAsia="zh-CN" w:bidi="ar"/>
        </w:rPr>
        <w:t>c</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 xml:space="preserve">0.25r </w:t>
      </w:r>
      <w:r>
        <w:rPr>
          <w:rFonts w:hint="default" w:ascii="Times New Roman" w:hAnsi="Times New Roman" w:eastAsia="宋体" w:cs="Times New Roman"/>
          <w:color w:val="000000"/>
          <w:kern w:val="0"/>
          <w:sz w:val="24"/>
          <w:szCs w:val="24"/>
          <w:vertAlign w:val="superscript"/>
          <w:lang w:val="en-US" w:eastAsia="zh-CN" w:bidi="ar"/>
        </w:rPr>
        <w:t>2</w:t>
      </w:r>
      <w:r>
        <w:rPr>
          <w:rFonts w:hint="default" w:ascii="Times New Roman" w:hAnsi="Times New Roman" w:eastAsia="宋体" w:cs="Times New Roman"/>
          <w:color w:val="000000"/>
          <w:kern w:val="0"/>
          <w:sz w:val="24"/>
          <w:szCs w:val="24"/>
          <w:lang w:val="en-US" w:eastAsia="zh-CN" w:bidi="ar"/>
        </w:rPr>
        <w:t xml:space="preserve"> ) </w:t>
      </w:r>
      <w:r>
        <w:rPr>
          <w:rFonts w:hint="default" w:ascii="Times New Roman" w:hAnsi="Times New Roman" w:eastAsia="宋体" w:cs="Times New Roman"/>
          <w:color w:val="000000"/>
          <w:kern w:val="0"/>
          <w:sz w:val="24"/>
          <w:szCs w:val="24"/>
          <w:vertAlign w:val="superscript"/>
          <w:lang w:val="en-US" w:eastAsia="zh-CN" w:bidi="ar"/>
        </w:rPr>
        <w:t>0.50</w:t>
      </w:r>
      <w:r>
        <w:rPr>
          <w:rFonts w:hint="default" w:ascii="Times New Roman" w:hAnsi="Times New Roman" w:eastAsia="宋体" w:cs="Times New Roman"/>
          <w:color w:val="000000"/>
          <w:kern w:val="0"/>
          <w:sz w:val="24"/>
          <w:szCs w:val="24"/>
          <w:lang w:val="en-US" w:eastAsia="zh-CN" w:bidi="ar"/>
        </w:rPr>
        <w:t xml:space="preserve"> L</w:t>
      </w:r>
      <w:r>
        <w:rPr>
          <w:rFonts w:hint="default" w:ascii="Times New Roman" w:hAnsi="Times New Roman" w:eastAsia="宋体" w:cs="Times New Roman"/>
          <w:color w:val="000000"/>
          <w:kern w:val="0"/>
          <w:sz w:val="24"/>
          <w:szCs w:val="24"/>
          <w:vertAlign w:val="superscript"/>
          <w:lang w:val="en-US" w:eastAsia="zh-CN" w:bidi="ar"/>
        </w:rPr>
        <w:t>D</w:t>
      </w:r>
    </w:p>
    <w:p>
      <w:pPr>
        <w:keepNext w:val="0"/>
        <w:keepLines w:val="0"/>
        <w:widowControl/>
        <w:suppressLineNumbers w:val="0"/>
        <w:adjustRightInd w:val="0"/>
        <w:spacing w:before="0" w:beforeAutospacing="0" w:after="0" w:afterAutospacing="0" w:line="500" w:lineRule="exact"/>
        <w:ind w:left="0" w:right="0" w:firstLine="48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式中：</w:t>
      </w:r>
      <w:r>
        <w:rPr>
          <w:rFonts w:hint="default" w:ascii="Times New Roman" w:hAnsi="Times New Roman" w:eastAsia="宋体" w:cs="Times New Roman"/>
          <w:color w:val="000000"/>
          <w:kern w:val="0"/>
          <w:sz w:val="24"/>
          <w:szCs w:val="24"/>
          <w:lang w:val="en-US" w:eastAsia="zh-CN" w:bidi="ar"/>
        </w:rPr>
        <w:t>C</w:t>
      </w:r>
      <w:r>
        <w:rPr>
          <w:rFonts w:hint="default" w:ascii="Times New Roman" w:hAnsi="Times New Roman" w:eastAsia="宋体" w:cs="Times New Roman"/>
          <w:color w:val="000000"/>
          <w:kern w:val="0"/>
          <w:sz w:val="24"/>
          <w:szCs w:val="24"/>
          <w:vertAlign w:val="subscript"/>
          <w:lang w:val="en-US" w:eastAsia="zh-CN" w:bidi="ar"/>
        </w:rPr>
        <w:t>m</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标准浓度限值，</w:t>
      </w:r>
      <w:r>
        <w:rPr>
          <w:rFonts w:hint="default" w:ascii="Times New Roman" w:hAnsi="Times New Roman" w:eastAsia="宋体" w:cs="Times New Roman"/>
          <w:color w:val="000000"/>
          <w:kern w:val="0"/>
          <w:sz w:val="24"/>
          <w:szCs w:val="24"/>
          <w:lang w:val="en-US" w:eastAsia="zh-CN" w:bidi="ar"/>
        </w:rPr>
        <w:t>mg/m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line="500" w:lineRule="exact"/>
        <w:ind w:left="0" w:right="0" w:firstLine="1200" w:firstLineChars="5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L—</w:t>
      </w:r>
      <w:r>
        <w:rPr>
          <w:rFonts w:hint="eastAsia" w:ascii="Times New Roman" w:hAnsi="Times New Roman" w:eastAsia="宋体" w:cs="Times New Roman"/>
          <w:color w:val="000000"/>
          <w:kern w:val="0"/>
          <w:sz w:val="24"/>
          <w:szCs w:val="24"/>
          <w:lang w:val="en-US" w:eastAsia="zh-CN" w:bidi="ar"/>
        </w:rPr>
        <w:t>工业企业所需卫生防护距离，</w:t>
      </w:r>
      <w:r>
        <w:rPr>
          <w:rFonts w:hint="default" w:ascii="Times New Roman" w:hAnsi="Times New Roman" w:eastAsia="宋体" w:cs="Times New Roman"/>
          <w:color w:val="000000"/>
          <w:kern w:val="0"/>
          <w:sz w:val="24"/>
          <w:szCs w:val="24"/>
          <w:lang w:val="en-US" w:eastAsia="zh-CN" w:bidi="ar"/>
        </w:rPr>
        <w:t>m</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line="500" w:lineRule="exact"/>
        <w:ind w:left="0" w:right="0" w:firstLine="1200" w:firstLineChars="5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r—</w:t>
      </w:r>
      <w:r>
        <w:rPr>
          <w:rFonts w:hint="eastAsia" w:ascii="Times New Roman" w:hAnsi="Times New Roman" w:eastAsia="宋体" w:cs="Times New Roman"/>
          <w:color w:val="000000"/>
          <w:kern w:val="0"/>
          <w:sz w:val="24"/>
          <w:szCs w:val="24"/>
          <w:lang w:val="en-US" w:eastAsia="zh-CN" w:bidi="ar"/>
        </w:rPr>
        <w:t>有害气体无组织排放源所在生产单元的等效半径，</w:t>
      </w:r>
      <w:r>
        <w:rPr>
          <w:rFonts w:hint="default" w:ascii="Times New Roman" w:hAnsi="Times New Roman" w:eastAsia="宋体" w:cs="Times New Roman"/>
          <w:color w:val="000000"/>
          <w:kern w:val="0"/>
          <w:sz w:val="24"/>
          <w:szCs w:val="24"/>
          <w:lang w:val="en-US" w:eastAsia="zh-CN" w:bidi="ar"/>
        </w:rPr>
        <w:t>m</w:t>
      </w:r>
      <w:r>
        <w:rPr>
          <w:rFonts w:hint="eastAsia" w:ascii="Times New Roman" w:hAnsi="Times New Roman" w:eastAsia="宋体" w:cs="Times New Roman"/>
          <w:color w:val="000000"/>
          <w:kern w:val="0"/>
          <w:sz w:val="24"/>
          <w:szCs w:val="24"/>
          <w:lang w:val="en-US" w:eastAsia="zh-CN" w:bidi="ar"/>
        </w:rPr>
        <w:t>。根据该生产单元占地面积</w:t>
      </w:r>
      <w:r>
        <w:rPr>
          <w:rFonts w:hint="default" w:ascii="Times New Roman" w:hAnsi="Times New Roman" w:eastAsia="宋体" w:cs="Times New Roman"/>
          <w:color w:val="000000"/>
          <w:kern w:val="0"/>
          <w:sz w:val="24"/>
          <w:szCs w:val="24"/>
          <w:lang w:val="en-US" w:eastAsia="zh-CN" w:bidi="ar"/>
        </w:rPr>
        <w:t>S(m</w:t>
      </w:r>
      <w:r>
        <w:rPr>
          <w:rFonts w:hint="default" w:ascii="Times New Roman" w:hAnsi="Times New Roman" w:eastAsia="宋体" w:cs="Times New Roman"/>
          <w:color w:val="000000"/>
          <w:kern w:val="0"/>
          <w:sz w:val="24"/>
          <w:szCs w:val="24"/>
          <w:vertAlign w:val="superscript"/>
          <w:lang w:val="en-US" w:eastAsia="zh-CN" w:bidi="ar"/>
        </w:rPr>
        <w:t>2</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计算，</w:t>
      </w:r>
      <w:r>
        <w:rPr>
          <w:rFonts w:hint="default" w:ascii="Times New Roman" w:hAnsi="Times New Roman" w:eastAsia="宋体" w:cs="Times New Roman"/>
          <w:color w:val="000000"/>
          <w:kern w:val="0"/>
          <w:sz w:val="24"/>
          <w:szCs w:val="24"/>
          <w:lang w:val="en-US" w:eastAsia="zh-CN" w:bidi="ar"/>
        </w:rPr>
        <w:t>r</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(S/π)</w:t>
      </w:r>
      <w:r>
        <w:rPr>
          <w:rFonts w:hint="default" w:ascii="Times New Roman" w:hAnsi="Times New Roman" w:eastAsia="宋体" w:cs="Times New Roman"/>
          <w:color w:val="000000"/>
          <w:kern w:val="0"/>
          <w:sz w:val="24"/>
          <w:szCs w:val="24"/>
          <w:vertAlign w:val="superscript"/>
          <w:lang w:val="en-US" w:eastAsia="zh-CN" w:bidi="ar"/>
        </w:rPr>
        <w:t>0.5</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500" w:lineRule="exact"/>
        <w:ind w:left="0" w:right="0" w:firstLine="1200" w:firstLineChars="5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B</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C</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D—</w:t>
      </w:r>
      <w:r>
        <w:rPr>
          <w:rFonts w:hint="eastAsia" w:ascii="Times New Roman" w:hAnsi="Times New Roman" w:eastAsia="宋体" w:cs="Times New Roman"/>
          <w:color w:val="000000"/>
          <w:kern w:val="0"/>
          <w:sz w:val="24"/>
          <w:szCs w:val="24"/>
          <w:lang w:val="en-US" w:eastAsia="zh-CN" w:bidi="ar"/>
        </w:rPr>
        <w:t>卫生防护距离计算系数。（</w:t>
      </w:r>
      <w:r>
        <w:rPr>
          <w:rFonts w:hint="default" w:ascii="Times New Roman" w:hAnsi="Times New Roman" w:eastAsia="宋体" w:cs="Times New Roman"/>
          <w:color w:val="000000"/>
          <w:kern w:val="0"/>
          <w:sz w:val="24"/>
          <w:szCs w:val="24"/>
          <w:lang w:val="en-US" w:eastAsia="zh-CN" w:bidi="ar"/>
        </w:rPr>
        <w:t>A=470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B=0.021</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C=1.85</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D=0.84</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500" w:lineRule="exact"/>
        <w:ind w:left="0" w:right="0" w:firstLine="1200" w:firstLineChars="5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Q</w:t>
      </w:r>
      <w:r>
        <w:rPr>
          <w:rFonts w:hint="default" w:ascii="Times New Roman" w:hAnsi="Times New Roman" w:eastAsia="宋体" w:cs="Times New Roman"/>
          <w:color w:val="000000"/>
          <w:kern w:val="0"/>
          <w:sz w:val="24"/>
          <w:szCs w:val="24"/>
          <w:vertAlign w:val="subscript"/>
          <w:lang w:val="en-US" w:eastAsia="zh-CN" w:bidi="ar"/>
        </w:rPr>
        <w:t>c</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工业企业有害气体无组织排放量可以达到的控制水平，</w:t>
      </w:r>
      <w:r>
        <w:rPr>
          <w:rFonts w:hint="default" w:ascii="Times New Roman" w:hAnsi="Times New Roman" w:eastAsia="宋体" w:cs="Times New Roman"/>
          <w:color w:val="000000"/>
          <w:kern w:val="0"/>
          <w:sz w:val="24"/>
          <w:szCs w:val="24"/>
          <w:lang w:val="en-US" w:eastAsia="zh-CN" w:bidi="ar"/>
        </w:rPr>
        <w:t>kg/h</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500" w:lineRule="exact"/>
        <w:ind w:left="0" w:right="0" w:firstLine="48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同时，</w:t>
      </w:r>
      <w:r>
        <w:rPr>
          <w:rFonts w:hint="default" w:ascii="Times New Roman" w:hAnsi="Times New Roman" w:eastAsia="宋体" w:cs="Times New Roman"/>
          <w:color w:val="000000"/>
          <w:kern w:val="0"/>
          <w:sz w:val="24"/>
          <w:szCs w:val="24"/>
          <w:lang w:val="en-US" w:eastAsia="zh-CN" w:bidi="ar"/>
        </w:rPr>
        <w:t>GB/T3840-91</w:t>
      </w:r>
      <w:r>
        <w:rPr>
          <w:rFonts w:hint="eastAsia" w:ascii="Times New Roman" w:hAnsi="Times New Roman" w:eastAsia="宋体" w:cs="Times New Roman"/>
          <w:color w:val="000000"/>
          <w:kern w:val="0"/>
          <w:sz w:val="24"/>
          <w:szCs w:val="24"/>
          <w:lang w:val="en-US" w:eastAsia="zh-CN" w:bidi="ar"/>
        </w:rPr>
        <w:t>规定：无组织排放多种有害气体的工业企业，按</w:t>
      </w:r>
      <w:r>
        <w:rPr>
          <w:rFonts w:hint="default" w:ascii="Times New Roman" w:hAnsi="Times New Roman" w:eastAsia="宋体" w:cs="Times New Roman"/>
          <w:color w:val="000000"/>
          <w:kern w:val="0"/>
          <w:sz w:val="24"/>
          <w:szCs w:val="24"/>
          <w:lang w:val="en-US" w:eastAsia="zh-CN" w:bidi="ar"/>
        </w:rPr>
        <w:t>Q</w:t>
      </w:r>
      <w:r>
        <w:rPr>
          <w:rFonts w:hint="default" w:ascii="Times New Roman" w:hAnsi="Times New Roman" w:eastAsia="宋体" w:cs="Times New Roman"/>
          <w:color w:val="000000"/>
          <w:kern w:val="0"/>
          <w:sz w:val="24"/>
          <w:szCs w:val="24"/>
          <w:vertAlign w:val="subscript"/>
          <w:lang w:val="en-US" w:eastAsia="zh-CN" w:bidi="ar"/>
        </w:rPr>
        <w:t>c</w:t>
      </w:r>
      <w:r>
        <w:rPr>
          <w:rFonts w:hint="default" w:ascii="Times New Roman" w:hAnsi="Times New Roman" w:eastAsia="宋体" w:cs="Times New Roman"/>
          <w:color w:val="000000"/>
          <w:kern w:val="0"/>
          <w:sz w:val="24"/>
          <w:szCs w:val="24"/>
          <w:lang w:val="en-US" w:eastAsia="zh-CN" w:bidi="ar"/>
        </w:rPr>
        <w:t>/C</w:t>
      </w:r>
      <w:r>
        <w:rPr>
          <w:rFonts w:hint="default" w:ascii="Times New Roman" w:hAnsi="Times New Roman" w:eastAsia="宋体" w:cs="Times New Roman"/>
          <w:color w:val="000000"/>
          <w:kern w:val="0"/>
          <w:sz w:val="24"/>
          <w:szCs w:val="24"/>
          <w:vertAlign w:val="subscript"/>
          <w:lang w:val="en-US" w:eastAsia="zh-CN" w:bidi="ar"/>
        </w:rPr>
        <w:t>m</w:t>
      </w:r>
      <w:r>
        <w:rPr>
          <w:rFonts w:hint="eastAsia" w:ascii="Times New Roman" w:hAnsi="Times New Roman" w:eastAsia="宋体" w:cs="Times New Roman"/>
          <w:color w:val="000000"/>
          <w:kern w:val="0"/>
          <w:sz w:val="24"/>
          <w:szCs w:val="24"/>
          <w:lang w:val="en-US" w:eastAsia="zh-CN" w:bidi="ar"/>
        </w:rPr>
        <w:t>的最大值计算其所需卫生防护距离；但当按两种或两种以上的有害气体的</w:t>
      </w:r>
      <w:r>
        <w:rPr>
          <w:rFonts w:hint="default" w:ascii="Times New Roman" w:hAnsi="Times New Roman" w:eastAsia="宋体" w:cs="Times New Roman"/>
          <w:color w:val="000000"/>
          <w:kern w:val="0"/>
          <w:sz w:val="24"/>
          <w:szCs w:val="24"/>
          <w:lang w:val="en-US" w:eastAsia="zh-CN" w:bidi="ar"/>
        </w:rPr>
        <w:t>Q</w:t>
      </w:r>
      <w:r>
        <w:rPr>
          <w:rFonts w:hint="default" w:ascii="Times New Roman" w:hAnsi="Times New Roman" w:eastAsia="宋体" w:cs="Times New Roman"/>
          <w:color w:val="000000"/>
          <w:kern w:val="0"/>
          <w:sz w:val="24"/>
          <w:szCs w:val="24"/>
          <w:vertAlign w:val="subscript"/>
          <w:lang w:val="en-US" w:eastAsia="zh-CN" w:bidi="ar"/>
        </w:rPr>
        <w:t>c</w:t>
      </w:r>
      <w:r>
        <w:rPr>
          <w:rFonts w:hint="default" w:ascii="Times New Roman" w:hAnsi="Times New Roman" w:eastAsia="宋体" w:cs="Times New Roman"/>
          <w:color w:val="000000"/>
          <w:kern w:val="0"/>
          <w:sz w:val="24"/>
          <w:szCs w:val="24"/>
          <w:lang w:val="en-US" w:eastAsia="zh-CN" w:bidi="ar"/>
        </w:rPr>
        <w:t>/C</w:t>
      </w:r>
      <w:r>
        <w:rPr>
          <w:rFonts w:hint="default" w:ascii="Times New Roman" w:hAnsi="Times New Roman" w:eastAsia="宋体" w:cs="Times New Roman"/>
          <w:color w:val="000000"/>
          <w:kern w:val="0"/>
          <w:sz w:val="24"/>
          <w:szCs w:val="24"/>
          <w:vertAlign w:val="subscript"/>
          <w:lang w:val="en-US" w:eastAsia="zh-CN" w:bidi="ar"/>
        </w:rPr>
        <w:t>m</w:t>
      </w:r>
      <w:r>
        <w:rPr>
          <w:rFonts w:hint="eastAsia" w:ascii="Times New Roman" w:hAnsi="Times New Roman" w:eastAsia="宋体" w:cs="Times New Roman"/>
          <w:color w:val="000000"/>
          <w:kern w:val="0"/>
          <w:sz w:val="24"/>
          <w:szCs w:val="24"/>
          <w:lang w:val="en-US" w:eastAsia="zh-CN" w:bidi="ar"/>
        </w:rPr>
        <w:t>值计算的卫生防护距离在同一级别时，该类工业企业的卫生防护距离级别应该高一级。卫生防护距离在</w:t>
      </w:r>
      <w:r>
        <w:rPr>
          <w:rFonts w:hint="default" w:ascii="Times New Roman" w:hAnsi="Times New Roman" w:eastAsia="宋体" w:cs="Times New Roman"/>
          <w:color w:val="000000"/>
          <w:kern w:val="0"/>
          <w:sz w:val="24"/>
          <w:szCs w:val="24"/>
          <w:lang w:val="en-US" w:eastAsia="zh-CN" w:bidi="ar"/>
        </w:rPr>
        <w:t>100m</w:t>
      </w:r>
      <w:r>
        <w:rPr>
          <w:rFonts w:hint="eastAsia" w:ascii="Times New Roman" w:hAnsi="Times New Roman" w:eastAsia="宋体" w:cs="Times New Roman"/>
          <w:color w:val="000000"/>
          <w:kern w:val="0"/>
          <w:sz w:val="24"/>
          <w:szCs w:val="24"/>
          <w:lang w:val="en-US" w:eastAsia="zh-CN" w:bidi="ar"/>
        </w:rPr>
        <w:t>以内时，级差为</w:t>
      </w:r>
      <w:r>
        <w:rPr>
          <w:rFonts w:hint="default" w:ascii="Times New Roman" w:hAnsi="Times New Roman" w:eastAsia="宋体" w:cs="Times New Roman"/>
          <w:color w:val="000000"/>
          <w:kern w:val="0"/>
          <w:sz w:val="24"/>
          <w:szCs w:val="24"/>
          <w:lang w:val="en-US" w:eastAsia="zh-CN" w:bidi="ar"/>
        </w:rPr>
        <w:t>50m</w:t>
      </w:r>
      <w:r>
        <w:rPr>
          <w:rFonts w:hint="eastAsia" w:ascii="Times New Roman" w:hAnsi="Times New Roman" w:eastAsia="宋体" w:cs="Times New Roman"/>
          <w:color w:val="000000"/>
          <w:kern w:val="0"/>
          <w:sz w:val="24"/>
          <w:szCs w:val="24"/>
          <w:lang w:val="en-US" w:eastAsia="zh-CN" w:bidi="ar"/>
        </w:rPr>
        <w:t>；超过</w:t>
      </w:r>
      <w:r>
        <w:rPr>
          <w:rFonts w:hint="default" w:ascii="Times New Roman" w:hAnsi="Times New Roman" w:eastAsia="宋体" w:cs="Times New Roman"/>
          <w:color w:val="000000"/>
          <w:kern w:val="0"/>
          <w:sz w:val="24"/>
          <w:szCs w:val="24"/>
          <w:lang w:val="en-US" w:eastAsia="zh-CN" w:bidi="ar"/>
        </w:rPr>
        <w:t>100m</w:t>
      </w:r>
      <w:r>
        <w:rPr>
          <w:rFonts w:hint="eastAsia" w:ascii="Times New Roman" w:hAnsi="Times New Roman" w:eastAsia="宋体" w:cs="Times New Roman"/>
          <w:color w:val="000000"/>
          <w:kern w:val="0"/>
          <w:sz w:val="24"/>
          <w:szCs w:val="24"/>
          <w:lang w:val="en-US" w:eastAsia="zh-CN" w:bidi="ar"/>
        </w:rPr>
        <w:t>，但小于或等于</w:t>
      </w:r>
      <w:r>
        <w:rPr>
          <w:rFonts w:hint="default" w:ascii="Times New Roman" w:hAnsi="Times New Roman" w:eastAsia="宋体" w:cs="Times New Roman"/>
          <w:color w:val="000000"/>
          <w:kern w:val="0"/>
          <w:sz w:val="24"/>
          <w:szCs w:val="24"/>
          <w:lang w:val="en-US" w:eastAsia="zh-CN" w:bidi="ar"/>
        </w:rPr>
        <w:t>1000m</w:t>
      </w:r>
      <w:r>
        <w:rPr>
          <w:rFonts w:hint="eastAsia" w:ascii="Times New Roman" w:hAnsi="Times New Roman" w:eastAsia="宋体" w:cs="Times New Roman"/>
          <w:color w:val="000000"/>
          <w:kern w:val="0"/>
          <w:sz w:val="24"/>
          <w:szCs w:val="24"/>
          <w:lang w:val="en-US" w:eastAsia="zh-CN" w:bidi="ar"/>
        </w:rPr>
        <w:t>时，级差为</w:t>
      </w:r>
      <w:r>
        <w:rPr>
          <w:rFonts w:hint="default" w:ascii="Times New Roman" w:hAnsi="Times New Roman" w:eastAsia="宋体" w:cs="Times New Roman"/>
          <w:color w:val="000000"/>
          <w:kern w:val="0"/>
          <w:sz w:val="24"/>
          <w:szCs w:val="24"/>
          <w:lang w:val="en-US" w:eastAsia="zh-CN" w:bidi="ar"/>
        </w:rPr>
        <w:t>100m</w:t>
      </w:r>
      <w:r>
        <w:rPr>
          <w:rFonts w:hint="eastAsia" w:ascii="Times New Roman" w:hAnsi="Times New Roman" w:eastAsia="宋体" w:cs="Times New Roman"/>
          <w:color w:val="000000"/>
          <w:kern w:val="0"/>
          <w:sz w:val="24"/>
          <w:szCs w:val="24"/>
          <w:lang w:val="en-US" w:eastAsia="zh-CN" w:bidi="ar"/>
        </w:rPr>
        <w:t>；超过</w:t>
      </w:r>
      <w:r>
        <w:rPr>
          <w:rFonts w:hint="default" w:ascii="Times New Roman" w:hAnsi="Times New Roman" w:eastAsia="宋体" w:cs="Times New Roman"/>
          <w:color w:val="000000"/>
          <w:kern w:val="0"/>
          <w:sz w:val="24"/>
          <w:szCs w:val="24"/>
          <w:lang w:val="en-US" w:eastAsia="zh-CN" w:bidi="ar"/>
        </w:rPr>
        <w:t>1000m</w:t>
      </w:r>
      <w:r>
        <w:rPr>
          <w:rFonts w:hint="eastAsia" w:ascii="Times New Roman" w:hAnsi="Times New Roman" w:eastAsia="宋体" w:cs="Times New Roman"/>
          <w:color w:val="000000"/>
          <w:kern w:val="0"/>
          <w:sz w:val="24"/>
          <w:szCs w:val="24"/>
          <w:lang w:val="en-US" w:eastAsia="zh-CN" w:bidi="ar"/>
        </w:rPr>
        <w:t>以上，级差为</w:t>
      </w:r>
      <w:r>
        <w:rPr>
          <w:rFonts w:hint="default" w:ascii="Times New Roman" w:hAnsi="Times New Roman" w:eastAsia="宋体" w:cs="Times New Roman"/>
          <w:color w:val="000000"/>
          <w:kern w:val="0"/>
          <w:sz w:val="24"/>
          <w:szCs w:val="24"/>
          <w:lang w:val="en-US" w:eastAsia="zh-CN" w:bidi="ar"/>
        </w:rPr>
        <w:t>200m</w:t>
      </w:r>
      <w:r>
        <w:rPr>
          <w:rFonts w:hint="eastAsia" w:ascii="Times New Roman" w:hAnsi="Times New Roman" w:eastAsia="宋体" w:cs="Times New Roman"/>
          <w:color w:val="000000"/>
          <w:kern w:val="0"/>
          <w:sz w:val="24"/>
          <w:szCs w:val="24"/>
          <w:lang w:val="en-US" w:eastAsia="zh-CN" w:bidi="ar"/>
        </w:rPr>
        <w:t>。卫生防护距离计算系数见表</w:t>
      </w:r>
      <w:r>
        <w:rPr>
          <w:rFonts w:hint="default" w:ascii="Times New Roman" w:hAnsi="Times New Roman" w:eastAsia="宋体" w:cs="Times New Roman"/>
          <w:color w:val="000000"/>
          <w:kern w:val="0"/>
          <w:sz w:val="24"/>
          <w:szCs w:val="24"/>
          <w:lang w:val="en-US" w:eastAsia="zh-CN" w:bidi="ar"/>
        </w:rPr>
        <w:t>5.2-25</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851"/>
          <w:tab w:val="left" w:pos="1141"/>
          <w:tab w:val="left" w:pos="4335"/>
        </w:tabs>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5.2-25  </w:t>
      </w:r>
      <w:r>
        <w:rPr>
          <w:rFonts w:hint="eastAsia" w:ascii="Times New Roman" w:hAnsi="Times New Roman" w:eastAsia="黑体" w:cs="Times New Roman"/>
          <w:color w:val="000000"/>
          <w:kern w:val="0"/>
          <w:sz w:val="24"/>
          <w:szCs w:val="24"/>
          <w:lang w:val="en-US" w:eastAsia="zh-CN" w:bidi="ar"/>
        </w:rPr>
        <w:t>卫生防护距离计算系数</w:t>
      </w:r>
    </w:p>
    <w:tbl>
      <w:tblPr>
        <w:tblStyle w:val="32"/>
        <w:tblW w:w="8789" w:type="dxa"/>
        <w:jc w:val="center"/>
        <w:tblBorders>
          <w:top w:val="thinThickSmallGap" w:color="auto" w:sz="12" w:space="0"/>
          <w:left w:val="none" w:color="auto" w:sz="6" w:space="0"/>
          <w:bottom w:val="thinThick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769"/>
        <w:gridCol w:w="1837"/>
        <w:gridCol w:w="686"/>
        <w:gridCol w:w="687"/>
        <w:gridCol w:w="686"/>
        <w:gridCol w:w="687"/>
        <w:gridCol w:w="686"/>
        <w:gridCol w:w="688"/>
        <w:gridCol w:w="687"/>
        <w:gridCol w:w="688"/>
        <w:gridCol w:w="688"/>
      </w:tblGrid>
      <w:tr>
        <w:tblPrEx>
          <w:tblBorders>
            <w:top w:val="thinThickSmallGap" w:color="auto" w:sz="12" w:space="0"/>
            <w:left w:val="none" w:color="auto" w:sz="6" w:space="0"/>
            <w:bottom w:val="thinThick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cantSplit/>
          <w:trHeight w:val="340" w:hRule="atLeast"/>
          <w:tblHeader/>
          <w:jc w:val="center"/>
        </w:trPr>
        <w:tc>
          <w:tcPr>
            <w:tcW w:w="763" w:type="dxa"/>
            <w:vMerge w:val="restart"/>
            <w:tcBorders>
              <w:top w:val="thinThickSmallGap" w:color="auto" w:sz="12" w:space="0"/>
              <w:left w:val="nil"/>
              <w:bottom w:val="single" w:color="auto" w:sz="6" w:space="0"/>
              <w:right w:val="single" w:color="auto" w:sz="6" w:space="0"/>
            </w:tcBorders>
            <w:shd w:val="clear" w:color="auto" w:fill="E0E0E0"/>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ascii="Times New Roman" w:hAnsi="Times New Roman" w:cs="Times New Roman"/>
                <w:color w:val="000000"/>
                <w:sz w:val="21"/>
                <w:szCs w:val="21"/>
                <w:bdr w:val="none" w:color="auto" w:sz="0" w:space="0"/>
                <w:lang w:val="en-US" w:eastAsia="zh-CN"/>
              </w:rPr>
              <w:t>计算系数</w:t>
            </w:r>
          </w:p>
        </w:tc>
        <w:tc>
          <w:tcPr>
            <w:tcW w:w="1823" w:type="dxa"/>
            <w:vMerge w:val="restart"/>
            <w:tcBorders>
              <w:top w:val="thinThickSmallGap" w:color="auto" w:sz="12" w:space="0"/>
              <w:left w:val="single" w:color="auto" w:sz="6" w:space="0"/>
              <w:bottom w:val="single" w:color="auto" w:sz="6" w:space="0"/>
              <w:right w:val="single" w:color="auto" w:sz="6" w:space="0"/>
            </w:tcBorders>
            <w:shd w:val="clear" w:color="auto" w:fill="E0E0E0"/>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ascii="Times New Roman" w:hAnsi="Times New Roman" w:cs="Times New Roman"/>
                <w:color w:val="000000"/>
                <w:sz w:val="21"/>
                <w:szCs w:val="21"/>
                <w:bdr w:val="none" w:color="auto" w:sz="0" w:space="0"/>
                <w:lang w:val="en-US" w:eastAsia="zh-CN"/>
              </w:rPr>
              <w:t>工业企业所在地区近</w:t>
            </w:r>
            <w:r>
              <w:rPr>
                <w:rFonts w:hint="default" w:ascii="Times New Roman" w:hAnsi="Times New Roman" w:cs="Times New Roman"/>
                <w:color w:val="000000"/>
                <w:sz w:val="21"/>
                <w:szCs w:val="21"/>
                <w:bdr w:val="none" w:color="auto" w:sz="0" w:space="0"/>
                <w:lang w:val="en-US" w:eastAsia="zh-CN"/>
              </w:rPr>
              <w:t>5</w:t>
            </w:r>
            <w:r>
              <w:rPr>
                <w:rFonts w:ascii="Times New Roman" w:hAnsi="Times New Roman" w:cs="Times New Roman"/>
                <w:color w:val="000000"/>
                <w:sz w:val="21"/>
                <w:szCs w:val="21"/>
                <w:bdr w:val="none" w:color="auto" w:sz="0" w:space="0"/>
                <w:lang w:val="en-US" w:eastAsia="zh-CN"/>
              </w:rPr>
              <w:t>年平均风速（</w:t>
            </w:r>
            <w:r>
              <w:rPr>
                <w:rFonts w:hint="default" w:ascii="Times New Roman" w:hAnsi="Times New Roman" w:cs="Times New Roman"/>
                <w:color w:val="000000"/>
                <w:sz w:val="21"/>
                <w:szCs w:val="21"/>
                <w:bdr w:val="none" w:color="auto" w:sz="0" w:space="0"/>
                <w:lang w:val="en-US" w:eastAsia="zh-CN"/>
              </w:rPr>
              <w:t>m/s</w:t>
            </w:r>
            <w:r>
              <w:rPr>
                <w:rFonts w:ascii="Times New Roman" w:hAnsi="Times New Roman" w:cs="Times New Roman"/>
                <w:color w:val="000000"/>
                <w:sz w:val="21"/>
                <w:szCs w:val="21"/>
                <w:bdr w:val="none" w:color="auto" w:sz="0" w:space="0"/>
                <w:lang w:val="en-US" w:eastAsia="zh-CN"/>
              </w:rPr>
              <w:t>）</w:t>
            </w:r>
          </w:p>
        </w:tc>
        <w:tc>
          <w:tcPr>
            <w:tcW w:w="6134" w:type="dxa"/>
            <w:gridSpan w:val="9"/>
            <w:tcBorders>
              <w:top w:val="thinThickSmallGap" w:color="auto" w:sz="12" w:space="0"/>
              <w:left w:val="single" w:color="auto" w:sz="6" w:space="0"/>
              <w:bottom w:val="single" w:color="auto" w:sz="6" w:space="0"/>
              <w:right w:val="nil"/>
            </w:tcBorders>
            <w:shd w:val="clear" w:color="auto" w:fill="E0E0E0"/>
            <w:vAlign w:val="center"/>
          </w:tcPr>
          <w:p>
            <w:pPr>
              <w:pStyle w:val="13"/>
              <w:widowControl/>
              <w:spacing w:line="240" w:lineRule="auto"/>
              <w:ind w:left="0" w:firstLine="199" w:firstLineChars="95"/>
              <w:jc w:val="center"/>
              <w:rPr>
                <w:rFonts w:hint="default" w:ascii="Times New Roman" w:hAnsi="Times New Roman" w:cs="Times New Roman"/>
                <w:color w:val="000000"/>
                <w:sz w:val="21"/>
                <w:szCs w:val="21"/>
                <w:bdr w:val="none" w:color="auto" w:sz="0" w:space="0"/>
                <w:lang w:val="en-US" w:eastAsia="zh-CN"/>
              </w:rPr>
            </w:pPr>
            <w:r>
              <w:rPr>
                <w:rFonts w:ascii="Times New Roman" w:hAnsi="Times New Roman" w:cs="Times New Roman"/>
                <w:color w:val="000000"/>
                <w:sz w:val="21"/>
                <w:szCs w:val="21"/>
                <w:bdr w:val="none" w:color="auto" w:sz="0" w:space="0"/>
                <w:lang w:val="en-US" w:eastAsia="zh-CN"/>
              </w:rPr>
              <w:t>卫生防护距离</w:t>
            </w:r>
            <w:r>
              <w:rPr>
                <w:rFonts w:hint="default" w:ascii="Times New Roman" w:hAnsi="Times New Roman" w:cs="Times New Roman"/>
                <w:color w:val="000000"/>
                <w:sz w:val="21"/>
                <w:szCs w:val="21"/>
                <w:bdr w:val="none" w:color="auto" w:sz="0" w:space="0"/>
                <w:lang w:val="en-US" w:eastAsia="zh-CN"/>
              </w:rPr>
              <w:t>L</w:t>
            </w:r>
            <w:r>
              <w:rPr>
                <w:rFonts w:ascii="Times New Roman" w:hAnsi="Times New Roman" w:cs="Times New Roman"/>
                <w:color w:val="000000"/>
                <w:sz w:val="21"/>
                <w:szCs w:val="21"/>
                <w:bdr w:val="none" w:color="auto" w:sz="0" w:space="0"/>
                <w:lang w:val="en-US" w:eastAsia="zh-CN"/>
              </w:rPr>
              <w:t>（</w:t>
            </w:r>
            <w:r>
              <w:rPr>
                <w:rFonts w:hint="default" w:ascii="Times New Roman" w:hAnsi="Times New Roman" w:cs="Times New Roman"/>
                <w:color w:val="000000"/>
                <w:sz w:val="21"/>
                <w:szCs w:val="21"/>
                <w:bdr w:val="none" w:color="auto" w:sz="0" w:space="0"/>
                <w:lang w:val="en-US" w:eastAsia="zh-CN"/>
              </w:rPr>
              <w:t>m</w:t>
            </w:r>
            <w:r>
              <w:rPr>
                <w:rFonts w:ascii="Times New Roman" w:hAnsi="Times New Roman" w:cs="Times New Roman"/>
                <w:color w:val="000000"/>
                <w:sz w:val="21"/>
                <w:szCs w:val="21"/>
                <w:bdr w:val="none" w:color="auto" w:sz="0" w:space="0"/>
                <w:lang w:val="en-US" w:eastAsia="zh-CN"/>
              </w:rPr>
              <w:t>）</w:t>
            </w:r>
          </w:p>
        </w:tc>
      </w:tr>
      <w:tr>
        <w:tblPrEx>
          <w:tblBorders>
            <w:top w:val="thinThickSmallGap" w:color="auto" w:sz="12" w:space="0"/>
            <w:left w:val="none" w:color="auto" w:sz="6" w:space="0"/>
            <w:bottom w:val="thinThick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vMerge w:val="continue"/>
            <w:tcBorders>
              <w:top w:val="thinThickSmallGap" w:color="auto" w:sz="12" w:space="0"/>
              <w:left w:val="nil"/>
              <w:bottom w:val="single" w:color="auto" w:sz="6" w:space="0"/>
              <w:right w:val="single" w:color="auto" w:sz="6" w:space="0"/>
            </w:tcBorders>
            <w:shd w:val="clear" w:color="auto" w:fill="E0E0E0"/>
            <w:vAlign w:val="center"/>
          </w:tcPr>
          <w:p>
            <w:pPr>
              <w:rPr>
                <w:rFonts w:hint="default" w:ascii="Times New Roman" w:hAnsi="Times New Roman" w:cs="Times New Roman"/>
                <w:sz w:val="20"/>
                <w:szCs w:val="20"/>
              </w:rPr>
            </w:pPr>
          </w:p>
        </w:tc>
        <w:tc>
          <w:tcPr>
            <w:tcW w:w="1823" w:type="dxa"/>
            <w:vMerge w:val="continue"/>
            <w:tcBorders>
              <w:top w:val="thinThickSmallGap" w:color="auto" w:sz="12" w:space="0"/>
              <w:left w:val="single" w:color="auto" w:sz="6" w:space="0"/>
              <w:bottom w:val="single" w:color="auto" w:sz="6" w:space="0"/>
              <w:right w:val="single" w:color="auto" w:sz="6" w:space="0"/>
            </w:tcBorders>
            <w:shd w:val="clear" w:color="auto" w:fill="E0E0E0"/>
            <w:vAlign w:val="center"/>
          </w:tcPr>
          <w:p>
            <w:pPr>
              <w:rPr>
                <w:rFonts w:hint="default" w:ascii="Times New Roman" w:hAnsi="Times New Roman" w:cs="Times New Roman"/>
                <w:sz w:val="20"/>
                <w:szCs w:val="20"/>
              </w:rPr>
            </w:pPr>
          </w:p>
        </w:tc>
        <w:tc>
          <w:tcPr>
            <w:tcW w:w="2044" w:type="dxa"/>
            <w:gridSpan w:val="3"/>
            <w:tcBorders>
              <w:top w:val="single" w:color="auto" w:sz="6" w:space="0"/>
              <w:left w:val="single" w:color="auto" w:sz="6" w:space="0"/>
              <w:bottom w:val="single" w:color="auto" w:sz="6" w:space="0"/>
              <w:right w:val="single" w:color="auto" w:sz="6" w:space="0"/>
            </w:tcBorders>
            <w:shd w:val="clear" w:color="auto" w:fill="E0E0E0"/>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L≤1000</w:t>
            </w:r>
          </w:p>
        </w:tc>
        <w:tc>
          <w:tcPr>
            <w:tcW w:w="2045" w:type="dxa"/>
            <w:gridSpan w:val="3"/>
            <w:tcBorders>
              <w:top w:val="single" w:color="auto" w:sz="6" w:space="0"/>
              <w:left w:val="single" w:color="auto" w:sz="6" w:space="0"/>
              <w:bottom w:val="single" w:color="auto" w:sz="6" w:space="0"/>
              <w:right w:val="single" w:color="auto" w:sz="6" w:space="0"/>
            </w:tcBorders>
            <w:shd w:val="clear" w:color="auto" w:fill="E0E0E0"/>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1000&lt;L&lt;2000</w:t>
            </w:r>
          </w:p>
        </w:tc>
        <w:tc>
          <w:tcPr>
            <w:tcW w:w="2045" w:type="dxa"/>
            <w:gridSpan w:val="3"/>
            <w:tcBorders>
              <w:top w:val="single" w:color="auto" w:sz="6" w:space="0"/>
              <w:left w:val="single" w:color="auto" w:sz="6" w:space="0"/>
              <w:bottom w:val="single" w:color="auto" w:sz="6" w:space="0"/>
              <w:right w:val="nil"/>
            </w:tcBorders>
            <w:shd w:val="clear" w:color="auto" w:fill="E0E0E0"/>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L≥2000</w:t>
            </w:r>
          </w:p>
        </w:tc>
      </w:tr>
      <w:tr>
        <w:tblPrEx>
          <w:tblBorders>
            <w:top w:val="thinThickSmallGap" w:color="auto" w:sz="12" w:space="0"/>
            <w:left w:val="none" w:color="auto" w:sz="6" w:space="0"/>
            <w:bottom w:val="thinThick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763" w:type="dxa"/>
            <w:vMerge w:val="continue"/>
            <w:tcBorders>
              <w:top w:val="thinThickSmallGap" w:color="auto" w:sz="12" w:space="0"/>
              <w:left w:val="nil"/>
              <w:bottom w:val="single" w:color="auto" w:sz="6" w:space="0"/>
              <w:right w:val="single" w:color="auto" w:sz="6" w:space="0"/>
            </w:tcBorders>
            <w:shd w:val="clear" w:color="auto" w:fill="E0E0E0"/>
            <w:vAlign w:val="center"/>
          </w:tcPr>
          <w:p>
            <w:pPr>
              <w:rPr>
                <w:rFonts w:hint="default" w:ascii="Times New Roman" w:hAnsi="Times New Roman" w:cs="Times New Roman"/>
                <w:sz w:val="20"/>
                <w:szCs w:val="20"/>
              </w:rPr>
            </w:pPr>
          </w:p>
        </w:tc>
        <w:tc>
          <w:tcPr>
            <w:tcW w:w="1823" w:type="dxa"/>
            <w:vMerge w:val="continue"/>
            <w:tcBorders>
              <w:top w:val="thinThickSmallGap" w:color="auto" w:sz="12" w:space="0"/>
              <w:left w:val="single" w:color="auto" w:sz="6" w:space="0"/>
              <w:bottom w:val="single" w:color="auto" w:sz="6" w:space="0"/>
              <w:right w:val="single" w:color="auto" w:sz="6" w:space="0"/>
            </w:tcBorders>
            <w:shd w:val="clear" w:color="auto" w:fill="E0E0E0"/>
            <w:vAlign w:val="center"/>
          </w:tcPr>
          <w:p>
            <w:pPr>
              <w:rPr>
                <w:rFonts w:hint="default" w:ascii="Times New Roman" w:hAnsi="Times New Roman" w:cs="Times New Roman"/>
                <w:sz w:val="20"/>
                <w:szCs w:val="20"/>
              </w:rPr>
            </w:pPr>
          </w:p>
        </w:tc>
        <w:tc>
          <w:tcPr>
            <w:tcW w:w="681" w:type="dxa"/>
            <w:tcBorders>
              <w:top w:val="single" w:color="auto" w:sz="6" w:space="0"/>
              <w:left w:val="single" w:color="auto" w:sz="6" w:space="0"/>
              <w:bottom w:val="single" w:color="auto" w:sz="6" w:space="0"/>
              <w:right w:val="single" w:color="auto" w:sz="6" w:space="0"/>
            </w:tcBorders>
            <w:shd w:val="clear" w:color="auto" w:fill="E0E0E0"/>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I</w:t>
            </w:r>
          </w:p>
        </w:tc>
        <w:tc>
          <w:tcPr>
            <w:tcW w:w="682" w:type="dxa"/>
            <w:tcBorders>
              <w:top w:val="single" w:color="auto" w:sz="6" w:space="0"/>
              <w:left w:val="single" w:color="auto" w:sz="6" w:space="0"/>
              <w:bottom w:val="single" w:color="auto" w:sz="6" w:space="0"/>
              <w:right w:val="single" w:color="auto" w:sz="6" w:space="0"/>
            </w:tcBorders>
            <w:shd w:val="clear" w:color="auto" w:fill="E0E0E0"/>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II</w:t>
            </w:r>
          </w:p>
        </w:tc>
        <w:tc>
          <w:tcPr>
            <w:tcW w:w="681" w:type="dxa"/>
            <w:tcBorders>
              <w:top w:val="single" w:color="auto" w:sz="6" w:space="0"/>
              <w:left w:val="single" w:color="auto" w:sz="6" w:space="0"/>
              <w:bottom w:val="single" w:color="auto" w:sz="6" w:space="0"/>
              <w:right w:val="single" w:color="auto" w:sz="6" w:space="0"/>
            </w:tcBorders>
            <w:shd w:val="clear" w:color="auto" w:fill="E0E0E0"/>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III</w:t>
            </w:r>
          </w:p>
        </w:tc>
        <w:tc>
          <w:tcPr>
            <w:tcW w:w="682" w:type="dxa"/>
            <w:tcBorders>
              <w:top w:val="single" w:color="auto" w:sz="6" w:space="0"/>
              <w:left w:val="single" w:color="auto" w:sz="6" w:space="0"/>
              <w:bottom w:val="single" w:color="auto" w:sz="6" w:space="0"/>
              <w:right w:val="single" w:color="auto" w:sz="6" w:space="0"/>
            </w:tcBorders>
            <w:shd w:val="clear" w:color="auto" w:fill="E0E0E0"/>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I</w:t>
            </w:r>
          </w:p>
        </w:tc>
        <w:tc>
          <w:tcPr>
            <w:tcW w:w="681" w:type="dxa"/>
            <w:tcBorders>
              <w:top w:val="single" w:color="auto" w:sz="6" w:space="0"/>
              <w:left w:val="single" w:color="auto" w:sz="6" w:space="0"/>
              <w:bottom w:val="single" w:color="auto" w:sz="6" w:space="0"/>
              <w:right w:val="single" w:color="auto" w:sz="6" w:space="0"/>
            </w:tcBorders>
            <w:shd w:val="clear" w:color="auto" w:fill="E0E0E0"/>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II</w:t>
            </w:r>
          </w:p>
        </w:tc>
        <w:tc>
          <w:tcPr>
            <w:tcW w:w="682" w:type="dxa"/>
            <w:tcBorders>
              <w:top w:val="single" w:color="auto" w:sz="6" w:space="0"/>
              <w:left w:val="single" w:color="auto" w:sz="6" w:space="0"/>
              <w:bottom w:val="single" w:color="auto" w:sz="6" w:space="0"/>
              <w:right w:val="single" w:color="auto" w:sz="6" w:space="0"/>
            </w:tcBorders>
            <w:shd w:val="clear" w:color="auto" w:fill="E0E0E0"/>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III</w:t>
            </w:r>
          </w:p>
        </w:tc>
        <w:tc>
          <w:tcPr>
            <w:tcW w:w="681" w:type="dxa"/>
            <w:tcBorders>
              <w:top w:val="single" w:color="auto" w:sz="6" w:space="0"/>
              <w:left w:val="single" w:color="auto" w:sz="6" w:space="0"/>
              <w:bottom w:val="single" w:color="auto" w:sz="6" w:space="0"/>
              <w:right w:val="single" w:color="auto" w:sz="6" w:space="0"/>
            </w:tcBorders>
            <w:shd w:val="clear" w:color="auto" w:fill="E0E0E0"/>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I</w:t>
            </w:r>
          </w:p>
        </w:tc>
        <w:tc>
          <w:tcPr>
            <w:tcW w:w="682" w:type="dxa"/>
            <w:tcBorders>
              <w:top w:val="single" w:color="auto" w:sz="6" w:space="0"/>
              <w:left w:val="single" w:color="auto" w:sz="6" w:space="0"/>
              <w:bottom w:val="single" w:color="auto" w:sz="6" w:space="0"/>
              <w:right w:val="single" w:color="auto" w:sz="6" w:space="0"/>
            </w:tcBorders>
            <w:shd w:val="clear" w:color="auto" w:fill="E0E0E0"/>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II</w:t>
            </w:r>
          </w:p>
        </w:tc>
        <w:tc>
          <w:tcPr>
            <w:tcW w:w="682" w:type="dxa"/>
            <w:tcBorders>
              <w:top w:val="single" w:color="auto" w:sz="6" w:space="0"/>
              <w:left w:val="single" w:color="auto" w:sz="6" w:space="0"/>
              <w:bottom w:val="single" w:color="auto" w:sz="6" w:space="0"/>
              <w:right w:val="nil"/>
            </w:tcBorders>
            <w:shd w:val="clear" w:color="auto" w:fill="E0E0E0"/>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III</w:t>
            </w:r>
          </w:p>
        </w:tc>
      </w:tr>
      <w:tr>
        <w:tblPrEx>
          <w:tblBorders>
            <w:top w:val="thinThickSmallGap" w:color="auto" w:sz="12" w:space="0"/>
            <w:left w:val="none" w:color="auto" w:sz="6" w:space="0"/>
            <w:bottom w:val="thinThick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63" w:type="dxa"/>
            <w:vMerge w:val="restart"/>
            <w:tcBorders>
              <w:top w:val="single" w:color="auto" w:sz="6" w:space="0"/>
              <w:left w:val="nil"/>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A</w:t>
            </w:r>
          </w:p>
        </w:tc>
        <w:tc>
          <w:tcPr>
            <w:tcW w:w="1823"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&lt;2</w:t>
            </w:r>
          </w:p>
        </w:tc>
        <w:tc>
          <w:tcPr>
            <w:tcW w:w="681"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400</w:t>
            </w:r>
          </w:p>
        </w:tc>
        <w:tc>
          <w:tcPr>
            <w:tcW w:w="682"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400</w:t>
            </w:r>
          </w:p>
        </w:tc>
        <w:tc>
          <w:tcPr>
            <w:tcW w:w="681"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400</w:t>
            </w:r>
          </w:p>
        </w:tc>
        <w:tc>
          <w:tcPr>
            <w:tcW w:w="682"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400</w:t>
            </w:r>
          </w:p>
        </w:tc>
        <w:tc>
          <w:tcPr>
            <w:tcW w:w="681"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400</w:t>
            </w:r>
          </w:p>
        </w:tc>
        <w:tc>
          <w:tcPr>
            <w:tcW w:w="682"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400</w:t>
            </w:r>
          </w:p>
        </w:tc>
        <w:tc>
          <w:tcPr>
            <w:tcW w:w="681"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80</w:t>
            </w:r>
          </w:p>
        </w:tc>
        <w:tc>
          <w:tcPr>
            <w:tcW w:w="682"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80</w:t>
            </w:r>
          </w:p>
        </w:tc>
        <w:tc>
          <w:tcPr>
            <w:tcW w:w="682" w:type="dxa"/>
            <w:tcBorders>
              <w:top w:val="single" w:color="auto" w:sz="6" w:space="0"/>
              <w:left w:val="single" w:color="auto" w:sz="6" w:space="0"/>
              <w:bottom w:val="single" w:color="auto" w:sz="6" w:space="0"/>
              <w:right w:val="nil"/>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80</w:t>
            </w:r>
          </w:p>
        </w:tc>
      </w:tr>
      <w:tr>
        <w:tblPrEx>
          <w:tblBorders>
            <w:top w:val="thinThickSmallGap" w:color="auto" w:sz="12" w:space="0"/>
            <w:left w:val="none" w:color="auto" w:sz="6" w:space="0"/>
            <w:bottom w:val="thinThick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63"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823"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2-4</w:t>
            </w:r>
          </w:p>
        </w:tc>
        <w:tc>
          <w:tcPr>
            <w:tcW w:w="681"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700</w:t>
            </w:r>
          </w:p>
        </w:tc>
        <w:tc>
          <w:tcPr>
            <w:tcW w:w="682"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470</w:t>
            </w:r>
          </w:p>
        </w:tc>
        <w:tc>
          <w:tcPr>
            <w:tcW w:w="681"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350</w:t>
            </w:r>
          </w:p>
        </w:tc>
        <w:tc>
          <w:tcPr>
            <w:tcW w:w="682"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700</w:t>
            </w:r>
          </w:p>
        </w:tc>
        <w:tc>
          <w:tcPr>
            <w:tcW w:w="681"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470</w:t>
            </w:r>
          </w:p>
        </w:tc>
        <w:tc>
          <w:tcPr>
            <w:tcW w:w="682"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350</w:t>
            </w:r>
          </w:p>
        </w:tc>
        <w:tc>
          <w:tcPr>
            <w:tcW w:w="681"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380</w:t>
            </w:r>
          </w:p>
        </w:tc>
        <w:tc>
          <w:tcPr>
            <w:tcW w:w="682"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250</w:t>
            </w:r>
          </w:p>
        </w:tc>
        <w:tc>
          <w:tcPr>
            <w:tcW w:w="682" w:type="dxa"/>
            <w:tcBorders>
              <w:top w:val="single" w:color="auto" w:sz="6" w:space="0"/>
              <w:left w:val="single" w:color="auto" w:sz="6" w:space="0"/>
              <w:bottom w:val="single" w:color="auto" w:sz="6" w:space="0"/>
              <w:right w:val="nil"/>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190</w:t>
            </w:r>
          </w:p>
        </w:tc>
      </w:tr>
      <w:tr>
        <w:tblPrEx>
          <w:tblBorders>
            <w:top w:val="thinThickSmallGap" w:color="auto" w:sz="12" w:space="0"/>
            <w:left w:val="none" w:color="auto" w:sz="6" w:space="0"/>
            <w:bottom w:val="thinThick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63"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823"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&gt;4</w:t>
            </w:r>
          </w:p>
        </w:tc>
        <w:tc>
          <w:tcPr>
            <w:tcW w:w="681"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530</w:t>
            </w:r>
          </w:p>
        </w:tc>
        <w:tc>
          <w:tcPr>
            <w:tcW w:w="682"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350</w:t>
            </w:r>
          </w:p>
        </w:tc>
        <w:tc>
          <w:tcPr>
            <w:tcW w:w="681"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260</w:t>
            </w:r>
          </w:p>
        </w:tc>
        <w:tc>
          <w:tcPr>
            <w:tcW w:w="682"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530</w:t>
            </w:r>
          </w:p>
        </w:tc>
        <w:tc>
          <w:tcPr>
            <w:tcW w:w="681"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350</w:t>
            </w:r>
          </w:p>
        </w:tc>
        <w:tc>
          <w:tcPr>
            <w:tcW w:w="682"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260</w:t>
            </w:r>
          </w:p>
        </w:tc>
        <w:tc>
          <w:tcPr>
            <w:tcW w:w="681"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290</w:t>
            </w:r>
          </w:p>
        </w:tc>
        <w:tc>
          <w:tcPr>
            <w:tcW w:w="682"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190</w:t>
            </w:r>
          </w:p>
        </w:tc>
        <w:tc>
          <w:tcPr>
            <w:tcW w:w="682" w:type="dxa"/>
            <w:tcBorders>
              <w:top w:val="single" w:color="auto" w:sz="6" w:space="0"/>
              <w:left w:val="single" w:color="auto" w:sz="6" w:space="0"/>
              <w:bottom w:val="single" w:color="auto" w:sz="6" w:space="0"/>
              <w:right w:val="nil"/>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140</w:t>
            </w:r>
          </w:p>
        </w:tc>
      </w:tr>
      <w:tr>
        <w:tblPrEx>
          <w:tblBorders>
            <w:top w:val="thinThickSmallGap" w:color="auto" w:sz="12" w:space="0"/>
            <w:left w:val="none" w:color="auto" w:sz="6" w:space="0"/>
            <w:bottom w:val="thinThick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63" w:type="dxa"/>
            <w:vMerge w:val="restart"/>
            <w:tcBorders>
              <w:top w:val="single" w:color="auto" w:sz="6" w:space="0"/>
              <w:left w:val="nil"/>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B</w:t>
            </w:r>
          </w:p>
        </w:tc>
        <w:tc>
          <w:tcPr>
            <w:tcW w:w="1823"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&lt;2</w:t>
            </w:r>
          </w:p>
        </w:tc>
        <w:tc>
          <w:tcPr>
            <w:tcW w:w="2044" w:type="dxa"/>
            <w:gridSpan w:val="3"/>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0.01</w:t>
            </w:r>
          </w:p>
        </w:tc>
        <w:tc>
          <w:tcPr>
            <w:tcW w:w="2045" w:type="dxa"/>
            <w:gridSpan w:val="3"/>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0.015</w:t>
            </w:r>
          </w:p>
        </w:tc>
        <w:tc>
          <w:tcPr>
            <w:tcW w:w="2045" w:type="dxa"/>
            <w:gridSpan w:val="3"/>
            <w:tcBorders>
              <w:top w:val="single" w:color="auto" w:sz="6" w:space="0"/>
              <w:left w:val="single" w:color="auto" w:sz="6" w:space="0"/>
              <w:bottom w:val="single" w:color="auto" w:sz="6" w:space="0"/>
              <w:right w:val="nil"/>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0.015</w:t>
            </w:r>
          </w:p>
        </w:tc>
      </w:tr>
      <w:tr>
        <w:tblPrEx>
          <w:tblBorders>
            <w:top w:val="thinThickSmallGap" w:color="auto" w:sz="12" w:space="0"/>
            <w:left w:val="none" w:color="auto" w:sz="6" w:space="0"/>
            <w:bottom w:val="thinThick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63"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823"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&gt;2</w:t>
            </w:r>
          </w:p>
        </w:tc>
        <w:tc>
          <w:tcPr>
            <w:tcW w:w="2044" w:type="dxa"/>
            <w:gridSpan w:val="3"/>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0.021</w:t>
            </w:r>
          </w:p>
        </w:tc>
        <w:tc>
          <w:tcPr>
            <w:tcW w:w="2045" w:type="dxa"/>
            <w:gridSpan w:val="3"/>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0.036</w:t>
            </w:r>
          </w:p>
        </w:tc>
        <w:tc>
          <w:tcPr>
            <w:tcW w:w="2045" w:type="dxa"/>
            <w:gridSpan w:val="3"/>
            <w:tcBorders>
              <w:top w:val="single" w:color="auto" w:sz="6" w:space="0"/>
              <w:left w:val="single" w:color="auto" w:sz="6" w:space="0"/>
              <w:bottom w:val="single" w:color="auto" w:sz="6" w:space="0"/>
              <w:right w:val="nil"/>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0.036</w:t>
            </w:r>
          </w:p>
        </w:tc>
      </w:tr>
      <w:tr>
        <w:tblPrEx>
          <w:tblBorders>
            <w:top w:val="thinThickSmallGap" w:color="auto" w:sz="12" w:space="0"/>
            <w:left w:val="none" w:color="auto" w:sz="6" w:space="0"/>
            <w:bottom w:val="thinThick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63" w:type="dxa"/>
            <w:vMerge w:val="restart"/>
            <w:tcBorders>
              <w:top w:val="single" w:color="auto" w:sz="6" w:space="0"/>
              <w:left w:val="nil"/>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C</w:t>
            </w:r>
          </w:p>
        </w:tc>
        <w:tc>
          <w:tcPr>
            <w:tcW w:w="1823"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&lt;2</w:t>
            </w:r>
          </w:p>
        </w:tc>
        <w:tc>
          <w:tcPr>
            <w:tcW w:w="2044" w:type="dxa"/>
            <w:gridSpan w:val="3"/>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1.85</w:t>
            </w:r>
          </w:p>
        </w:tc>
        <w:tc>
          <w:tcPr>
            <w:tcW w:w="2045" w:type="dxa"/>
            <w:gridSpan w:val="3"/>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1.79</w:t>
            </w:r>
          </w:p>
        </w:tc>
        <w:tc>
          <w:tcPr>
            <w:tcW w:w="2045" w:type="dxa"/>
            <w:gridSpan w:val="3"/>
            <w:tcBorders>
              <w:top w:val="single" w:color="auto" w:sz="6" w:space="0"/>
              <w:left w:val="single" w:color="auto" w:sz="6" w:space="0"/>
              <w:bottom w:val="single" w:color="auto" w:sz="6" w:space="0"/>
              <w:right w:val="nil"/>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1.79</w:t>
            </w:r>
          </w:p>
        </w:tc>
      </w:tr>
      <w:tr>
        <w:tblPrEx>
          <w:tblBorders>
            <w:top w:val="thinThickSmallGap" w:color="auto" w:sz="12" w:space="0"/>
            <w:left w:val="none" w:color="auto" w:sz="6" w:space="0"/>
            <w:bottom w:val="thinThick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63"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823"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&gt;2</w:t>
            </w:r>
          </w:p>
        </w:tc>
        <w:tc>
          <w:tcPr>
            <w:tcW w:w="2044" w:type="dxa"/>
            <w:gridSpan w:val="3"/>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1.85</w:t>
            </w:r>
          </w:p>
        </w:tc>
        <w:tc>
          <w:tcPr>
            <w:tcW w:w="2045" w:type="dxa"/>
            <w:gridSpan w:val="3"/>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1.77</w:t>
            </w:r>
          </w:p>
        </w:tc>
        <w:tc>
          <w:tcPr>
            <w:tcW w:w="2045" w:type="dxa"/>
            <w:gridSpan w:val="3"/>
            <w:tcBorders>
              <w:top w:val="single" w:color="auto" w:sz="6" w:space="0"/>
              <w:left w:val="single" w:color="auto" w:sz="6" w:space="0"/>
              <w:bottom w:val="single" w:color="auto" w:sz="6" w:space="0"/>
              <w:right w:val="nil"/>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1.77</w:t>
            </w:r>
          </w:p>
        </w:tc>
      </w:tr>
      <w:tr>
        <w:tblPrEx>
          <w:tblBorders>
            <w:top w:val="thinThickSmallGap" w:color="auto" w:sz="12" w:space="0"/>
            <w:left w:val="none" w:color="auto" w:sz="6" w:space="0"/>
            <w:bottom w:val="thinThick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63" w:type="dxa"/>
            <w:vMerge w:val="restart"/>
            <w:tcBorders>
              <w:top w:val="single" w:color="auto" w:sz="6" w:space="0"/>
              <w:left w:val="nil"/>
              <w:bottom w:val="thinThickSmallGap" w:color="auto" w:sz="12"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D</w:t>
            </w:r>
          </w:p>
        </w:tc>
        <w:tc>
          <w:tcPr>
            <w:tcW w:w="1823" w:type="dxa"/>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&lt;2</w:t>
            </w:r>
          </w:p>
        </w:tc>
        <w:tc>
          <w:tcPr>
            <w:tcW w:w="2044" w:type="dxa"/>
            <w:gridSpan w:val="3"/>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0.78</w:t>
            </w:r>
          </w:p>
        </w:tc>
        <w:tc>
          <w:tcPr>
            <w:tcW w:w="2045" w:type="dxa"/>
            <w:gridSpan w:val="3"/>
            <w:tcBorders>
              <w:top w:val="single" w:color="auto" w:sz="6" w:space="0"/>
              <w:left w:val="single" w:color="auto" w:sz="6" w:space="0"/>
              <w:bottom w:val="single" w:color="auto" w:sz="6"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0.78</w:t>
            </w:r>
          </w:p>
        </w:tc>
        <w:tc>
          <w:tcPr>
            <w:tcW w:w="2045" w:type="dxa"/>
            <w:gridSpan w:val="3"/>
            <w:tcBorders>
              <w:top w:val="single" w:color="auto" w:sz="6" w:space="0"/>
              <w:left w:val="single" w:color="auto" w:sz="6" w:space="0"/>
              <w:bottom w:val="single" w:color="auto" w:sz="6" w:space="0"/>
              <w:right w:val="nil"/>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0.57</w:t>
            </w:r>
          </w:p>
        </w:tc>
      </w:tr>
      <w:tr>
        <w:tblPrEx>
          <w:tblBorders>
            <w:top w:val="thinThickSmallGap" w:color="auto" w:sz="12" w:space="0"/>
            <w:left w:val="none" w:color="auto" w:sz="6" w:space="0"/>
            <w:bottom w:val="thinThick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63" w:type="dxa"/>
            <w:vMerge w:val="continue"/>
            <w:tcBorders>
              <w:top w:val="single" w:color="auto" w:sz="6" w:space="0"/>
              <w:left w:val="nil"/>
              <w:bottom w:val="thinThick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1823" w:type="dxa"/>
            <w:tcBorders>
              <w:top w:val="single" w:color="auto" w:sz="6" w:space="0"/>
              <w:left w:val="single" w:color="auto" w:sz="6" w:space="0"/>
              <w:bottom w:val="thinThickSmallGap" w:color="auto" w:sz="12"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&gt;2</w:t>
            </w:r>
          </w:p>
        </w:tc>
        <w:tc>
          <w:tcPr>
            <w:tcW w:w="2044" w:type="dxa"/>
            <w:gridSpan w:val="3"/>
            <w:tcBorders>
              <w:top w:val="single" w:color="auto" w:sz="6" w:space="0"/>
              <w:left w:val="single" w:color="auto" w:sz="6" w:space="0"/>
              <w:bottom w:val="thinThickSmallGap" w:color="auto" w:sz="12"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0.84</w:t>
            </w:r>
          </w:p>
        </w:tc>
        <w:tc>
          <w:tcPr>
            <w:tcW w:w="2045" w:type="dxa"/>
            <w:gridSpan w:val="3"/>
            <w:tcBorders>
              <w:top w:val="single" w:color="auto" w:sz="6" w:space="0"/>
              <w:left w:val="single" w:color="auto" w:sz="6" w:space="0"/>
              <w:bottom w:val="thinThickSmallGap" w:color="auto" w:sz="12" w:space="0"/>
              <w:right w:val="single" w:color="auto" w:sz="6" w:space="0"/>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0.84</w:t>
            </w:r>
          </w:p>
        </w:tc>
        <w:tc>
          <w:tcPr>
            <w:tcW w:w="2045" w:type="dxa"/>
            <w:gridSpan w:val="3"/>
            <w:tcBorders>
              <w:top w:val="single" w:color="auto" w:sz="6" w:space="0"/>
              <w:left w:val="single" w:color="auto" w:sz="6" w:space="0"/>
              <w:bottom w:val="thinThickSmallGap" w:color="auto" w:sz="12" w:space="0"/>
              <w:right w:val="nil"/>
            </w:tcBorders>
            <w:shd w:val="clear"/>
            <w:vAlign w:val="center"/>
          </w:tcPr>
          <w:p>
            <w:pPr>
              <w:pStyle w:val="13"/>
              <w:widowControl/>
              <w:spacing w:line="240" w:lineRule="auto"/>
              <w:jc w:val="center"/>
              <w:rPr>
                <w:rFonts w:hint="default" w:ascii="Times New Roman" w:hAnsi="Times New Roman" w:cs="Times New Roman"/>
                <w:color w:val="000000"/>
                <w:sz w:val="21"/>
                <w:szCs w:val="21"/>
                <w:bdr w:val="none" w:color="auto" w:sz="0" w:space="0"/>
                <w:lang w:val="en-US" w:eastAsia="zh-CN"/>
              </w:rPr>
            </w:pPr>
            <w:r>
              <w:rPr>
                <w:rFonts w:hint="default" w:ascii="Times New Roman" w:hAnsi="Times New Roman" w:cs="Times New Roman"/>
                <w:color w:val="000000"/>
                <w:sz w:val="21"/>
                <w:szCs w:val="21"/>
                <w:bdr w:val="none" w:color="auto" w:sz="0" w:space="0"/>
                <w:lang w:val="en-US" w:eastAsia="zh-CN"/>
              </w:rPr>
              <w:t>0.76</w:t>
            </w:r>
          </w:p>
        </w:tc>
      </w:tr>
    </w:tbl>
    <w:p>
      <w:pPr>
        <w:pStyle w:val="23"/>
        <w:widowControl/>
        <w:adjustRightInd w:val="0"/>
        <w:snapToGrid w:val="0"/>
        <w:ind w:left="0"/>
        <w:rPr>
          <w:rFonts w:hint="eastAsia" w:ascii="宋体" w:hAnsi="宋体" w:eastAsia="宋体" w:cs="Times New Roman"/>
          <w:color w:val="000000"/>
          <w:sz w:val="21"/>
          <w:szCs w:val="21"/>
          <w:lang/>
        </w:rPr>
      </w:pPr>
      <w:r>
        <w:rPr>
          <w:rFonts w:hint="eastAsia" w:ascii="宋体" w:hAnsi="宋体" w:eastAsia="宋体" w:cs="Times New Roman"/>
          <w:color w:val="000000"/>
          <w:sz w:val="21"/>
          <w:szCs w:val="21"/>
          <w:lang/>
        </w:rPr>
        <w:t>注：工业企业大气污染源构成分为三类。I类：与无组织排放源共存的排放同种有害气体的排气筒的排放量，大于标准规定的允许排放量的1/3。II类：与无组织排放源共存的排放同种有害气体的排气筒的排放量，小于标准规定的允许排放量的1/3，或虽无排放同种大气污染物之排气筒共存，但无组织排放的有害物质的容许浓度指标是按急性反应指标确定者。III类：无排放同种有害气体的排气筒与无组织排放源共存，且无组织排放的有害物质的容许浓度是按慢性反应指标确定者。</w:t>
      </w:r>
    </w:p>
    <w:p>
      <w:pPr>
        <w:keepNext w:val="0"/>
        <w:keepLines w:val="0"/>
        <w:widowControl/>
        <w:suppressLineNumbers w:val="0"/>
        <w:adjustRightInd w:val="0"/>
        <w:spacing w:before="0" w:beforeAutospacing="0" w:after="0" w:afterAutospacing="0" w:line="500" w:lineRule="exact"/>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根据以上公式和系数计算本项目卫生防护距离结果见表</w:t>
      </w:r>
      <w:r>
        <w:rPr>
          <w:rFonts w:hint="default" w:ascii="Times New Roman" w:hAnsi="Times New Roman" w:eastAsia="宋体" w:cs="Times New Roman"/>
          <w:color w:val="000000"/>
          <w:kern w:val="0"/>
          <w:sz w:val="24"/>
          <w:szCs w:val="24"/>
          <w:lang w:val="en-US" w:eastAsia="zh-CN" w:bidi="ar"/>
        </w:rPr>
        <w:t>5.2-26</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851"/>
          <w:tab w:val="left" w:pos="1141"/>
          <w:tab w:val="left" w:pos="4335"/>
        </w:tabs>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5.2-26  </w:t>
      </w:r>
      <w:r>
        <w:rPr>
          <w:rFonts w:hint="eastAsia" w:ascii="Times New Roman" w:hAnsi="Times New Roman" w:eastAsia="黑体" w:cs="Times New Roman"/>
          <w:color w:val="000000"/>
          <w:kern w:val="0"/>
          <w:sz w:val="24"/>
          <w:szCs w:val="24"/>
          <w:lang w:val="en-US" w:eastAsia="zh-CN" w:bidi="ar"/>
        </w:rPr>
        <w:t>卫生防护距离计算结果统计</w:t>
      </w:r>
    </w:p>
    <w:tbl>
      <w:tblPr>
        <w:tblStyle w:val="32"/>
        <w:tblW w:w="4950"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232"/>
        <w:gridCol w:w="1087"/>
        <w:gridCol w:w="1087"/>
        <w:gridCol w:w="1282"/>
        <w:gridCol w:w="1154"/>
        <w:gridCol w:w="1431"/>
        <w:gridCol w:w="1367"/>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blHeader/>
          <w:jc w:val="center"/>
        </w:trPr>
        <w:tc>
          <w:tcPr>
            <w:tcW w:w="713" w:type="pct"/>
            <w:vMerge w:val="restart"/>
            <w:tcBorders>
              <w:top w:val="thinThickSmallGap" w:color="auto" w:sz="12" w:space="0"/>
              <w:left w:val="nil"/>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污染源</w:t>
            </w:r>
          </w:p>
        </w:tc>
        <w:tc>
          <w:tcPr>
            <w:tcW w:w="629" w:type="pct"/>
            <w:vMerge w:val="restart"/>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污染物</w:t>
            </w:r>
          </w:p>
        </w:tc>
        <w:tc>
          <w:tcPr>
            <w:tcW w:w="629" w:type="pct"/>
            <w:vMerge w:val="restart"/>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近</w:t>
            </w:r>
            <w:r>
              <w:rPr>
                <w:rFonts w:hint="default" w:ascii="Times New Roman" w:hAnsi="Times New Roman" w:eastAsia="宋体" w:cs="Times New Roman"/>
                <w:color w:val="000000"/>
                <w:kern w:val="0"/>
                <w:sz w:val="21"/>
                <w:szCs w:val="21"/>
                <w:bdr w:val="none" w:color="auto" w:sz="0" w:space="0"/>
                <w:lang w:val="en-US" w:eastAsia="zh-CN" w:bidi="ar"/>
              </w:rPr>
              <w:t>5</w:t>
            </w:r>
            <w:r>
              <w:rPr>
                <w:rFonts w:hint="eastAsia" w:ascii="Times New Roman" w:hAnsi="Times New Roman" w:eastAsia="宋体" w:cs="Times New Roman"/>
                <w:color w:val="000000"/>
                <w:kern w:val="0"/>
                <w:sz w:val="21"/>
                <w:szCs w:val="21"/>
                <w:bdr w:val="none" w:color="auto" w:sz="0" w:space="0"/>
                <w:lang w:val="en-US" w:eastAsia="zh-CN" w:bidi="ar"/>
              </w:rPr>
              <w:t>年平均风速（</w:t>
            </w:r>
            <w:r>
              <w:rPr>
                <w:rFonts w:hint="default" w:ascii="Times New Roman" w:hAnsi="Times New Roman" w:eastAsia="宋体" w:cs="Times New Roman"/>
                <w:color w:val="000000"/>
                <w:kern w:val="0"/>
                <w:sz w:val="21"/>
                <w:szCs w:val="21"/>
                <w:bdr w:val="none" w:color="auto" w:sz="0" w:space="0"/>
                <w:lang w:val="en-US" w:eastAsia="zh-CN" w:bidi="ar"/>
              </w:rPr>
              <w:t>m/s</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742" w:type="pct"/>
            <w:vMerge w:val="restart"/>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生产单元占地面积（</w:t>
            </w:r>
            <w:r>
              <w:rPr>
                <w:rFonts w:hint="default" w:ascii="Times New Roman" w:hAnsi="Times New Roman" w:eastAsia="宋体" w:cs="Times New Roman"/>
                <w:color w:val="000000"/>
                <w:kern w:val="0"/>
                <w:sz w:val="21"/>
                <w:szCs w:val="21"/>
                <w:bdr w:val="none" w:color="auto" w:sz="0" w:space="0"/>
                <w:lang w:val="en-US" w:eastAsia="zh-CN" w:bidi="ar"/>
              </w:rPr>
              <w:t>m</w:t>
            </w:r>
            <w:r>
              <w:rPr>
                <w:rFonts w:hint="default" w:ascii="Times New Roman" w:hAnsi="Times New Roman" w:eastAsia="宋体" w:cs="Times New Roman"/>
                <w:color w:val="000000"/>
                <w:kern w:val="0"/>
                <w:sz w:val="21"/>
                <w:szCs w:val="21"/>
                <w:bdr w:val="none" w:color="auto" w:sz="0" w:space="0"/>
                <w:vertAlign w:val="superscript"/>
                <w:lang w:val="en-US" w:eastAsia="zh-CN" w:bidi="ar"/>
              </w:rPr>
              <w:t>2</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668" w:type="pct"/>
            <w:vMerge w:val="restart"/>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排放量</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w:t>
            </w:r>
            <w:r>
              <w:rPr>
                <w:rFonts w:hint="default" w:ascii="Times New Roman" w:hAnsi="Times New Roman" w:eastAsia="宋体" w:cs="Times New Roman"/>
                <w:color w:val="000000"/>
                <w:kern w:val="0"/>
                <w:sz w:val="21"/>
                <w:szCs w:val="21"/>
                <w:bdr w:val="none" w:color="auto" w:sz="0" w:space="0"/>
                <w:lang w:val="en-US" w:eastAsia="zh-CN" w:bidi="ar"/>
              </w:rPr>
              <w:t>kg/h</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1619" w:type="pct"/>
            <w:gridSpan w:val="2"/>
            <w:tcBorders>
              <w:top w:val="thinThickSmallGap" w:color="auto" w:sz="12" w:space="0"/>
              <w:left w:val="single" w:color="auto" w:sz="6" w:space="0"/>
              <w:bottom w:val="single" w:color="auto" w:sz="6" w:space="0"/>
              <w:right w:val="nil"/>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卫生防护距离（</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713" w:type="pct"/>
            <w:vMerge w:val="continue"/>
            <w:tcBorders>
              <w:top w:val="thinThickSmallGap" w:color="auto" w:sz="12" w:space="0"/>
              <w:left w:val="nil"/>
              <w:bottom w:val="single" w:color="auto" w:sz="6" w:space="0"/>
              <w:right w:val="single" w:color="auto" w:sz="6" w:space="0"/>
            </w:tcBorders>
            <w:shd w:val="clear" w:color="auto" w:fill="DDDDDD"/>
            <w:vAlign w:val="center"/>
          </w:tcPr>
          <w:p>
            <w:pPr>
              <w:rPr>
                <w:rFonts w:hint="default" w:ascii="Times New Roman" w:hAnsi="Times New Roman" w:cs="Times New Roman"/>
                <w:sz w:val="20"/>
                <w:szCs w:val="20"/>
              </w:rPr>
            </w:pPr>
          </w:p>
        </w:tc>
        <w:tc>
          <w:tcPr>
            <w:tcW w:w="629" w:type="pct"/>
            <w:vMerge w:val="continue"/>
            <w:tcBorders>
              <w:top w:val="thinThickSmallGap" w:color="auto" w:sz="12" w:space="0"/>
              <w:left w:val="single" w:color="auto" w:sz="6" w:space="0"/>
              <w:bottom w:val="single" w:color="auto" w:sz="6" w:space="0"/>
              <w:right w:val="single" w:color="auto" w:sz="6" w:space="0"/>
            </w:tcBorders>
            <w:shd w:val="clear" w:color="auto" w:fill="DDDDDD"/>
            <w:vAlign w:val="center"/>
          </w:tcPr>
          <w:p>
            <w:pPr>
              <w:rPr>
                <w:rFonts w:hint="default" w:ascii="Times New Roman" w:hAnsi="Times New Roman" w:cs="Times New Roman"/>
                <w:sz w:val="20"/>
                <w:szCs w:val="20"/>
              </w:rPr>
            </w:pPr>
          </w:p>
        </w:tc>
        <w:tc>
          <w:tcPr>
            <w:tcW w:w="629" w:type="pct"/>
            <w:vMerge w:val="continue"/>
            <w:tcBorders>
              <w:top w:val="thinThickSmallGap" w:color="auto" w:sz="12" w:space="0"/>
              <w:left w:val="single" w:color="auto" w:sz="6" w:space="0"/>
              <w:bottom w:val="single" w:color="auto" w:sz="6" w:space="0"/>
              <w:right w:val="single" w:color="auto" w:sz="6" w:space="0"/>
            </w:tcBorders>
            <w:shd w:val="clear" w:color="auto" w:fill="DDDDDD"/>
            <w:vAlign w:val="center"/>
          </w:tcPr>
          <w:p>
            <w:pPr>
              <w:rPr>
                <w:rFonts w:hint="default" w:ascii="Times New Roman" w:hAnsi="Times New Roman" w:cs="Times New Roman"/>
                <w:sz w:val="20"/>
                <w:szCs w:val="20"/>
              </w:rPr>
            </w:pPr>
          </w:p>
        </w:tc>
        <w:tc>
          <w:tcPr>
            <w:tcW w:w="742" w:type="pct"/>
            <w:vMerge w:val="continue"/>
            <w:tcBorders>
              <w:top w:val="thinThickSmallGap" w:color="auto" w:sz="12" w:space="0"/>
              <w:left w:val="single" w:color="auto" w:sz="6" w:space="0"/>
              <w:bottom w:val="single" w:color="auto" w:sz="6" w:space="0"/>
              <w:right w:val="single" w:color="auto" w:sz="6" w:space="0"/>
            </w:tcBorders>
            <w:shd w:val="clear" w:color="auto" w:fill="DDDDDD"/>
            <w:vAlign w:val="center"/>
          </w:tcPr>
          <w:p>
            <w:pPr>
              <w:rPr>
                <w:rFonts w:hint="default" w:ascii="Times New Roman" w:hAnsi="Times New Roman" w:cs="Times New Roman"/>
                <w:sz w:val="20"/>
                <w:szCs w:val="20"/>
              </w:rPr>
            </w:pPr>
          </w:p>
        </w:tc>
        <w:tc>
          <w:tcPr>
            <w:tcW w:w="668" w:type="pct"/>
            <w:vMerge w:val="continue"/>
            <w:tcBorders>
              <w:top w:val="thinThickSmallGap" w:color="auto" w:sz="12" w:space="0"/>
              <w:left w:val="single" w:color="auto" w:sz="6" w:space="0"/>
              <w:bottom w:val="single" w:color="auto" w:sz="6" w:space="0"/>
              <w:right w:val="single" w:color="auto" w:sz="6" w:space="0"/>
            </w:tcBorders>
            <w:shd w:val="clear" w:color="auto" w:fill="DDDDDD"/>
            <w:vAlign w:val="center"/>
          </w:tcPr>
          <w:p>
            <w:pPr>
              <w:rPr>
                <w:rFonts w:hint="default" w:ascii="Times New Roman" w:hAnsi="Times New Roman" w:cs="Times New Roman"/>
                <w:sz w:val="20"/>
                <w:szCs w:val="20"/>
              </w:rPr>
            </w:pPr>
          </w:p>
        </w:tc>
        <w:tc>
          <w:tcPr>
            <w:tcW w:w="828" w:type="pct"/>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计算值</w:t>
            </w:r>
          </w:p>
        </w:tc>
        <w:tc>
          <w:tcPr>
            <w:tcW w:w="791" w:type="pct"/>
            <w:tcBorders>
              <w:top w:val="single" w:color="auto" w:sz="6" w:space="0"/>
              <w:left w:val="single" w:color="auto" w:sz="6" w:space="0"/>
              <w:bottom w:val="single" w:color="auto" w:sz="6" w:space="0"/>
              <w:right w:val="nil"/>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调级后确定距离</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破碎车间</w:t>
            </w:r>
          </w:p>
        </w:tc>
        <w:tc>
          <w:tcPr>
            <w:tcW w:w="62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颗粒物</w:t>
            </w:r>
          </w:p>
        </w:tc>
        <w:tc>
          <w:tcPr>
            <w:tcW w:w="0" w:type="auto"/>
            <w:vMerge w:val="restar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2.8</w:t>
            </w:r>
          </w:p>
        </w:tc>
        <w:tc>
          <w:tcPr>
            <w:tcW w:w="0" w:type="auto"/>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1400</w:t>
            </w:r>
          </w:p>
        </w:tc>
        <w:tc>
          <w:tcPr>
            <w:tcW w:w="6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0.11</w:t>
            </w:r>
          </w:p>
        </w:tc>
        <w:tc>
          <w:tcPr>
            <w:tcW w:w="82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7.5</w:t>
            </w:r>
          </w:p>
        </w:tc>
        <w:tc>
          <w:tcPr>
            <w:tcW w:w="79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PrEx>
        <w:trPr>
          <w:trHeight w:val="340" w:hRule="atLeast"/>
          <w:jc w:val="center"/>
        </w:trPr>
        <w:tc>
          <w:tcPr>
            <w:tcW w:w="0" w:type="auto"/>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原料库</w:t>
            </w:r>
          </w:p>
        </w:tc>
        <w:tc>
          <w:tcPr>
            <w:tcW w:w="62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颗粒物</w:t>
            </w:r>
          </w:p>
        </w:tc>
        <w:tc>
          <w:tcPr>
            <w:tcW w:w="0" w:type="auto"/>
            <w:vMerge w:val="continue"/>
            <w:tcBorders>
              <w:top w:val="single" w:color="auto" w:sz="6" w:space="0"/>
              <w:left w:val="single" w:color="auto" w:sz="6" w:space="0"/>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0" w:type="auto"/>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900</w:t>
            </w:r>
          </w:p>
        </w:tc>
        <w:tc>
          <w:tcPr>
            <w:tcW w:w="6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0.7</w:t>
            </w:r>
          </w:p>
        </w:tc>
        <w:tc>
          <w:tcPr>
            <w:tcW w:w="82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65.3</w:t>
            </w:r>
          </w:p>
        </w:tc>
        <w:tc>
          <w:tcPr>
            <w:tcW w:w="79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精矿库</w:t>
            </w:r>
          </w:p>
        </w:tc>
        <w:tc>
          <w:tcPr>
            <w:tcW w:w="62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颗粒物</w:t>
            </w:r>
          </w:p>
        </w:tc>
        <w:tc>
          <w:tcPr>
            <w:tcW w:w="0" w:type="auto"/>
            <w:vMerge w:val="continue"/>
            <w:tcBorders>
              <w:top w:val="single" w:color="auto" w:sz="6" w:space="0"/>
              <w:left w:val="single" w:color="auto" w:sz="6" w:space="0"/>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0" w:type="auto"/>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1260</w:t>
            </w:r>
          </w:p>
        </w:tc>
        <w:tc>
          <w:tcPr>
            <w:tcW w:w="66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0.34</w:t>
            </w:r>
          </w:p>
        </w:tc>
        <w:tc>
          <w:tcPr>
            <w:tcW w:w="82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28.9</w:t>
            </w:r>
          </w:p>
        </w:tc>
        <w:tc>
          <w:tcPr>
            <w:tcW w:w="791"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尾矿库</w:t>
            </w:r>
          </w:p>
        </w:tc>
        <w:tc>
          <w:tcPr>
            <w:tcW w:w="629"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颗粒物</w:t>
            </w:r>
          </w:p>
        </w:tc>
        <w:tc>
          <w:tcPr>
            <w:tcW w:w="0" w:type="auto"/>
            <w:vMerge w:val="continue"/>
            <w:tcBorders>
              <w:top w:val="single" w:color="auto" w:sz="6" w:space="0"/>
              <w:left w:val="single" w:color="auto" w:sz="6" w:space="0"/>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0" w:type="auto"/>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630</w:t>
            </w:r>
          </w:p>
        </w:tc>
        <w:tc>
          <w:tcPr>
            <w:tcW w:w="668"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0.07</w:t>
            </w:r>
          </w:p>
        </w:tc>
        <w:tc>
          <w:tcPr>
            <w:tcW w:w="828"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7.0</w:t>
            </w:r>
          </w:p>
        </w:tc>
        <w:tc>
          <w:tcPr>
            <w:tcW w:w="791"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50</w:t>
            </w:r>
          </w:p>
        </w:tc>
      </w:tr>
    </w:tbl>
    <w:p>
      <w:pPr>
        <w:keepNext w:val="0"/>
        <w:keepLines w:val="0"/>
        <w:widowControl/>
        <w:suppressLineNumbers w:val="0"/>
        <w:adjustRightInd w:val="0"/>
        <w:spacing w:before="0" w:beforeAutospacing="0" w:after="0" w:afterAutospacing="0" w:line="500" w:lineRule="exact"/>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本项目的卫生防护距离包络线范围见图</w:t>
      </w:r>
      <w:r>
        <w:rPr>
          <w:rFonts w:hint="default" w:ascii="Times New Roman" w:hAnsi="Times New Roman" w:eastAsia="宋体" w:cs="Times New Roman"/>
          <w:color w:val="000000"/>
          <w:kern w:val="0"/>
          <w:sz w:val="24"/>
          <w:szCs w:val="24"/>
          <w:lang w:val="en-US" w:eastAsia="zh-CN" w:bidi="ar"/>
        </w:rPr>
        <w:t>5-11</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line="500" w:lineRule="exact"/>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根据本项目周围环境概况及卫生防护距离包络线范围图，本项目卫生防护距离范围内无居民等环境敏感目标，且今后不得新建居民、学校等环境敏感目标。</w:t>
      </w:r>
    </w:p>
    <w:p>
      <w:pPr>
        <w:keepNext w:val="0"/>
        <w:keepLines w:val="0"/>
        <w:widowControl/>
        <w:suppressLineNumbers w:val="0"/>
        <w:adjustRightInd w:val="0"/>
        <w:spacing w:before="0" w:beforeAutospacing="0" w:after="0" w:afterAutospacing="0" w:line="500" w:lineRule="exact"/>
        <w:ind w:left="0" w:right="0" w:firstLine="482"/>
        <w:jc w:val="left"/>
        <w:rPr>
          <w:rFonts w:hint="default" w:ascii="Times New Roman" w:hAnsi="Times New Roman" w:cs="Times New Roman"/>
          <w:color w:val="000000"/>
          <w:lang w:val="en-US"/>
        </w:rPr>
      </w:pPr>
    </w:p>
    <w:p>
      <w:pPr>
        <w:keepNext w:val="0"/>
        <w:keepLines w:val="0"/>
        <w:widowControl/>
        <w:suppressLineNumbers w:val="0"/>
        <w:adjustRightInd w:val="0"/>
        <w:spacing w:before="0" w:beforeAutospacing="0" w:after="0" w:afterAutospacing="0" w:line="500" w:lineRule="exact"/>
        <w:ind w:left="0" w:right="0" w:firstLine="482"/>
        <w:jc w:val="left"/>
        <w:rPr>
          <w:rFonts w:hint="default" w:ascii="Times New Roman" w:hAnsi="Times New Roman" w:cs="Times New Roman"/>
          <w:color w:val="000000"/>
          <w:lang w:val="en-US"/>
        </w:rPr>
      </w:pPr>
    </w:p>
    <w:p>
      <w:pPr>
        <w:rPr>
          <w:rFonts w:hint="default" w:ascii="Times New Roman" w:hAnsi="Times New Roman" w:eastAsia="宋体" w:cs="Times New Roman"/>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sz w:val="21"/>
          <w:szCs w:val="21"/>
          <w:vertAlign w:val="superscript"/>
          <w:lang w:val="en-US"/>
        </w:rPr>
      </w:pPr>
      <w:r>
        <w:rPr>
          <w:rFonts w:hint="default" w:ascii="Times New Roman" w:hAnsi="宋体" w:eastAsia="宋体" w:cs="宋体"/>
          <w:color w:val="000000"/>
          <w:kern w:val="0"/>
          <w:sz w:val="24"/>
          <w:szCs w:val="24"/>
          <w:lang w:val="en-US" w:eastAsia="zh-CN" w:bidi="ar"/>
        </w:rPr>
        <w:pict>
          <v:shape id="_x0000_s1047" o:spid="_x0000_s1047" o:spt="75" type="#_x0000_t75" style="position:absolute;left:0pt;margin-left:605.8pt;margin-top:-449.75pt;height:97.95pt;width:67.6pt;z-index:251721728;mso-width-relative:page;mso-height-relative:page;" o:ole="t" filled="t" o:preferrelative="t" stroked="t" coordsize="21600,21600">
            <v:path/>
            <v:fill on="t" focussize="0,0"/>
            <v:stroke weight="1.25pt" joinstyle="miter"/>
            <v:imagedata r:id="rId67" cropleft="43436f" croptop="3345f" cropright="12668f" cropbottom="34267f" o:title=""/>
            <o:lock v:ext="edit" aspectratio="t"/>
          </v:shape>
          <o:OLEObject Type="Embed" ProgID="" ShapeID="_x0000_s1047" DrawAspect="Content" ObjectID="_1468075742" r:id="rId66">
            <o:LockedField>false</o:LockedField>
          </o:OLEObject>
        </w:pict>
      </w:r>
      <w:r>
        <w:rPr>
          <w:rFonts w:hint="eastAsia" w:ascii="宋体" w:hAnsi="宋体" w:eastAsia="宋体" w:cs="宋体"/>
          <w:kern w:val="0"/>
          <w:sz w:val="24"/>
          <w:szCs w:val="24"/>
          <w:lang w:val="en-US" w:eastAsia="zh-CN" w:bidi="ar"/>
        </w:rPr>
        <w:drawing>
          <wp:anchor distT="0" distB="0" distL="114300" distR="114300" simplePos="0" relativeHeight="251660288" behindDoc="0" locked="0" layoutInCell="1" allowOverlap="1">
            <wp:simplePos x="0" y="0"/>
            <wp:positionH relativeFrom="margin">
              <wp:posOffset>-19685</wp:posOffset>
            </wp:positionH>
            <wp:positionV relativeFrom="paragraph">
              <wp:posOffset>-312420</wp:posOffset>
            </wp:positionV>
            <wp:extent cx="8573135" cy="5727700"/>
            <wp:effectExtent l="19050" t="19050" r="37465" b="25400"/>
            <wp:wrapTopAndBottom/>
            <wp:docPr id="1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4"/>
                    <pic:cNvPicPr>
                      <a:picLocks noChangeAspect="1"/>
                    </pic:cNvPicPr>
                  </pic:nvPicPr>
                  <pic:blipFill>
                    <a:blip r:embed="rId68"/>
                    <a:stretch>
                      <a:fillRect/>
                    </a:stretch>
                  </pic:blipFill>
                  <pic:spPr>
                    <a:xfrm>
                      <a:off x="0" y="0"/>
                      <a:ext cx="8573135" cy="5727700"/>
                    </a:xfrm>
                    <a:prstGeom prst="rect">
                      <a:avLst/>
                    </a:prstGeom>
                    <a:noFill/>
                    <a:ln w="19050" cap="flat" cmpd="sng">
                      <a:solidFill>
                        <a:srgbClr val="000000"/>
                      </a:solidFill>
                      <a:prstDash val="solid"/>
                      <a:miter/>
                      <a:headEnd type="none" w="med" len="med"/>
                      <a:tailEnd type="none" w="med" len="med"/>
                    </a:ln>
                  </pic:spPr>
                </pic:pic>
              </a:graphicData>
            </a:graphic>
          </wp:anchor>
        </w:drawing>
      </w: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5-11  </w:t>
      </w:r>
      <w:r>
        <w:rPr>
          <w:rFonts w:hint="eastAsia" w:ascii="Times New Roman" w:hAnsi="Times New Roman" w:eastAsia="黑体" w:cs="Times New Roman"/>
          <w:color w:val="000000"/>
          <w:kern w:val="0"/>
          <w:sz w:val="24"/>
          <w:szCs w:val="24"/>
          <w:lang w:val="en-US" w:eastAsia="zh-CN" w:bidi="ar"/>
        </w:rPr>
        <w:t>卫生防护距离包络线图</w:t>
      </w:r>
    </w:p>
    <w:p>
      <w:pPr>
        <w:rPr>
          <w:rFonts w:hint="default" w:ascii="Times New Roman" w:hAnsi="Times New Roman" w:eastAsia="宋体" w:cs="Times New Roman"/>
          <w:color w:val="000000"/>
          <w:sz w:val="24"/>
          <w:szCs w:val="24"/>
          <w:lang w:val="en-US" w:eastAsia="zh-CN" w:bidi="ar"/>
        </w:rPr>
        <w:sectPr>
          <w:pgSz w:w="16840" w:h="11915" w:orient="landscape"/>
          <w:pgMar w:top="1702" w:right="1702" w:bottom="1702" w:left="1702" w:header="851" w:footer="1077" w:gutter="0"/>
          <w:paperSrc/>
          <w:cols w:space="425" w:num="1"/>
          <w:docGrid w:type="lines" w:linePitch="479" w:charSpace="0"/>
        </w:sectPr>
      </w:pP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5.2.12</w:t>
      </w:r>
      <w:r>
        <w:rPr>
          <w:rFonts w:hint="default" w:ascii="Times New Roman" w:hAnsi="Times New Roman" w:cs="Times New Roman"/>
          <w:color w:val="000000"/>
          <w:lang/>
        </w:rPr>
        <w:t xml:space="preserve"> </w:t>
      </w:r>
      <w:r>
        <w:rPr>
          <w:rFonts w:ascii="Times New Roman" w:hAnsi="Times New Roman" w:cs="Times New Roman"/>
          <w:color w:val="000000"/>
          <w:lang w:eastAsia="zh-CN"/>
        </w:rPr>
        <w:t>小结</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）在正常排放条件下，各新增污染源在评价区域内短期贡献值和长期贡献值的最大浓度均达标，且年均浓度最大贡献值＜</w:t>
      </w:r>
      <w:r>
        <w:rPr>
          <w:rFonts w:hint="default" w:ascii="Times New Roman" w:hAnsi="Times New Roman" w:eastAsia="宋体" w:cs="Times New Roman"/>
          <w:color w:val="000000"/>
          <w:kern w:val="0"/>
          <w:sz w:val="24"/>
          <w:szCs w:val="24"/>
          <w:lang w:val="en-US" w:eastAsia="zh-CN" w:bidi="ar"/>
        </w:rPr>
        <w:t>30%</w:t>
      </w:r>
      <w:r>
        <w:rPr>
          <w:rFonts w:hint="eastAsia" w:ascii="Times New Roman" w:hAnsi="Times New Roman" w:eastAsia="宋体" w:cs="Times New Roman"/>
          <w:color w:val="000000"/>
          <w:kern w:val="0"/>
          <w:sz w:val="24"/>
          <w:szCs w:val="24"/>
          <w:lang w:val="en-US" w:eastAsia="zh-CN" w:bidi="ar"/>
        </w:rPr>
        <w:t>。扩散到各敏感点处的短期贡献值和长期贡献值的最大浓度均达标，且年均浓度最大贡献值＜</w:t>
      </w:r>
      <w:r>
        <w:rPr>
          <w:rFonts w:hint="default" w:ascii="Times New Roman" w:hAnsi="Times New Roman" w:eastAsia="宋体" w:cs="Times New Roman"/>
          <w:color w:val="000000"/>
          <w:kern w:val="0"/>
          <w:sz w:val="24"/>
          <w:szCs w:val="24"/>
          <w:lang w:val="en-US" w:eastAsia="zh-CN" w:bidi="ar"/>
        </w:rPr>
        <w:t>30%</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常规因子在评价区域内及扩散到各敏感点处的贡献值叠加现状和削减、在建后的保证率日平均质量浓度满足相应的环境空气质量标准限值；特征因子在评价区域内及扩散到各敏感点处的贡献值叠加现状和削减、在建后的短期环境质量浓度满足相应环境空气质量标准限值。</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本项目评价范围鞍山市为不达标区，本次评价对年均值超标的</w:t>
      </w:r>
      <w:r>
        <w:rPr>
          <w:rFonts w:hint="default" w:ascii="Times New Roman" w:hAnsi="Times New Roman" w:eastAsia="宋体" w:cs="Times New Roman"/>
          <w:color w:val="000000"/>
          <w:kern w:val="0"/>
          <w:sz w:val="24"/>
          <w:szCs w:val="24"/>
          <w:lang w:val="en-US" w:eastAsia="zh-CN" w:bidi="ar"/>
        </w:rPr>
        <w:t>PM</w:t>
      </w:r>
      <w:r>
        <w:rPr>
          <w:rFonts w:hint="default" w:ascii="Times New Roman" w:hAnsi="Times New Roman" w:eastAsia="宋体" w:cs="Times New Roman"/>
          <w:color w:val="000000"/>
          <w:kern w:val="0"/>
          <w:sz w:val="24"/>
          <w:szCs w:val="24"/>
          <w:vertAlign w:val="subscript"/>
          <w:lang w:val="en-US" w:eastAsia="zh-CN" w:bidi="ar"/>
        </w:rPr>
        <w:t>10</w:t>
      </w:r>
      <w:r>
        <w:rPr>
          <w:rFonts w:hint="eastAsia" w:ascii="Times New Roman" w:hAnsi="Times New Roman" w:eastAsia="宋体" w:cs="Times New Roman"/>
          <w:color w:val="000000"/>
          <w:kern w:val="0"/>
          <w:sz w:val="24"/>
          <w:szCs w:val="24"/>
          <w:lang w:val="en-US" w:eastAsia="zh-CN" w:bidi="ar"/>
        </w:rPr>
        <w:t>采用计算削减后预测范围的年平均质量浓度变化率</w:t>
      </w:r>
      <w:r>
        <w:rPr>
          <w:rFonts w:hint="default" w:ascii="Times New Roman" w:hAnsi="Times New Roman" w:eastAsia="宋体" w:cs="Times New Roman"/>
          <w:color w:val="000000"/>
          <w:kern w:val="0"/>
          <w:sz w:val="24"/>
          <w:szCs w:val="24"/>
          <w:lang w:val="en-US" w:eastAsia="zh-CN" w:bidi="ar"/>
        </w:rPr>
        <w:t>K</w:t>
      </w:r>
      <w:r>
        <w:rPr>
          <w:rFonts w:hint="eastAsia" w:ascii="Times New Roman" w:hAnsi="Times New Roman" w:eastAsia="宋体" w:cs="Times New Roman"/>
          <w:color w:val="000000"/>
          <w:kern w:val="0"/>
          <w:sz w:val="24"/>
          <w:szCs w:val="24"/>
          <w:lang w:val="en-US" w:eastAsia="zh-CN" w:bidi="ar"/>
        </w:rPr>
        <w:t>值进行评价。本项目实施替代削减后，</w:t>
      </w:r>
      <w:r>
        <w:rPr>
          <w:rFonts w:hint="default" w:ascii="Times New Roman" w:hAnsi="Times New Roman" w:eastAsia="宋体" w:cs="Times New Roman"/>
          <w:color w:val="000000"/>
          <w:kern w:val="0"/>
          <w:sz w:val="24"/>
          <w:szCs w:val="24"/>
          <w:lang w:val="en-US" w:eastAsia="zh-CN" w:bidi="ar"/>
        </w:rPr>
        <w:t>PM</w:t>
      </w:r>
      <w:r>
        <w:rPr>
          <w:rFonts w:hint="default" w:ascii="Times New Roman" w:hAnsi="Times New Roman" w:eastAsia="宋体" w:cs="Times New Roman"/>
          <w:color w:val="000000"/>
          <w:kern w:val="0"/>
          <w:sz w:val="24"/>
          <w:szCs w:val="24"/>
          <w:vertAlign w:val="subscript"/>
          <w:lang w:val="en-US" w:eastAsia="zh-CN" w:bidi="ar"/>
        </w:rPr>
        <w:t>10</w:t>
      </w:r>
      <w:r>
        <w:rPr>
          <w:rFonts w:hint="eastAsia" w:ascii="Times New Roman" w:hAnsi="Times New Roman" w:eastAsia="宋体" w:cs="Times New Roman"/>
          <w:color w:val="000000"/>
          <w:kern w:val="0"/>
          <w:sz w:val="24"/>
          <w:szCs w:val="24"/>
          <w:lang w:val="en-US" w:eastAsia="zh-CN" w:bidi="ar"/>
        </w:rPr>
        <w:t>的</w:t>
      </w:r>
      <w:r>
        <w:rPr>
          <w:rFonts w:hint="default" w:ascii="Times New Roman" w:hAnsi="Times New Roman" w:eastAsia="宋体" w:cs="Times New Roman"/>
          <w:color w:val="000000"/>
          <w:kern w:val="0"/>
          <w:sz w:val="24"/>
          <w:szCs w:val="24"/>
          <w:lang w:val="en-US" w:eastAsia="zh-CN" w:bidi="ar"/>
        </w:rPr>
        <w:t>K</w:t>
      </w:r>
      <w:r>
        <w:rPr>
          <w:rFonts w:hint="eastAsia" w:ascii="Times New Roman" w:hAnsi="Times New Roman" w:eastAsia="宋体" w:cs="Times New Roman"/>
          <w:color w:val="000000"/>
          <w:kern w:val="0"/>
          <w:sz w:val="24"/>
          <w:szCs w:val="24"/>
          <w:lang w:val="en-US" w:eastAsia="zh-CN" w:bidi="ar"/>
        </w:rPr>
        <w:t>值为</w:t>
      </w:r>
      <w:r>
        <w:rPr>
          <w:rFonts w:hint="default" w:ascii="Times New Roman" w:hAnsi="Times New Roman" w:eastAsia="宋体" w:cs="Times New Roman"/>
          <w:color w:val="000000"/>
          <w:kern w:val="0"/>
          <w:sz w:val="24"/>
          <w:szCs w:val="24"/>
          <w:lang w:val="en-US" w:eastAsia="zh-CN" w:bidi="ar"/>
        </w:rPr>
        <w:t>-75.5%</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≤-20%</w:t>
      </w:r>
      <w:r>
        <w:rPr>
          <w:rFonts w:hint="eastAsia" w:ascii="Times New Roman" w:hAnsi="Times New Roman" w:eastAsia="宋体" w:cs="Times New Roman"/>
          <w:color w:val="000000"/>
          <w:kern w:val="0"/>
          <w:sz w:val="24"/>
          <w:szCs w:val="24"/>
          <w:lang w:val="en-US" w:eastAsia="zh-CN" w:bidi="ar"/>
        </w:rPr>
        <w:t>，可判定项目建设后区域环境质量得到整体改善。因此本项目营运后，通过削减替代，大幅削减区域超标污染物的排放量及浓度，可使区域环境质量得到改善，本次评价认为大气环境影响可接受。</w:t>
      </w:r>
    </w:p>
    <w:p>
      <w:pPr>
        <w:pStyle w:val="27"/>
        <w:keepNext w:val="0"/>
        <w:keepLines w:val="0"/>
        <w:widowControl/>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eastAsia="zh-CN"/>
        </w:rPr>
      </w:pP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2</w:t>
      </w:r>
      <w:r>
        <w:rPr>
          <w:rFonts w:hint="eastAsia" w:ascii="Times New Roman" w:hAnsi="Times New Roman" w:eastAsia="宋体" w:cs="Times New Roman"/>
          <w:color w:val="000000"/>
          <w:kern w:val="0"/>
          <w:sz w:val="24"/>
          <w:szCs w:val="24"/>
          <w:lang w:eastAsia="zh-CN" w:bidi="ar"/>
        </w:rPr>
        <w:t>）本项目无组织排放颗粒物在周界外</w:t>
      </w:r>
      <w:r>
        <w:rPr>
          <w:rFonts w:hint="default" w:ascii="Times New Roman" w:hAnsi="Times New Roman" w:eastAsia="宋体" w:cs="Times New Roman"/>
          <w:color w:val="000000"/>
          <w:kern w:val="0"/>
          <w:sz w:val="24"/>
          <w:szCs w:val="24"/>
          <w:lang w:eastAsia="zh-CN" w:bidi="ar"/>
        </w:rPr>
        <w:t>10m</w:t>
      </w:r>
      <w:r>
        <w:rPr>
          <w:rFonts w:hint="eastAsia" w:ascii="Times New Roman" w:hAnsi="Times New Roman" w:eastAsia="宋体" w:cs="Times New Roman"/>
          <w:color w:val="000000"/>
          <w:kern w:val="0"/>
          <w:sz w:val="24"/>
          <w:szCs w:val="24"/>
          <w:lang w:eastAsia="zh-CN" w:bidi="ar"/>
        </w:rPr>
        <w:t>范围内的最高浓度出现在</w:t>
      </w:r>
      <w:r>
        <w:rPr>
          <w:rFonts w:hint="eastAsia" w:ascii="Times New Roman" w:hAnsi="Times New Roman" w:eastAsia="宋体" w:cs="Times New Roman"/>
          <w:color w:val="000000"/>
          <w:kern w:val="0"/>
          <w:sz w:val="24"/>
          <w:szCs w:val="24"/>
          <w:lang w:val="en-US" w:eastAsia="zh-CN" w:bidi="ar"/>
        </w:rPr>
        <w:t>南</w:t>
      </w:r>
      <w:r>
        <w:rPr>
          <w:rFonts w:hint="eastAsia" w:ascii="Times New Roman" w:hAnsi="Times New Roman" w:eastAsia="宋体" w:cs="Times New Roman"/>
          <w:color w:val="000000"/>
          <w:kern w:val="0"/>
          <w:sz w:val="24"/>
          <w:szCs w:val="24"/>
          <w:lang w:eastAsia="zh-CN" w:bidi="ar"/>
        </w:rPr>
        <w:t>厂界，为</w:t>
      </w:r>
      <w:r>
        <w:rPr>
          <w:rFonts w:hint="default" w:ascii="Times New Roman" w:hAnsi="Times New Roman" w:eastAsia="宋体" w:cs="Times New Roman"/>
          <w:color w:val="000000"/>
          <w:kern w:val="0"/>
          <w:sz w:val="24"/>
          <w:szCs w:val="24"/>
          <w:lang w:eastAsia="zh-CN" w:bidi="ar"/>
        </w:rPr>
        <w:t>0.92mg/m</w:t>
      </w:r>
      <w:r>
        <w:rPr>
          <w:rFonts w:hint="default" w:ascii="Times New Roman" w:hAnsi="Times New Roman" w:eastAsia="宋体" w:cs="Times New Roman"/>
          <w:color w:val="000000"/>
          <w:kern w:val="0"/>
          <w:sz w:val="24"/>
          <w:szCs w:val="24"/>
          <w:vertAlign w:val="superscript"/>
          <w:lang w:eastAsia="zh-CN" w:bidi="ar"/>
        </w:rPr>
        <w:t>3</w:t>
      </w:r>
      <w:r>
        <w:rPr>
          <w:rFonts w:hint="eastAsia" w:ascii="Times New Roman" w:hAnsi="Times New Roman" w:eastAsia="宋体" w:cs="Times New Roman"/>
          <w:color w:val="000000"/>
          <w:kern w:val="0"/>
          <w:sz w:val="24"/>
          <w:szCs w:val="24"/>
          <w:lang w:eastAsia="zh-CN" w:bidi="ar"/>
        </w:rPr>
        <w:t>，满足</w:t>
      </w:r>
      <w:r>
        <w:rPr>
          <w:rFonts w:hint="eastAsia" w:ascii="宋体" w:hAnsi="宋体" w:eastAsia="宋体" w:cs="宋体"/>
          <w:color w:val="000000"/>
          <w:kern w:val="0"/>
          <w:sz w:val="24"/>
          <w:szCs w:val="24"/>
          <w:lang w:eastAsia="zh-CN" w:bidi="ar"/>
        </w:rPr>
        <w:t>《镁质耐火材料工业大气污染物排放标准》</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DB21/3011-2018</w:t>
      </w:r>
      <w:r>
        <w:rPr>
          <w:rFonts w:hint="eastAsia" w:ascii="Times New Roman" w:hAnsi="Times New Roman" w:eastAsia="宋体" w:cs="Times New Roman"/>
          <w:color w:val="000000"/>
          <w:kern w:val="0"/>
          <w:sz w:val="24"/>
          <w:szCs w:val="24"/>
          <w:lang w:eastAsia="zh-CN" w:bidi="ar"/>
        </w:rPr>
        <w:t>）</w:t>
      </w:r>
      <w:r>
        <w:rPr>
          <w:rFonts w:hint="eastAsia" w:ascii="Times New Roman" w:hAnsi="Times New Roman" w:eastAsia="宋体" w:cs="Times New Roman"/>
          <w:color w:val="000000"/>
          <w:kern w:val="0"/>
          <w:sz w:val="24"/>
          <w:szCs w:val="24"/>
          <w:lang w:val="en-US" w:eastAsia="zh-CN" w:bidi="ar"/>
        </w:rPr>
        <w:t>无组织排放监控浓度限值</w:t>
      </w:r>
      <w:r>
        <w:rPr>
          <w:rFonts w:hint="default" w:ascii="Times New Roman" w:hAnsi="Times New Roman" w:eastAsia="宋体" w:cs="Times New Roman"/>
          <w:color w:val="000000"/>
          <w:kern w:val="0"/>
          <w:sz w:val="24"/>
          <w:szCs w:val="24"/>
          <w:lang w:eastAsia="zh-CN" w:bidi="ar"/>
        </w:rPr>
        <w:t>0.8mg/m</w:t>
      </w:r>
      <w:r>
        <w:rPr>
          <w:rFonts w:hint="default" w:ascii="Times New Roman" w:hAnsi="Times New Roman" w:eastAsia="宋体" w:cs="Times New Roman"/>
          <w:color w:val="000000"/>
          <w:kern w:val="0"/>
          <w:sz w:val="24"/>
          <w:szCs w:val="24"/>
          <w:vertAlign w:val="superscript"/>
          <w:lang w:eastAsia="zh-CN" w:bidi="ar"/>
        </w:rPr>
        <w:t>3</w:t>
      </w:r>
      <w:r>
        <w:rPr>
          <w:rFonts w:hint="eastAsia" w:ascii="Times New Roman" w:hAnsi="Times New Roman" w:eastAsia="宋体" w:cs="Times New Roman"/>
          <w:color w:val="000000"/>
          <w:kern w:val="0"/>
          <w:sz w:val="24"/>
          <w:szCs w:val="24"/>
          <w:lang w:val="en-US" w:eastAsia="zh-CN" w:bidi="ar"/>
        </w:rPr>
        <w:t>，能够达标排放。</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）本项目不设大气环境防护距离，卫生防护距离为原料</w:t>
      </w:r>
      <w:r>
        <w:rPr>
          <w:rFonts w:hint="default" w:ascii="Times New Roman" w:hAnsi="Times New Roman" w:eastAsia="宋体" w:cs="Times New Roman"/>
          <w:color w:val="000000"/>
          <w:kern w:val="0"/>
          <w:sz w:val="24"/>
          <w:szCs w:val="24"/>
          <w:lang w:val="en-US" w:eastAsia="zh-CN" w:bidi="ar"/>
        </w:rPr>
        <w:t>100m</w:t>
      </w:r>
      <w:r>
        <w:rPr>
          <w:rFonts w:hint="eastAsia" w:ascii="Times New Roman" w:hAnsi="Times New Roman" w:eastAsia="宋体" w:cs="Times New Roman"/>
          <w:color w:val="000000"/>
          <w:kern w:val="0"/>
          <w:sz w:val="24"/>
          <w:szCs w:val="24"/>
          <w:lang w:val="en-US" w:eastAsia="zh-CN" w:bidi="ar"/>
        </w:rPr>
        <w:t>，破碎车间、精矿库、尾矿库均为</w:t>
      </w:r>
      <w:r>
        <w:rPr>
          <w:rFonts w:hint="default" w:ascii="Times New Roman" w:hAnsi="Times New Roman" w:eastAsia="宋体" w:cs="Times New Roman"/>
          <w:color w:val="000000"/>
          <w:kern w:val="0"/>
          <w:sz w:val="24"/>
          <w:szCs w:val="24"/>
          <w:lang w:val="en-US" w:eastAsia="zh-CN" w:bidi="ar"/>
        </w:rPr>
        <w:t>50m</w:t>
      </w:r>
      <w:r>
        <w:rPr>
          <w:rFonts w:hint="eastAsia" w:ascii="Times New Roman" w:hAnsi="Times New Roman" w:eastAsia="宋体" w:cs="Times New Roman"/>
          <w:color w:val="000000"/>
          <w:kern w:val="0"/>
          <w:sz w:val="24"/>
          <w:szCs w:val="24"/>
          <w:lang w:val="en-US" w:eastAsia="zh-CN" w:bidi="ar"/>
        </w:rPr>
        <w:t>，根据本项目周围环境概况及卫生防护距离包络线范围图，本项目卫生防护距离范围内无居民等环境敏感目标，且今后不得新建居民、学校等环境敏感目标。</w:t>
      </w:r>
    </w:p>
    <w:p>
      <w:pPr>
        <w:pStyle w:val="8"/>
        <w:widowControl/>
        <w:rPr>
          <w:color w:val="000000"/>
          <w:lang/>
        </w:rPr>
      </w:pPr>
      <w:bookmarkStart w:id="183" w:name="_Toc41656143"/>
      <w:r>
        <w:rPr>
          <w:color w:val="000000"/>
          <w:lang/>
        </w:rPr>
        <w:t xml:space="preserve">5.3 </w:t>
      </w:r>
      <w:r>
        <w:rPr>
          <w:rFonts w:hint="eastAsia" w:ascii="Times New Roman" w:hAnsi="Times New Roman" w:eastAsia="宋体" w:cs="宋体"/>
          <w:color w:val="000000"/>
          <w:lang w:eastAsia="zh-CN"/>
        </w:rPr>
        <w:t>运营期噪声影响预测与评价</w:t>
      </w:r>
      <w:bookmarkEnd w:id="183"/>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5.3.1</w:t>
      </w:r>
      <w:r>
        <w:rPr>
          <w:rFonts w:hint="default" w:ascii="Times New Roman" w:hAnsi="Times New Roman" w:cs="Times New Roman"/>
          <w:color w:val="000000"/>
          <w:lang/>
        </w:rPr>
        <w:t xml:space="preserve"> </w:t>
      </w:r>
      <w:r>
        <w:rPr>
          <w:rFonts w:ascii="Times New Roman" w:hAnsi="Times New Roman" w:cs="Times New Roman"/>
          <w:color w:val="000000"/>
          <w:lang w:eastAsia="zh-CN"/>
        </w:rPr>
        <w:t>厂区噪声预测与评价</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w:t>
      </w:r>
      <w:r>
        <w:rPr>
          <w:rFonts w:hint="default" w:ascii="Times New Roman" w:hAnsi="Times New Roman" w:cs="Times New Roman"/>
          <w:color w:val="000000"/>
          <w:lang w:eastAsia="zh-CN"/>
        </w:rPr>
        <w:t xml:space="preserve">1 </w:t>
      </w:r>
      <w:r>
        <w:rPr>
          <w:rFonts w:ascii="Times New Roman" w:hAnsi="Times New Roman" w:cs="Times New Roman"/>
          <w:color w:val="000000"/>
          <w:lang w:eastAsia="zh-CN"/>
        </w:rPr>
        <w:t>噪声源参数</w:t>
      </w: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color w:val="000000"/>
          <w:lang/>
        </w:rPr>
      </w:pP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本工程产生的噪声为由于机械的撞击、磨擦、转动等运动而引起的机械噪声，主要噪声源有破碎机、筛分机、球磨机、浮选机、过滤机、风机及各类泵等。在采取噪声控制措施前，各主要噪声源在</w:t>
      </w:r>
      <w:r>
        <w:rPr>
          <w:rFonts w:hint="default" w:ascii="Times New Roman" w:hAnsi="Times New Roman" w:eastAsia="宋体" w:cs="Times New Roman"/>
          <w:color w:val="000000"/>
          <w:kern w:val="0"/>
          <w:sz w:val="24"/>
          <w:szCs w:val="24"/>
          <w:lang w:val="en-US" w:eastAsia="zh-CN" w:bidi="ar"/>
        </w:rPr>
        <w:t>75~105dB</w:t>
      </w:r>
      <w:r>
        <w:rPr>
          <w:rFonts w:hint="eastAsia" w:ascii="Times New Roman" w:hAnsi="Times New Roman" w:eastAsia="宋体" w:cs="Times New Roman"/>
          <w:color w:val="000000"/>
          <w:kern w:val="0"/>
          <w:sz w:val="24"/>
          <w:szCs w:val="24"/>
          <w:lang w:val="en-US" w:eastAsia="zh-CN" w:bidi="ar"/>
        </w:rPr>
        <w:t>，各种噪声源强统计见下表。</w:t>
      </w:r>
    </w:p>
    <w:p>
      <w:pPr>
        <w:keepNext w:val="0"/>
        <w:keepLines w:val="0"/>
        <w:widowControl/>
        <w:suppressLineNumbers w:val="0"/>
        <w:spacing w:before="0" w:beforeAutospacing="0" w:after="0" w:afterAutospacing="0" w:line="400" w:lineRule="exact"/>
        <w:ind w:left="0" w:right="0"/>
        <w:jc w:val="center"/>
        <w:rPr>
          <w:rFonts w:hint="default" w:ascii="Times New Roman" w:hAnsi="Times New Roman" w:eastAsia="黑体" w:cs="Times New Roman"/>
          <w:color w:val="000000"/>
          <w:kern w:val="2"/>
          <w:lang w:val="en-US"/>
        </w:rPr>
      </w:pPr>
      <w:r>
        <w:rPr>
          <w:rFonts w:hint="eastAsia" w:ascii="Times New Roman" w:hAnsi="Times New Roman" w:eastAsia="黑体" w:cs="Times New Roman"/>
          <w:color w:val="000000"/>
          <w:kern w:val="2"/>
          <w:sz w:val="24"/>
          <w:szCs w:val="24"/>
          <w:lang w:val="en-US" w:eastAsia="zh-CN" w:bidi="ar"/>
        </w:rPr>
        <w:t>表</w:t>
      </w:r>
      <w:r>
        <w:rPr>
          <w:rFonts w:hint="default" w:ascii="Times New Roman" w:hAnsi="Times New Roman" w:eastAsia="黑体" w:cs="Times New Roman"/>
          <w:color w:val="000000"/>
          <w:kern w:val="2"/>
          <w:sz w:val="24"/>
          <w:szCs w:val="24"/>
          <w:lang w:val="en-US" w:eastAsia="zh-CN" w:bidi="ar"/>
        </w:rPr>
        <w:t xml:space="preserve">5.3-1  </w:t>
      </w:r>
      <w:r>
        <w:rPr>
          <w:rFonts w:hint="eastAsia" w:ascii="Times New Roman" w:hAnsi="Times New Roman" w:eastAsia="黑体" w:cs="Times New Roman"/>
          <w:color w:val="000000"/>
          <w:kern w:val="2"/>
          <w:sz w:val="24"/>
          <w:szCs w:val="24"/>
          <w:lang w:val="en-US" w:eastAsia="zh-CN" w:bidi="ar"/>
        </w:rPr>
        <w:t>本项目各噪声源排放及其与厂界距离一览表</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708"/>
        <w:gridCol w:w="1559"/>
        <w:gridCol w:w="945"/>
        <w:gridCol w:w="1607"/>
        <w:gridCol w:w="1559"/>
        <w:gridCol w:w="2124"/>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blHeader/>
          <w:jc w:val="center"/>
        </w:trPr>
        <w:tc>
          <w:tcPr>
            <w:tcW w:w="708" w:type="dxa"/>
            <w:tcBorders>
              <w:top w:val="thinThickSmallGap" w:color="auto" w:sz="12" w:space="0"/>
              <w:left w:val="nil"/>
              <w:bottom w:val="single" w:color="auto" w:sz="6" w:space="0"/>
              <w:right w:val="single" w:color="auto" w:sz="6" w:space="0"/>
            </w:tcBorders>
            <w:shd w:val="clear" w:color="auto" w:fill="D9D9D9"/>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序号</w:t>
            </w:r>
          </w:p>
        </w:tc>
        <w:tc>
          <w:tcPr>
            <w:tcW w:w="1559"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噪声源</w:t>
            </w:r>
          </w:p>
        </w:tc>
        <w:tc>
          <w:tcPr>
            <w:tcW w:w="945"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数量</w:t>
            </w:r>
          </w:p>
        </w:tc>
        <w:tc>
          <w:tcPr>
            <w:tcW w:w="1607"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噪声级</w:t>
            </w:r>
            <w:r>
              <w:rPr>
                <w:rFonts w:hint="default" w:ascii="Times New Roman" w:hAnsi="Times New Roman" w:cs="Times New Roman"/>
                <w:color w:val="000000"/>
                <w:szCs w:val="21"/>
                <w:bdr w:val="none" w:color="auto" w:sz="0" w:space="0"/>
                <w:lang w:val="en-US"/>
              </w:rPr>
              <w:t>/dB(A)</w:t>
            </w:r>
          </w:p>
        </w:tc>
        <w:tc>
          <w:tcPr>
            <w:tcW w:w="1559"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位置</w:t>
            </w:r>
          </w:p>
        </w:tc>
        <w:tc>
          <w:tcPr>
            <w:tcW w:w="2124" w:type="dxa"/>
            <w:tcBorders>
              <w:top w:val="thinThickSmallGap" w:color="auto" w:sz="12" w:space="0"/>
              <w:left w:val="single" w:color="auto" w:sz="6" w:space="0"/>
              <w:bottom w:val="single" w:color="auto" w:sz="6" w:space="0"/>
              <w:right w:val="nil"/>
            </w:tcBorders>
            <w:shd w:val="clear" w:color="auto" w:fill="D9D9D9"/>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治理措施</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bCs/>
                <w:color w:val="000000"/>
                <w:szCs w:val="21"/>
                <w:bdr w:val="none" w:color="auto" w:sz="0" w:space="0"/>
                <w:lang w:val="en-US"/>
              </w:rPr>
              <w:t>N</w:t>
            </w:r>
            <w:r>
              <w:rPr>
                <w:rFonts w:hint="default" w:ascii="Times New Roman" w:hAnsi="Times New Roman" w:cs="Times New Roman"/>
                <w:bCs/>
                <w:color w:val="000000"/>
                <w:szCs w:val="21"/>
                <w:bdr w:val="none" w:color="auto" w:sz="0" w:space="0"/>
                <w:vertAlign w:val="subscript"/>
                <w:lang w:val="en-US"/>
              </w:rPr>
              <w:t>1</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颚式破碎机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1</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95~105</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破碎车间内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bCs/>
                <w:color w:val="000000"/>
                <w:szCs w:val="21"/>
                <w:bdr w:val="none" w:color="auto" w:sz="0" w:space="0"/>
                <w:lang w:val="en-US"/>
              </w:rPr>
            </w:pPr>
            <w:r>
              <w:rPr>
                <w:rFonts w:hint="default" w:ascii="Times New Roman" w:hAnsi="Times New Roman" w:cs="Times New Roman"/>
                <w:bCs/>
                <w:color w:val="000000"/>
                <w:szCs w:val="21"/>
                <w:bdr w:val="none" w:color="auto" w:sz="0" w:space="0"/>
                <w:lang w:val="en-US"/>
              </w:rPr>
              <w:t>N</w:t>
            </w:r>
            <w:r>
              <w:rPr>
                <w:rFonts w:hint="default" w:ascii="Times New Roman" w:hAnsi="Times New Roman" w:cs="Times New Roman"/>
                <w:bCs/>
                <w:color w:val="000000"/>
                <w:szCs w:val="21"/>
                <w:bdr w:val="none" w:color="auto" w:sz="0" w:space="0"/>
                <w:vertAlign w:val="subscript"/>
                <w:lang w:val="en-US"/>
              </w:rPr>
              <w:t>2</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颚式破碎机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2</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95~105</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破碎车间内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bCs/>
                <w:color w:val="000000"/>
                <w:szCs w:val="21"/>
                <w:bdr w:val="none" w:color="auto" w:sz="0" w:space="0"/>
                <w:lang w:val="en-US"/>
              </w:rPr>
            </w:pPr>
            <w:r>
              <w:rPr>
                <w:rFonts w:hint="default" w:ascii="Times New Roman" w:hAnsi="Times New Roman" w:cs="Times New Roman"/>
                <w:bCs/>
                <w:color w:val="000000"/>
                <w:szCs w:val="21"/>
                <w:bdr w:val="none" w:color="auto" w:sz="0" w:space="0"/>
                <w:lang w:val="en-US"/>
              </w:rPr>
              <w:t>N</w:t>
            </w:r>
            <w:r>
              <w:rPr>
                <w:rFonts w:hint="default" w:ascii="Times New Roman" w:hAnsi="Times New Roman" w:cs="Times New Roman"/>
                <w:bCs/>
                <w:color w:val="000000"/>
                <w:szCs w:val="21"/>
                <w:bdr w:val="none" w:color="auto" w:sz="0" w:space="0"/>
                <w:vertAlign w:val="subscript"/>
                <w:lang w:val="en-US"/>
              </w:rPr>
              <w:t>3</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振动筛分机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1</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90~100</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破碎车间内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bCs/>
                <w:color w:val="000000"/>
                <w:szCs w:val="21"/>
                <w:bdr w:val="none" w:color="auto" w:sz="0" w:space="0"/>
                <w:lang w:val="en-US"/>
              </w:rPr>
            </w:pPr>
            <w:r>
              <w:rPr>
                <w:rFonts w:hint="default" w:ascii="Times New Roman" w:hAnsi="Times New Roman" w:cs="Times New Roman"/>
                <w:color w:val="000000"/>
                <w:szCs w:val="21"/>
                <w:bdr w:val="none" w:color="auto" w:sz="0" w:space="0"/>
                <w:lang w:val="en-US"/>
              </w:rPr>
              <w:t>N</w:t>
            </w:r>
            <w:r>
              <w:rPr>
                <w:rFonts w:hint="default" w:ascii="Times New Roman" w:hAnsi="Times New Roman" w:cs="Times New Roman"/>
                <w:color w:val="000000"/>
                <w:szCs w:val="21"/>
                <w:bdr w:val="none" w:color="auto" w:sz="0" w:space="0"/>
                <w:vertAlign w:val="subscript"/>
                <w:lang w:val="en-US"/>
              </w:rPr>
              <w:t>4</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圆锥破碎机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1</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95~105</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破碎车间内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bCs/>
                <w:color w:val="000000"/>
                <w:szCs w:val="21"/>
                <w:bdr w:val="none" w:color="auto" w:sz="0" w:space="0"/>
                <w:lang w:val="en-US"/>
              </w:rPr>
            </w:pPr>
            <w:r>
              <w:rPr>
                <w:rFonts w:hint="default" w:ascii="Times New Roman" w:hAnsi="Times New Roman" w:cs="Times New Roman"/>
                <w:bCs/>
                <w:color w:val="000000"/>
                <w:szCs w:val="21"/>
                <w:bdr w:val="none" w:color="auto" w:sz="0" w:space="0"/>
                <w:lang w:val="en-US"/>
              </w:rPr>
              <w:t>N</w:t>
            </w:r>
            <w:r>
              <w:rPr>
                <w:rFonts w:hint="default" w:ascii="Times New Roman" w:hAnsi="Times New Roman" w:cs="Times New Roman"/>
                <w:bCs/>
                <w:color w:val="000000"/>
                <w:szCs w:val="21"/>
                <w:bdr w:val="none" w:color="auto" w:sz="0" w:space="0"/>
                <w:vertAlign w:val="subscript"/>
                <w:lang w:val="en-US"/>
              </w:rPr>
              <w:t>5</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风机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1</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85~95</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破碎车间内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弹性接头和消声器</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w:t>
            </w:r>
            <w:r>
              <w:rPr>
                <w:rFonts w:hint="default" w:ascii="Times New Roman" w:hAnsi="Times New Roman" w:eastAsia="宋体" w:cs="Times New Roman"/>
                <w:color w:val="000000"/>
                <w:kern w:val="0"/>
                <w:sz w:val="21"/>
                <w:szCs w:val="21"/>
                <w:bdr w:val="none" w:color="auto" w:sz="0" w:space="0"/>
                <w:vertAlign w:val="subscript"/>
                <w:lang w:val="en-US" w:eastAsia="zh-CN" w:bidi="ar"/>
              </w:rPr>
              <w:t>6</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球磨机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1</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90~100</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磨矿车间内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bCs/>
                <w:color w:val="000000"/>
                <w:szCs w:val="21"/>
                <w:bdr w:val="none" w:color="auto" w:sz="0" w:space="0"/>
                <w:lang w:val="en-US"/>
              </w:rPr>
            </w:pPr>
            <w:r>
              <w:rPr>
                <w:rFonts w:hint="default" w:ascii="Times New Roman" w:hAnsi="Times New Roman" w:cs="Times New Roman"/>
                <w:bCs/>
                <w:color w:val="000000"/>
                <w:szCs w:val="21"/>
                <w:bdr w:val="none" w:color="auto" w:sz="0" w:space="0"/>
                <w:lang w:val="en-US"/>
              </w:rPr>
              <w:t>N</w:t>
            </w:r>
            <w:r>
              <w:rPr>
                <w:rFonts w:hint="default" w:ascii="Times New Roman" w:hAnsi="Times New Roman" w:cs="Times New Roman"/>
                <w:bCs/>
                <w:color w:val="000000"/>
                <w:szCs w:val="21"/>
                <w:bdr w:val="none" w:color="auto" w:sz="0" w:space="0"/>
                <w:vertAlign w:val="subscript"/>
                <w:lang w:val="en-US"/>
              </w:rPr>
              <w:t>7</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搅拌槽</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2</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85</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浮选车间内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w:t>
            </w:r>
            <w:r>
              <w:rPr>
                <w:rFonts w:hint="default" w:ascii="Times New Roman" w:hAnsi="Times New Roman" w:eastAsia="宋体" w:cs="Times New Roman"/>
                <w:color w:val="000000"/>
                <w:kern w:val="0"/>
                <w:sz w:val="21"/>
                <w:szCs w:val="21"/>
                <w:bdr w:val="none" w:color="auto" w:sz="0" w:space="0"/>
                <w:vertAlign w:val="subscript"/>
                <w:lang w:val="en-US" w:eastAsia="zh-CN" w:bidi="ar"/>
              </w:rPr>
              <w:t>8</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反浮选机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16</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75</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浮选车间内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w:t>
            </w:r>
            <w:r>
              <w:rPr>
                <w:rFonts w:hint="default" w:ascii="Times New Roman" w:hAnsi="Times New Roman" w:eastAsia="宋体" w:cs="Times New Roman"/>
                <w:color w:val="000000"/>
                <w:kern w:val="0"/>
                <w:sz w:val="21"/>
                <w:szCs w:val="21"/>
                <w:bdr w:val="none" w:color="auto" w:sz="0" w:space="0"/>
                <w:vertAlign w:val="subscript"/>
                <w:lang w:val="en-US" w:eastAsia="zh-CN" w:bidi="ar"/>
              </w:rPr>
              <w:t>9</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带式过滤机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2</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80</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过滤车间内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w:t>
            </w:r>
            <w:r>
              <w:rPr>
                <w:rFonts w:hint="default" w:ascii="Times New Roman" w:hAnsi="Times New Roman" w:eastAsia="宋体" w:cs="Times New Roman"/>
                <w:color w:val="000000"/>
                <w:kern w:val="0"/>
                <w:sz w:val="21"/>
                <w:szCs w:val="21"/>
                <w:bdr w:val="none" w:color="auto" w:sz="0" w:space="0"/>
                <w:vertAlign w:val="subscript"/>
                <w:lang w:val="en-US" w:eastAsia="zh-CN" w:bidi="ar"/>
              </w:rPr>
              <w:t>10</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板框压滤机</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2</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80</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过滤车间内</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房屋隔声、减震</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N</w:t>
            </w:r>
            <w:r>
              <w:rPr>
                <w:rFonts w:hint="default" w:ascii="Times New Roman" w:hAnsi="Times New Roman" w:eastAsia="宋体" w:cs="Times New Roman"/>
                <w:color w:val="000000"/>
                <w:kern w:val="0"/>
                <w:sz w:val="21"/>
                <w:szCs w:val="21"/>
                <w:bdr w:val="none" w:color="auto" w:sz="0" w:space="0"/>
                <w:vertAlign w:val="subscript"/>
                <w:lang w:val="en-US" w:eastAsia="zh-CN" w:bidi="ar"/>
              </w:rPr>
              <w:t>11</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泵类</w:t>
            </w:r>
          </w:p>
        </w:tc>
        <w:tc>
          <w:tcPr>
            <w:tcW w:w="945"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1</w:t>
            </w:r>
          </w:p>
        </w:tc>
        <w:tc>
          <w:tcPr>
            <w:tcW w:w="1607"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75~85</w:t>
            </w:r>
          </w:p>
        </w:tc>
        <w:tc>
          <w:tcPr>
            <w:tcW w:w="1559" w:type="dxa"/>
            <w:tcBorders>
              <w:top w:val="single" w:color="auto" w:sz="6" w:space="0"/>
              <w:left w:val="single" w:color="auto" w:sz="6" w:space="0"/>
              <w:bottom w:val="single" w:color="auto" w:sz="6"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泵房</w:t>
            </w:r>
          </w:p>
        </w:tc>
        <w:tc>
          <w:tcPr>
            <w:tcW w:w="2124" w:type="dxa"/>
            <w:tcBorders>
              <w:top w:val="single" w:color="auto" w:sz="6" w:space="0"/>
              <w:left w:val="single" w:color="auto" w:sz="6" w:space="0"/>
              <w:bottom w:val="single" w:color="auto" w:sz="6"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室内布置，房屋隔声</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8" w:type="dxa"/>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w:t>
            </w:r>
          </w:p>
        </w:tc>
        <w:tc>
          <w:tcPr>
            <w:tcW w:w="1559"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铲车</w:t>
            </w:r>
          </w:p>
        </w:tc>
        <w:tc>
          <w:tcPr>
            <w:tcW w:w="945" w:type="dxa"/>
            <w:tcBorders>
              <w:top w:val="single" w:color="auto" w:sz="6" w:space="0"/>
              <w:left w:val="single" w:color="auto" w:sz="6" w:space="0"/>
              <w:bottom w:val="thickThinSmallGap" w:color="auto" w:sz="12"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1</w:t>
            </w:r>
          </w:p>
        </w:tc>
        <w:tc>
          <w:tcPr>
            <w:tcW w:w="1607" w:type="dxa"/>
            <w:tcBorders>
              <w:top w:val="single" w:color="auto" w:sz="6" w:space="0"/>
              <w:left w:val="single" w:color="auto" w:sz="6" w:space="0"/>
              <w:bottom w:val="thickThinSmallGap" w:color="auto" w:sz="12"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75~85</w:t>
            </w:r>
          </w:p>
        </w:tc>
        <w:tc>
          <w:tcPr>
            <w:tcW w:w="1559" w:type="dxa"/>
            <w:tcBorders>
              <w:top w:val="single" w:color="auto" w:sz="6" w:space="0"/>
              <w:left w:val="single" w:color="auto" w:sz="6" w:space="0"/>
              <w:bottom w:val="thickThinSmallGap" w:color="auto" w:sz="12" w:space="0"/>
              <w:right w:val="single" w:color="auto" w:sz="6" w:space="0"/>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原料库</w:t>
            </w:r>
          </w:p>
        </w:tc>
        <w:tc>
          <w:tcPr>
            <w:tcW w:w="2124" w:type="dxa"/>
            <w:tcBorders>
              <w:top w:val="single" w:color="auto" w:sz="6" w:space="0"/>
              <w:left w:val="single" w:color="auto" w:sz="6" w:space="0"/>
              <w:bottom w:val="thickThinSmallGap" w:color="auto" w:sz="12" w:space="0"/>
              <w:right w:val="nil"/>
            </w:tcBorders>
            <w:shd w:val="clear"/>
            <w:vAlign w:val="center"/>
          </w:tcPr>
          <w:p>
            <w:pPr>
              <w:pStyle w:val="155"/>
              <w:widowControl/>
              <w:adjustRightInd w:val="0"/>
              <w:snapToGrid w:val="0"/>
              <w:spacing w:line="240" w:lineRule="auto"/>
              <w:rPr>
                <w:rFonts w:hint="default" w:ascii="Times New Roman" w:hAnsi="Times New Roman" w:cs="Times New Roman"/>
                <w:color w:val="000000"/>
                <w:szCs w:val="21"/>
                <w:bdr w:val="none" w:color="auto" w:sz="0" w:space="0"/>
                <w:lang w:val="en-US"/>
              </w:rPr>
            </w:pPr>
            <w:r>
              <w:rPr>
                <w:rFonts w:ascii="Times New Roman" w:hAnsi="Times New Roman"/>
                <w:color w:val="000000"/>
                <w:szCs w:val="21"/>
                <w:bdr w:val="none" w:color="auto" w:sz="0" w:space="0"/>
              </w:rPr>
              <w:t>房屋隔声</w:t>
            </w:r>
          </w:p>
        </w:tc>
      </w:tr>
    </w:tbl>
    <w:p>
      <w:pPr>
        <w:keepNext w:val="0"/>
        <w:keepLines w:val="0"/>
        <w:widowControl/>
        <w:suppressLineNumbers w:val="0"/>
        <w:snapToGrid w:val="0"/>
        <w:spacing w:before="0" w:beforeAutospacing="0" w:after="0" w:afterAutospacing="0"/>
        <w:ind w:left="0" w:right="0" w:firstLine="420" w:firstLineChars="200"/>
        <w:jc w:val="left"/>
        <w:rPr>
          <w:bCs/>
          <w:color w:val="000000"/>
          <w:lang w:val="en-US"/>
        </w:rPr>
      </w:pP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根据平面布置图等资料得知，各高噪声设备所在车间与四周场界的距离见下表。</w:t>
      </w:r>
    </w:p>
    <w:p>
      <w:pPr>
        <w:keepNext w:val="0"/>
        <w:keepLines w:val="0"/>
        <w:widowControl/>
        <w:suppressLineNumbers w:val="0"/>
        <w:spacing w:before="0" w:beforeAutospacing="0" w:after="0" w:afterAutospacing="0" w:line="400" w:lineRule="exact"/>
        <w:ind w:left="0" w:right="0"/>
        <w:jc w:val="center"/>
        <w:rPr>
          <w:rFonts w:hAnsi="宋体" w:eastAsia="黑体"/>
          <w:color w:val="000000"/>
          <w:kern w:val="2"/>
          <w:lang w:val="en-US"/>
        </w:rPr>
      </w:pPr>
      <w:r>
        <w:rPr>
          <w:rFonts w:hint="eastAsia" w:ascii="Times New Roman" w:hAnsi="Times New Roman" w:eastAsia="黑体" w:cs="Times New Roman"/>
          <w:color w:val="000000"/>
          <w:kern w:val="2"/>
          <w:sz w:val="24"/>
          <w:szCs w:val="24"/>
          <w:lang w:val="en-US" w:eastAsia="zh-CN" w:bidi="ar"/>
        </w:rPr>
        <w:t>表</w:t>
      </w:r>
      <w:r>
        <w:rPr>
          <w:rFonts w:hint="default" w:ascii="Times New Roman" w:hAnsi="Times New Roman" w:eastAsia="黑体" w:cs="Times New Roman"/>
          <w:color w:val="000000"/>
          <w:kern w:val="2"/>
          <w:sz w:val="24"/>
          <w:szCs w:val="24"/>
          <w:lang w:val="en-US" w:eastAsia="zh-CN" w:bidi="ar"/>
        </w:rPr>
        <w:t xml:space="preserve">5.3-2  </w:t>
      </w:r>
      <w:r>
        <w:rPr>
          <w:rFonts w:hint="eastAsia" w:ascii="宋体" w:hAnsi="宋体" w:eastAsia="黑体" w:cs="黑体"/>
          <w:color w:val="000000"/>
          <w:kern w:val="2"/>
          <w:sz w:val="24"/>
          <w:szCs w:val="24"/>
          <w:lang w:val="en-US" w:eastAsia="zh-CN" w:bidi="ar"/>
        </w:rPr>
        <w:t>各高噪声设备所在车间与四周场界的距离</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2423"/>
        <w:gridCol w:w="1475"/>
        <w:gridCol w:w="1702"/>
        <w:gridCol w:w="1622"/>
        <w:gridCol w:w="1308"/>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blHeader/>
          <w:jc w:val="center"/>
        </w:trPr>
        <w:tc>
          <w:tcPr>
            <w:tcW w:w="2423" w:type="dxa"/>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污染源</w:t>
            </w:r>
          </w:p>
        </w:tc>
        <w:tc>
          <w:tcPr>
            <w:tcW w:w="1475"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东场界（</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1702"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南场界（</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1622" w:type="dxa"/>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西场界（</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1308" w:type="dxa"/>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北场界（</w:t>
            </w:r>
            <w:r>
              <w:rPr>
                <w:rFonts w:hint="default" w:ascii="Times New Roman" w:hAnsi="Times New Roman" w:eastAsia="宋体" w:cs="Times New Roman"/>
                <w:color w:val="000000"/>
                <w:kern w:val="0"/>
                <w:sz w:val="21"/>
                <w:szCs w:val="21"/>
                <w:bdr w:val="none" w:color="auto" w:sz="0" w:space="0"/>
                <w:lang w:val="en-US" w:eastAsia="zh-CN" w:bidi="ar"/>
              </w:rPr>
              <w:t>m</w:t>
            </w:r>
            <w:r>
              <w:rPr>
                <w:rFonts w:hint="eastAsia" w:ascii="Times New Roman" w:hAnsi="Times New Roman" w:eastAsia="宋体" w:cs="Times New Roman"/>
                <w:color w:val="000000"/>
                <w:kern w:val="0"/>
                <w:sz w:val="21"/>
                <w:szCs w:val="21"/>
                <w:bdr w:val="none" w:color="auto" w:sz="0" w:space="0"/>
                <w:lang w:val="en-US" w:eastAsia="zh-CN" w:bidi="ar"/>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23"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破碎车间</w:t>
            </w:r>
          </w:p>
        </w:tc>
        <w:tc>
          <w:tcPr>
            <w:tcW w:w="14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170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90</w:t>
            </w:r>
          </w:p>
        </w:tc>
        <w:tc>
          <w:tcPr>
            <w:tcW w:w="162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130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170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23"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磨矿车间</w:t>
            </w:r>
          </w:p>
        </w:tc>
        <w:tc>
          <w:tcPr>
            <w:tcW w:w="14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170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105</w:t>
            </w:r>
          </w:p>
        </w:tc>
        <w:tc>
          <w:tcPr>
            <w:tcW w:w="162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130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155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23"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浮选车间</w:t>
            </w:r>
          </w:p>
        </w:tc>
        <w:tc>
          <w:tcPr>
            <w:tcW w:w="14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170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125</w:t>
            </w:r>
          </w:p>
        </w:tc>
        <w:tc>
          <w:tcPr>
            <w:tcW w:w="162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130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135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23"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过滤车间</w:t>
            </w:r>
          </w:p>
        </w:tc>
        <w:tc>
          <w:tcPr>
            <w:tcW w:w="14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170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165</w:t>
            </w:r>
          </w:p>
        </w:tc>
        <w:tc>
          <w:tcPr>
            <w:tcW w:w="162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1</w:t>
            </w:r>
          </w:p>
        </w:tc>
        <w:tc>
          <w:tcPr>
            <w:tcW w:w="1308"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95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23" w:type="dxa"/>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泵房</w:t>
            </w:r>
          </w:p>
        </w:tc>
        <w:tc>
          <w:tcPr>
            <w:tcW w:w="1475"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35</w:t>
            </w:r>
          </w:p>
        </w:tc>
        <w:tc>
          <w:tcPr>
            <w:tcW w:w="1702"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205</w:t>
            </w:r>
          </w:p>
        </w:tc>
        <w:tc>
          <w:tcPr>
            <w:tcW w:w="1622"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40</w:t>
            </w:r>
          </w:p>
        </w:tc>
        <w:tc>
          <w:tcPr>
            <w:tcW w:w="1308" w:type="dxa"/>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55</w:t>
            </w:r>
          </w:p>
        </w:tc>
      </w:tr>
    </w:tbl>
    <w:p>
      <w:pPr>
        <w:keepNext w:val="0"/>
        <w:keepLines w:val="0"/>
        <w:widowControl/>
        <w:suppressLineNumbers w:val="0"/>
        <w:snapToGrid w:val="0"/>
        <w:spacing w:before="0" w:beforeAutospacing="0" w:after="0" w:afterAutospacing="0"/>
        <w:ind w:left="0" w:right="0" w:firstLine="420" w:firstLineChars="200"/>
        <w:jc w:val="left"/>
        <w:rPr>
          <w:bCs/>
          <w:color w:val="000000"/>
          <w:lang w:val="en-US"/>
        </w:rPr>
      </w:pP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w:t>
      </w:r>
      <w:r>
        <w:rPr>
          <w:rFonts w:hint="default" w:ascii="Times New Roman" w:hAnsi="Times New Roman" w:cs="Times New Roman"/>
          <w:color w:val="000000"/>
          <w:lang w:eastAsia="zh-CN"/>
        </w:rPr>
        <w:t xml:space="preserve">2 </w:t>
      </w:r>
      <w:r>
        <w:rPr>
          <w:rFonts w:ascii="Times New Roman" w:hAnsi="Times New Roman" w:cs="Times New Roman"/>
          <w:color w:val="000000"/>
          <w:lang w:eastAsia="zh-CN"/>
        </w:rPr>
        <w:t>预测点和评价标准</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）预测点</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本次评价选取场区东、南、西、北四个厂界作为预测点。</w:t>
      </w:r>
    </w:p>
    <w:p>
      <w:pPr>
        <w:keepNext w:val="0"/>
        <w:keepLines w:val="0"/>
        <w:widowControl/>
        <w:suppressLineNumbers w:val="0"/>
        <w:spacing w:before="0" w:beforeAutospacing="0" w:after="0" w:afterAutospacing="0" w:line="46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）评价标准</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本次评价厂界噪声执行《工业企业厂界环境噪声排放标准》（</w:t>
      </w:r>
      <w:r>
        <w:rPr>
          <w:rFonts w:hint="default" w:ascii="Times New Roman" w:hAnsi="Times New Roman" w:eastAsia="宋体" w:cs="Times New Roman"/>
          <w:color w:val="000000"/>
          <w:kern w:val="0"/>
          <w:sz w:val="24"/>
          <w:szCs w:val="24"/>
          <w:lang w:val="en-US" w:eastAsia="zh-CN" w:bidi="ar"/>
        </w:rPr>
        <w:t>GB12348-2008</w:t>
      </w:r>
      <w:r>
        <w:rPr>
          <w:rFonts w:hint="eastAsia" w:ascii="Times New Roman" w:hAnsi="Times New Roman" w:eastAsia="宋体" w:cs="Times New Roman"/>
          <w:color w:val="000000"/>
          <w:kern w:val="0"/>
          <w:sz w:val="24"/>
          <w:szCs w:val="24"/>
          <w:lang w:val="en-US" w:eastAsia="zh-CN" w:bidi="ar"/>
        </w:rPr>
        <w:t>）中</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类区标准，即昼间</w:t>
      </w:r>
      <w:r>
        <w:rPr>
          <w:rFonts w:hint="default" w:ascii="Times New Roman" w:hAnsi="Times New Roman" w:eastAsia="宋体" w:cs="Times New Roman"/>
          <w:color w:val="000000"/>
          <w:kern w:val="0"/>
          <w:sz w:val="24"/>
          <w:szCs w:val="24"/>
          <w:lang w:val="en-US" w:eastAsia="zh-CN" w:bidi="ar"/>
        </w:rPr>
        <w:t>60dB(A)</w:t>
      </w:r>
      <w:r>
        <w:rPr>
          <w:rFonts w:hint="eastAsia" w:ascii="Times New Roman" w:hAnsi="Times New Roman" w:eastAsia="宋体" w:cs="Times New Roman"/>
          <w:color w:val="000000"/>
          <w:kern w:val="0"/>
          <w:sz w:val="24"/>
          <w:szCs w:val="24"/>
          <w:lang w:val="en-US" w:eastAsia="zh-CN" w:bidi="ar"/>
        </w:rPr>
        <w:t>、夜间</w:t>
      </w:r>
      <w:r>
        <w:rPr>
          <w:rFonts w:hint="default" w:ascii="Times New Roman" w:hAnsi="Times New Roman" w:eastAsia="宋体" w:cs="Times New Roman"/>
          <w:color w:val="000000"/>
          <w:kern w:val="0"/>
          <w:sz w:val="24"/>
          <w:szCs w:val="24"/>
          <w:lang w:val="en-US" w:eastAsia="zh-CN" w:bidi="ar"/>
        </w:rPr>
        <w:t>50dB(A)</w:t>
      </w:r>
      <w:r>
        <w:rPr>
          <w:rFonts w:hint="eastAsia" w:ascii="Times New Roman" w:hAnsi="Times New Roman" w:eastAsia="宋体" w:cs="Times New Roman"/>
          <w:color w:val="000000"/>
          <w:kern w:val="0"/>
          <w:sz w:val="24"/>
          <w:szCs w:val="24"/>
          <w:lang w:val="en-US" w:eastAsia="zh-CN" w:bidi="ar"/>
        </w:rPr>
        <w:t>。</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w:t>
      </w:r>
      <w:r>
        <w:rPr>
          <w:rFonts w:hint="default" w:ascii="Times New Roman" w:hAnsi="Times New Roman" w:cs="Times New Roman"/>
          <w:color w:val="000000"/>
          <w:lang w:eastAsia="zh-CN"/>
        </w:rPr>
        <w:t xml:space="preserve">3 </w:t>
      </w:r>
      <w:r>
        <w:rPr>
          <w:rFonts w:ascii="Times New Roman" w:hAnsi="Times New Roman" w:cs="Times New Roman"/>
          <w:color w:val="000000"/>
          <w:lang w:eastAsia="zh-CN"/>
        </w:rPr>
        <w:t>预测内容及模式</w:t>
      </w:r>
    </w:p>
    <w:p>
      <w:pPr>
        <w:pStyle w:val="27"/>
        <w:keepNext w:val="0"/>
        <w:keepLines w:val="0"/>
        <w:widowControl/>
        <w:suppressLineNumbers w:val="0"/>
        <w:adjustRightInd w:val="0"/>
        <w:snapToGrid/>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rPr>
      </w:pPr>
      <w:r>
        <w:rPr>
          <w:rFonts w:hint="eastAsia" w:ascii="Times New Roman" w:hAnsi="Times New Roman" w:eastAsia="宋体" w:cs="Times New Roman"/>
          <w:b/>
          <w:bCs w:val="0"/>
          <w:color w:val="000000"/>
          <w:kern w:val="0"/>
          <w:sz w:val="24"/>
          <w:szCs w:val="24"/>
          <w:lang w:eastAsia="zh-CN" w:bidi="ar"/>
        </w:rPr>
        <w:t>（</w:t>
      </w:r>
      <w:r>
        <w:rPr>
          <w:rFonts w:hint="default" w:ascii="Times New Roman" w:hAnsi="Times New Roman" w:eastAsia="宋体" w:cs="Times New Roman"/>
          <w:b/>
          <w:bCs w:val="0"/>
          <w:color w:val="000000"/>
          <w:kern w:val="0"/>
          <w:sz w:val="24"/>
          <w:szCs w:val="24"/>
          <w:lang w:eastAsia="zh-CN" w:bidi="ar"/>
        </w:rPr>
        <w:t>1</w:t>
      </w:r>
      <w:r>
        <w:rPr>
          <w:rFonts w:hint="eastAsia" w:ascii="Times New Roman" w:hAnsi="Times New Roman" w:eastAsia="宋体" w:cs="Times New Roman"/>
          <w:b/>
          <w:bCs w:val="0"/>
          <w:color w:val="000000"/>
          <w:kern w:val="0"/>
          <w:sz w:val="24"/>
          <w:szCs w:val="24"/>
          <w:lang w:eastAsia="zh-CN" w:bidi="ar"/>
        </w:rPr>
        <w:t>）预测内容</w:t>
      </w:r>
    </w:p>
    <w:p>
      <w:pPr>
        <w:pStyle w:val="27"/>
        <w:keepNext w:val="0"/>
        <w:keepLines w:val="0"/>
        <w:widowControl/>
        <w:suppressLineNumbers w:val="0"/>
        <w:adjustRightInd w:val="0"/>
        <w:snapToGrid/>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预测分析本项目对四周厂界的声级贡献值并叠加现状值，分析说明本项目实施后对厂界声环境的影响。</w:t>
      </w:r>
    </w:p>
    <w:p>
      <w:pPr>
        <w:pStyle w:val="27"/>
        <w:keepNext w:val="0"/>
        <w:keepLines w:val="0"/>
        <w:widowControl/>
        <w:suppressLineNumbers w:val="0"/>
        <w:adjustRightInd w:val="0"/>
        <w:snapToGrid/>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rPr>
      </w:pPr>
      <w:r>
        <w:rPr>
          <w:rFonts w:hint="eastAsia" w:ascii="Times New Roman" w:hAnsi="Times New Roman" w:eastAsia="宋体" w:cs="Times New Roman"/>
          <w:b/>
          <w:bCs w:val="0"/>
          <w:color w:val="000000"/>
          <w:kern w:val="0"/>
          <w:sz w:val="24"/>
          <w:szCs w:val="24"/>
          <w:lang w:eastAsia="zh-CN" w:bidi="ar"/>
        </w:rPr>
        <w:t>（</w:t>
      </w:r>
      <w:r>
        <w:rPr>
          <w:rFonts w:hint="default" w:ascii="Times New Roman" w:hAnsi="Times New Roman" w:eastAsia="宋体" w:cs="Times New Roman"/>
          <w:b/>
          <w:bCs w:val="0"/>
          <w:color w:val="000000"/>
          <w:kern w:val="0"/>
          <w:sz w:val="24"/>
          <w:szCs w:val="24"/>
          <w:lang w:eastAsia="zh-CN" w:bidi="ar"/>
        </w:rPr>
        <w:t>2</w:t>
      </w:r>
      <w:r>
        <w:rPr>
          <w:rFonts w:hint="eastAsia" w:ascii="Times New Roman" w:hAnsi="Times New Roman" w:eastAsia="宋体" w:cs="Times New Roman"/>
          <w:b/>
          <w:bCs w:val="0"/>
          <w:color w:val="000000"/>
          <w:kern w:val="0"/>
          <w:sz w:val="24"/>
          <w:szCs w:val="24"/>
          <w:lang w:eastAsia="zh-CN" w:bidi="ar"/>
        </w:rPr>
        <w:t>）预测模式</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噪声的传播是一个极其复杂的物理现象，声波在传播过程中由于受距离增加、空气吸收、物体的反射和折射以及云、雾、风、温度等因素的影响，噪声会产生衰减，根据《环境影响评价技术导则—声环境》（</w:t>
      </w:r>
      <w:r>
        <w:rPr>
          <w:rFonts w:hint="default" w:ascii="Times New Roman" w:hAnsi="Times New Roman" w:eastAsia="宋体" w:cs="Times New Roman"/>
          <w:color w:val="000000"/>
          <w:kern w:val="0"/>
          <w:sz w:val="24"/>
          <w:szCs w:val="24"/>
          <w:lang w:val="en-US" w:eastAsia="zh-CN" w:bidi="ar"/>
        </w:rPr>
        <w:t>HJ2.2</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2009</w:t>
      </w:r>
      <w:r>
        <w:rPr>
          <w:rFonts w:hint="eastAsia" w:ascii="Times New Roman" w:hAnsi="Times New Roman" w:eastAsia="宋体" w:cs="Times New Roman"/>
          <w:color w:val="000000"/>
          <w:kern w:val="0"/>
          <w:sz w:val="24"/>
          <w:szCs w:val="24"/>
          <w:lang w:val="en-US" w:eastAsia="zh-CN" w:bidi="ar"/>
        </w:rPr>
        <w:t>）中的有关规定及本工程的具体特点，本噪声影响评价预测计算时只考虑噪声随距离的衰减及空气吸收等主要衰减因子，雨、雾等因素由于引起的噪声衰减量较小，计算时将忽略不计，其结果偏于安全。</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根据《环境影响评价技术导则声环境》（</w:t>
      </w:r>
      <w:r>
        <w:rPr>
          <w:rFonts w:hint="default" w:ascii="Times New Roman" w:hAnsi="Times New Roman" w:eastAsia="宋体" w:cs="Times New Roman"/>
          <w:color w:val="000000"/>
          <w:kern w:val="0"/>
          <w:sz w:val="24"/>
          <w:szCs w:val="24"/>
          <w:lang w:val="en-US" w:eastAsia="zh-CN" w:bidi="ar"/>
        </w:rPr>
        <w:t>HJ 2.4-2009</w:t>
      </w:r>
      <w:r>
        <w:rPr>
          <w:rFonts w:hint="eastAsia" w:ascii="Times New Roman" w:hAnsi="Times New Roman" w:eastAsia="宋体" w:cs="Times New Roman"/>
          <w:color w:val="000000"/>
          <w:kern w:val="0"/>
          <w:sz w:val="24"/>
          <w:szCs w:val="24"/>
          <w:lang w:val="en-US" w:eastAsia="zh-CN" w:bidi="ar"/>
        </w:rPr>
        <w:t>）的技术要求，本次评价采取导则上推荐模式。本项目噪声源均属室内声源，根据《环境影响评价技术导则</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声环境》（</w:t>
      </w:r>
      <w:r>
        <w:rPr>
          <w:rFonts w:hint="default" w:ascii="Times New Roman" w:hAnsi="Times New Roman" w:eastAsia="宋体" w:cs="Times New Roman"/>
          <w:color w:val="000000"/>
          <w:kern w:val="0"/>
          <w:sz w:val="24"/>
          <w:szCs w:val="24"/>
          <w:lang w:val="en-US" w:eastAsia="zh-CN" w:bidi="ar"/>
        </w:rPr>
        <w:t>HJ2.4-2009</w:t>
      </w:r>
      <w:r>
        <w:rPr>
          <w:rFonts w:hint="eastAsia" w:ascii="Times New Roman" w:hAnsi="Times New Roman" w:eastAsia="宋体" w:cs="Times New Roman"/>
          <w:color w:val="000000"/>
          <w:kern w:val="0"/>
          <w:sz w:val="24"/>
          <w:szCs w:val="24"/>
          <w:lang w:val="en-US" w:eastAsia="zh-CN" w:bidi="ar"/>
        </w:rPr>
        <w:t>）中的有关规定，室内声源等效为室外声源按如下方法进行：</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）室内靠近围护结构处的倍频带声压级</w:t>
      </w:r>
    </w:p>
    <w:p>
      <w:pPr>
        <w:keepNext w:val="0"/>
        <w:keepLines w:val="0"/>
        <w:widowControl/>
        <w:suppressLineNumbers w:val="0"/>
        <w:spacing w:before="0" w:beforeAutospacing="0" w:after="0" w:afterAutospacing="0"/>
        <w:ind w:left="0" w:right="0" w:firstLine="480" w:firstLineChars="200"/>
        <w:jc w:val="center"/>
        <w:rPr>
          <w:rFonts w:hint="default" w:ascii="Times New Roman" w:hAnsi="Times New Roman" w:cs="Times New Roman"/>
          <w:color w:val="000000"/>
          <w:lang w:val="en-US"/>
        </w:rPr>
      </w:pPr>
      <w:r>
        <w:rPr>
          <w:rFonts w:hint="default" w:ascii="Times New Roman" w:hAnsi="Times New Roman" w:eastAsia="宋体" w:cs="Times New Roman"/>
          <w:i/>
          <w:color w:val="000000"/>
          <w:kern w:val="0"/>
          <w:sz w:val="24"/>
          <w:szCs w:val="24"/>
          <w:lang w:val="en-US" w:eastAsia="zh-CN" w:bidi="ar"/>
        </w:rPr>
        <w:t>L</w:t>
      </w:r>
      <w:r>
        <w:rPr>
          <w:rFonts w:hint="default" w:ascii="Times New Roman" w:hAnsi="Times New Roman" w:eastAsia="宋体" w:cs="Times New Roman"/>
          <w:i/>
          <w:color w:val="000000"/>
          <w:kern w:val="0"/>
          <w:sz w:val="24"/>
          <w:szCs w:val="24"/>
          <w:vertAlign w:val="subscript"/>
          <w:lang w:val="en-US" w:eastAsia="zh-CN" w:bidi="ar"/>
        </w:rPr>
        <w:t>1</w:t>
      </w:r>
      <w:r>
        <w:rPr>
          <w:rFonts w:hint="default"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i/>
          <w:color w:val="000000"/>
          <w:kern w:val="0"/>
          <w:sz w:val="24"/>
          <w:szCs w:val="24"/>
          <w:lang w:val="en-US" w:eastAsia="zh-CN" w:bidi="ar"/>
        </w:rPr>
        <w:t>L</w:t>
      </w:r>
      <w:r>
        <w:rPr>
          <w:rFonts w:hint="default" w:ascii="Times New Roman" w:hAnsi="Times New Roman" w:eastAsia="宋体" w:cs="Times New Roman"/>
          <w:i/>
          <w:color w:val="000000"/>
          <w:kern w:val="0"/>
          <w:sz w:val="24"/>
          <w:szCs w:val="24"/>
          <w:vertAlign w:val="subscript"/>
          <w:lang w:val="en-US" w:eastAsia="zh-CN" w:bidi="ar"/>
        </w:rPr>
        <w:t>w</w:t>
      </w:r>
      <w:r>
        <w:rPr>
          <w:rFonts w:hint="default" w:ascii="Times New Roman" w:hAnsi="Times New Roman" w:eastAsia="宋体" w:cs="Times New Roman"/>
          <w:color w:val="000000"/>
          <w:kern w:val="0"/>
          <w:sz w:val="24"/>
          <w:szCs w:val="24"/>
          <w:lang w:val="en-US" w:eastAsia="zh-CN" w:bidi="ar"/>
        </w:rPr>
        <w:t>+10 lg(Q/4∏r</w:t>
      </w:r>
      <w:r>
        <w:rPr>
          <w:rFonts w:hint="default" w:ascii="Times New Roman" w:hAnsi="Times New Roman" w:eastAsia="宋体" w:cs="Times New Roman"/>
          <w:color w:val="000000"/>
          <w:kern w:val="0"/>
          <w:sz w:val="24"/>
          <w:szCs w:val="24"/>
          <w:vertAlign w:val="superscript"/>
          <w:lang w:val="en-US" w:eastAsia="zh-CN" w:bidi="ar"/>
        </w:rPr>
        <w:t>2</w:t>
      </w:r>
      <w:r>
        <w:rPr>
          <w:rFonts w:hint="default" w:ascii="Times New Roman" w:hAnsi="Times New Roman" w:eastAsia="宋体" w:cs="Times New Roman"/>
          <w:color w:val="000000"/>
          <w:kern w:val="0"/>
          <w:sz w:val="24"/>
          <w:szCs w:val="24"/>
          <w:lang w:val="en-US" w:eastAsia="zh-CN" w:bidi="ar"/>
        </w:rPr>
        <w:t>+4/R)</w:t>
      </w:r>
    </w:p>
    <w:p>
      <w:pPr>
        <w:keepNext w:val="0"/>
        <w:keepLines w:val="0"/>
        <w:widowControl/>
        <w:suppressLineNumbers w:val="0"/>
        <w:autoSpaceDE w:val="0"/>
        <w:autoSpaceDN w:val="0"/>
        <w:spacing w:before="0" w:beforeAutospacing="0" w:after="0" w:afterAutospacing="0"/>
        <w:ind w:left="23" w:leftChars="11" w:right="23" w:rightChars="11"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式中：</w:t>
      </w:r>
      <w:r>
        <w:rPr>
          <w:rFonts w:hint="default" w:ascii="Times New Roman" w:hAnsi="Times New Roman" w:eastAsia="宋体" w:cs="Times New Roman"/>
          <w:i/>
          <w:color w:val="000000"/>
          <w:kern w:val="0"/>
          <w:sz w:val="24"/>
          <w:szCs w:val="24"/>
          <w:lang w:val="en-US" w:eastAsia="zh-CN" w:bidi="ar"/>
        </w:rPr>
        <w:t>L</w:t>
      </w:r>
      <w:r>
        <w:rPr>
          <w:rFonts w:hint="default" w:ascii="Times New Roman" w:hAnsi="Times New Roman" w:eastAsia="宋体" w:cs="Times New Roman"/>
          <w:i/>
          <w:color w:val="000000"/>
          <w:kern w:val="0"/>
          <w:sz w:val="24"/>
          <w:szCs w:val="24"/>
          <w:vertAlign w:val="subscript"/>
          <w:lang w:val="en-US" w:eastAsia="zh-CN" w:bidi="ar"/>
        </w:rPr>
        <w:t>1</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某个室内声源在靠近围护结构处产生的倍频带声压级；</w:t>
      </w:r>
    </w:p>
    <w:p>
      <w:pPr>
        <w:keepNext w:val="0"/>
        <w:keepLines w:val="0"/>
        <w:widowControl/>
        <w:suppressLineNumbers w:val="0"/>
        <w:autoSpaceDE w:val="0"/>
        <w:autoSpaceDN w:val="0"/>
        <w:spacing w:before="0" w:beforeAutospacing="0" w:after="0" w:afterAutospacing="0"/>
        <w:ind w:left="23" w:leftChars="11" w:right="23" w:rightChars="11"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 xml:space="preserve">      </w:t>
      </w:r>
      <w:r>
        <w:rPr>
          <w:rFonts w:hint="default" w:ascii="Times New Roman" w:hAnsi="Times New Roman" w:eastAsia="宋体" w:cs="Times New Roman"/>
          <w:i/>
          <w:color w:val="000000"/>
          <w:kern w:val="0"/>
          <w:sz w:val="24"/>
          <w:szCs w:val="24"/>
          <w:lang w:val="en-US" w:eastAsia="zh-CN" w:bidi="ar"/>
        </w:rPr>
        <w:t>L</w:t>
      </w:r>
      <w:r>
        <w:rPr>
          <w:rFonts w:hint="default" w:ascii="Times New Roman" w:hAnsi="Times New Roman" w:eastAsia="宋体" w:cs="Times New Roman"/>
          <w:i/>
          <w:color w:val="000000"/>
          <w:kern w:val="0"/>
          <w:sz w:val="24"/>
          <w:szCs w:val="24"/>
          <w:vertAlign w:val="subscript"/>
          <w:lang w:val="en-US" w:eastAsia="zh-CN" w:bidi="ar"/>
        </w:rPr>
        <w:t>w</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某个声源的倍频带声功率级；</w:t>
      </w:r>
    </w:p>
    <w:p>
      <w:pPr>
        <w:keepNext w:val="0"/>
        <w:keepLines w:val="0"/>
        <w:widowControl/>
        <w:suppressLineNumbers w:val="0"/>
        <w:autoSpaceDE w:val="0"/>
        <w:autoSpaceDN w:val="0"/>
        <w:spacing w:before="0" w:beforeAutospacing="0" w:after="0" w:afterAutospacing="0"/>
        <w:ind w:left="23" w:leftChars="11" w:right="23" w:rightChars="11"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 xml:space="preserve">      R—</w:t>
      </w:r>
      <w:r>
        <w:rPr>
          <w:rFonts w:hint="eastAsia" w:ascii="Times New Roman" w:hAnsi="Times New Roman" w:eastAsia="宋体" w:cs="Times New Roman"/>
          <w:color w:val="000000"/>
          <w:kern w:val="0"/>
          <w:sz w:val="24"/>
          <w:szCs w:val="24"/>
          <w:lang w:val="en-US" w:eastAsia="zh-CN" w:bidi="ar"/>
        </w:rPr>
        <w:t>房间常数；</w:t>
      </w:r>
    </w:p>
    <w:p>
      <w:pPr>
        <w:keepNext w:val="0"/>
        <w:keepLines w:val="0"/>
        <w:widowControl/>
        <w:suppressLineNumbers w:val="0"/>
        <w:autoSpaceDE w:val="0"/>
        <w:autoSpaceDN w:val="0"/>
        <w:spacing w:before="0" w:beforeAutospacing="0" w:after="0" w:afterAutospacing="0"/>
        <w:ind w:left="23" w:leftChars="11" w:right="23" w:rightChars="11" w:firstLine="1200" w:firstLineChars="5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Q—</w:t>
      </w:r>
      <w:r>
        <w:rPr>
          <w:rFonts w:hint="eastAsia" w:ascii="Times New Roman" w:hAnsi="Times New Roman" w:eastAsia="宋体" w:cs="Times New Roman"/>
          <w:color w:val="000000"/>
          <w:kern w:val="0"/>
          <w:sz w:val="24"/>
          <w:szCs w:val="24"/>
          <w:lang w:val="en-US" w:eastAsia="zh-CN" w:bidi="ar"/>
        </w:rPr>
        <w:t>方向性因子；</w:t>
      </w:r>
    </w:p>
    <w:p>
      <w:pPr>
        <w:keepNext w:val="0"/>
        <w:keepLines w:val="0"/>
        <w:widowControl/>
        <w:suppressLineNumbers w:val="0"/>
        <w:autoSpaceDE w:val="0"/>
        <w:autoSpaceDN w:val="0"/>
        <w:spacing w:before="0" w:beforeAutospacing="0" w:after="0" w:afterAutospacing="0"/>
        <w:ind w:left="23" w:leftChars="11" w:right="23" w:rightChars="11"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 xml:space="preserve">      r—</w:t>
      </w:r>
      <w:r>
        <w:rPr>
          <w:rFonts w:hint="eastAsia" w:ascii="Times New Roman" w:hAnsi="Times New Roman" w:eastAsia="宋体" w:cs="Times New Roman"/>
          <w:color w:val="000000"/>
          <w:kern w:val="0"/>
          <w:sz w:val="24"/>
          <w:szCs w:val="24"/>
          <w:lang w:val="en-US" w:eastAsia="zh-CN" w:bidi="ar"/>
        </w:rPr>
        <w:t>声源与围护结构距离，</w:t>
      </w:r>
      <w:r>
        <w:rPr>
          <w:rFonts w:hint="default" w:ascii="Times New Roman" w:hAnsi="Times New Roman" w:eastAsia="宋体" w:cs="Times New Roman"/>
          <w:color w:val="000000"/>
          <w:kern w:val="0"/>
          <w:sz w:val="24"/>
          <w:szCs w:val="24"/>
          <w:lang w:val="en-US" w:eastAsia="zh-CN" w:bidi="ar"/>
        </w:rPr>
        <w:t>m</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）室外靠近围护结构处的声压级</w:t>
      </w:r>
    </w:p>
    <w:p>
      <w:pPr>
        <w:keepNext w:val="0"/>
        <w:keepLines w:val="0"/>
        <w:widowControl/>
        <w:suppressLineNumbers w:val="0"/>
        <w:spacing w:before="0" w:beforeAutospacing="0" w:after="0" w:afterAutospacing="0"/>
        <w:ind w:left="0" w:right="0" w:firstLine="480" w:firstLineChars="200"/>
        <w:jc w:val="center"/>
        <w:rPr>
          <w:rFonts w:hint="default" w:ascii="Times New Roman" w:hAnsi="Times New Roman" w:cs="Times New Roman"/>
          <w:color w:val="000000"/>
          <w:lang w:val="en-US"/>
        </w:rPr>
      </w:pPr>
      <w:r>
        <w:rPr>
          <w:rFonts w:hint="default" w:ascii="Times New Roman" w:hAnsi="Times New Roman" w:eastAsia="宋体" w:cs="Times New Roman"/>
          <w:i/>
          <w:color w:val="000000"/>
          <w:kern w:val="0"/>
          <w:sz w:val="24"/>
          <w:szCs w:val="24"/>
          <w:lang w:val="en-US" w:eastAsia="zh-CN" w:bidi="ar"/>
        </w:rPr>
        <w:t>L</w:t>
      </w:r>
      <w:r>
        <w:rPr>
          <w:rFonts w:hint="default" w:ascii="Times New Roman" w:hAnsi="Times New Roman" w:eastAsia="宋体" w:cs="Times New Roman"/>
          <w:i/>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i/>
          <w:color w:val="000000"/>
          <w:kern w:val="0"/>
          <w:sz w:val="24"/>
          <w:szCs w:val="24"/>
          <w:lang w:val="en-US" w:eastAsia="zh-CN" w:bidi="ar"/>
        </w:rPr>
        <w:t>L</w:t>
      </w:r>
      <w:r>
        <w:rPr>
          <w:rFonts w:hint="default" w:ascii="Times New Roman" w:hAnsi="Times New Roman" w:eastAsia="宋体" w:cs="Times New Roman"/>
          <w:i/>
          <w:color w:val="000000"/>
          <w:kern w:val="0"/>
          <w:sz w:val="24"/>
          <w:szCs w:val="24"/>
          <w:vertAlign w:val="subscript"/>
          <w:lang w:val="en-US" w:eastAsia="zh-CN" w:bidi="ar"/>
        </w:rPr>
        <w:t>1</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i/>
          <w:color w:val="000000"/>
          <w:kern w:val="0"/>
          <w:sz w:val="24"/>
          <w:szCs w:val="24"/>
          <w:lang w:val="en-US" w:eastAsia="zh-CN" w:bidi="ar"/>
        </w:rPr>
        <w:t>TL</w:t>
      </w:r>
      <w:r>
        <w:rPr>
          <w:rFonts w:hint="default" w:ascii="Times New Roman" w:hAnsi="Times New Roman" w:eastAsia="宋体" w:cs="Times New Roman"/>
          <w:color w:val="000000"/>
          <w:kern w:val="0"/>
          <w:sz w:val="24"/>
          <w:szCs w:val="24"/>
          <w:lang w:val="en-US" w:eastAsia="zh-CN" w:bidi="ar"/>
        </w:rPr>
        <w:t>+6</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式中：</w:t>
      </w:r>
      <w:r>
        <w:rPr>
          <w:rFonts w:hint="default" w:ascii="Times New Roman" w:hAnsi="Times New Roman" w:eastAsia="宋体" w:cs="Times New Roman"/>
          <w:i/>
          <w:color w:val="000000"/>
          <w:kern w:val="0"/>
          <w:sz w:val="24"/>
          <w:szCs w:val="24"/>
          <w:lang w:val="en-US" w:eastAsia="zh-CN" w:bidi="ar"/>
        </w:rPr>
        <w:t>L</w:t>
      </w:r>
      <w:r>
        <w:rPr>
          <w:rFonts w:hint="default" w:ascii="Times New Roman" w:hAnsi="Times New Roman" w:eastAsia="宋体" w:cs="Times New Roman"/>
          <w:i/>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某个室外声源在靠近围护结构处产生的倍频带声压级；</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i/>
          <w:color w:val="000000"/>
          <w:kern w:val="0"/>
          <w:sz w:val="24"/>
          <w:szCs w:val="24"/>
          <w:lang w:val="en-US" w:eastAsia="zh-CN" w:bidi="ar"/>
        </w:rPr>
        <w:t>TL</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隔墙（或窗户）的传播损失。</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）室外声级和透声面积换算成等效室外声源：</w:t>
      </w:r>
    </w:p>
    <w:p>
      <w:pPr>
        <w:keepNext w:val="0"/>
        <w:keepLines w:val="0"/>
        <w:widowControl/>
        <w:suppressLineNumbers w:val="0"/>
        <w:spacing w:before="0" w:beforeAutospacing="0" w:after="0" w:afterAutospacing="0"/>
        <w:ind w:left="0" w:right="0" w:firstLine="480" w:firstLineChars="200"/>
        <w:jc w:val="center"/>
        <w:rPr>
          <w:rFonts w:hint="default" w:ascii="Times New Roman" w:hAnsi="Times New Roman" w:cs="Times New Roman"/>
          <w:color w:val="000000"/>
          <w:lang w:val="en-US"/>
        </w:rPr>
      </w:pPr>
      <w:r>
        <w:rPr>
          <w:rFonts w:hint="default" w:ascii="Times New Roman" w:hAnsi="Times New Roman" w:eastAsia="宋体" w:cs="Times New Roman"/>
          <w:i/>
          <w:color w:val="000000"/>
          <w:kern w:val="0"/>
          <w:sz w:val="24"/>
          <w:szCs w:val="24"/>
          <w:lang w:val="en-US" w:eastAsia="zh-CN" w:bidi="ar"/>
        </w:rPr>
        <w:t>L</w:t>
      </w:r>
      <w:r>
        <w:rPr>
          <w:rFonts w:hint="default" w:ascii="Times New Roman" w:hAnsi="Times New Roman" w:eastAsia="宋体" w:cs="Times New Roman"/>
          <w:i/>
          <w:color w:val="000000"/>
          <w:kern w:val="0"/>
          <w:sz w:val="24"/>
          <w:szCs w:val="24"/>
          <w:vertAlign w:val="subscript"/>
          <w:lang w:val="en-US" w:eastAsia="zh-CN" w:bidi="ar"/>
        </w:rPr>
        <w:t>w</w:t>
      </w:r>
      <w:r>
        <w:rPr>
          <w:rFonts w:hint="default"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i/>
          <w:color w:val="000000"/>
          <w:kern w:val="0"/>
          <w:sz w:val="24"/>
          <w:szCs w:val="24"/>
          <w:lang w:val="en-US" w:eastAsia="zh-CN" w:bidi="ar"/>
        </w:rPr>
        <w:t>L</w:t>
      </w:r>
      <w:r>
        <w:rPr>
          <w:rFonts w:hint="default" w:ascii="Times New Roman" w:hAnsi="Times New Roman" w:eastAsia="宋体" w:cs="Times New Roman"/>
          <w:i/>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+10 lg S</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式中：</w:t>
      </w:r>
      <w:r>
        <w:rPr>
          <w:rFonts w:hint="default" w:ascii="Times New Roman" w:hAnsi="Times New Roman" w:eastAsia="宋体" w:cs="Times New Roman"/>
          <w:color w:val="000000"/>
          <w:kern w:val="0"/>
          <w:sz w:val="24"/>
          <w:szCs w:val="24"/>
          <w:lang w:val="en-US" w:eastAsia="zh-CN" w:bidi="ar"/>
        </w:rPr>
        <w:t>S—</w:t>
      </w:r>
      <w:r>
        <w:rPr>
          <w:rFonts w:hint="eastAsia" w:ascii="Times New Roman" w:hAnsi="Times New Roman" w:eastAsia="宋体" w:cs="Times New Roman"/>
          <w:color w:val="000000"/>
          <w:kern w:val="0"/>
          <w:sz w:val="24"/>
          <w:szCs w:val="24"/>
          <w:lang w:val="en-US" w:eastAsia="zh-CN" w:bidi="ar"/>
        </w:rPr>
        <w:t>透声面积（</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utoSpaceDE w:val="0"/>
        <w:autoSpaceDN w:val="0"/>
        <w:spacing w:before="0" w:beforeAutospacing="0" w:after="0" w:afterAutospacing="0"/>
        <w:ind w:left="0" w:right="0" w:firstLine="480" w:firstLineChars="200"/>
        <w:jc w:val="both"/>
        <w:textAlignment w:val="bottom"/>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本项目对噪声的控制主要采取控制噪声源与隔断噪声传播途径相结合的办法，以控制噪声对厂界四邻的影响。现将控制措施叙述如下：</w:t>
      </w:r>
    </w:p>
    <w:p>
      <w:pPr>
        <w:keepNext w:val="0"/>
        <w:keepLines w:val="0"/>
        <w:widowControl/>
        <w:suppressLineNumbers w:val="0"/>
        <w:autoSpaceDE w:val="0"/>
        <w:autoSpaceDN w:val="0"/>
        <w:spacing w:before="0" w:beforeAutospacing="0" w:after="0" w:afterAutospacing="0"/>
        <w:ind w:left="0" w:right="0" w:firstLine="480" w:firstLineChars="200"/>
        <w:jc w:val="both"/>
        <w:textAlignment w:val="bottom"/>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）声源治理</w:t>
      </w:r>
    </w:p>
    <w:p>
      <w:pPr>
        <w:keepNext w:val="0"/>
        <w:keepLines w:val="0"/>
        <w:widowControl/>
        <w:suppressLineNumbers w:val="0"/>
        <w:spacing w:before="0" w:beforeAutospacing="0" w:after="0" w:afterAutospacing="0"/>
        <w:ind w:left="0" w:right="0" w:firstLine="56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在满足工艺设计的前提下，选用低噪声型号的设备及小功率的设备，从源头控制噪声的产生。除尘风机出口设消声器消声，根据《噪声控制手册》的有关数据，其降噪效果约</w:t>
      </w:r>
      <w:r>
        <w:rPr>
          <w:rFonts w:hint="default" w:ascii="Times New Roman" w:hAnsi="Times New Roman" w:eastAsia="宋体" w:cs="Times New Roman"/>
          <w:color w:val="000000"/>
          <w:kern w:val="0"/>
          <w:sz w:val="24"/>
          <w:szCs w:val="24"/>
          <w:lang w:val="en-US" w:eastAsia="zh-CN" w:bidi="ar"/>
        </w:rPr>
        <w:t>20dB-25dB</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utoSpaceDE w:val="0"/>
        <w:autoSpaceDN w:val="0"/>
        <w:spacing w:before="0" w:beforeAutospacing="0" w:after="0" w:afterAutospacing="0"/>
        <w:ind w:left="0" w:right="0" w:firstLine="480" w:firstLineChars="200"/>
        <w:jc w:val="both"/>
        <w:textAlignment w:val="bottom"/>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）隔声减振</w:t>
      </w:r>
    </w:p>
    <w:p>
      <w:pPr>
        <w:keepNext w:val="0"/>
        <w:keepLines w:val="0"/>
        <w:widowControl/>
        <w:suppressLineNumbers w:val="0"/>
        <w:autoSpaceDE w:val="0"/>
        <w:autoSpaceDN w:val="0"/>
        <w:spacing w:before="0" w:beforeAutospacing="0" w:after="0" w:afterAutospacing="0"/>
        <w:ind w:left="0" w:right="0" w:firstLine="480" w:firstLineChars="200"/>
        <w:jc w:val="both"/>
        <w:textAlignment w:val="bottom"/>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将产生噪声的设备均置于封闭的厂房内，厂房采用隔声、吸声材料制作门窗、砌体等。本工程生产主厂房为钢混结构，内夹</w:t>
      </w:r>
      <w:r>
        <w:rPr>
          <w:rFonts w:hint="default" w:ascii="Times New Roman" w:hAnsi="Times New Roman" w:eastAsia="宋体" w:cs="Times New Roman"/>
          <w:color w:val="000000"/>
          <w:kern w:val="0"/>
          <w:sz w:val="24"/>
          <w:szCs w:val="24"/>
          <w:lang w:val="en-US" w:eastAsia="zh-CN" w:bidi="ar"/>
        </w:rPr>
        <w:t>100mm</w:t>
      </w:r>
      <w:r>
        <w:rPr>
          <w:rFonts w:hint="eastAsia" w:ascii="Times New Roman" w:hAnsi="Times New Roman" w:eastAsia="宋体" w:cs="Times New Roman"/>
          <w:color w:val="000000"/>
          <w:kern w:val="0"/>
          <w:sz w:val="24"/>
          <w:szCs w:val="24"/>
          <w:lang w:val="en-US" w:eastAsia="zh-CN" w:bidi="ar"/>
        </w:rPr>
        <w:t>厚岩棉层进行保温及隔音，厂房窗户为双层密闭隔声窗，可有效防止噪声的扩散与传播。各除尘风机、各破碎机、振动筛、各种泵及产生高噪声的设备设置单独基础，其与管道连接采用柔性连接方式，以防止振动产生噪音向外传播。综合考虑墙的隔声作用和门窗的透声作用，厂房的综合隔声效果可达</w:t>
      </w:r>
      <w:r>
        <w:rPr>
          <w:rFonts w:hint="default" w:ascii="Times New Roman" w:hAnsi="Times New Roman" w:eastAsia="宋体" w:cs="Times New Roman"/>
          <w:color w:val="000000"/>
          <w:kern w:val="0"/>
          <w:sz w:val="24"/>
          <w:szCs w:val="24"/>
          <w:lang w:val="en-US" w:eastAsia="zh-CN" w:bidi="ar"/>
        </w:rPr>
        <w:t>35dB</w:t>
      </w:r>
      <w:r>
        <w:rPr>
          <w:rFonts w:hint="eastAsia" w:ascii="Times New Roman" w:hAnsi="Times New Roman" w:eastAsia="宋体" w:cs="Times New Roman"/>
          <w:color w:val="000000"/>
          <w:kern w:val="0"/>
          <w:sz w:val="24"/>
          <w:szCs w:val="24"/>
          <w:lang w:val="en-US" w:eastAsia="zh-CN" w:bidi="ar"/>
        </w:rPr>
        <w:t>以上。</w:t>
      </w:r>
    </w:p>
    <w:p>
      <w:pPr>
        <w:keepNext w:val="0"/>
        <w:keepLines w:val="0"/>
        <w:widowControl/>
        <w:suppressLineNumbers w:val="0"/>
        <w:autoSpaceDE w:val="0"/>
        <w:autoSpaceDN w:val="0"/>
        <w:spacing w:before="0" w:beforeAutospacing="0" w:after="0" w:afterAutospacing="0"/>
        <w:ind w:left="0" w:right="0" w:firstLine="480" w:firstLineChars="200"/>
        <w:jc w:val="both"/>
        <w:textAlignment w:val="bottom"/>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）总平面布置</w:t>
      </w:r>
    </w:p>
    <w:p>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在厂内总平面设计中，充分考虑厂址周围敏感目标的布局、声源方向性及车间噪声强弱，利用建构筑物、绿化植物等对噪声的屏蔽、吸纳作用，进行合理的平面布局，以起到降低噪声对厂址周围敏感目标的影响作用。</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4</w:t>
      </w:r>
      <w:r>
        <w:rPr>
          <w:rFonts w:hint="eastAsia" w:ascii="宋体" w:hAnsi="宋体" w:eastAsia="宋体" w:cs="宋体"/>
          <w:color w:val="000000"/>
          <w:kern w:val="0"/>
          <w:sz w:val="24"/>
          <w:szCs w:val="24"/>
          <w:lang w:val="en-US" w:eastAsia="zh-CN" w:bidi="ar"/>
        </w:rPr>
        <w:t>）声级的计算</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drawing>
          <wp:anchor distT="0" distB="0" distL="114300" distR="114300" simplePos="0" relativeHeight="251714560" behindDoc="0" locked="0" layoutInCell="1" allowOverlap="1">
            <wp:simplePos x="0" y="0"/>
            <wp:positionH relativeFrom="column">
              <wp:posOffset>1816735</wp:posOffset>
            </wp:positionH>
            <wp:positionV relativeFrom="paragraph">
              <wp:posOffset>318770</wp:posOffset>
            </wp:positionV>
            <wp:extent cx="1676400" cy="419100"/>
            <wp:effectExtent l="0" t="0" r="0" b="0"/>
            <wp:wrapNone/>
            <wp:docPr id="20" name="对象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对象 193"/>
                    <pic:cNvPicPr>
                      <a:picLocks noChangeAspect="1"/>
                    </pic:cNvPicPr>
                  </pic:nvPicPr>
                  <pic:blipFill>
                    <a:blip r:embed="rId69"/>
                    <a:stretch>
                      <a:fillRect/>
                    </a:stretch>
                  </pic:blipFill>
                  <pic:spPr>
                    <a:xfrm>
                      <a:off x="0" y="0"/>
                      <a:ext cx="1676400" cy="419100"/>
                    </a:xfrm>
                    <a:prstGeom prst="rect">
                      <a:avLst/>
                    </a:prstGeom>
                    <a:noFill/>
                    <a:ln>
                      <a:noFill/>
                    </a:ln>
                  </pic:spPr>
                </pic:pic>
              </a:graphicData>
            </a:graphic>
          </wp:anchor>
        </w:drawing>
      </w:r>
      <w:r>
        <w:rPr>
          <w:rFonts w:hint="default" w:ascii="Times New Roman" w:hAnsi="Times New Roman" w:eastAsia="宋体" w:cs="Times New Roman"/>
          <w:color w:val="000000"/>
          <w:kern w:val="0"/>
          <w:sz w:val="24"/>
          <w:szCs w:val="24"/>
          <w:lang w:val="en-US" w:eastAsia="zh-CN" w:bidi="ar"/>
        </w:rPr>
        <w:t xml:space="preserve">a) </w:t>
      </w:r>
      <w:r>
        <w:rPr>
          <w:rFonts w:hint="eastAsia" w:ascii="Times New Roman" w:hAnsi="Times New Roman" w:eastAsia="宋体" w:cs="Times New Roman"/>
          <w:color w:val="000000"/>
          <w:kern w:val="0"/>
          <w:sz w:val="24"/>
          <w:szCs w:val="24"/>
          <w:lang w:val="en-US" w:eastAsia="zh-CN" w:bidi="ar"/>
        </w:rPr>
        <w:t>建设项目声源在预测点产生的等效声级贡献值</w:t>
      </w:r>
      <w:r>
        <w:rPr>
          <w:rFonts w:hint="default" w:ascii="Times New Roman" w:hAnsi="Times New Roman" w:eastAsia="宋体" w:cs="Times New Roman"/>
          <w:color w:val="000000"/>
          <w:kern w:val="0"/>
          <w:sz w:val="24"/>
          <w:szCs w:val="24"/>
          <w:lang w:val="en-US" w:eastAsia="zh-CN" w:bidi="ar"/>
        </w:rPr>
        <w:t>(Leq g)</w:t>
      </w:r>
      <w:r>
        <w:rPr>
          <w:rFonts w:hint="eastAsia" w:ascii="Times New Roman" w:hAnsi="Times New Roman" w:eastAsia="宋体" w:cs="Times New Roman"/>
          <w:color w:val="000000"/>
          <w:kern w:val="0"/>
          <w:sz w:val="24"/>
          <w:szCs w:val="24"/>
          <w:lang w:val="en-US" w:eastAsia="zh-CN" w:bidi="ar"/>
        </w:rPr>
        <w:t>计算公式：</w:t>
      </w: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color w:val="000000"/>
          <w:lang w:val="en-US"/>
        </w:rPr>
      </w:pP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式中：</w:t>
      </w:r>
    </w:p>
    <w:p>
      <w:pPr>
        <w:keepNext w:val="0"/>
        <w:keepLines w:val="0"/>
        <w:widowControl/>
        <w:suppressLineNumbers w:val="0"/>
        <w:spacing w:before="0" w:beforeAutospacing="0" w:after="0" w:afterAutospacing="0" w:line="500" w:lineRule="exact"/>
        <w:ind w:left="0" w:right="0" w:firstLine="720" w:firstLineChars="300"/>
        <w:jc w:val="left"/>
        <w:rPr>
          <w:rFonts w:hint="default" w:ascii="Times New Roman" w:hAnsi="Times New Roman" w:cs="Times New Roman"/>
          <w:color w:val="000000"/>
          <w:lang w:val="en-US"/>
        </w:rPr>
      </w:pPr>
      <w:r>
        <w:rPr>
          <w:rFonts w:hint="default" w:ascii="Times New Roman" w:hAnsi="Times New Roman" w:eastAsia="宋体" w:cs="Times New Roman"/>
          <w:i/>
          <w:color w:val="000000"/>
          <w:kern w:val="0"/>
          <w:sz w:val="24"/>
          <w:szCs w:val="24"/>
          <w:lang w:val="en-US" w:eastAsia="zh-CN" w:bidi="ar"/>
        </w:rPr>
        <w:t>L</w:t>
      </w:r>
      <w:r>
        <w:rPr>
          <w:rFonts w:hint="default" w:ascii="Times New Roman" w:hAnsi="Times New Roman" w:eastAsia="宋体" w:cs="Times New Roman"/>
          <w:i/>
          <w:color w:val="000000"/>
          <w:kern w:val="0"/>
          <w:sz w:val="24"/>
          <w:szCs w:val="24"/>
          <w:vertAlign w:val="subscript"/>
          <w:lang w:val="en-US" w:eastAsia="zh-CN" w:bidi="ar"/>
        </w:rPr>
        <w:t>eqg</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建设项目声源在预测点的等效声级贡献值，</w:t>
      </w:r>
      <w:r>
        <w:rPr>
          <w:rFonts w:hint="default" w:ascii="Times New Roman" w:hAnsi="Times New Roman" w:eastAsia="宋体" w:cs="Times New Roman"/>
          <w:color w:val="000000"/>
          <w:kern w:val="0"/>
          <w:sz w:val="24"/>
          <w:szCs w:val="24"/>
          <w:lang w:val="en-US" w:eastAsia="zh-CN" w:bidi="ar"/>
        </w:rPr>
        <w:t>dB(A)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720" w:firstLineChars="300"/>
        <w:jc w:val="left"/>
        <w:rPr>
          <w:rFonts w:hint="default" w:ascii="Times New Roman" w:hAnsi="Times New Roman" w:cs="Times New Roman"/>
          <w:color w:val="000000"/>
          <w:lang w:val="en-US"/>
        </w:rPr>
      </w:pPr>
      <w:r>
        <w:rPr>
          <w:rFonts w:hint="default" w:ascii="Times New Roman" w:hAnsi="Times New Roman" w:eastAsia="宋体" w:cs="Times New Roman"/>
          <w:i/>
          <w:color w:val="000000"/>
          <w:kern w:val="0"/>
          <w:sz w:val="24"/>
          <w:szCs w:val="24"/>
          <w:lang w:val="en-US" w:eastAsia="zh-CN" w:bidi="ar"/>
        </w:rPr>
        <w:t>L</w:t>
      </w:r>
      <w:r>
        <w:rPr>
          <w:rFonts w:hint="default" w:ascii="Times New Roman" w:hAnsi="Times New Roman" w:eastAsia="宋体" w:cs="Times New Roman"/>
          <w:i/>
          <w:color w:val="000000"/>
          <w:kern w:val="0"/>
          <w:sz w:val="24"/>
          <w:szCs w:val="24"/>
          <w:vertAlign w:val="subscript"/>
          <w:lang w:val="en-US" w:eastAsia="zh-CN" w:bidi="ar"/>
        </w:rPr>
        <w:t>Ai</w:t>
      </w:r>
      <w:r>
        <w:rPr>
          <w:rFonts w:hint="default" w:ascii="Times New Roman" w:hAnsi="Times New Roman" w:eastAsia="宋体" w:cs="Times New Roman"/>
          <w:color w:val="000000"/>
          <w:kern w:val="0"/>
          <w:sz w:val="24"/>
          <w:szCs w:val="24"/>
          <w:lang w:val="en-US" w:eastAsia="zh-CN" w:bidi="ar"/>
        </w:rPr>
        <w:t xml:space="preserve"> — i</w:t>
      </w:r>
      <w:r>
        <w:rPr>
          <w:rFonts w:hint="eastAsia" w:ascii="Times New Roman" w:hAnsi="Times New Roman" w:eastAsia="宋体" w:cs="Times New Roman"/>
          <w:color w:val="000000"/>
          <w:kern w:val="0"/>
          <w:sz w:val="24"/>
          <w:szCs w:val="24"/>
          <w:lang w:val="en-US" w:eastAsia="zh-CN" w:bidi="ar"/>
        </w:rPr>
        <w:t>声源在预测点产生的</w:t>
      </w:r>
      <w:r>
        <w:rPr>
          <w:rFonts w:hint="default" w:ascii="Times New Roman" w:hAnsi="Times New Roman" w:eastAsia="宋体" w:cs="Times New Roman"/>
          <w:color w:val="000000"/>
          <w:kern w:val="0"/>
          <w:sz w:val="24"/>
          <w:szCs w:val="24"/>
          <w:lang w:val="en-US" w:eastAsia="zh-CN" w:bidi="ar"/>
        </w:rPr>
        <w:t xml:space="preserve">A </w:t>
      </w:r>
      <w:r>
        <w:rPr>
          <w:rFonts w:hint="eastAsia" w:ascii="Times New Roman" w:hAnsi="Times New Roman" w:eastAsia="宋体" w:cs="Times New Roman"/>
          <w:color w:val="000000"/>
          <w:kern w:val="0"/>
          <w:sz w:val="24"/>
          <w:szCs w:val="24"/>
          <w:lang w:val="en-US" w:eastAsia="zh-CN" w:bidi="ar"/>
        </w:rPr>
        <w:t>声级，</w:t>
      </w:r>
      <w:r>
        <w:rPr>
          <w:rFonts w:hint="default" w:ascii="Times New Roman" w:hAnsi="Times New Roman" w:eastAsia="宋体" w:cs="Times New Roman"/>
          <w:color w:val="000000"/>
          <w:kern w:val="0"/>
          <w:sz w:val="24"/>
          <w:szCs w:val="24"/>
          <w:lang w:val="en-US" w:eastAsia="zh-CN" w:bidi="ar"/>
        </w:rPr>
        <w:t>dB(A)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720" w:firstLineChars="300"/>
        <w:jc w:val="left"/>
        <w:rPr>
          <w:rFonts w:hint="default" w:ascii="Times New Roman" w:hAnsi="Times New Roman" w:cs="Times New Roman"/>
          <w:color w:val="000000"/>
          <w:lang w:val="en-US"/>
        </w:rPr>
      </w:pPr>
      <w:r>
        <w:rPr>
          <w:rFonts w:hint="default" w:ascii="Times New Roman" w:hAnsi="Times New Roman" w:eastAsia="宋体" w:cs="Times New Roman"/>
          <w:i/>
          <w:color w:val="000000"/>
          <w:kern w:val="0"/>
          <w:sz w:val="24"/>
          <w:szCs w:val="24"/>
          <w:lang w:val="en-US" w:eastAsia="zh-CN" w:bidi="ar"/>
        </w:rPr>
        <w:t>T</w:t>
      </w:r>
      <w:r>
        <w:rPr>
          <w:rFonts w:hint="default" w:ascii="Times New Roman" w:hAnsi="Times New Roman" w:eastAsia="宋体" w:cs="Times New Roman"/>
          <w:color w:val="000000"/>
          <w:kern w:val="0"/>
          <w:sz w:val="24"/>
          <w:szCs w:val="24"/>
          <w:lang w:val="en-US" w:eastAsia="zh-CN" w:bidi="ar"/>
        </w:rPr>
        <w:t xml:space="preserve">  — </w:t>
      </w:r>
      <w:r>
        <w:rPr>
          <w:rFonts w:hint="eastAsia" w:ascii="Times New Roman" w:hAnsi="Times New Roman" w:eastAsia="宋体" w:cs="Times New Roman"/>
          <w:color w:val="000000"/>
          <w:kern w:val="0"/>
          <w:sz w:val="24"/>
          <w:szCs w:val="24"/>
          <w:lang w:val="en-US" w:eastAsia="zh-CN" w:bidi="ar"/>
        </w:rPr>
        <w:t>预测计算的时间段，</w:t>
      </w:r>
      <w:r>
        <w:rPr>
          <w:rFonts w:hint="default" w:ascii="Times New Roman" w:hAnsi="Times New Roman" w:eastAsia="宋体" w:cs="Times New Roman"/>
          <w:color w:val="000000"/>
          <w:kern w:val="0"/>
          <w:sz w:val="24"/>
          <w:szCs w:val="24"/>
          <w:lang w:val="en-US" w:eastAsia="zh-CN" w:bidi="ar"/>
        </w:rPr>
        <w:t>s</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720" w:firstLineChars="300"/>
        <w:jc w:val="left"/>
        <w:rPr>
          <w:rFonts w:hint="default" w:ascii="Times New Roman" w:hAnsi="Times New Roman" w:cs="Times New Roman"/>
          <w:color w:val="000000"/>
          <w:lang w:val="en-US"/>
        </w:rPr>
      </w:pPr>
      <w:r>
        <w:rPr>
          <w:rFonts w:hint="default" w:ascii="Times New Roman" w:hAnsi="Times New Roman" w:eastAsia="宋体" w:cs="Times New Roman"/>
          <w:i/>
          <w:color w:val="000000"/>
          <w:kern w:val="0"/>
          <w:sz w:val="24"/>
          <w:szCs w:val="24"/>
          <w:lang w:val="en-US" w:eastAsia="zh-CN" w:bidi="ar"/>
        </w:rPr>
        <w:t>t</w:t>
      </w:r>
      <w:r>
        <w:rPr>
          <w:rFonts w:hint="default" w:ascii="Times New Roman" w:hAnsi="Times New Roman" w:eastAsia="宋体" w:cs="Times New Roman"/>
          <w:i/>
          <w:color w:val="000000"/>
          <w:kern w:val="0"/>
          <w:sz w:val="24"/>
          <w:szCs w:val="24"/>
          <w:vertAlign w:val="subscript"/>
          <w:lang w:val="en-US" w:eastAsia="zh-CN" w:bidi="ar"/>
        </w:rPr>
        <w:t>i</w:t>
      </w:r>
      <w:r>
        <w:rPr>
          <w:rFonts w:hint="default" w:ascii="Times New Roman" w:hAnsi="Times New Roman" w:eastAsia="宋体" w:cs="Times New Roman"/>
          <w:color w:val="000000"/>
          <w:kern w:val="0"/>
          <w:sz w:val="24"/>
          <w:szCs w:val="24"/>
          <w:lang w:val="en-US" w:eastAsia="zh-CN" w:bidi="ar"/>
        </w:rPr>
        <w:t xml:space="preserve">  — i </w:t>
      </w:r>
      <w:r>
        <w:rPr>
          <w:rFonts w:hint="eastAsia" w:ascii="Times New Roman" w:hAnsi="Times New Roman" w:eastAsia="宋体" w:cs="Times New Roman"/>
          <w:color w:val="000000"/>
          <w:kern w:val="0"/>
          <w:sz w:val="24"/>
          <w:szCs w:val="24"/>
          <w:lang w:val="en-US" w:eastAsia="zh-CN" w:bidi="ar"/>
        </w:rPr>
        <w:t>声源在</w:t>
      </w:r>
      <w:r>
        <w:rPr>
          <w:rFonts w:hint="default" w:ascii="Times New Roman" w:hAnsi="Times New Roman" w:eastAsia="宋体" w:cs="Times New Roman"/>
          <w:color w:val="000000"/>
          <w:kern w:val="0"/>
          <w:sz w:val="24"/>
          <w:szCs w:val="24"/>
          <w:lang w:val="en-US" w:eastAsia="zh-CN" w:bidi="ar"/>
        </w:rPr>
        <w:t xml:space="preserve">T </w:t>
      </w:r>
      <w:r>
        <w:rPr>
          <w:rFonts w:hint="eastAsia" w:ascii="Times New Roman" w:hAnsi="Times New Roman" w:eastAsia="宋体" w:cs="Times New Roman"/>
          <w:color w:val="000000"/>
          <w:kern w:val="0"/>
          <w:sz w:val="24"/>
          <w:szCs w:val="24"/>
          <w:lang w:val="en-US" w:eastAsia="zh-CN" w:bidi="ar"/>
        </w:rPr>
        <w:t>时段内的运行时间，</w:t>
      </w:r>
      <w:r>
        <w:rPr>
          <w:rFonts w:hint="default" w:ascii="Times New Roman" w:hAnsi="Times New Roman" w:eastAsia="宋体" w:cs="Times New Roman"/>
          <w:color w:val="000000"/>
          <w:kern w:val="0"/>
          <w:sz w:val="24"/>
          <w:szCs w:val="24"/>
          <w:lang w:val="en-US" w:eastAsia="zh-CN" w:bidi="ar"/>
        </w:rPr>
        <w:t>s</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b)</w:t>
      </w:r>
      <w:r>
        <w:rPr>
          <w:rFonts w:hint="eastAsia" w:ascii="Times New Roman" w:hAnsi="Times New Roman" w:eastAsia="宋体" w:cs="Times New Roman"/>
          <w:color w:val="000000"/>
          <w:kern w:val="0"/>
          <w:sz w:val="24"/>
          <w:szCs w:val="24"/>
          <w:lang w:val="en-US" w:eastAsia="zh-CN" w:bidi="ar"/>
        </w:rPr>
        <w:t>预测点的预测等效声级</w:t>
      </w:r>
      <w:r>
        <w:rPr>
          <w:rFonts w:hint="default" w:ascii="Times New Roman" w:hAnsi="Times New Roman" w:eastAsia="宋体" w:cs="Times New Roman"/>
          <w:color w:val="000000"/>
          <w:kern w:val="0"/>
          <w:sz w:val="24"/>
          <w:szCs w:val="24"/>
          <w:lang w:val="en-US" w:eastAsia="zh-CN" w:bidi="ar"/>
        </w:rPr>
        <w:t>(L eq )</w:t>
      </w:r>
      <w:r>
        <w:rPr>
          <w:rFonts w:hint="eastAsia" w:ascii="Times New Roman" w:hAnsi="Times New Roman" w:eastAsia="宋体" w:cs="Times New Roman"/>
          <w:color w:val="000000"/>
          <w:kern w:val="0"/>
          <w:sz w:val="24"/>
          <w:szCs w:val="24"/>
          <w:lang w:val="en-US" w:eastAsia="zh-CN" w:bidi="ar"/>
        </w:rPr>
        <w:t>计算公式</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drawing>
          <wp:anchor distT="0" distB="0" distL="114300" distR="114300" simplePos="0" relativeHeight="251715584" behindDoc="0" locked="0" layoutInCell="1" allowOverlap="1">
            <wp:simplePos x="0" y="0"/>
            <wp:positionH relativeFrom="column">
              <wp:posOffset>1795780</wp:posOffset>
            </wp:positionH>
            <wp:positionV relativeFrom="paragraph">
              <wp:posOffset>13335</wp:posOffset>
            </wp:positionV>
            <wp:extent cx="1790700" cy="266700"/>
            <wp:effectExtent l="0" t="0" r="0" b="0"/>
            <wp:wrapNone/>
            <wp:docPr id="21" name="对象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对象 194"/>
                    <pic:cNvPicPr>
                      <a:picLocks noChangeAspect="1"/>
                    </pic:cNvPicPr>
                  </pic:nvPicPr>
                  <pic:blipFill>
                    <a:blip r:embed="rId70"/>
                    <a:stretch>
                      <a:fillRect/>
                    </a:stretch>
                  </pic:blipFill>
                  <pic:spPr>
                    <a:xfrm>
                      <a:off x="0" y="0"/>
                      <a:ext cx="1790700" cy="266700"/>
                    </a:xfrm>
                    <a:prstGeom prst="rect">
                      <a:avLst/>
                    </a:prstGeom>
                    <a:noFill/>
                    <a:ln>
                      <a:noFill/>
                    </a:ln>
                  </pic:spPr>
                </pic:pic>
              </a:graphicData>
            </a:graphic>
          </wp:anchor>
        </w:drawing>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式中：</w:t>
      </w:r>
    </w:p>
    <w:p>
      <w:pPr>
        <w:keepNext w:val="0"/>
        <w:keepLines w:val="0"/>
        <w:widowControl/>
        <w:suppressLineNumbers w:val="0"/>
        <w:spacing w:before="0" w:beforeAutospacing="0" w:after="0" w:afterAutospacing="0" w:line="500" w:lineRule="exact"/>
        <w:ind w:left="0" w:right="0" w:firstLine="720" w:firstLineChars="300"/>
        <w:jc w:val="left"/>
        <w:rPr>
          <w:rFonts w:hint="default" w:ascii="Times New Roman" w:hAnsi="Times New Roman" w:cs="Times New Roman"/>
          <w:color w:val="000000"/>
          <w:lang w:val="en-US"/>
        </w:rPr>
      </w:pPr>
      <w:r>
        <w:rPr>
          <w:rFonts w:hint="default" w:ascii="Times New Roman" w:hAnsi="Times New Roman" w:eastAsia="宋体" w:cs="Times New Roman"/>
          <w:i/>
          <w:color w:val="000000"/>
          <w:kern w:val="0"/>
          <w:sz w:val="24"/>
          <w:szCs w:val="24"/>
          <w:lang w:val="en-US" w:eastAsia="zh-CN" w:bidi="ar"/>
        </w:rPr>
        <w:t>L</w:t>
      </w:r>
      <w:r>
        <w:rPr>
          <w:rFonts w:hint="default" w:ascii="Times New Roman" w:hAnsi="Times New Roman" w:eastAsia="宋体" w:cs="Times New Roman"/>
          <w:i/>
          <w:color w:val="000000"/>
          <w:kern w:val="0"/>
          <w:sz w:val="24"/>
          <w:szCs w:val="24"/>
          <w:vertAlign w:val="subscript"/>
          <w:lang w:val="en-US" w:eastAsia="zh-CN" w:bidi="ar"/>
        </w:rPr>
        <w:t>eqg</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建设项目声源在预测点的等效声级贡献值，</w:t>
      </w:r>
      <w:r>
        <w:rPr>
          <w:rFonts w:hint="default" w:ascii="Times New Roman" w:hAnsi="Times New Roman" w:eastAsia="宋体" w:cs="Times New Roman"/>
          <w:color w:val="000000"/>
          <w:kern w:val="0"/>
          <w:sz w:val="24"/>
          <w:szCs w:val="24"/>
          <w:lang w:val="en-US" w:eastAsia="zh-CN" w:bidi="ar"/>
        </w:rPr>
        <w:t>dB(A)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720" w:firstLineChars="300"/>
        <w:jc w:val="left"/>
        <w:rPr>
          <w:rFonts w:hint="default" w:ascii="Times New Roman" w:hAnsi="Times New Roman" w:cs="Times New Roman"/>
          <w:color w:val="000000"/>
          <w:lang w:val="en-US"/>
        </w:rPr>
      </w:pPr>
      <w:r>
        <w:rPr>
          <w:rFonts w:hint="default" w:ascii="Times New Roman" w:hAnsi="Times New Roman" w:eastAsia="宋体" w:cs="Times New Roman"/>
          <w:i/>
          <w:color w:val="000000"/>
          <w:kern w:val="0"/>
          <w:sz w:val="24"/>
          <w:szCs w:val="24"/>
          <w:lang w:val="en-US" w:eastAsia="zh-CN" w:bidi="ar"/>
        </w:rPr>
        <w:t>L</w:t>
      </w:r>
      <w:r>
        <w:rPr>
          <w:rFonts w:hint="default" w:ascii="Times New Roman" w:hAnsi="Times New Roman" w:eastAsia="宋体" w:cs="Times New Roman"/>
          <w:i/>
          <w:color w:val="000000"/>
          <w:kern w:val="0"/>
          <w:sz w:val="24"/>
          <w:szCs w:val="24"/>
          <w:vertAlign w:val="subscript"/>
          <w:lang w:val="en-US" w:eastAsia="zh-CN" w:bidi="ar"/>
        </w:rPr>
        <w:t>eqb</w:t>
      </w:r>
      <w:r>
        <w:rPr>
          <w:rFonts w:hint="default" w:ascii="Times New Roman" w:hAnsi="Times New Roman" w:eastAsia="宋体" w:cs="Times New Roman"/>
          <w:i/>
          <w:color w:val="000000"/>
          <w:kern w:val="0"/>
          <w:sz w:val="24"/>
          <w:szCs w:val="24"/>
          <w:lang w:val="en-US" w:eastAsia="zh-CN" w:bidi="ar"/>
        </w:rPr>
        <w:t xml:space="preserve"> </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预测点的背景值，</w:t>
      </w:r>
      <w:r>
        <w:rPr>
          <w:rFonts w:hint="default" w:ascii="Times New Roman" w:hAnsi="Times New Roman" w:eastAsia="宋体" w:cs="Times New Roman"/>
          <w:color w:val="000000"/>
          <w:kern w:val="0"/>
          <w:sz w:val="24"/>
          <w:szCs w:val="24"/>
          <w:lang w:val="en-US" w:eastAsia="zh-CN" w:bidi="ar"/>
        </w:rPr>
        <w:t>dB(A)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 xml:space="preserve">c) </w:t>
      </w:r>
      <w:r>
        <w:rPr>
          <w:rFonts w:hint="eastAsia" w:ascii="Times New Roman" w:hAnsi="Times New Roman" w:eastAsia="宋体" w:cs="Times New Roman"/>
          <w:color w:val="000000"/>
          <w:kern w:val="0"/>
          <w:sz w:val="24"/>
          <w:szCs w:val="24"/>
          <w:lang w:val="en-US" w:eastAsia="zh-CN" w:bidi="ar"/>
        </w:rPr>
        <w:t>声传播衰减计算</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户外声传播衰减包括几何发散（</w:t>
      </w:r>
      <w:r>
        <w:rPr>
          <w:rFonts w:hint="default" w:ascii="Times New Roman" w:hAnsi="Times New Roman" w:eastAsia="宋体" w:cs="Times New Roman"/>
          <w:color w:val="000000"/>
          <w:kern w:val="0"/>
          <w:sz w:val="24"/>
          <w:szCs w:val="24"/>
          <w:lang w:val="en-US" w:eastAsia="zh-CN" w:bidi="ar"/>
        </w:rPr>
        <w:t>Adiv</w:t>
      </w:r>
      <w:r>
        <w:rPr>
          <w:rFonts w:hint="eastAsia" w:ascii="Times New Roman" w:hAnsi="Times New Roman" w:eastAsia="宋体" w:cs="Times New Roman"/>
          <w:color w:val="000000"/>
          <w:kern w:val="0"/>
          <w:sz w:val="24"/>
          <w:szCs w:val="24"/>
          <w:lang w:val="en-US" w:eastAsia="zh-CN" w:bidi="ar"/>
        </w:rPr>
        <w:t>）、大气吸收（</w:t>
      </w:r>
      <w:r>
        <w:rPr>
          <w:rFonts w:hint="default" w:ascii="Times New Roman" w:hAnsi="Times New Roman" w:eastAsia="宋体" w:cs="Times New Roman"/>
          <w:color w:val="000000"/>
          <w:kern w:val="0"/>
          <w:sz w:val="24"/>
          <w:szCs w:val="24"/>
          <w:lang w:val="en-US" w:eastAsia="zh-CN" w:bidi="ar"/>
        </w:rPr>
        <w:t>Aatm</w:t>
      </w:r>
      <w:r>
        <w:rPr>
          <w:rFonts w:hint="eastAsia" w:ascii="Times New Roman" w:hAnsi="Times New Roman" w:eastAsia="宋体" w:cs="Times New Roman"/>
          <w:color w:val="000000"/>
          <w:kern w:val="0"/>
          <w:sz w:val="24"/>
          <w:szCs w:val="24"/>
          <w:lang w:val="en-US" w:eastAsia="zh-CN" w:bidi="ar"/>
        </w:rPr>
        <w:t>）、地面效应（</w:t>
      </w:r>
      <w:r>
        <w:rPr>
          <w:rFonts w:hint="default" w:ascii="Times New Roman" w:hAnsi="Times New Roman" w:eastAsia="宋体" w:cs="Times New Roman"/>
          <w:color w:val="000000"/>
          <w:kern w:val="0"/>
          <w:sz w:val="24"/>
          <w:szCs w:val="24"/>
          <w:lang w:val="en-US" w:eastAsia="zh-CN" w:bidi="ar"/>
        </w:rPr>
        <w:t>Agr</w:t>
      </w:r>
      <w:r>
        <w:rPr>
          <w:rFonts w:hint="eastAsia" w:ascii="Times New Roman" w:hAnsi="Times New Roman" w:eastAsia="宋体" w:cs="Times New Roman"/>
          <w:color w:val="000000"/>
          <w:kern w:val="0"/>
          <w:sz w:val="24"/>
          <w:szCs w:val="24"/>
          <w:lang w:val="en-US" w:eastAsia="zh-CN" w:bidi="ar"/>
        </w:rPr>
        <w:t>）、屏障屏蔽（</w:t>
      </w:r>
      <w:r>
        <w:rPr>
          <w:rFonts w:hint="default" w:ascii="Times New Roman" w:hAnsi="Times New Roman" w:eastAsia="宋体" w:cs="Times New Roman"/>
          <w:color w:val="000000"/>
          <w:kern w:val="0"/>
          <w:sz w:val="24"/>
          <w:szCs w:val="24"/>
          <w:lang w:val="en-US" w:eastAsia="zh-CN" w:bidi="ar"/>
        </w:rPr>
        <w:t>Abar</w:t>
      </w:r>
      <w:r>
        <w:rPr>
          <w:rFonts w:hint="eastAsia" w:ascii="Times New Roman" w:hAnsi="Times New Roman" w:eastAsia="宋体" w:cs="Times New Roman"/>
          <w:color w:val="000000"/>
          <w:kern w:val="0"/>
          <w:sz w:val="24"/>
          <w:szCs w:val="24"/>
          <w:lang w:val="en-US" w:eastAsia="zh-CN" w:bidi="ar"/>
        </w:rPr>
        <w:t>）、其他多方面效应（</w:t>
      </w:r>
      <w:r>
        <w:rPr>
          <w:rFonts w:hint="default" w:ascii="Times New Roman" w:hAnsi="Times New Roman" w:eastAsia="宋体" w:cs="Times New Roman"/>
          <w:color w:val="000000"/>
          <w:kern w:val="0"/>
          <w:sz w:val="24"/>
          <w:szCs w:val="24"/>
          <w:lang w:val="en-US" w:eastAsia="zh-CN" w:bidi="ar"/>
        </w:rPr>
        <w:t>Amisc</w:t>
      </w:r>
      <w:r>
        <w:rPr>
          <w:rFonts w:hint="eastAsia" w:ascii="Times New Roman" w:hAnsi="Times New Roman" w:eastAsia="宋体" w:cs="Times New Roman"/>
          <w:color w:val="000000"/>
          <w:kern w:val="0"/>
          <w:sz w:val="24"/>
          <w:szCs w:val="24"/>
          <w:lang w:val="en-US" w:eastAsia="zh-CN" w:bidi="ar"/>
        </w:rPr>
        <w:t>）引起的衰减。</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drawing>
          <wp:anchor distT="0" distB="0" distL="114300" distR="114300" simplePos="0" relativeHeight="251731968" behindDoc="0" locked="0" layoutInCell="1" allowOverlap="1">
            <wp:simplePos x="0" y="0"/>
            <wp:positionH relativeFrom="margin">
              <wp:posOffset>907415</wp:posOffset>
            </wp:positionH>
            <wp:positionV relativeFrom="paragraph">
              <wp:posOffset>375920</wp:posOffset>
            </wp:positionV>
            <wp:extent cx="3418840" cy="365760"/>
            <wp:effectExtent l="0" t="0" r="10160" b="15240"/>
            <wp:wrapTopAndBottom/>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71"/>
                    <a:stretch>
                      <a:fillRect/>
                    </a:stretch>
                  </pic:blipFill>
                  <pic:spPr>
                    <a:xfrm>
                      <a:off x="0" y="0"/>
                      <a:ext cx="3418840" cy="365760"/>
                    </a:xfrm>
                    <a:prstGeom prst="rect">
                      <a:avLst/>
                    </a:prstGeom>
                    <a:noFill/>
                    <a:ln>
                      <a:noFill/>
                    </a:ln>
                  </pic:spPr>
                </pic:pic>
              </a:graphicData>
            </a:graphic>
          </wp:anchor>
        </w:drawing>
      </w:r>
      <w:r>
        <w:rPr>
          <w:rFonts w:hint="eastAsia" w:ascii="Times New Roman" w:hAnsi="Times New Roman" w:eastAsia="宋体" w:cs="Times New Roman"/>
          <w:color w:val="000000"/>
          <w:kern w:val="0"/>
          <w:sz w:val="24"/>
          <w:szCs w:val="24"/>
          <w:lang w:val="en-US" w:eastAsia="zh-CN" w:bidi="ar"/>
        </w:rPr>
        <w:t>距声源点</w:t>
      </w:r>
      <w:r>
        <w:rPr>
          <w:rFonts w:hint="default" w:ascii="Times New Roman" w:hAnsi="Times New Roman" w:eastAsia="宋体" w:cs="Times New Roman"/>
          <w:color w:val="000000"/>
          <w:kern w:val="0"/>
          <w:sz w:val="24"/>
          <w:szCs w:val="24"/>
          <w:lang w:val="en-US" w:eastAsia="zh-CN" w:bidi="ar"/>
        </w:rPr>
        <w:t>r</w:t>
      </w:r>
      <w:r>
        <w:rPr>
          <w:rFonts w:hint="eastAsia" w:ascii="Times New Roman" w:hAnsi="Times New Roman" w:eastAsia="宋体" w:cs="Times New Roman"/>
          <w:color w:val="000000"/>
          <w:kern w:val="0"/>
          <w:sz w:val="24"/>
          <w:szCs w:val="24"/>
          <w:lang w:val="en-US" w:eastAsia="zh-CN" w:bidi="ar"/>
        </w:rPr>
        <w:t>处的</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声级按下式计算：</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在预测中考虑反射引起的修正、屏障引起的衰减、双绕射、室内声源等效室外声源等影响和计算方法。</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w:t>
      </w:r>
      <w:r>
        <w:rPr>
          <w:rFonts w:hint="default" w:ascii="Times New Roman" w:hAnsi="Times New Roman" w:cs="Times New Roman"/>
          <w:color w:val="000000"/>
          <w:lang w:eastAsia="zh-CN"/>
        </w:rPr>
        <w:t xml:space="preserve">4 </w:t>
      </w:r>
      <w:r>
        <w:rPr>
          <w:rFonts w:ascii="Times New Roman" w:hAnsi="Times New Roman" w:cs="Times New Roman"/>
          <w:color w:val="000000"/>
          <w:lang w:eastAsia="zh-CN"/>
        </w:rPr>
        <w:t>预测结果分析</w:t>
      </w:r>
    </w:p>
    <w:p>
      <w:pPr>
        <w:keepNext w:val="0"/>
        <w:keepLines w:val="0"/>
        <w:widowControl/>
        <w:suppressLineNumbers w:val="0"/>
        <w:spacing w:before="0" w:beforeAutospacing="0" w:after="0" w:afterAutospacing="0" w:line="500" w:lineRule="exact"/>
        <w:ind w:left="0" w:right="0" w:firstLine="480" w:firstLineChars="200"/>
        <w:jc w:val="left"/>
        <w:rPr>
          <w:color w:val="000000"/>
          <w:lang w:val="en-US"/>
        </w:rPr>
      </w:pPr>
      <w:r>
        <w:rPr>
          <w:rFonts w:hint="eastAsia" w:ascii="宋体" w:hAnsi="宋体" w:eastAsia="宋体" w:cs="宋体"/>
          <w:color w:val="000000"/>
          <w:kern w:val="0"/>
          <w:sz w:val="24"/>
          <w:szCs w:val="24"/>
          <w:lang w:val="en-US" w:eastAsia="zh-CN" w:bidi="ar"/>
        </w:rPr>
        <w:t>根据工程污染分析中识别出来的噪声源按照上述方法进行了预测，本项目营运期设备运行噪声传播至各预测点处的噪声值，结果见下表</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400" w:lineRule="exact"/>
        <w:ind w:left="0" w:right="0"/>
        <w:jc w:val="center"/>
        <w:rPr>
          <w:rFonts w:hAnsi="宋体" w:eastAsia="黑体"/>
          <w:color w:val="000000"/>
          <w:kern w:val="2"/>
          <w:lang w:val="en-US"/>
        </w:rPr>
      </w:pPr>
      <w:r>
        <w:rPr>
          <w:rFonts w:hint="eastAsia" w:ascii="Times New Roman" w:hAnsi="Times New Roman" w:eastAsia="黑体" w:cs="Times New Roman"/>
          <w:color w:val="000000"/>
          <w:kern w:val="2"/>
          <w:sz w:val="24"/>
          <w:szCs w:val="24"/>
          <w:lang w:val="en-US" w:eastAsia="zh-CN" w:bidi="ar"/>
        </w:rPr>
        <w:t>表</w:t>
      </w:r>
      <w:r>
        <w:rPr>
          <w:rFonts w:hint="default" w:ascii="Times New Roman" w:hAnsi="Times New Roman" w:eastAsia="黑体" w:cs="Times New Roman"/>
          <w:color w:val="000000"/>
          <w:kern w:val="2"/>
          <w:sz w:val="24"/>
          <w:szCs w:val="24"/>
          <w:lang w:val="en-US" w:eastAsia="zh-CN" w:bidi="ar"/>
        </w:rPr>
        <w:t xml:space="preserve">5.3-3  </w:t>
      </w:r>
      <w:r>
        <w:rPr>
          <w:rFonts w:hint="eastAsia" w:ascii="宋体" w:hAnsi="宋体" w:eastAsia="黑体" w:cs="黑体"/>
          <w:color w:val="000000"/>
          <w:kern w:val="2"/>
          <w:sz w:val="24"/>
          <w:szCs w:val="24"/>
          <w:lang w:val="en-US" w:eastAsia="zh-CN" w:bidi="ar"/>
        </w:rPr>
        <w:t>噪声预测结果统计表</w:t>
      </w:r>
      <w:r>
        <w:rPr>
          <w:rFonts w:hint="eastAsia" w:ascii="宋体" w:hAnsi="宋体" w:eastAsia="黑体" w:cs="宋体"/>
          <w:color w:val="000000"/>
          <w:kern w:val="2"/>
          <w:sz w:val="24"/>
          <w:szCs w:val="24"/>
          <w:lang w:val="en-US" w:eastAsia="zh-CN" w:bidi="ar"/>
        </w:rPr>
        <w:t xml:space="preserve">  </w:t>
      </w:r>
      <w:r>
        <w:rPr>
          <w:rFonts w:hint="eastAsia" w:ascii="宋体" w:hAnsi="宋体" w:eastAsia="黑体" w:cs="黑体"/>
          <w:color w:val="000000"/>
          <w:kern w:val="2"/>
          <w:sz w:val="24"/>
          <w:szCs w:val="24"/>
          <w:lang w:val="en-US" w:eastAsia="zh-CN" w:bidi="ar"/>
        </w:rPr>
        <w:t>单位：</w:t>
      </w:r>
      <w:r>
        <w:rPr>
          <w:rFonts w:hint="eastAsia" w:ascii="宋体" w:hAnsi="宋体" w:eastAsia="黑体" w:cs="宋体"/>
          <w:color w:val="000000"/>
          <w:kern w:val="2"/>
          <w:sz w:val="24"/>
          <w:szCs w:val="24"/>
          <w:lang w:val="en-US" w:eastAsia="zh-CN" w:bidi="ar"/>
        </w:rPr>
        <w:t>dB</w:t>
      </w:r>
      <w:r>
        <w:rPr>
          <w:rFonts w:hint="eastAsia" w:ascii="宋体" w:hAnsi="宋体" w:eastAsia="黑体" w:cs="黑体"/>
          <w:color w:val="000000"/>
          <w:kern w:val="2"/>
          <w:sz w:val="24"/>
          <w:szCs w:val="24"/>
          <w:lang w:val="en-US" w:eastAsia="zh-CN" w:bidi="ar"/>
        </w:rPr>
        <w:t>（</w:t>
      </w:r>
      <w:r>
        <w:rPr>
          <w:rFonts w:hint="eastAsia" w:ascii="宋体" w:hAnsi="宋体" w:eastAsia="黑体" w:cs="宋体"/>
          <w:color w:val="000000"/>
          <w:kern w:val="2"/>
          <w:sz w:val="24"/>
          <w:szCs w:val="24"/>
          <w:lang w:val="en-US" w:eastAsia="zh-CN" w:bidi="ar"/>
        </w:rPr>
        <w:t>A</w:t>
      </w:r>
      <w:r>
        <w:rPr>
          <w:rFonts w:hint="eastAsia" w:ascii="宋体" w:hAnsi="宋体" w:eastAsia="黑体" w:cs="黑体"/>
          <w:color w:val="000000"/>
          <w:kern w:val="2"/>
          <w:sz w:val="24"/>
          <w:szCs w:val="24"/>
          <w:lang w:val="en-US" w:eastAsia="zh-CN" w:bidi="ar"/>
        </w:rPr>
        <w:t>）</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1639"/>
        <w:gridCol w:w="909"/>
        <w:gridCol w:w="909"/>
        <w:gridCol w:w="910"/>
        <w:gridCol w:w="910"/>
        <w:gridCol w:w="909"/>
        <w:gridCol w:w="910"/>
        <w:gridCol w:w="909"/>
        <w:gridCol w:w="910"/>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rPr>
        <w:tc>
          <w:tcPr>
            <w:tcW w:w="1639" w:type="dxa"/>
            <w:vMerge w:val="restar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项目</w:t>
            </w:r>
          </w:p>
        </w:tc>
        <w:tc>
          <w:tcPr>
            <w:tcW w:w="1818" w:type="dxa"/>
            <w:gridSpan w:val="2"/>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东边界</w:t>
            </w:r>
          </w:p>
        </w:tc>
        <w:tc>
          <w:tcPr>
            <w:tcW w:w="1820" w:type="dxa"/>
            <w:gridSpan w:val="2"/>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南边界</w:t>
            </w:r>
          </w:p>
        </w:tc>
        <w:tc>
          <w:tcPr>
            <w:tcW w:w="1819" w:type="dxa"/>
            <w:gridSpan w:val="2"/>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西边界</w:t>
            </w:r>
          </w:p>
        </w:tc>
        <w:tc>
          <w:tcPr>
            <w:tcW w:w="1819" w:type="dxa"/>
            <w:gridSpan w:val="2"/>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北边界</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9" w:type="dxa"/>
            <w:vMerge w:val="continue"/>
            <w:tcBorders>
              <w:top w:val="thinThickSmallGap" w:color="auto" w:sz="12" w:space="0"/>
              <w:left w:val="nil"/>
              <w:bottom w:val="single" w:color="auto" w:sz="6" w:space="0"/>
              <w:right w:val="single" w:color="auto" w:sz="6" w:space="0"/>
            </w:tcBorders>
            <w:shd w:val="clear" w:color="auto" w:fill="D9D9D9"/>
            <w:vAlign w:val="center"/>
          </w:tcPr>
          <w:p>
            <w:pPr>
              <w:rPr>
                <w:rFonts w:hint="default" w:ascii="Times New Roman" w:hAnsi="Times New Roman" w:cs="Times New Roman"/>
                <w:sz w:val="20"/>
                <w:szCs w:val="20"/>
              </w:rPr>
            </w:pPr>
          </w:p>
        </w:tc>
        <w:tc>
          <w:tcPr>
            <w:tcW w:w="909" w:type="dxa"/>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昼间</w:t>
            </w:r>
          </w:p>
        </w:tc>
        <w:tc>
          <w:tcPr>
            <w:tcW w:w="909" w:type="dxa"/>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夜间</w:t>
            </w:r>
          </w:p>
        </w:tc>
        <w:tc>
          <w:tcPr>
            <w:tcW w:w="910" w:type="dxa"/>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昼间</w:t>
            </w:r>
          </w:p>
        </w:tc>
        <w:tc>
          <w:tcPr>
            <w:tcW w:w="910" w:type="dxa"/>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夜间</w:t>
            </w:r>
          </w:p>
        </w:tc>
        <w:tc>
          <w:tcPr>
            <w:tcW w:w="909" w:type="dxa"/>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昼间</w:t>
            </w:r>
          </w:p>
        </w:tc>
        <w:tc>
          <w:tcPr>
            <w:tcW w:w="910" w:type="dxa"/>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夜间</w:t>
            </w:r>
          </w:p>
        </w:tc>
        <w:tc>
          <w:tcPr>
            <w:tcW w:w="909" w:type="dxa"/>
            <w:tcBorders>
              <w:top w:val="single" w:color="auto" w:sz="6"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昼间</w:t>
            </w:r>
          </w:p>
        </w:tc>
        <w:tc>
          <w:tcPr>
            <w:tcW w:w="910" w:type="dxa"/>
            <w:tcBorders>
              <w:top w:val="single" w:color="auto" w:sz="6"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夜间</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9"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贡献值</w:t>
            </w:r>
          </w:p>
        </w:tc>
        <w:tc>
          <w:tcPr>
            <w:tcW w:w="9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42.7</w:t>
            </w:r>
          </w:p>
        </w:tc>
        <w:tc>
          <w:tcPr>
            <w:tcW w:w="9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42.7</w:t>
            </w:r>
          </w:p>
        </w:tc>
        <w:tc>
          <w:tcPr>
            <w:tcW w:w="91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41.4</w:t>
            </w:r>
          </w:p>
        </w:tc>
        <w:tc>
          <w:tcPr>
            <w:tcW w:w="91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41.4</w:t>
            </w:r>
          </w:p>
        </w:tc>
        <w:tc>
          <w:tcPr>
            <w:tcW w:w="9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41.7</w:t>
            </w:r>
          </w:p>
        </w:tc>
        <w:tc>
          <w:tcPr>
            <w:tcW w:w="91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41.7</w:t>
            </w:r>
          </w:p>
        </w:tc>
        <w:tc>
          <w:tcPr>
            <w:tcW w:w="9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28.6</w:t>
            </w:r>
          </w:p>
        </w:tc>
        <w:tc>
          <w:tcPr>
            <w:tcW w:w="91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28.6</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9"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背景值</w:t>
            </w:r>
          </w:p>
        </w:tc>
        <w:tc>
          <w:tcPr>
            <w:tcW w:w="9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52</w:t>
            </w:r>
          </w:p>
        </w:tc>
        <w:tc>
          <w:tcPr>
            <w:tcW w:w="9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42</w:t>
            </w:r>
          </w:p>
        </w:tc>
        <w:tc>
          <w:tcPr>
            <w:tcW w:w="91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52</w:t>
            </w:r>
          </w:p>
        </w:tc>
        <w:tc>
          <w:tcPr>
            <w:tcW w:w="91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41</w:t>
            </w:r>
          </w:p>
        </w:tc>
        <w:tc>
          <w:tcPr>
            <w:tcW w:w="9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53</w:t>
            </w:r>
          </w:p>
        </w:tc>
        <w:tc>
          <w:tcPr>
            <w:tcW w:w="91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44</w:t>
            </w:r>
          </w:p>
        </w:tc>
        <w:tc>
          <w:tcPr>
            <w:tcW w:w="9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56</w:t>
            </w:r>
          </w:p>
        </w:tc>
        <w:tc>
          <w:tcPr>
            <w:tcW w:w="91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46</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9"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预测值</w:t>
            </w:r>
          </w:p>
        </w:tc>
        <w:tc>
          <w:tcPr>
            <w:tcW w:w="9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color w:val="000000"/>
                <w:sz w:val="21"/>
                <w:szCs w:val="21"/>
                <w:bdr w:val="none" w:color="auto" w:sz="0" w:space="0"/>
                <w:lang w:val="en-US"/>
              </w:rPr>
            </w:pPr>
            <w:r>
              <w:rPr>
                <w:rFonts w:hint="default" w:ascii="Times New Roman" w:hAnsi="Times New Roman" w:eastAsia="宋体" w:cs="Times New Roman"/>
                <w:b/>
                <w:color w:val="000000"/>
                <w:kern w:val="0"/>
                <w:sz w:val="21"/>
                <w:szCs w:val="21"/>
                <w:bdr w:val="none" w:color="auto" w:sz="0" w:space="0"/>
                <w:lang w:val="en-US" w:eastAsia="zh-CN" w:bidi="ar"/>
              </w:rPr>
              <w:t>52.5</w:t>
            </w:r>
          </w:p>
        </w:tc>
        <w:tc>
          <w:tcPr>
            <w:tcW w:w="9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color w:val="000000"/>
                <w:sz w:val="21"/>
                <w:szCs w:val="21"/>
                <w:bdr w:val="none" w:color="auto" w:sz="0" w:space="0"/>
                <w:lang w:val="en-US"/>
              </w:rPr>
            </w:pPr>
            <w:r>
              <w:rPr>
                <w:rFonts w:hint="default" w:ascii="Times New Roman" w:hAnsi="Times New Roman" w:eastAsia="宋体" w:cs="Times New Roman"/>
                <w:b/>
                <w:color w:val="000000"/>
                <w:kern w:val="0"/>
                <w:sz w:val="21"/>
                <w:szCs w:val="21"/>
                <w:bdr w:val="none" w:color="auto" w:sz="0" w:space="0"/>
                <w:lang w:val="en-US" w:eastAsia="zh-CN" w:bidi="ar"/>
              </w:rPr>
              <w:t>45.4</w:t>
            </w:r>
          </w:p>
        </w:tc>
        <w:tc>
          <w:tcPr>
            <w:tcW w:w="91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color w:val="000000"/>
                <w:sz w:val="21"/>
                <w:szCs w:val="21"/>
                <w:bdr w:val="none" w:color="auto" w:sz="0" w:space="0"/>
                <w:lang w:val="en-US"/>
              </w:rPr>
            </w:pPr>
            <w:r>
              <w:rPr>
                <w:rFonts w:hint="default" w:ascii="Times New Roman" w:hAnsi="Times New Roman" w:eastAsia="宋体" w:cs="Times New Roman"/>
                <w:b/>
                <w:color w:val="000000"/>
                <w:kern w:val="0"/>
                <w:sz w:val="21"/>
                <w:szCs w:val="21"/>
                <w:bdr w:val="none" w:color="auto" w:sz="0" w:space="0"/>
                <w:lang w:val="en-US" w:eastAsia="zh-CN" w:bidi="ar"/>
              </w:rPr>
              <w:t>52.4</w:t>
            </w:r>
          </w:p>
        </w:tc>
        <w:tc>
          <w:tcPr>
            <w:tcW w:w="91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color w:val="000000"/>
                <w:sz w:val="21"/>
                <w:szCs w:val="21"/>
                <w:bdr w:val="none" w:color="auto" w:sz="0" w:space="0"/>
                <w:lang w:val="en-US"/>
              </w:rPr>
            </w:pPr>
            <w:r>
              <w:rPr>
                <w:rFonts w:hint="default" w:ascii="Times New Roman" w:hAnsi="Times New Roman" w:eastAsia="宋体" w:cs="Times New Roman"/>
                <w:b/>
                <w:color w:val="000000"/>
                <w:kern w:val="0"/>
                <w:sz w:val="21"/>
                <w:szCs w:val="21"/>
                <w:bdr w:val="none" w:color="auto" w:sz="0" w:space="0"/>
                <w:lang w:val="en-US" w:eastAsia="zh-CN" w:bidi="ar"/>
              </w:rPr>
              <w:t>44.2</w:t>
            </w:r>
          </w:p>
        </w:tc>
        <w:tc>
          <w:tcPr>
            <w:tcW w:w="9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color w:val="000000"/>
                <w:sz w:val="21"/>
                <w:szCs w:val="21"/>
                <w:bdr w:val="none" w:color="auto" w:sz="0" w:space="0"/>
                <w:lang w:val="en-US"/>
              </w:rPr>
            </w:pPr>
            <w:r>
              <w:rPr>
                <w:rFonts w:hint="default" w:ascii="Times New Roman" w:hAnsi="Times New Roman" w:eastAsia="宋体" w:cs="Times New Roman"/>
                <w:b/>
                <w:color w:val="000000"/>
                <w:kern w:val="0"/>
                <w:sz w:val="21"/>
                <w:szCs w:val="21"/>
                <w:bdr w:val="none" w:color="auto" w:sz="0" w:space="0"/>
                <w:lang w:val="en-US" w:eastAsia="zh-CN" w:bidi="ar"/>
              </w:rPr>
              <w:t>53.3</w:t>
            </w:r>
          </w:p>
        </w:tc>
        <w:tc>
          <w:tcPr>
            <w:tcW w:w="91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color w:val="000000"/>
                <w:sz w:val="21"/>
                <w:szCs w:val="21"/>
                <w:bdr w:val="none" w:color="auto" w:sz="0" w:space="0"/>
                <w:lang w:val="en-US"/>
              </w:rPr>
            </w:pPr>
            <w:r>
              <w:rPr>
                <w:rFonts w:hint="default" w:ascii="Times New Roman" w:hAnsi="Times New Roman" w:eastAsia="宋体" w:cs="Times New Roman"/>
                <w:b/>
                <w:color w:val="000000"/>
                <w:kern w:val="0"/>
                <w:sz w:val="21"/>
                <w:szCs w:val="21"/>
                <w:bdr w:val="none" w:color="auto" w:sz="0" w:space="0"/>
                <w:lang w:val="en-US" w:eastAsia="zh-CN" w:bidi="ar"/>
              </w:rPr>
              <w:t>46.0</w:t>
            </w:r>
          </w:p>
        </w:tc>
        <w:tc>
          <w:tcPr>
            <w:tcW w:w="9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color w:val="000000"/>
                <w:sz w:val="21"/>
                <w:szCs w:val="21"/>
                <w:bdr w:val="none" w:color="auto" w:sz="0" w:space="0"/>
                <w:lang w:val="en-US"/>
              </w:rPr>
            </w:pPr>
            <w:r>
              <w:rPr>
                <w:rFonts w:hint="default" w:ascii="Times New Roman" w:hAnsi="Times New Roman" w:eastAsia="宋体" w:cs="Times New Roman"/>
                <w:b/>
                <w:color w:val="000000"/>
                <w:kern w:val="0"/>
                <w:sz w:val="21"/>
                <w:szCs w:val="21"/>
                <w:bdr w:val="none" w:color="auto" w:sz="0" w:space="0"/>
                <w:lang w:val="en-US" w:eastAsia="zh-CN" w:bidi="ar"/>
              </w:rPr>
              <w:t>56.0</w:t>
            </w:r>
          </w:p>
        </w:tc>
        <w:tc>
          <w:tcPr>
            <w:tcW w:w="91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color w:val="000000"/>
                <w:sz w:val="21"/>
                <w:szCs w:val="21"/>
                <w:bdr w:val="none" w:color="auto" w:sz="0" w:space="0"/>
                <w:lang w:val="en-US"/>
              </w:rPr>
            </w:pPr>
            <w:r>
              <w:rPr>
                <w:rFonts w:hint="default" w:ascii="Times New Roman" w:hAnsi="Times New Roman" w:eastAsia="宋体" w:cs="Times New Roman"/>
                <w:b/>
                <w:color w:val="000000"/>
                <w:kern w:val="0"/>
                <w:sz w:val="21"/>
                <w:szCs w:val="21"/>
                <w:bdr w:val="none" w:color="auto" w:sz="0" w:space="0"/>
                <w:lang w:val="en-US" w:eastAsia="zh-CN" w:bidi="ar"/>
              </w:rPr>
              <w:t>46.1</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9"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标准值</w:t>
            </w:r>
          </w:p>
        </w:tc>
        <w:tc>
          <w:tcPr>
            <w:tcW w:w="9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60</w:t>
            </w:r>
          </w:p>
        </w:tc>
        <w:tc>
          <w:tcPr>
            <w:tcW w:w="9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50</w:t>
            </w:r>
          </w:p>
        </w:tc>
        <w:tc>
          <w:tcPr>
            <w:tcW w:w="91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60</w:t>
            </w:r>
          </w:p>
        </w:tc>
        <w:tc>
          <w:tcPr>
            <w:tcW w:w="91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50</w:t>
            </w:r>
          </w:p>
        </w:tc>
        <w:tc>
          <w:tcPr>
            <w:tcW w:w="9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60</w:t>
            </w:r>
          </w:p>
        </w:tc>
        <w:tc>
          <w:tcPr>
            <w:tcW w:w="910"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50</w:t>
            </w:r>
          </w:p>
        </w:tc>
        <w:tc>
          <w:tcPr>
            <w:tcW w:w="909"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60</w:t>
            </w:r>
          </w:p>
        </w:tc>
        <w:tc>
          <w:tcPr>
            <w:tcW w:w="910"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9" w:type="dxa"/>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达标情况</w:t>
            </w:r>
          </w:p>
        </w:tc>
        <w:tc>
          <w:tcPr>
            <w:tcW w:w="909"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c>
          <w:tcPr>
            <w:tcW w:w="909"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c>
          <w:tcPr>
            <w:tcW w:w="910"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c>
          <w:tcPr>
            <w:tcW w:w="910"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c>
          <w:tcPr>
            <w:tcW w:w="909"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c>
          <w:tcPr>
            <w:tcW w:w="910"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c>
          <w:tcPr>
            <w:tcW w:w="909"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c>
          <w:tcPr>
            <w:tcW w:w="910" w:type="dxa"/>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达标</w:t>
            </w:r>
          </w:p>
        </w:tc>
      </w:tr>
    </w:tbl>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由预测结果可知，本项目采取相应隔声、消声、吸声等一系列措施后，噪声传播到各厂界处的昼间和夜间预测值均满足《工业企业厂界环境噪声排放标准》（</w:t>
      </w:r>
      <w:r>
        <w:rPr>
          <w:rFonts w:hint="default" w:ascii="Times New Roman" w:hAnsi="Times New Roman" w:eastAsia="宋体" w:cs="Times New Roman"/>
          <w:color w:val="000000"/>
          <w:kern w:val="0"/>
          <w:sz w:val="24"/>
          <w:szCs w:val="24"/>
          <w:lang w:val="en-US" w:eastAsia="zh-CN" w:bidi="ar"/>
        </w:rPr>
        <w:t>GB12348-2008</w:t>
      </w:r>
      <w:r>
        <w:rPr>
          <w:rFonts w:hint="eastAsia" w:ascii="Times New Roman" w:hAnsi="Times New Roman" w:eastAsia="宋体" w:cs="Times New Roman"/>
          <w:color w:val="000000"/>
          <w:kern w:val="0"/>
          <w:sz w:val="24"/>
          <w:szCs w:val="24"/>
          <w:lang w:val="en-US" w:eastAsia="zh-CN" w:bidi="ar"/>
        </w:rPr>
        <w:t>）中</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类区标准，即昼间</w:t>
      </w:r>
      <w:r>
        <w:rPr>
          <w:rFonts w:hint="default" w:ascii="Times New Roman" w:hAnsi="Times New Roman" w:eastAsia="宋体" w:cs="Times New Roman"/>
          <w:color w:val="000000"/>
          <w:kern w:val="0"/>
          <w:sz w:val="24"/>
          <w:szCs w:val="24"/>
          <w:lang w:val="en-US" w:eastAsia="zh-CN" w:bidi="ar"/>
        </w:rPr>
        <w:t>60dB(A)</w:t>
      </w:r>
      <w:r>
        <w:rPr>
          <w:rFonts w:hint="eastAsia" w:ascii="Times New Roman" w:hAnsi="Times New Roman" w:eastAsia="宋体" w:cs="Times New Roman"/>
          <w:color w:val="000000"/>
          <w:kern w:val="0"/>
          <w:sz w:val="24"/>
          <w:szCs w:val="24"/>
          <w:lang w:val="en-US" w:eastAsia="zh-CN" w:bidi="ar"/>
        </w:rPr>
        <w:t>、夜间</w:t>
      </w:r>
      <w:r>
        <w:rPr>
          <w:rFonts w:hint="default" w:ascii="Times New Roman" w:hAnsi="Times New Roman" w:eastAsia="宋体" w:cs="Times New Roman"/>
          <w:color w:val="000000"/>
          <w:kern w:val="0"/>
          <w:sz w:val="24"/>
          <w:szCs w:val="24"/>
          <w:lang w:val="en-US" w:eastAsia="zh-CN" w:bidi="ar"/>
        </w:rPr>
        <w:t>50dB(A)</w:t>
      </w:r>
      <w:r>
        <w:rPr>
          <w:rFonts w:hint="eastAsia" w:ascii="Times New Roman" w:hAnsi="Times New Roman" w:eastAsia="宋体" w:cs="Times New Roman"/>
          <w:color w:val="000000"/>
          <w:kern w:val="0"/>
          <w:sz w:val="24"/>
          <w:szCs w:val="24"/>
          <w:lang w:val="en-US" w:eastAsia="zh-CN" w:bidi="ar"/>
        </w:rPr>
        <w:t>。</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5.3.2</w:t>
      </w:r>
      <w:r>
        <w:rPr>
          <w:rFonts w:hint="default" w:ascii="Times New Roman" w:hAnsi="Times New Roman" w:cs="Times New Roman"/>
          <w:color w:val="000000"/>
          <w:lang/>
        </w:rPr>
        <w:t xml:space="preserve"> </w:t>
      </w:r>
      <w:r>
        <w:rPr>
          <w:rFonts w:ascii="Times New Roman" w:hAnsi="Times New Roman" w:cs="Times New Roman"/>
          <w:color w:val="000000"/>
          <w:lang w:eastAsia="zh-CN"/>
        </w:rPr>
        <w:t>运输噪声预测与评价</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w:t>
      </w:r>
      <w:r>
        <w:rPr>
          <w:rFonts w:hint="default" w:ascii="Times New Roman" w:hAnsi="Times New Roman" w:cs="Times New Roman"/>
          <w:color w:val="000000"/>
          <w:lang w:eastAsia="zh-CN"/>
        </w:rPr>
        <w:t xml:space="preserve">1 </w:t>
      </w:r>
      <w:r>
        <w:rPr>
          <w:rFonts w:ascii="Times New Roman" w:hAnsi="Times New Roman" w:cs="Times New Roman"/>
          <w:color w:val="000000"/>
          <w:lang w:eastAsia="zh-CN"/>
        </w:rPr>
        <w:t>运输噪声源强</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本项目的</w:t>
      </w:r>
      <w:r>
        <w:rPr>
          <w:rFonts w:hint="eastAsia" w:ascii="Times New Roman" w:hAnsi="Times New Roman" w:eastAsia="宋体" w:cs="Times New Roman"/>
          <w:color w:val="000000"/>
          <w:kern w:val="0"/>
          <w:sz w:val="24"/>
          <w:szCs w:val="24"/>
          <w:lang w:val="en-US" w:eastAsia="zh-CN" w:bidi="ar"/>
        </w:rPr>
        <w:t>外部运输主要为出厂菱镁尾矿粉</w:t>
      </w:r>
      <w:r>
        <w:rPr>
          <w:rFonts w:hint="eastAsia" w:ascii="宋体" w:hAnsi="宋体" w:eastAsia="宋体" w:cs="宋体"/>
          <w:color w:val="000000"/>
          <w:kern w:val="0"/>
          <w:sz w:val="24"/>
          <w:szCs w:val="24"/>
          <w:lang w:val="en-US" w:eastAsia="zh-CN" w:bidi="ar"/>
        </w:rPr>
        <w:t>的运出，根据工程分析，本项目运输噪声源强见下表。</w:t>
      </w:r>
    </w:p>
    <w:p>
      <w:pPr>
        <w:keepNext w:val="0"/>
        <w:keepLines w:val="0"/>
        <w:widowControl/>
        <w:suppressLineNumbers w:val="0"/>
        <w:spacing w:before="0" w:beforeAutospacing="0" w:after="0" w:afterAutospacing="0" w:line="400" w:lineRule="exact"/>
        <w:ind w:left="0" w:right="0"/>
        <w:jc w:val="center"/>
        <w:rPr>
          <w:rFonts w:hint="default" w:ascii="Times New Roman" w:hAnsi="Times New Roman" w:eastAsia="黑体" w:cs="Times New Roman"/>
          <w:color w:val="000000"/>
          <w:kern w:val="2"/>
          <w:lang w:val="en-US"/>
        </w:rPr>
      </w:pPr>
      <w:r>
        <w:rPr>
          <w:rFonts w:hint="eastAsia" w:ascii="Times New Roman" w:hAnsi="Times New Roman" w:eastAsia="黑体" w:cs="Times New Roman"/>
          <w:color w:val="000000"/>
          <w:kern w:val="2"/>
          <w:sz w:val="24"/>
          <w:szCs w:val="24"/>
          <w:lang w:val="en-US" w:eastAsia="zh-CN" w:bidi="ar"/>
        </w:rPr>
        <w:t>表</w:t>
      </w:r>
      <w:r>
        <w:rPr>
          <w:rFonts w:hint="default" w:ascii="Times New Roman" w:hAnsi="Times New Roman" w:eastAsia="黑体" w:cs="Times New Roman"/>
          <w:color w:val="000000"/>
          <w:kern w:val="2"/>
          <w:sz w:val="24"/>
          <w:szCs w:val="24"/>
          <w:lang w:val="en-US" w:eastAsia="zh-CN" w:bidi="ar"/>
        </w:rPr>
        <w:t xml:space="preserve">5.3-4  </w:t>
      </w:r>
      <w:r>
        <w:rPr>
          <w:rFonts w:hint="eastAsia" w:ascii="Times New Roman" w:hAnsi="Times New Roman" w:eastAsia="黑体" w:cs="Times New Roman"/>
          <w:color w:val="000000"/>
          <w:kern w:val="2"/>
          <w:sz w:val="24"/>
          <w:szCs w:val="24"/>
          <w:lang w:val="en-US" w:eastAsia="zh-CN" w:bidi="ar"/>
        </w:rPr>
        <w:t>不同车速在参照点处的平均辐射噪声级计算结果</w:t>
      </w:r>
    </w:p>
    <w:tbl>
      <w:tblPr>
        <w:tblStyle w:val="32"/>
        <w:tblW w:w="5000" w:type="pct"/>
        <w:tblInd w:w="0" w:type="dxa"/>
        <w:tblBorders>
          <w:top w:val="thinThickMediumGap" w:color="auto" w:sz="12" w:space="0"/>
          <w:left w:val="none" w:color="auto" w:sz="6" w:space="0"/>
          <w:bottom w:val="thickThinMedium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2142"/>
        <w:gridCol w:w="1740"/>
        <w:gridCol w:w="1595"/>
        <w:gridCol w:w="1595"/>
        <w:gridCol w:w="1655"/>
      </w:tblGrid>
      <w:tr>
        <w:tblPrEx>
          <w:tblBorders>
            <w:top w:val="thinThickMediumGap" w:color="auto" w:sz="12" w:space="0"/>
            <w:left w:val="none" w:color="auto" w:sz="6" w:space="0"/>
            <w:bottom w:val="thickThinMedium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rPr>
        <w:tc>
          <w:tcPr>
            <w:tcW w:w="1227" w:type="pct"/>
            <w:tcBorders>
              <w:top w:val="thinThickMedium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车速（</w:t>
            </w:r>
            <w:r>
              <w:rPr>
                <w:rFonts w:hint="default" w:ascii="Times New Roman" w:hAnsi="Times New Roman" w:eastAsia="宋体" w:cs="Times New Roman"/>
                <w:color w:val="000000"/>
                <w:kern w:val="0"/>
                <w:sz w:val="21"/>
                <w:szCs w:val="21"/>
                <w:bdr w:val="none" w:color="auto" w:sz="0" w:space="0"/>
                <w:lang w:val="en-US" w:eastAsia="zh-CN" w:bidi="ar"/>
              </w:rPr>
              <w:t>km/h</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997" w:type="pct"/>
            <w:tcBorders>
              <w:top w:val="thinThickMedium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w:t>
            </w:r>
          </w:p>
        </w:tc>
        <w:tc>
          <w:tcPr>
            <w:tcW w:w="914" w:type="pct"/>
            <w:tcBorders>
              <w:top w:val="thinThickMedium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p>
        </w:tc>
        <w:tc>
          <w:tcPr>
            <w:tcW w:w="914" w:type="pct"/>
            <w:tcBorders>
              <w:top w:val="thinThickMedium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40</w:t>
            </w:r>
          </w:p>
        </w:tc>
        <w:tc>
          <w:tcPr>
            <w:tcW w:w="948" w:type="pct"/>
            <w:tcBorders>
              <w:top w:val="thinThickMedium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50</w:t>
            </w:r>
          </w:p>
        </w:tc>
      </w:tr>
      <w:tr>
        <w:tblPrEx>
          <w:tblBorders>
            <w:top w:val="thinThickMediumGap" w:color="auto" w:sz="12" w:space="0"/>
            <w:left w:val="none" w:color="auto" w:sz="6" w:space="0"/>
            <w:bottom w:val="thickThinMedium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27" w:type="pct"/>
            <w:tcBorders>
              <w:top w:val="single" w:color="auto" w:sz="6" w:space="0"/>
              <w:left w:val="nil"/>
              <w:bottom w:val="thickThinMedium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汽车噪声值（</w:t>
            </w:r>
            <w:r>
              <w:rPr>
                <w:rFonts w:hint="default" w:ascii="Times New Roman" w:hAnsi="Times New Roman" w:eastAsia="宋体" w:cs="Times New Roman"/>
                <w:color w:val="000000"/>
                <w:kern w:val="0"/>
                <w:sz w:val="21"/>
                <w:szCs w:val="21"/>
                <w:bdr w:val="none" w:color="auto" w:sz="0" w:space="0"/>
                <w:lang w:val="en-US" w:eastAsia="zh-CN" w:bidi="ar"/>
              </w:rPr>
              <w:t>dB</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997" w:type="pct"/>
            <w:tcBorders>
              <w:top w:val="single" w:color="auto" w:sz="6" w:space="0"/>
              <w:left w:val="single" w:color="auto" w:sz="6" w:space="0"/>
              <w:bottom w:val="thickThinMedium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69.5</w:t>
            </w:r>
          </w:p>
        </w:tc>
        <w:tc>
          <w:tcPr>
            <w:tcW w:w="914" w:type="pct"/>
            <w:tcBorders>
              <w:top w:val="single" w:color="auto" w:sz="6" w:space="0"/>
              <w:left w:val="single" w:color="auto" w:sz="6" w:space="0"/>
              <w:bottom w:val="thickThinMedium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75.8</w:t>
            </w:r>
          </w:p>
        </w:tc>
        <w:tc>
          <w:tcPr>
            <w:tcW w:w="914" w:type="pct"/>
            <w:tcBorders>
              <w:top w:val="single" w:color="auto" w:sz="6" w:space="0"/>
              <w:left w:val="single" w:color="auto" w:sz="6" w:space="0"/>
              <w:bottom w:val="thickThinMedium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80.4</w:t>
            </w:r>
          </w:p>
        </w:tc>
        <w:tc>
          <w:tcPr>
            <w:tcW w:w="948" w:type="pct"/>
            <w:tcBorders>
              <w:top w:val="single" w:color="auto" w:sz="6" w:space="0"/>
              <w:left w:val="single" w:color="auto" w:sz="6" w:space="0"/>
              <w:bottom w:val="thickThinMedium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83.9</w:t>
            </w:r>
          </w:p>
        </w:tc>
      </w:tr>
    </w:tbl>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lang w:val="en-US"/>
        </w:rPr>
      </w:pP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3</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w:t>
      </w:r>
      <w:r>
        <w:rPr>
          <w:rFonts w:hint="default" w:ascii="Times New Roman" w:hAnsi="Times New Roman" w:cs="Times New Roman"/>
          <w:color w:val="000000"/>
          <w:lang w:eastAsia="zh-CN"/>
        </w:rPr>
        <w:t xml:space="preserve">2 </w:t>
      </w:r>
      <w:r>
        <w:rPr>
          <w:rFonts w:ascii="Times New Roman" w:hAnsi="Times New Roman" w:cs="Times New Roman"/>
          <w:color w:val="000000"/>
          <w:lang w:eastAsia="zh-CN"/>
        </w:rPr>
        <w:t>运输噪声预测</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）预测模式</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预测模式采用</w:t>
      </w:r>
      <w:r>
        <w:rPr>
          <w:rFonts w:hint="default" w:ascii="Times New Roman" w:hAnsi="Times New Roman" w:eastAsia="宋体" w:cs="Times New Roman"/>
          <w:color w:val="000000"/>
          <w:kern w:val="0"/>
          <w:sz w:val="24"/>
          <w:szCs w:val="24"/>
          <w:lang w:val="en-US" w:eastAsia="zh-CN" w:bidi="ar"/>
        </w:rPr>
        <w:t>HJ2.4-2009</w:t>
      </w:r>
      <w:r>
        <w:rPr>
          <w:rFonts w:hint="eastAsia" w:ascii="Times New Roman" w:hAnsi="Times New Roman" w:eastAsia="宋体" w:cs="Times New Roman"/>
          <w:color w:val="000000"/>
          <w:kern w:val="0"/>
          <w:sz w:val="24"/>
          <w:szCs w:val="24"/>
          <w:lang w:val="en-US" w:eastAsia="zh-CN" w:bidi="ar"/>
        </w:rPr>
        <w:t>《环境影响评价技术导则声环境》中附录</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噪声预测计算模式，</w:t>
      </w:r>
      <w:r>
        <w:rPr>
          <w:rFonts w:hint="default" w:ascii="Times New Roman" w:hAnsi="Times New Roman" w:eastAsia="宋体" w:cs="Times New Roman"/>
          <w:color w:val="000000"/>
          <w:kern w:val="0"/>
          <w:sz w:val="24"/>
          <w:szCs w:val="24"/>
          <w:lang w:val="en-US" w:eastAsia="zh-CN" w:bidi="ar"/>
        </w:rPr>
        <w:t>i</w:t>
      </w:r>
      <w:r>
        <w:rPr>
          <w:rFonts w:hint="eastAsia" w:ascii="Times New Roman" w:hAnsi="Times New Roman" w:eastAsia="宋体" w:cs="Times New Roman"/>
          <w:color w:val="000000"/>
          <w:kern w:val="0"/>
          <w:sz w:val="24"/>
          <w:szCs w:val="24"/>
          <w:lang w:val="en-US" w:eastAsia="zh-CN" w:bidi="ar"/>
        </w:rPr>
        <w:t>型（大、中、小型车）车辆的小时等效声级计算公式，项目采用的交通运输噪声预测模式如下：</w:t>
      </w:r>
    </w:p>
    <w:p>
      <w:pPr>
        <w:keepNext w:val="0"/>
        <w:keepLines w:val="0"/>
        <w:widowControl/>
        <w:suppressLineNumbers w:val="0"/>
        <w:spacing w:before="0" w:beforeAutospacing="0" w:after="0" w:afterAutospacing="0"/>
        <w:ind w:left="0" w:right="0"/>
        <w:jc w:val="center"/>
        <w:rPr>
          <w:color w:val="000000"/>
          <w:lang w:val="en-US"/>
        </w:rPr>
      </w:pPr>
      <w:r>
        <w:rPr>
          <w:rFonts w:hint="eastAsia" w:ascii="宋体" w:hAnsi="宋体" w:eastAsia="宋体" w:cs="宋体"/>
          <w:color w:val="000000"/>
          <w:kern w:val="0"/>
          <w:sz w:val="24"/>
          <w:szCs w:val="24"/>
          <w:lang w:val="en-US" w:eastAsia="zh-CN" w:bidi="ar"/>
        </w:rPr>
        <w:object>
          <v:shape id="_x0000_i1060" o:spt="75" type="#_x0000_t75" style="height:37.5pt;width:324.75pt;" o:ole="t" filled="f" o:preferrelative="t" stroked="f" coordsize="21600,21600">
            <v:path/>
            <v:fill on="f" focussize="0,0"/>
            <v:stroke on="f" joinstyle="miter"/>
            <v:imagedata r:id="rId73" o:title=""/>
            <o:lock v:ext="edit" aspectratio="t"/>
            <w10:wrap type="none"/>
            <w10:anchorlock/>
          </v:shape>
          <o:OLEObject Type="Embed" ProgID="Equation.3" ShapeID="_x0000_i1060" DrawAspect="Content" ObjectID="_1468075743" r:id="rId72">
            <o:LockedField>false</o:LockedField>
          </o:OLEObject>
        </w:object>
      </w:r>
    </w:p>
    <w:p>
      <w:pPr>
        <w:keepNext w:val="0"/>
        <w:keepLines w:val="0"/>
        <w:widowControl/>
        <w:suppressLineNumbers w:val="0"/>
        <w:spacing w:before="0" w:beforeAutospacing="0" w:after="0" w:afterAutospacing="0"/>
        <w:ind w:left="0" w:right="0" w:firstLine="360" w:firstLineChars="150"/>
        <w:jc w:val="left"/>
        <w:rPr>
          <w:color w:val="000000"/>
          <w:lang w:val="en-US"/>
        </w:rPr>
      </w:pPr>
      <w:r>
        <w:rPr>
          <w:rFonts w:hint="eastAsia" w:ascii="宋体" w:hAnsi="宋体" w:eastAsia="宋体" w:cs="宋体"/>
          <w:color w:val="000000"/>
          <w:kern w:val="0"/>
          <w:sz w:val="24"/>
          <w:szCs w:val="24"/>
          <w:lang w:val="en-US" w:eastAsia="zh-CN" w:bidi="ar"/>
        </w:rPr>
        <w:object>
          <v:shape id="_x0000_i1061" o:spt="75" type="#_x0000_t75" style="height:17.25pt;width:252pt;" o:ole="t" filled="f" o:preferrelative="t" stroked="f" coordsize="21600,21600">
            <v:path/>
            <v:fill on="f" focussize="0,0"/>
            <v:stroke on="f" joinstyle="miter"/>
            <v:imagedata r:id="rId75" o:title=""/>
            <o:lock v:ext="edit" aspectratio="t"/>
            <w10:wrap type="none"/>
            <w10:anchorlock/>
          </v:shape>
          <o:OLEObject Type="Embed" ProgID="Equation.3" ShapeID="_x0000_i1061" DrawAspect="Content" ObjectID="_1468075744" r:id="rId74">
            <o:LockedField>false</o:LockedField>
          </o:OLEObject>
        </w:object>
      </w:r>
    </w:p>
    <w:p>
      <w:pPr>
        <w:keepNext w:val="0"/>
        <w:keepLines w:val="0"/>
        <w:widowControl/>
        <w:suppressLineNumbers w:val="0"/>
        <w:spacing w:before="0" w:beforeAutospacing="0" w:after="0" w:afterAutospacing="0"/>
        <w:ind w:left="0" w:right="0" w:firstLine="720" w:firstLineChars="300"/>
        <w:jc w:val="left"/>
        <w:rPr>
          <w:color w:val="000000"/>
          <w:lang w:val="en-US"/>
        </w:rPr>
      </w:pPr>
      <w:r>
        <w:rPr>
          <w:rFonts w:hint="eastAsia" w:ascii="宋体" w:hAnsi="宋体" w:eastAsia="宋体" w:cs="宋体"/>
          <w:color w:val="000000"/>
          <w:kern w:val="0"/>
          <w:sz w:val="24"/>
          <w:szCs w:val="24"/>
          <w:lang w:val="en-US" w:eastAsia="zh-CN" w:bidi="ar"/>
        </w:rPr>
        <w:object>
          <v:shape id="_x0000_i1062" o:spt="75" type="#_x0000_t75" style="height:21pt;width:387.75pt;" o:ole="t" filled="f" o:preferrelative="t" stroked="f" coordsize="21600,21600">
            <v:path/>
            <v:fill on="f" focussize="0,0"/>
            <v:stroke on="f" joinstyle="miter"/>
            <v:imagedata r:id="rId77" o:title=""/>
            <o:lock v:ext="edit" aspectratio="t"/>
            <w10:wrap type="none"/>
            <w10:anchorlock/>
          </v:shape>
          <o:OLEObject Type="Embed" ProgID="Equation.3" ShapeID="_x0000_i1062" DrawAspect="Content" ObjectID="_1468075745" r:id="rId76">
            <o:LockedField>false</o:LockedField>
          </o:OLEObject>
        </w:object>
      </w:r>
    </w:p>
    <w:p>
      <w:pPr>
        <w:keepNext w:val="0"/>
        <w:keepLines w:val="0"/>
        <w:widowControl/>
        <w:suppressLineNumbers w:val="0"/>
        <w:spacing w:before="0" w:beforeAutospacing="0" w:after="0" w:afterAutospacing="0"/>
        <w:ind w:left="0" w:right="0" w:firstLine="1200" w:firstLineChars="500"/>
        <w:jc w:val="left"/>
        <w:rPr>
          <w:color w:val="000000"/>
          <w:lang w:val="en-US"/>
        </w:rPr>
      </w:pPr>
      <w:r>
        <w:rPr>
          <w:rFonts w:hint="default" w:ascii="Times New Roman" w:hAnsi="Times New Roman" w:eastAsia="宋体" w:cs="Times New Roman"/>
          <w:i/>
          <w:color w:val="000000"/>
          <w:kern w:val="0"/>
          <w:sz w:val="24"/>
          <w:szCs w:val="24"/>
          <w:lang w:val="en-US" w:eastAsia="zh-CN" w:bidi="ar"/>
        </w:rPr>
        <w:t>N</w:t>
      </w:r>
      <w:r>
        <w:rPr>
          <w:rFonts w:hint="default" w:ascii="Times New Roman" w:hAnsi="Times New Roman" w:eastAsia="宋体" w:cs="Times New Roman"/>
          <w:i/>
          <w:color w:val="000000"/>
          <w:kern w:val="0"/>
          <w:sz w:val="24"/>
          <w:szCs w:val="24"/>
          <w:vertAlign w:val="subscript"/>
          <w:lang w:val="en-US" w:eastAsia="zh-CN" w:bidi="ar"/>
        </w:rPr>
        <w:t>i</w:t>
      </w:r>
      <w:r>
        <w:rPr>
          <w:rFonts w:hint="eastAsia" w:ascii="宋体" w:hAnsi="宋体" w:eastAsia="宋体" w:cs="宋体"/>
          <w:color w:val="000000"/>
          <w:kern w:val="0"/>
          <w:sz w:val="24"/>
          <w:szCs w:val="24"/>
          <w:lang w:val="en-US" w:eastAsia="zh-CN" w:bidi="ar"/>
        </w:rPr>
        <w:t>—昼间、夜间通过某个预测点的第i类车平均小时车流量，12辆/h</w:t>
      </w:r>
    </w:p>
    <w:p>
      <w:pPr>
        <w:keepNext w:val="0"/>
        <w:keepLines w:val="0"/>
        <w:widowControl/>
        <w:suppressLineNumbers w:val="0"/>
        <w:spacing w:before="0" w:beforeAutospacing="0" w:after="0" w:afterAutospacing="0"/>
        <w:ind w:left="0" w:right="0" w:firstLine="1200" w:firstLineChars="500"/>
        <w:jc w:val="left"/>
        <w:rPr>
          <w:rFonts w:hint="default" w:ascii="Times New Roman" w:hAnsi="Times New Roman" w:cs="Times New Roman"/>
          <w:color w:val="000000"/>
          <w:lang w:val="en-US"/>
        </w:rPr>
      </w:pPr>
      <w:r>
        <w:rPr>
          <w:rFonts w:hint="default" w:ascii="Times New Roman" w:hAnsi="Times New Roman" w:eastAsia="BatangChe" w:cs="Times New Roman"/>
          <w:i/>
          <w:iCs w:val="0"/>
          <w:color w:val="000000"/>
          <w:kern w:val="0"/>
          <w:sz w:val="24"/>
          <w:szCs w:val="24"/>
          <w:lang w:val="en-US" w:eastAsia="zh-CN" w:bidi="ar"/>
        </w:rPr>
        <w:t>T</w:t>
      </w:r>
      <w:r>
        <w:rPr>
          <w:rFonts w:hint="default" w:ascii="Times New Roman" w:hAnsi="Times New Roman" w:eastAsia="宋体" w:cs="Times New Roman"/>
          <w:i/>
          <w:iCs w:val="0"/>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计算等效声级的时间，取</w:t>
      </w:r>
      <w:r>
        <w:rPr>
          <w:rFonts w:hint="default" w:ascii="Times New Roman" w:hAnsi="Times New Roman" w:eastAsia="宋体" w:cs="Times New Roman"/>
          <w:color w:val="000000"/>
          <w:kern w:val="0"/>
          <w:sz w:val="24"/>
          <w:szCs w:val="24"/>
          <w:lang w:val="en-US" w:eastAsia="zh-CN" w:bidi="ar"/>
        </w:rPr>
        <w:t>T=1h</w:t>
      </w:r>
    </w:p>
    <w:p>
      <w:pPr>
        <w:keepNext w:val="0"/>
        <w:keepLines w:val="0"/>
        <w:widowControl/>
        <w:suppressLineNumbers w:val="0"/>
        <w:spacing w:before="0" w:beforeAutospacing="0" w:after="0" w:afterAutospacing="0"/>
        <w:ind w:left="0" w:right="0" w:firstLine="1200" w:firstLineChars="5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Ѵ</w:t>
      </w:r>
      <w:r>
        <w:rPr>
          <w:rFonts w:hint="default" w:ascii="Times New Roman" w:hAnsi="Times New Roman" w:eastAsia="宋体" w:cs="Times New Roman"/>
          <w:color w:val="000000"/>
          <w:kern w:val="0"/>
          <w:sz w:val="24"/>
          <w:szCs w:val="24"/>
          <w:vertAlign w:val="subscript"/>
          <w:lang w:val="en-US" w:eastAsia="zh-CN" w:bidi="ar"/>
        </w:rPr>
        <w:t>i</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第</w:t>
      </w:r>
      <w:r>
        <w:rPr>
          <w:rFonts w:hint="default" w:ascii="Times New Roman" w:hAnsi="Times New Roman" w:eastAsia="宋体" w:cs="Times New Roman"/>
          <w:color w:val="000000"/>
          <w:kern w:val="0"/>
          <w:sz w:val="24"/>
          <w:szCs w:val="24"/>
          <w:lang w:val="en-US" w:eastAsia="zh-CN" w:bidi="ar"/>
        </w:rPr>
        <w:t>i</w:t>
      </w:r>
      <w:r>
        <w:rPr>
          <w:rFonts w:hint="eastAsia" w:ascii="Times New Roman" w:hAnsi="Times New Roman" w:eastAsia="宋体" w:cs="Times New Roman"/>
          <w:color w:val="000000"/>
          <w:kern w:val="0"/>
          <w:sz w:val="24"/>
          <w:szCs w:val="24"/>
          <w:lang w:val="en-US" w:eastAsia="zh-CN" w:bidi="ar"/>
        </w:rPr>
        <w:t>类车平均车速，</w:t>
      </w:r>
      <w:r>
        <w:rPr>
          <w:rFonts w:hint="default" w:ascii="Times New Roman" w:hAnsi="Times New Roman" w:eastAsia="宋体" w:cs="Times New Roman"/>
          <w:color w:val="000000"/>
          <w:kern w:val="0"/>
          <w:sz w:val="24"/>
          <w:szCs w:val="24"/>
          <w:lang w:val="en-US" w:eastAsia="zh-CN" w:bidi="ar"/>
        </w:rPr>
        <w:t>km/h</w:t>
      </w:r>
    </w:p>
    <w:p>
      <w:pPr>
        <w:keepNext w:val="0"/>
        <w:keepLines w:val="0"/>
        <w:widowControl/>
        <w:suppressLineNumbers w:val="0"/>
        <w:spacing w:before="0" w:beforeAutospacing="0" w:after="0" w:afterAutospacing="0"/>
        <w:ind w:left="0" w:right="0" w:firstLine="1200" w:firstLineChars="500"/>
        <w:jc w:val="left"/>
        <w:rPr>
          <w:rFonts w:hint="default" w:ascii="Times New Roman" w:hAnsi="Times New Roman" w:cs="Times New Roman"/>
          <w:color w:val="000000"/>
          <w:lang w:val="en-US"/>
        </w:rPr>
      </w:pPr>
      <w:r>
        <w:rPr>
          <w:rFonts w:hint="default" w:ascii="Times New Roman" w:hAnsi="Times New Roman" w:eastAsia="MS UI Gothic" w:cs="Times New Roman"/>
          <w:i/>
          <w:iCs w:val="0"/>
          <w:color w:val="000000"/>
          <w:kern w:val="0"/>
          <w:sz w:val="24"/>
          <w:szCs w:val="24"/>
          <w:lang w:val="en-US" w:eastAsia="zh-CN" w:bidi="ar"/>
        </w:rPr>
        <w:t>Ψ</w:t>
      </w:r>
      <w:r>
        <w:rPr>
          <w:rFonts w:hint="default" w:ascii="Times New Roman" w:hAnsi="Times New Roman" w:eastAsia="MS UI Gothic" w:cs="Times New Roman"/>
          <w:i/>
          <w:iCs w:val="0"/>
          <w:color w:val="000000"/>
          <w:kern w:val="0"/>
          <w:sz w:val="24"/>
          <w:szCs w:val="24"/>
          <w:vertAlign w:val="subscript"/>
          <w:lang w:val="en-US" w:eastAsia="zh-CN" w:bidi="ar"/>
        </w:rPr>
        <w:t>1</w:t>
      </w:r>
      <w:r>
        <w:rPr>
          <w:rFonts w:hint="eastAsia" w:ascii="等线" w:hAnsi="等线" w:eastAsia="等线" w:cs="Times New Roman"/>
          <w:i/>
          <w:iCs w:val="0"/>
          <w:color w:val="000000"/>
          <w:kern w:val="0"/>
          <w:sz w:val="24"/>
          <w:szCs w:val="24"/>
          <w:lang w:val="en-US" w:eastAsia="zh-CN" w:bidi="ar"/>
        </w:rPr>
        <w:t>、</w:t>
      </w:r>
      <w:r>
        <w:rPr>
          <w:rFonts w:hint="default" w:ascii="Times New Roman" w:hAnsi="Times New Roman" w:eastAsia="MS UI Gothic" w:cs="Times New Roman"/>
          <w:i/>
          <w:iCs w:val="0"/>
          <w:color w:val="000000"/>
          <w:kern w:val="0"/>
          <w:sz w:val="24"/>
          <w:szCs w:val="24"/>
          <w:lang w:val="en-US" w:eastAsia="zh-CN" w:bidi="ar"/>
        </w:rPr>
        <w:t>Ψ</w:t>
      </w:r>
      <w:r>
        <w:rPr>
          <w:rFonts w:hint="default" w:ascii="Times New Roman" w:hAnsi="Times New Roman" w:eastAsia="MS UI Gothic" w:cs="Times New Roman"/>
          <w:i/>
          <w:iCs w:val="0"/>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预测点到有限长路两端的张角，</w:t>
      </w:r>
      <w:r>
        <w:rPr>
          <w:rFonts w:hint="default" w:ascii="Times New Roman" w:hAnsi="Times New Roman" w:eastAsia="宋体" w:cs="Times New Roman"/>
          <w:color w:val="000000"/>
          <w:kern w:val="0"/>
          <w:sz w:val="24"/>
          <w:szCs w:val="24"/>
          <w:lang w:val="en-US" w:eastAsia="zh-CN" w:bidi="ar"/>
        </w:rPr>
        <w:t>rad</w:t>
      </w:r>
    </w:p>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 xml:space="preserve">          r—</w:t>
      </w:r>
      <w:r>
        <w:rPr>
          <w:rFonts w:hint="eastAsia" w:ascii="Times New Roman" w:hAnsi="Times New Roman" w:eastAsia="宋体" w:cs="Times New Roman"/>
          <w:color w:val="000000"/>
          <w:kern w:val="0"/>
          <w:sz w:val="24"/>
          <w:szCs w:val="24"/>
          <w:lang w:val="en-US" w:eastAsia="zh-CN" w:bidi="ar"/>
        </w:rPr>
        <w:t>从车道中心线到预测点的距离，</w:t>
      </w:r>
      <w:r>
        <w:rPr>
          <w:rFonts w:hint="default" w:ascii="Times New Roman" w:hAnsi="Times New Roman" w:eastAsia="宋体" w:cs="Times New Roman"/>
          <w:color w:val="000000"/>
          <w:kern w:val="0"/>
          <w:sz w:val="24"/>
          <w:szCs w:val="24"/>
          <w:lang w:val="en-US" w:eastAsia="zh-CN" w:bidi="ar"/>
        </w:rPr>
        <w:t>m</w:t>
      </w:r>
      <w:r>
        <w:rPr>
          <w:rFonts w:hint="eastAsia" w:ascii="Times New Roman" w:hAnsi="Times New Roman" w:eastAsia="宋体" w:cs="Times New Roman"/>
          <w:color w:val="000000"/>
          <w:kern w:val="0"/>
          <w:sz w:val="24"/>
          <w:szCs w:val="24"/>
          <w:lang w:val="en-US" w:eastAsia="zh-CN" w:bidi="ar"/>
        </w:rPr>
        <w:t>，适用于</w:t>
      </w:r>
      <w:r>
        <w:rPr>
          <w:rFonts w:hint="default" w:ascii="Times New Roman" w:hAnsi="Times New Roman" w:eastAsia="宋体" w:cs="Times New Roman"/>
          <w:color w:val="000000"/>
          <w:kern w:val="0"/>
          <w:sz w:val="24"/>
          <w:szCs w:val="24"/>
          <w:lang w:val="en-US" w:eastAsia="zh-CN" w:bidi="ar"/>
        </w:rPr>
        <w:t>r</w:t>
      </w:r>
      <w:r>
        <w:rPr>
          <w:rFonts w:hint="eastAsia" w:ascii="Times New Roman" w:hAnsi="Times New Roman" w:eastAsia="宋体" w:cs="Times New Roman"/>
          <w:color w:val="000000"/>
          <w:kern w:val="0"/>
          <w:sz w:val="24"/>
          <w:szCs w:val="24"/>
          <w:lang w:val="en-US" w:eastAsia="zh-CN" w:bidi="ar"/>
        </w:rPr>
        <w:t>大于</w:t>
      </w:r>
      <w:r>
        <w:rPr>
          <w:rFonts w:hint="default" w:ascii="Times New Roman" w:hAnsi="Times New Roman" w:eastAsia="宋体" w:cs="Times New Roman"/>
          <w:color w:val="000000"/>
          <w:kern w:val="0"/>
          <w:sz w:val="24"/>
          <w:szCs w:val="24"/>
          <w:lang w:val="en-US" w:eastAsia="zh-CN" w:bidi="ar"/>
        </w:rPr>
        <w:t>7.5m</w:t>
      </w:r>
      <w:r>
        <w:rPr>
          <w:rFonts w:hint="eastAsia" w:ascii="Times New Roman" w:hAnsi="Times New Roman" w:eastAsia="宋体" w:cs="Times New Roman"/>
          <w:color w:val="000000"/>
          <w:kern w:val="0"/>
          <w:sz w:val="24"/>
          <w:szCs w:val="24"/>
          <w:lang w:val="en-US" w:eastAsia="zh-CN" w:bidi="ar"/>
        </w:rPr>
        <w:t>预测点的噪声预测；</w:t>
      </w:r>
    </w:p>
    <w:p>
      <w:pPr>
        <w:keepNext w:val="0"/>
        <w:keepLines w:val="0"/>
        <w:widowControl/>
        <w:suppressLineNumbers w:val="0"/>
        <w:spacing w:before="0" w:beforeAutospacing="0" w:after="0" w:afterAutospacing="0"/>
        <w:ind w:left="0" w:right="0" w:firstLine="1200" w:firstLineChars="5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i/>
          <w:color w:val="000000"/>
          <w:kern w:val="0"/>
          <w:sz w:val="24"/>
          <w:szCs w:val="24"/>
          <w:lang w:val="en-US" w:eastAsia="zh-CN" w:bidi="ar"/>
        </w:rPr>
        <w:t>L</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由其他因素引起的修正量，</w:t>
      </w:r>
      <w:r>
        <w:rPr>
          <w:rFonts w:hint="default" w:ascii="Times New Roman" w:hAnsi="Times New Roman" w:eastAsia="宋体" w:cs="Times New Roman"/>
          <w:color w:val="000000"/>
          <w:kern w:val="0"/>
          <w:sz w:val="24"/>
          <w:szCs w:val="24"/>
          <w:lang w:val="en-US" w:eastAsia="zh-CN" w:bidi="ar"/>
        </w:rPr>
        <w:t>0dB</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）预测结果</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产品运输仅在昼间进行，对交通噪声值仅预测昼间。交通噪声影响预测情况见下表。</w:t>
      </w:r>
    </w:p>
    <w:p>
      <w:pPr>
        <w:keepNext w:val="0"/>
        <w:keepLines w:val="0"/>
        <w:widowControl/>
        <w:suppressLineNumbers w:val="0"/>
        <w:spacing w:before="0" w:beforeAutospacing="0" w:after="0" w:afterAutospacing="0" w:line="400" w:lineRule="exact"/>
        <w:ind w:left="0" w:right="0"/>
        <w:jc w:val="center"/>
        <w:rPr>
          <w:rFonts w:hint="default" w:ascii="Times New Roman" w:hAnsi="Times New Roman" w:eastAsia="黑体" w:cs="Times New Roman"/>
          <w:color w:val="000000"/>
          <w:kern w:val="2"/>
          <w:lang w:val="en-US"/>
        </w:rPr>
      </w:pPr>
      <w:r>
        <w:rPr>
          <w:rFonts w:hint="eastAsia" w:ascii="Times New Roman" w:hAnsi="Times New Roman" w:eastAsia="黑体" w:cs="Times New Roman"/>
          <w:color w:val="000000"/>
          <w:kern w:val="2"/>
          <w:sz w:val="24"/>
          <w:szCs w:val="24"/>
          <w:lang w:val="en-US" w:eastAsia="zh-CN" w:bidi="ar"/>
        </w:rPr>
        <w:t>表</w:t>
      </w:r>
      <w:r>
        <w:rPr>
          <w:rFonts w:hint="default" w:ascii="Times New Roman" w:hAnsi="Times New Roman" w:eastAsia="黑体" w:cs="Times New Roman"/>
          <w:color w:val="000000"/>
          <w:kern w:val="2"/>
          <w:sz w:val="24"/>
          <w:szCs w:val="24"/>
          <w:lang w:val="en-US" w:eastAsia="zh-CN" w:bidi="ar"/>
        </w:rPr>
        <w:t xml:space="preserve">5.3-4  </w:t>
      </w:r>
      <w:r>
        <w:rPr>
          <w:rFonts w:hint="eastAsia" w:ascii="Times New Roman" w:hAnsi="Times New Roman" w:eastAsia="黑体" w:cs="Times New Roman"/>
          <w:color w:val="000000"/>
          <w:kern w:val="2"/>
          <w:sz w:val="24"/>
          <w:szCs w:val="24"/>
          <w:lang w:val="en-US" w:eastAsia="zh-CN" w:bidi="ar"/>
        </w:rPr>
        <w:t>交通运输噪声预测结果</w:t>
      </w:r>
      <w:r>
        <w:rPr>
          <w:rFonts w:hint="default" w:ascii="Times New Roman" w:hAnsi="Times New Roman" w:eastAsia="黑体" w:cs="Times New Roman"/>
          <w:color w:val="000000"/>
          <w:kern w:val="2"/>
          <w:sz w:val="24"/>
          <w:szCs w:val="24"/>
          <w:lang w:val="en-US" w:eastAsia="zh-CN" w:bidi="ar"/>
        </w:rPr>
        <w:t xml:space="preserve">    </w:t>
      </w:r>
      <w:r>
        <w:rPr>
          <w:rFonts w:hint="eastAsia" w:ascii="Times New Roman" w:hAnsi="Times New Roman" w:eastAsia="黑体" w:cs="Times New Roman"/>
          <w:color w:val="000000"/>
          <w:kern w:val="2"/>
          <w:sz w:val="24"/>
          <w:szCs w:val="24"/>
          <w:lang w:val="en-US" w:eastAsia="zh-CN" w:bidi="ar"/>
        </w:rPr>
        <w:t>单位：</w:t>
      </w:r>
      <w:r>
        <w:rPr>
          <w:rFonts w:hint="default" w:ascii="Times New Roman" w:hAnsi="Times New Roman" w:eastAsia="黑体" w:cs="Times New Roman"/>
          <w:color w:val="000000"/>
          <w:kern w:val="2"/>
          <w:sz w:val="24"/>
          <w:szCs w:val="24"/>
          <w:lang w:val="en-US" w:eastAsia="zh-CN" w:bidi="ar"/>
        </w:rPr>
        <w:t xml:space="preserve"> dB</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3416"/>
        <w:gridCol w:w="1349"/>
        <w:gridCol w:w="1429"/>
        <w:gridCol w:w="1286"/>
        <w:gridCol w:w="12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315" w:hRule="atLeast"/>
          <w:jc w:val="center"/>
        </w:trPr>
        <w:tc>
          <w:tcPr>
            <w:tcW w:w="1957" w:type="pc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车速（</w:t>
            </w:r>
            <w:r>
              <w:rPr>
                <w:rFonts w:hint="default" w:ascii="Times New Roman" w:hAnsi="Times New Roman" w:eastAsia="宋体" w:cs="Times New Roman"/>
                <w:color w:val="000000"/>
                <w:kern w:val="0"/>
                <w:sz w:val="21"/>
                <w:szCs w:val="21"/>
                <w:bdr w:val="none" w:color="auto" w:sz="0" w:space="0"/>
                <w:lang w:val="en-US" w:eastAsia="zh-CN" w:bidi="ar"/>
              </w:rPr>
              <w:t>km/h</w:t>
            </w:r>
            <w:r>
              <w:rPr>
                <w:rFonts w:hint="eastAsia" w:ascii="Times New Roman" w:hAnsi="Times New Roman" w:eastAsia="宋体" w:cs="Times New Roman"/>
                <w:color w:val="000000"/>
                <w:kern w:val="0"/>
                <w:sz w:val="21"/>
                <w:szCs w:val="21"/>
                <w:bdr w:val="none" w:color="auto" w:sz="0" w:space="0"/>
                <w:lang w:val="en-US" w:eastAsia="zh-CN" w:bidi="ar"/>
              </w:rPr>
              <w:t>）</w:t>
            </w:r>
          </w:p>
        </w:tc>
        <w:tc>
          <w:tcPr>
            <w:tcW w:w="773"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20</w:t>
            </w:r>
          </w:p>
        </w:tc>
        <w:tc>
          <w:tcPr>
            <w:tcW w:w="819"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30</w:t>
            </w:r>
          </w:p>
        </w:tc>
        <w:tc>
          <w:tcPr>
            <w:tcW w:w="737"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40</w:t>
            </w:r>
          </w:p>
        </w:tc>
        <w:tc>
          <w:tcPr>
            <w:tcW w:w="713"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957"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汽车噪声值</w:t>
            </w:r>
          </w:p>
        </w:tc>
        <w:tc>
          <w:tcPr>
            <w:tcW w:w="7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69.5</w:t>
            </w:r>
          </w:p>
        </w:tc>
        <w:tc>
          <w:tcPr>
            <w:tcW w:w="81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75.8</w:t>
            </w:r>
          </w:p>
        </w:tc>
        <w:tc>
          <w:tcPr>
            <w:tcW w:w="7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80.4</w:t>
            </w:r>
          </w:p>
        </w:tc>
        <w:tc>
          <w:tcPr>
            <w:tcW w:w="713"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83.9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1957"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距中心线（</w:t>
            </w:r>
            <w:r>
              <w:rPr>
                <w:rFonts w:hint="default" w:ascii="Times New Roman" w:hAnsi="Times New Roman" w:eastAsia="宋体" w:cs="Times New Roman"/>
                <w:color w:val="000000"/>
                <w:kern w:val="0"/>
                <w:sz w:val="21"/>
                <w:szCs w:val="21"/>
                <w:bdr w:val="none" w:color="auto" w:sz="0" w:space="0"/>
                <w:lang w:val="en-US" w:eastAsia="zh-CN" w:bidi="ar"/>
              </w:rPr>
              <w:t>10m</w:t>
            </w:r>
            <w:r>
              <w:rPr>
                <w:rFonts w:hint="eastAsia" w:ascii="Times New Roman" w:hAnsi="Times New Roman" w:eastAsia="宋体" w:cs="Times New Roman"/>
                <w:color w:val="000000"/>
                <w:kern w:val="0"/>
                <w:sz w:val="21"/>
                <w:szCs w:val="21"/>
                <w:bdr w:val="none" w:color="auto" w:sz="0" w:space="0"/>
                <w:lang w:val="en-US" w:eastAsia="zh-CN" w:bidi="ar"/>
              </w:rPr>
              <w:t>）预测值</w:t>
            </w:r>
          </w:p>
        </w:tc>
        <w:tc>
          <w:tcPr>
            <w:tcW w:w="7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53.1</w:t>
            </w:r>
          </w:p>
        </w:tc>
        <w:tc>
          <w:tcPr>
            <w:tcW w:w="81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57.7</w:t>
            </w:r>
          </w:p>
        </w:tc>
        <w:tc>
          <w:tcPr>
            <w:tcW w:w="7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61</w:t>
            </w:r>
          </w:p>
        </w:tc>
        <w:tc>
          <w:tcPr>
            <w:tcW w:w="713"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957"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距中心线（</w:t>
            </w:r>
            <w:r>
              <w:rPr>
                <w:rFonts w:hint="default" w:ascii="Times New Roman" w:hAnsi="Times New Roman" w:eastAsia="宋体" w:cs="Times New Roman"/>
                <w:color w:val="000000"/>
                <w:kern w:val="0"/>
                <w:sz w:val="21"/>
                <w:szCs w:val="21"/>
                <w:bdr w:val="none" w:color="auto" w:sz="0" w:space="0"/>
                <w:lang w:val="en-US" w:eastAsia="zh-CN" w:bidi="ar"/>
              </w:rPr>
              <w:t>20m</w:t>
            </w:r>
            <w:r>
              <w:rPr>
                <w:rFonts w:hint="eastAsia" w:ascii="Times New Roman" w:hAnsi="Times New Roman" w:eastAsia="宋体" w:cs="Times New Roman"/>
                <w:color w:val="000000"/>
                <w:kern w:val="0"/>
                <w:sz w:val="21"/>
                <w:szCs w:val="21"/>
                <w:bdr w:val="none" w:color="auto" w:sz="0" w:space="0"/>
                <w:lang w:val="en-US" w:eastAsia="zh-CN" w:bidi="ar"/>
              </w:rPr>
              <w:t>）预测值</w:t>
            </w:r>
          </w:p>
        </w:tc>
        <w:tc>
          <w:tcPr>
            <w:tcW w:w="7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50.1</w:t>
            </w:r>
          </w:p>
        </w:tc>
        <w:tc>
          <w:tcPr>
            <w:tcW w:w="81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54.6</w:t>
            </w:r>
          </w:p>
        </w:tc>
        <w:tc>
          <w:tcPr>
            <w:tcW w:w="7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58</w:t>
            </w:r>
          </w:p>
        </w:tc>
        <w:tc>
          <w:tcPr>
            <w:tcW w:w="713"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60.5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1957" w:type="pct"/>
            <w:tcBorders>
              <w:top w:val="single" w:color="auto" w:sz="6" w:space="0"/>
              <w:left w:val="nil"/>
              <w:bottom w:val="single" w:color="auto" w:sz="6" w:space="0"/>
              <w:right w:val="single" w:color="auto" w:sz="6" w:space="0"/>
            </w:tcBorders>
            <w:shd w:val="clear"/>
            <w:vAlign w:val="top"/>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距中心线（</w:t>
            </w:r>
            <w:r>
              <w:rPr>
                <w:rFonts w:hint="default" w:ascii="Times New Roman" w:hAnsi="Times New Roman" w:eastAsia="宋体" w:cs="Times New Roman"/>
                <w:color w:val="000000"/>
                <w:kern w:val="0"/>
                <w:sz w:val="21"/>
                <w:szCs w:val="21"/>
                <w:bdr w:val="none" w:color="auto" w:sz="0" w:space="0"/>
                <w:lang w:val="en-US" w:eastAsia="zh-CN" w:bidi="ar"/>
              </w:rPr>
              <w:t>30m</w:t>
            </w:r>
            <w:r>
              <w:rPr>
                <w:rFonts w:hint="eastAsia" w:ascii="Times New Roman" w:hAnsi="Times New Roman" w:eastAsia="宋体" w:cs="Times New Roman"/>
                <w:color w:val="000000"/>
                <w:kern w:val="0"/>
                <w:sz w:val="21"/>
                <w:szCs w:val="21"/>
                <w:bdr w:val="none" w:color="auto" w:sz="0" w:space="0"/>
                <w:lang w:val="en-US" w:eastAsia="zh-CN" w:bidi="ar"/>
              </w:rPr>
              <w:t>）预测值</w:t>
            </w:r>
          </w:p>
        </w:tc>
        <w:tc>
          <w:tcPr>
            <w:tcW w:w="7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48.3</w:t>
            </w:r>
          </w:p>
        </w:tc>
        <w:tc>
          <w:tcPr>
            <w:tcW w:w="81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52.9</w:t>
            </w:r>
          </w:p>
        </w:tc>
        <w:tc>
          <w:tcPr>
            <w:tcW w:w="7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56.2</w:t>
            </w:r>
          </w:p>
        </w:tc>
        <w:tc>
          <w:tcPr>
            <w:tcW w:w="713"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1957" w:type="pct"/>
            <w:tcBorders>
              <w:top w:val="single" w:color="auto" w:sz="6" w:space="0"/>
              <w:left w:val="nil"/>
              <w:bottom w:val="single" w:color="auto" w:sz="6" w:space="0"/>
              <w:right w:val="single" w:color="auto" w:sz="6" w:space="0"/>
            </w:tcBorders>
            <w:shd w:val="clear"/>
            <w:vAlign w:val="top"/>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距中心线（</w:t>
            </w:r>
            <w:r>
              <w:rPr>
                <w:rFonts w:hint="default" w:ascii="Times New Roman" w:hAnsi="Times New Roman" w:eastAsia="宋体" w:cs="Times New Roman"/>
                <w:color w:val="000000"/>
                <w:kern w:val="0"/>
                <w:sz w:val="21"/>
                <w:szCs w:val="21"/>
                <w:bdr w:val="none" w:color="auto" w:sz="0" w:space="0"/>
                <w:lang w:val="en-US" w:eastAsia="zh-CN" w:bidi="ar"/>
              </w:rPr>
              <w:t>40m</w:t>
            </w:r>
            <w:r>
              <w:rPr>
                <w:rFonts w:hint="eastAsia" w:ascii="Times New Roman" w:hAnsi="Times New Roman" w:eastAsia="宋体" w:cs="Times New Roman"/>
                <w:color w:val="000000"/>
                <w:kern w:val="0"/>
                <w:sz w:val="21"/>
                <w:szCs w:val="21"/>
                <w:bdr w:val="none" w:color="auto" w:sz="0" w:space="0"/>
                <w:lang w:val="en-US" w:eastAsia="zh-CN" w:bidi="ar"/>
              </w:rPr>
              <w:t>）预测值</w:t>
            </w:r>
          </w:p>
        </w:tc>
        <w:tc>
          <w:tcPr>
            <w:tcW w:w="77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47</w:t>
            </w:r>
          </w:p>
        </w:tc>
        <w:tc>
          <w:tcPr>
            <w:tcW w:w="81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51.6</w:t>
            </w:r>
          </w:p>
        </w:tc>
        <w:tc>
          <w:tcPr>
            <w:tcW w:w="73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54.9</w:t>
            </w:r>
          </w:p>
        </w:tc>
        <w:tc>
          <w:tcPr>
            <w:tcW w:w="713"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957"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标准值</w:t>
            </w:r>
            <w:r>
              <w:rPr>
                <w:rFonts w:hint="default" w:ascii="Times New Roman" w:hAnsi="Times New Roman" w:eastAsia="宋体" w:cs="Times New Roman"/>
                <w:color w:val="000000"/>
                <w:kern w:val="0"/>
                <w:sz w:val="21"/>
                <w:szCs w:val="21"/>
                <w:bdr w:val="none" w:color="auto" w:sz="0" w:space="0"/>
                <w:lang w:val="en-US" w:eastAsia="zh-CN" w:bidi="ar"/>
              </w:rPr>
              <w:t>(</w:t>
            </w:r>
            <w:r>
              <w:rPr>
                <w:rFonts w:hint="eastAsia" w:ascii="Times New Roman" w:hAnsi="Times New Roman" w:eastAsia="宋体" w:cs="Times New Roman"/>
                <w:color w:val="000000"/>
                <w:kern w:val="0"/>
                <w:sz w:val="21"/>
                <w:szCs w:val="21"/>
                <w:bdr w:val="none" w:color="auto" w:sz="0" w:space="0"/>
                <w:lang w:val="en-US" w:eastAsia="zh-CN" w:bidi="ar"/>
              </w:rPr>
              <w:t>昼间</w:t>
            </w:r>
            <w:r>
              <w:rPr>
                <w:rFonts w:hint="default" w:ascii="Times New Roman" w:hAnsi="Times New Roman" w:eastAsia="宋体" w:cs="Times New Roman"/>
                <w:color w:val="000000"/>
                <w:kern w:val="0"/>
                <w:sz w:val="21"/>
                <w:szCs w:val="21"/>
                <w:bdr w:val="none" w:color="auto" w:sz="0" w:space="0"/>
                <w:lang w:val="en-US" w:eastAsia="zh-CN" w:bidi="ar"/>
              </w:rPr>
              <w:t>) (dB)</w:t>
            </w:r>
          </w:p>
        </w:tc>
        <w:tc>
          <w:tcPr>
            <w:tcW w:w="3043" w:type="pct"/>
            <w:gridSpan w:val="4"/>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55</w:t>
            </w:r>
          </w:p>
        </w:tc>
      </w:tr>
    </w:tbl>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由上表可见，当汽车车速大于</w:t>
      </w:r>
      <w:r>
        <w:rPr>
          <w:rFonts w:hint="default" w:ascii="Times New Roman" w:hAnsi="Times New Roman" w:eastAsia="宋体" w:cs="Times New Roman"/>
          <w:color w:val="000000"/>
          <w:kern w:val="0"/>
          <w:sz w:val="24"/>
          <w:szCs w:val="24"/>
          <w:lang w:val="en-US" w:eastAsia="zh-CN" w:bidi="ar"/>
        </w:rPr>
        <w:t>30 km/h</w:t>
      </w:r>
      <w:r>
        <w:rPr>
          <w:rFonts w:hint="eastAsia" w:ascii="Times New Roman" w:hAnsi="Times New Roman" w:eastAsia="宋体" w:cs="Times New Roman"/>
          <w:color w:val="000000"/>
          <w:kern w:val="0"/>
          <w:sz w:val="24"/>
          <w:szCs w:val="24"/>
          <w:lang w:val="en-US" w:eastAsia="zh-CN" w:bidi="ar"/>
        </w:rPr>
        <w:t>时，道路两侧</w:t>
      </w:r>
      <w:r>
        <w:rPr>
          <w:rFonts w:hint="default" w:ascii="Times New Roman" w:hAnsi="Times New Roman" w:eastAsia="宋体" w:cs="Times New Roman"/>
          <w:color w:val="000000"/>
          <w:kern w:val="0"/>
          <w:sz w:val="24"/>
          <w:szCs w:val="24"/>
          <w:lang w:val="en-US" w:eastAsia="zh-CN" w:bidi="ar"/>
        </w:rPr>
        <w:t>10m</w:t>
      </w:r>
      <w:r>
        <w:rPr>
          <w:rFonts w:hint="eastAsia" w:ascii="Times New Roman" w:hAnsi="Times New Roman" w:eastAsia="宋体" w:cs="Times New Roman"/>
          <w:color w:val="000000"/>
          <w:kern w:val="0"/>
          <w:sz w:val="24"/>
          <w:szCs w:val="24"/>
          <w:lang w:val="en-US" w:eastAsia="zh-CN" w:bidi="ar"/>
        </w:rPr>
        <w:t>范围居民住户噪声不能满足《声环境质量标准》（</w:t>
      </w:r>
      <w:r>
        <w:rPr>
          <w:rFonts w:hint="default" w:ascii="Times New Roman" w:hAnsi="Times New Roman" w:eastAsia="宋体" w:cs="Times New Roman"/>
          <w:color w:val="000000"/>
          <w:kern w:val="0"/>
          <w:sz w:val="24"/>
          <w:szCs w:val="24"/>
          <w:lang w:val="en-US" w:eastAsia="zh-CN" w:bidi="ar"/>
        </w:rPr>
        <w:t>GB3096-2008</w:t>
      </w:r>
      <w:r>
        <w:rPr>
          <w:rFonts w:hint="eastAsia" w:ascii="Times New Roman" w:hAnsi="Times New Roman" w:eastAsia="宋体" w:cs="Times New Roman"/>
          <w:color w:val="000000"/>
          <w:kern w:val="0"/>
          <w:sz w:val="24"/>
          <w:szCs w:val="24"/>
          <w:lang w:val="en-US" w:eastAsia="zh-CN" w:bidi="ar"/>
        </w:rPr>
        <w:t>）中</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类标准，超标</w:t>
      </w:r>
      <w:r>
        <w:rPr>
          <w:rFonts w:hint="default" w:ascii="Times New Roman" w:hAnsi="Times New Roman" w:eastAsia="宋体" w:cs="Times New Roman"/>
          <w:color w:val="000000"/>
          <w:kern w:val="0"/>
          <w:sz w:val="24"/>
          <w:szCs w:val="24"/>
          <w:lang w:val="en-US" w:eastAsia="zh-CN" w:bidi="ar"/>
        </w:rPr>
        <w:t>2.7dB</w:t>
      </w:r>
      <w:r>
        <w:rPr>
          <w:rFonts w:hint="eastAsia" w:ascii="Times New Roman" w:hAnsi="Times New Roman" w:eastAsia="宋体" w:cs="Times New Roman"/>
          <w:color w:val="000000"/>
          <w:kern w:val="0"/>
          <w:sz w:val="24"/>
          <w:szCs w:val="24"/>
          <w:lang w:val="en-US" w:eastAsia="zh-CN" w:bidi="ar"/>
        </w:rPr>
        <w:t>；道路两侧</w:t>
      </w:r>
      <w:r>
        <w:rPr>
          <w:rFonts w:hint="default" w:ascii="Times New Roman" w:hAnsi="Times New Roman" w:eastAsia="宋体" w:cs="Times New Roman"/>
          <w:color w:val="000000"/>
          <w:kern w:val="0"/>
          <w:sz w:val="24"/>
          <w:szCs w:val="24"/>
          <w:lang w:val="en-US" w:eastAsia="zh-CN" w:bidi="ar"/>
        </w:rPr>
        <w:t>20m</w:t>
      </w:r>
      <w:r>
        <w:rPr>
          <w:rFonts w:hint="eastAsia" w:ascii="Times New Roman" w:hAnsi="Times New Roman" w:eastAsia="宋体" w:cs="Times New Roman"/>
          <w:color w:val="000000"/>
          <w:kern w:val="0"/>
          <w:sz w:val="24"/>
          <w:szCs w:val="24"/>
          <w:lang w:val="en-US" w:eastAsia="zh-CN" w:bidi="ar"/>
        </w:rPr>
        <w:t>范围外居民住户噪声满足《声环境质量标准》（</w:t>
      </w:r>
      <w:r>
        <w:rPr>
          <w:rFonts w:hint="default" w:ascii="Times New Roman" w:hAnsi="Times New Roman" w:eastAsia="宋体" w:cs="Times New Roman"/>
          <w:color w:val="000000"/>
          <w:kern w:val="0"/>
          <w:sz w:val="24"/>
          <w:szCs w:val="24"/>
          <w:lang w:val="en-US" w:eastAsia="zh-CN" w:bidi="ar"/>
        </w:rPr>
        <w:t>GB3096-2008</w:t>
      </w:r>
      <w:r>
        <w:rPr>
          <w:rFonts w:hint="eastAsia" w:ascii="Times New Roman" w:hAnsi="Times New Roman" w:eastAsia="宋体" w:cs="Times New Roman"/>
          <w:color w:val="000000"/>
          <w:kern w:val="0"/>
          <w:sz w:val="24"/>
          <w:szCs w:val="24"/>
          <w:lang w:val="en-US" w:eastAsia="zh-CN" w:bidi="ar"/>
        </w:rPr>
        <w:t>）中</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类标准。当汽车车速小于</w:t>
      </w:r>
      <w:r>
        <w:rPr>
          <w:rFonts w:hint="default" w:ascii="Times New Roman" w:hAnsi="Times New Roman" w:eastAsia="宋体" w:cs="Times New Roman"/>
          <w:color w:val="000000"/>
          <w:kern w:val="0"/>
          <w:sz w:val="24"/>
          <w:szCs w:val="24"/>
          <w:lang w:val="en-US" w:eastAsia="zh-CN" w:bidi="ar"/>
        </w:rPr>
        <w:t>20 km/h</w:t>
      </w:r>
      <w:r>
        <w:rPr>
          <w:rFonts w:hint="eastAsia" w:ascii="Times New Roman" w:hAnsi="Times New Roman" w:eastAsia="宋体" w:cs="Times New Roman"/>
          <w:color w:val="000000"/>
          <w:kern w:val="0"/>
          <w:sz w:val="24"/>
          <w:szCs w:val="24"/>
          <w:lang w:val="en-US" w:eastAsia="zh-CN" w:bidi="ar"/>
        </w:rPr>
        <w:t>时，道路两侧</w:t>
      </w:r>
      <w:r>
        <w:rPr>
          <w:rFonts w:hint="default" w:ascii="Times New Roman" w:hAnsi="Times New Roman" w:eastAsia="宋体" w:cs="Times New Roman"/>
          <w:color w:val="000000"/>
          <w:kern w:val="0"/>
          <w:sz w:val="24"/>
          <w:szCs w:val="24"/>
          <w:lang w:val="en-US" w:eastAsia="zh-CN" w:bidi="ar"/>
        </w:rPr>
        <w:t>10m</w:t>
      </w:r>
      <w:r>
        <w:rPr>
          <w:rFonts w:hint="eastAsia" w:ascii="Times New Roman" w:hAnsi="Times New Roman" w:eastAsia="宋体" w:cs="Times New Roman"/>
          <w:color w:val="000000"/>
          <w:kern w:val="0"/>
          <w:sz w:val="24"/>
          <w:szCs w:val="24"/>
          <w:lang w:val="en-US" w:eastAsia="zh-CN" w:bidi="ar"/>
        </w:rPr>
        <w:t>范围居民住户噪声可以满足《声环境质量标准》（</w:t>
      </w:r>
      <w:r>
        <w:rPr>
          <w:rFonts w:hint="default" w:ascii="Times New Roman" w:hAnsi="Times New Roman" w:eastAsia="宋体" w:cs="Times New Roman"/>
          <w:color w:val="000000"/>
          <w:kern w:val="0"/>
          <w:sz w:val="24"/>
          <w:szCs w:val="24"/>
          <w:lang w:val="en-US" w:eastAsia="zh-CN" w:bidi="ar"/>
        </w:rPr>
        <w:t>GB3096-2008</w:t>
      </w:r>
      <w:r>
        <w:rPr>
          <w:rFonts w:hint="eastAsia" w:ascii="Times New Roman" w:hAnsi="Times New Roman" w:eastAsia="宋体" w:cs="Times New Roman"/>
          <w:color w:val="000000"/>
          <w:kern w:val="0"/>
          <w:sz w:val="24"/>
          <w:szCs w:val="24"/>
          <w:lang w:val="en-US" w:eastAsia="zh-CN" w:bidi="ar"/>
        </w:rPr>
        <w:t>）中</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类标准。</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因此，车辆行经村庄时，应平稳低速行驶，控制车速在</w:t>
      </w:r>
      <w:r>
        <w:rPr>
          <w:rFonts w:hint="default" w:ascii="Times New Roman" w:hAnsi="Times New Roman" w:eastAsia="宋体" w:cs="Times New Roman"/>
          <w:color w:val="000000"/>
          <w:kern w:val="0"/>
          <w:sz w:val="24"/>
          <w:szCs w:val="24"/>
          <w:lang w:val="en-US" w:eastAsia="zh-CN" w:bidi="ar"/>
        </w:rPr>
        <w:t>20km/h</w:t>
      </w:r>
      <w:r>
        <w:rPr>
          <w:rFonts w:hint="eastAsia" w:ascii="Times New Roman" w:hAnsi="Times New Roman" w:eastAsia="宋体" w:cs="Times New Roman"/>
          <w:color w:val="000000"/>
          <w:kern w:val="0"/>
          <w:sz w:val="24"/>
          <w:szCs w:val="24"/>
          <w:lang w:val="en-US" w:eastAsia="zh-CN" w:bidi="ar"/>
        </w:rPr>
        <w:t>左右，且禁止鸣笛，当居民住户距离道路两侧小于</w:t>
      </w:r>
      <w:r>
        <w:rPr>
          <w:rFonts w:hint="default" w:ascii="Times New Roman" w:hAnsi="Times New Roman" w:eastAsia="宋体" w:cs="Times New Roman"/>
          <w:color w:val="000000"/>
          <w:kern w:val="0"/>
          <w:sz w:val="24"/>
          <w:szCs w:val="24"/>
          <w:lang w:val="en-US" w:eastAsia="zh-CN" w:bidi="ar"/>
        </w:rPr>
        <w:t>10m</w:t>
      </w:r>
      <w:r>
        <w:rPr>
          <w:rFonts w:hint="eastAsia" w:ascii="Times New Roman" w:hAnsi="Times New Roman" w:eastAsia="宋体" w:cs="Times New Roman"/>
          <w:color w:val="000000"/>
          <w:kern w:val="0"/>
          <w:sz w:val="24"/>
          <w:szCs w:val="24"/>
          <w:lang w:val="en-US" w:eastAsia="zh-CN" w:bidi="ar"/>
        </w:rPr>
        <w:t>时应控制车速在</w:t>
      </w:r>
      <w:r>
        <w:rPr>
          <w:rFonts w:hint="default" w:ascii="Times New Roman" w:hAnsi="Times New Roman" w:eastAsia="宋体" w:cs="Times New Roman"/>
          <w:color w:val="000000"/>
          <w:kern w:val="0"/>
          <w:sz w:val="24"/>
          <w:szCs w:val="24"/>
          <w:lang w:val="en-US" w:eastAsia="zh-CN" w:bidi="ar"/>
        </w:rPr>
        <w:t>10km/h</w:t>
      </w:r>
      <w:r>
        <w:rPr>
          <w:rFonts w:hint="eastAsia" w:ascii="Times New Roman" w:hAnsi="Times New Roman" w:eastAsia="宋体" w:cs="Times New Roman"/>
          <w:color w:val="000000"/>
          <w:kern w:val="0"/>
          <w:sz w:val="24"/>
          <w:szCs w:val="24"/>
          <w:lang w:val="en-US" w:eastAsia="zh-CN" w:bidi="ar"/>
        </w:rPr>
        <w:t>左右；此外，运输车辆必须按照规定进行日常维护、维修、对车辆零件进行润滑，保证车况符合要求。</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）采用短期突发噪声进行评价</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交通运输噪声为昼间短期性噪声，参照《声环境质量标准》（</w:t>
      </w:r>
      <w:r>
        <w:rPr>
          <w:rFonts w:hint="default" w:ascii="Times New Roman" w:hAnsi="Times New Roman" w:eastAsia="宋体" w:cs="Times New Roman"/>
          <w:color w:val="000000"/>
          <w:kern w:val="0"/>
          <w:sz w:val="24"/>
          <w:szCs w:val="24"/>
          <w:lang w:val="en-US" w:eastAsia="zh-CN" w:bidi="ar"/>
        </w:rPr>
        <w:t>GB3096-2008</w:t>
      </w:r>
      <w:r>
        <w:rPr>
          <w:rFonts w:hint="eastAsia" w:ascii="Times New Roman" w:hAnsi="Times New Roman" w:eastAsia="宋体" w:cs="Times New Roman"/>
          <w:color w:val="000000"/>
          <w:kern w:val="0"/>
          <w:sz w:val="24"/>
          <w:szCs w:val="24"/>
          <w:lang w:val="en-US" w:eastAsia="zh-CN" w:bidi="ar"/>
        </w:rPr>
        <w:t>）中的规定：突发性噪声不准超过标准值的</w:t>
      </w:r>
      <w:r>
        <w:rPr>
          <w:rFonts w:hint="default" w:ascii="Times New Roman" w:hAnsi="Times New Roman" w:eastAsia="宋体" w:cs="Times New Roman"/>
          <w:color w:val="000000"/>
          <w:kern w:val="0"/>
          <w:sz w:val="24"/>
          <w:szCs w:val="24"/>
          <w:lang w:val="en-US" w:eastAsia="zh-CN" w:bidi="ar"/>
        </w:rPr>
        <w:t>15 dB</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GB3096-2008</w:t>
      </w:r>
      <w:r>
        <w:rPr>
          <w:rFonts w:hint="eastAsia" w:ascii="Times New Roman" w:hAnsi="Times New Roman" w:eastAsia="宋体" w:cs="Times New Roman"/>
          <w:color w:val="000000"/>
          <w:kern w:val="0"/>
          <w:sz w:val="24"/>
          <w:szCs w:val="24"/>
          <w:lang w:val="en-US" w:eastAsia="zh-CN" w:bidi="ar"/>
        </w:rPr>
        <w:t>中的</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类昼间标准值为</w:t>
      </w:r>
      <w:r>
        <w:rPr>
          <w:rFonts w:hint="default" w:ascii="Times New Roman" w:hAnsi="Times New Roman" w:eastAsia="宋体" w:cs="Times New Roman"/>
          <w:color w:val="000000"/>
          <w:kern w:val="0"/>
          <w:sz w:val="24"/>
          <w:szCs w:val="24"/>
          <w:lang w:val="en-US" w:eastAsia="zh-CN" w:bidi="ar"/>
        </w:rPr>
        <w:t>55dB</w:t>
      </w:r>
      <w:r>
        <w:rPr>
          <w:rFonts w:hint="eastAsia" w:ascii="Times New Roman" w:hAnsi="Times New Roman" w:eastAsia="宋体" w:cs="Times New Roman"/>
          <w:color w:val="000000"/>
          <w:kern w:val="0"/>
          <w:sz w:val="24"/>
          <w:szCs w:val="24"/>
          <w:lang w:val="en-US" w:eastAsia="zh-CN" w:bidi="ar"/>
        </w:rPr>
        <w:t>，加上</w:t>
      </w:r>
      <w:r>
        <w:rPr>
          <w:rFonts w:hint="default" w:ascii="Times New Roman" w:hAnsi="Times New Roman" w:eastAsia="宋体" w:cs="Times New Roman"/>
          <w:color w:val="000000"/>
          <w:kern w:val="0"/>
          <w:sz w:val="24"/>
          <w:szCs w:val="24"/>
          <w:lang w:val="en-US" w:eastAsia="zh-CN" w:bidi="ar"/>
        </w:rPr>
        <w:t>15 dB</w:t>
      </w:r>
      <w:r>
        <w:rPr>
          <w:rFonts w:hint="eastAsia" w:ascii="Times New Roman" w:hAnsi="Times New Roman" w:eastAsia="宋体" w:cs="Times New Roman"/>
          <w:color w:val="000000"/>
          <w:kern w:val="0"/>
          <w:sz w:val="24"/>
          <w:szCs w:val="24"/>
          <w:lang w:val="en-US" w:eastAsia="zh-CN" w:bidi="ar"/>
        </w:rPr>
        <w:t>为</w:t>
      </w:r>
      <w:r>
        <w:rPr>
          <w:rFonts w:hint="default" w:ascii="Times New Roman" w:hAnsi="Times New Roman" w:eastAsia="宋体" w:cs="Times New Roman"/>
          <w:color w:val="000000"/>
          <w:kern w:val="0"/>
          <w:sz w:val="24"/>
          <w:szCs w:val="24"/>
          <w:lang w:val="en-US" w:eastAsia="zh-CN" w:bidi="ar"/>
        </w:rPr>
        <w:t>70 dB</w:t>
      </w:r>
      <w:r>
        <w:rPr>
          <w:rFonts w:hint="eastAsia" w:ascii="Times New Roman" w:hAnsi="Times New Roman" w:eastAsia="宋体" w:cs="Times New Roman"/>
          <w:color w:val="000000"/>
          <w:kern w:val="0"/>
          <w:sz w:val="24"/>
          <w:szCs w:val="24"/>
          <w:lang w:val="en-US" w:eastAsia="zh-CN" w:bidi="ar"/>
        </w:rPr>
        <w:t>。本项目交通运输噪声持续时间极短，在每个民房经过时仅持续十几秒钟，因此不会对居民生活造成较大影响。</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此外，在有条件时运输车辆绕行，从线路避让方面彻底解决问题，从而有效降低交通噪声对环境的影响。</w:t>
      </w:r>
    </w:p>
    <w:p>
      <w:pPr>
        <w:pStyle w:val="8"/>
        <w:widowControl/>
        <w:rPr>
          <w:color w:val="000000"/>
          <w:lang/>
        </w:rPr>
      </w:pPr>
      <w:bookmarkStart w:id="184" w:name="_Toc41656144"/>
      <w:r>
        <w:rPr>
          <w:color w:val="000000"/>
          <w:lang/>
        </w:rPr>
        <w:t xml:space="preserve">5.4 </w:t>
      </w:r>
      <w:r>
        <w:rPr>
          <w:rFonts w:hint="eastAsia" w:ascii="Times New Roman" w:hAnsi="Times New Roman" w:eastAsia="宋体" w:cs="宋体"/>
          <w:color w:val="000000"/>
          <w:lang w:eastAsia="zh-CN"/>
        </w:rPr>
        <w:t>运营期地表水环境影响分析</w:t>
      </w:r>
      <w:bookmarkEnd w:id="184"/>
    </w:p>
    <w:p>
      <w:pPr>
        <w:pStyle w:val="27"/>
        <w:keepNext w:val="0"/>
        <w:keepLines w:val="0"/>
        <w:widowControl/>
        <w:suppressLineNumbers w:val="0"/>
        <w:spacing w:before="0" w:beforeAutospacing="0" w:after="0" w:afterAutospacing="0" w:line="500" w:lineRule="exact"/>
        <w:ind w:left="0" w:right="0" w:firstLine="480" w:firstLineChars="200"/>
        <w:jc w:val="left"/>
        <w:rPr>
          <w:color w:val="000000"/>
          <w:lang w:val="en-US"/>
        </w:rPr>
      </w:pPr>
      <w:r>
        <w:rPr>
          <w:rFonts w:hint="eastAsia" w:ascii="宋体" w:hAnsi="宋体" w:eastAsia="宋体" w:cs="宋体"/>
          <w:color w:val="000000"/>
          <w:kern w:val="0"/>
          <w:sz w:val="24"/>
          <w:szCs w:val="24"/>
          <w:lang w:val="en-US" w:eastAsia="zh-CN" w:bidi="ar"/>
        </w:rPr>
        <w:t>本项目生产废水主要为浮选生产工艺废水。生产废水在浓缩、过滤、</w:t>
      </w:r>
      <w:r>
        <w:rPr>
          <w:rFonts w:hint="eastAsia" w:ascii="Times New Roman" w:hAnsi="Times New Roman" w:eastAsia="宋体" w:cs="Times New Roman"/>
          <w:color w:val="000000"/>
          <w:kern w:val="0"/>
          <w:sz w:val="24"/>
          <w:szCs w:val="24"/>
          <w:lang w:val="en-US" w:eastAsia="zh-CN" w:bidi="ar"/>
        </w:rPr>
        <w:t>设备和地坪冲洗等</w:t>
      </w:r>
      <w:r>
        <w:rPr>
          <w:rFonts w:hint="eastAsia" w:ascii="宋体" w:hAnsi="宋体" w:eastAsia="宋体" w:cs="宋体"/>
          <w:color w:val="000000"/>
          <w:kern w:val="0"/>
          <w:sz w:val="24"/>
          <w:szCs w:val="24"/>
          <w:lang w:val="en-US" w:eastAsia="zh-CN" w:bidi="ar"/>
        </w:rPr>
        <w:t>环节中产生，主要含悬浮物为非金属矿泥，不含任何重金属物质，</w:t>
      </w:r>
      <w:r>
        <w:rPr>
          <w:rFonts w:hint="eastAsia" w:ascii="Times New Roman" w:hAnsi="Times New Roman" w:eastAsia="宋体" w:cs="Times New Roman"/>
          <w:color w:val="000000"/>
          <w:kern w:val="0"/>
          <w:sz w:val="24"/>
          <w:szCs w:val="24"/>
          <w:lang w:val="en-US" w:eastAsia="zh-CN" w:bidi="ar"/>
        </w:rPr>
        <w:t>全部进入循环水池沉淀后</w:t>
      </w:r>
      <w:r>
        <w:rPr>
          <w:rFonts w:hint="eastAsia" w:ascii="宋体" w:hAnsi="宋体" w:eastAsia="宋体" w:cs="宋体"/>
          <w:color w:val="000000"/>
          <w:kern w:val="0"/>
          <w:sz w:val="24"/>
          <w:szCs w:val="24"/>
          <w:lang w:val="en-US" w:eastAsia="zh-CN" w:bidi="ar"/>
        </w:rPr>
        <w:t>返回生产系统循环使用，不外排。</w:t>
      </w:r>
    </w:p>
    <w:p>
      <w:pPr>
        <w:pStyle w:val="27"/>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于浮选生产对水质要求不高，浮选工艺用水可利用工艺系统自循环水，本工程浮选工艺用水除蒸发等少量损失外，绝大部分实现循环利用，其余被产品带走。浮选生产过程中产生的废水主要含悬浮物为非金属矿泥，不含任何重金属物质，废水产生于浓缩、过滤、设备和地坪冲洗等环节，本项目生产废水经循环水池沉淀后全部回用于生产不外排，回用水中悬浮物浓度＜</w:t>
      </w:r>
      <w:r>
        <w:rPr>
          <w:rFonts w:hint="default" w:ascii="Times New Roman" w:hAnsi="Times New Roman" w:eastAsia="宋体" w:cs="Times New Roman"/>
          <w:color w:val="000000"/>
          <w:kern w:val="0"/>
          <w:sz w:val="24"/>
          <w:szCs w:val="24"/>
          <w:lang w:val="en-US" w:eastAsia="zh-CN" w:bidi="ar"/>
        </w:rPr>
        <w:t>30mg/l</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COD</w:t>
      </w:r>
      <w:r>
        <w:rPr>
          <w:rFonts w:hint="eastAsia" w:ascii="Times New Roman" w:hAnsi="Times New Roman" w:eastAsia="宋体" w:cs="Times New Roman"/>
          <w:color w:val="000000"/>
          <w:kern w:val="0"/>
          <w:sz w:val="24"/>
          <w:szCs w:val="24"/>
          <w:lang w:val="en-US" w:eastAsia="zh-CN" w:bidi="ar"/>
        </w:rPr>
        <w:t>浓度＜</w:t>
      </w:r>
      <w:r>
        <w:rPr>
          <w:rFonts w:hint="default" w:ascii="Times New Roman" w:hAnsi="Times New Roman" w:eastAsia="宋体" w:cs="Times New Roman"/>
          <w:color w:val="000000"/>
          <w:kern w:val="0"/>
          <w:sz w:val="24"/>
          <w:szCs w:val="24"/>
          <w:lang w:val="en-US" w:eastAsia="zh-CN" w:bidi="ar"/>
        </w:rPr>
        <w:t>100mg/l</w:t>
      </w:r>
      <w:r>
        <w:rPr>
          <w:rFonts w:hint="eastAsia" w:ascii="Times New Roman" w:hAnsi="Times New Roman" w:eastAsia="宋体" w:cs="Times New Roman"/>
          <w:color w:val="000000"/>
          <w:kern w:val="0"/>
          <w:sz w:val="24"/>
          <w:szCs w:val="24"/>
          <w:lang w:val="en-US" w:eastAsia="zh-CN" w:bidi="ar"/>
        </w:rPr>
        <w:t>，石油类浓度＜</w:t>
      </w:r>
      <w:r>
        <w:rPr>
          <w:rFonts w:hint="default" w:ascii="Times New Roman" w:hAnsi="Times New Roman" w:eastAsia="宋体" w:cs="Times New Roman"/>
          <w:color w:val="000000"/>
          <w:kern w:val="0"/>
          <w:sz w:val="24"/>
          <w:szCs w:val="24"/>
          <w:lang w:val="en-US" w:eastAsia="zh-CN" w:bidi="ar"/>
        </w:rPr>
        <w:t>1mg/l</w:t>
      </w:r>
      <w:r>
        <w:rPr>
          <w:rFonts w:hint="eastAsia" w:ascii="Times New Roman" w:hAnsi="Times New Roman" w:eastAsia="宋体" w:cs="Times New Roman"/>
          <w:color w:val="000000"/>
          <w:kern w:val="0"/>
          <w:sz w:val="24"/>
          <w:szCs w:val="24"/>
          <w:lang w:val="en-US" w:eastAsia="zh-CN" w:bidi="ar"/>
        </w:rPr>
        <w:t>，其水质满足浮选工艺补水要求，不外排。</w:t>
      </w:r>
    </w:p>
    <w:p>
      <w:pPr>
        <w:pStyle w:val="27"/>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color w:val="000000"/>
          <w:kern w:val="0"/>
          <w:sz w:val="24"/>
          <w:szCs w:val="24"/>
          <w:lang w:val="en-US" w:eastAsia="zh-CN" w:bidi="ar"/>
        </w:rPr>
        <w:t>生活污水主要是职工饮用、卫生等用水，</w:t>
      </w:r>
      <w:r>
        <w:rPr>
          <w:rFonts w:hint="eastAsia" w:ascii="Times New Roman" w:hAnsi="Times New Roman" w:eastAsia="宋体" w:cs="Times New Roman"/>
          <w:snapToGrid w:val="0"/>
          <w:color w:val="000000"/>
          <w:kern w:val="0"/>
          <w:sz w:val="24"/>
          <w:szCs w:val="24"/>
          <w:lang w:val="en-US" w:eastAsia="zh-CN" w:bidi="ar"/>
        </w:rPr>
        <w:t>生活污水的产生量约为</w:t>
      </w:r>
      <w:r>
        <w:rPr>
          <w:rFonts w:hint="default" w:ascii="Times New Roman" w:hAnsi="Times New Roman" w:eastAsia="宋体" w:cs="Times New Roman"/>
          <w:snapToGrid w:val="0"/>
          <w:color w:val="000000"/>
          <w:kern w:val="0"/>
          <w:sz w:val="24"/>
          <w:szCs w:val="24"/>
          <w:lang w:val="en-US" w:eastAsia="zh-CN" w:bidi="ar"/>
        </w:rPr>
        <w:t>2.72m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/d</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816m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/a</w:t>
      </w:r>
      <w:r>
        <w:rPr>
          <w:rFonts w:hint="eastAsia" w:ascii="Times New Roman" w:hAnsi="Times New Roman" w:eastAsia="宋体" w:cs="Times New Roman"/>
          <w:snapToGrid w:val="0"/>
          <w:color w:val="000000"/>
          <w:kern w:val="0"/>
          <w:sz w:val="24"/>
          <w:szCs w:val="24"/>
          <w:lang w:val="en-US" w:eastAsia="zh-CN" w:bidi="ar"/>
        </w:rPr>
        <w:t>，生活污水水质为</w:t>
      </w:r>
      <w:r>
        <w:rPr>
          <w:rFonts w:hint="default" w:ascii="Times New Roman" w:hAnsi="Times New Roman" w:eastAsia="宋体" w:cs="Times New Roman"/>
          <w:color w:val="000000"/>
          <w:kern w:val="0"/>
          <w:sz w:val="24"/>
          <w:szCs w:val="24"/>
          <w:lang w:val="en-US" w:eastAsia="zh-CN" w:bidi="ar"/>
        </w:rPr>
        <w:t>CODcr</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300mg/L</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SS</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300mg/L</w:t>
      </w:r>
      <w:r>
        <w:rPr>
          <w:rFonts w:hint="eastAsia" w:ascii="Times New Roman" w:hAnsi="Times New Roman" w:eastAsia="宋体" w:cs="Times New Roman"/>
          <w:snapToGrid w:val="0"/>
          <w:color w:val="000000"/>
          <w:kern w:val="0"/>
          <w:sz w:val="24"/>
          <w:szCs w:val="24"/>
          <w:lang w:val="en-US" w:eastAsia="zh-CN" w:bidi="ar"/>
        </w:rPr>
        <w:t>、氨氮</w:t>
      </w:r>
      <w:r>
        <w:rPr>
          <w:rFonts w:hint="default" w:ascii="Times New Roman" w:hAnsi="Times New Roman" w:eastAsia="宋体" w:cs="Times New Roman"/>
          <w:snapToGrid w:val="0"/>
          <w:color w:val="000000"/>
          <w:kern w:val="0"/>
          <w:sz w:val="24"/>
          <w:szCs w:val="24"/>
          <w:lang w:val="en-US" w:eastAsia="zh-CN" w:bidi="ar"/>
        </w:rPr>
        <w:t>25 mg/L</w:t>
      </w:r>
      <w:r>
        <w:rPr>
          <w:rFonts w:hint="eastAsia" w:ascii="Times New Roman" w:hAnsi="Times New Roman" w:eastAsia="宋体" w:cs="Times New Roman"/>
          <w:snapToGrid w:val="0"/>
          <w:color w:val="000000"/>
          <w:kern w:val="0"/>
          <w:sz w:val="24"/>
          <w:szCs w:val="24"/>
          <w:lang w:val="en-US" w:eastAsia="zh-CN" w:bidi="ar"/>
        </w:rPr>
        <w:t>，则污染物量为</w:t>
      </w:r>
      <w:r>
        <w:rPr>
          <w:rFonts w:hint="default" w:ascii="Times New Roman" w:hAnsi="Times New Roman" w:eastAsia="宋体" w:cs="Times New Roman"/>
          <w:color w:val="000000"/>
          <w:kern w:val="0"/>
          <w:sz w:val="24"/>
          <w:szCs w:val="24"/>
          <w:lang w:val="en-US" w:eastAsia="zh-CN" w:bidi="ar"/>
        </w:rPr>
        <w:t>CODcr</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0.245 t/a</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SS</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0.245 t/a</w:t>
      </w:r>
      <w:r>
        <w:rPr>
          <w:rFonts w:hint="eastAsia" w:ascii="Times New Roman" w:hAnsi="Times New Roman" w:eastAsia="宋体" w:cs="Times New Roman"/>
          <w:snapToGrid w:val="0"/>
          <w:color w:val="000000"/>
          <w:kern w:val="0"/>
          <w:sz w:val="24"/>
          <w:szCs w:val="24"/>
          <w:lang w:val="en-US" w:eastAsia="zh-CN" w:bidi="ar"/>
        </w:rPr>
        <w:t>、氨氮</w:t>
      </w:r>
      <w:r>
        <w:rPr>
          <w:rFonts w:hint="default" w:ascii="Times New Roman" w:hAnsi="Times New Roman" w:eastAsia="宋体" w:cs="Times New Roman"/>
          <w:snapToGrid w:val="0"/>
          <w:color w:val="000000"/>
          <w:kern w:val="0"/>
          <w:sz w:val="24"/>
          <w:szCs w:val="24"/>
          <w:lang w:val="en-US" w:eastAsia="zh-CN" w:bidi="ar"/>
        </w:rPr>
        <w:t>0.02 t/a</w:t>
      </w:r>
      <w:r>
        <w:rPr>
          <w:rFonts w:hint="eastAsia" w:ascii="Times New Roman" w:hAnsi="Times New Roman" w:eastAsia="宋体" w:cs="Times New Roman"/>
          <w:snapToGrid w:val="0"/>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排入化粪池（容积约</w:t>
      </w:r>
      <w:r>
        <w:rPr>
          <w:rFonts w:hint="default" w:ascii="Times New Roman" w:hAnsi="Times New Roman" w:eastAsia="宋体" w:cs="Times New Roman"/>
          <w:color w:val="000000"/>
          <w:kern w:val="0"/>
          <w:sz w:val="24"/>
          <w:szCs w:val="24"/>
          <w:lang w:val="en-US" w:eastAsia="zh-CN" w:bidi="ar"/>
        </w:rPr>
        <w:t>40m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），定期清掏，堆沤腐熟、就地就近就农利用，满足《农业农村部办公厅</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国家卫生健康委办公厅</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生态环境部办公厅关于印发</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农村厕所粪污无害化处理与资源化利用指南</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和</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农村厕所粪污处理及资源化利用典型模式</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的通知》（农办社</w:t>
      </w:r>
      <w:r>
        <w:rPr>
          <w:rFonts w:hint="default" w:ascii="Times New Roman" w:hAnsi="Times New Roman" w:eastAsia="宋体" w:cs="Times New Roman"/>
          <w:color w:val="000000"/>
          <w:kern w:val="0"/>
          <w:sz w:val="24"/>
          <w:szCs w:val="24"/>
          <w:lang w:val="en-US" w:eastAsia="zh-CN" w:bidi="ar"/>
        </w:rPr>
        <w:t>[2020]7</w:t>
      </w:r>
      <w:r>
        <w:rPr>
          <w:rFonts w:hint="eastAsia" w:ascii="Times New Roman" w:hAnsi="Times New Roman" w:eastAsia="宋体" w:cs="Times New Roman"/>
          <w:color w:val="000000"/>
          <w:kern w:val="0"/>
          <w:sz w:val="24"/>
          <w:szCs w:val="24"/>
          <w:lang w:val="en-US" w:eastAsia="zh-CN" w:bidi="ar"/>
        </w:rPr>
        <w:t>号）中关于水冲式厕所粪污分散处理利用的要求。</w:t>
      </w:r>
    </w:p>
    <w:p>
      <w:pPr>
        <w:keepNext w:val="0"/>
        <w:keepLines w:val="0"/>
        <w:widowControl/>
        <w:suppressLineNumbers w:val="0"/>
        <w:tabs>
          <w:tab w:val="left" w:pos="6580"/>
        </w:tabs>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根据《环境影响评价技术导则</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地表水环境》的评价等级判定，本项目地面水评价等级确定为三级</w:t>
      </w:r>
      <w:r>
        <w:rPr>
          <w:rFonts w:hint="default" w:ascii="Times New Roman" w:hAnsi="Times New Roman" w:eastAsia="宋体" w:cs="Times New Roman"/>
          <w:color w:val="000000"/>
          <w:kern w:val="0"/>
          <w:sz w:val="24"/>
          <w:szCs w:val="24"/>
          <w:lang w:val="en-US" w:eastAsia="zh-CN" w:bidi="ar"/>
        </w:rPr>
        <w:t>B</w:t>
      </w:r>
      <w:r>
        <w:rPr>
          <w:rFonts w:hint="eastAsia" w:ascii="Times New Roman" w:hAnsi="Times New Roman" w:eastAsia="宋体" w:cs="Times New Roman"/>
          <w:color w:val="000000"/>
          <w:kern w:val="0"/>
          <w:sz w:val="24"/>
          <w:szCs w:val="24"/>
          <w:lang w:val="en-US" w:eastAsia="zh-CN" w:bidi="ar"/>
        </w:rPr>
        <w:t>，不需要进行区域污染源调查和环境影响预测。</w:t>
      </w:r>
    </w:p>
    <w:p>
      <w:pPr>
        <w:keepNext w:val="0"/>
        <w:keepLines w:val="0"/>
        <w:widowControl/>
        <w:suppressLineNumbers w:val="0"/>
        <w:tabs>
          <w:tab w:val="left" w:pos="6580"/>
        </w:tabs>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bCs/>
          <w:color w:val="000000"/>
          <w:kern w:val="0"/>
          <w:sz w:val="24"/>
          <w:szCs w:val="24"/>
          <w:lang w:val="en-US" w:eastAsia="zh-CN" w:bidi="ar"/>
        </w:rPr>
        <w:t>综上，本项目对区域地表水环境影响较小。</w:t>
      </w:r>
    </w:p>
    <w:p>
      <w:pPr>
        <w:pStyle w:val="8"/>
        <w:widowControl/>
        <w:rPr>
          <w:color w:val="000000"/>
          <w:lang/>
        </w:rPr>
      </w:pPr>
      <w:bookmarkStart w:id="185" w:name="_Toc41656145"/>
      <w:r>
        <w:rPr>
          <w:color w:val="000000"/>
          <w:lang/>
        </w:rPr>
        <w:t xml:space="preserve">5.5 </w:t>
      </w:r>
      <w:r>
        <w:rPr>
          <w:rFonts w:hint="eastAsia" w:ascii="Times New Roman" w:hAnsi="Times New Roman" w:eastAsia="宋体" w:cs="宋体"/>
          <w:color w:val="000000"/>
          <w:lang w:eastAsia="zh-CN"/>
        </w:rPr>
        <w:t>运营期地下水环境影响分析</w:t>
      </w:r>
      <w:bookmarkEnd w:id="185"/>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5</w:t>
      </w:r>
      <w:r>
        <w:rPr>
          <w:rFonts w:hint="default" w:ascii="Times New Roman" w:hAnsi="Times New Roman" w:cs="Times New Roman"/>
          <w:color w:val="000000"/>
          <w:lang/>
        </w:rPr>
        <w:t xml:space="preserve">.1 </w:t>
      </w:r>
      <w:r>
        <w:rPr>
          <w:rFonts w:ascii="Times New Roman" w:hAnsi="Times New Roman" w:cs="Times New Roman"/>
          <w:color w:val="000000"/>
          <w:lang/>
        </w:rPr>
        <w:t>地下水污染来源</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eastAsia" w:ascii="宋体" w:hAnsi="宋体" w:eastAsia="宋体" w:cs="宋体"/>
          <w:color w:val="000000"/>
          <w:kern w:val="0"/>
          <w:sz w:val="24"/>
          <w:szCs w:val="24"/>
          <w:lang w:val="en-US" w:eastAsia="zh-CN" w:bidi="ar"/>
        </w:rPr>
        <w:t>本项目原料库、成品库、材料库、各种固体废物存储区地面均进行防渗处理，一般不会对地下水产生污染。</w:t>
      </w:r>
      <w:r>
        <w:rPr>
          <w:rFonts w:hint="eastAsia" w:ascii="Times New Roman" w:hAnsi="Times New Roman" w:eastAsia="宋体" w:cs="Times New Roman"/>
          <w:color w:val="000000"/>
          <w:kern w:val="0"/>
          <w:sz w:val="24"/>
          <w:szCs w:val="24"/>
          <w:lang w:val="en-US" w:eastAsia="zh-CN" w:bidi="ar"/>
        </w:rPr>
        <w:t>本项目</w:t>
      </w:r>
      <w:r>
        <w:rPr>
          <w:rFonts w:hint="eastAsia" w:ascii="宋体" w:hAnsi="宋体" w:eastAsia="宋体" w:cs="宋体"/>
          <w:color w:val="000000"/>
          <w:kern w:val="0"/>
          <w:sz w:val="24"/>
          <w:szCs w:val="24"/>
          <w:lang w:val="en-US" w:eastAsia="zh-CN" w:bidi="ar"/>
        </w:rPr>
        <w:t>可能对地下水水质造成污染的主要包括尾矿浓缩池、循环水池、化粪池，如果防渗不到位，可能对地下水水质造成污染，</w:t>
      </w:r>
      <w:r>
        <w:rPr>
          <w:rFonts w:hint="eastAsia" w:ascii="Times New Roman" w:hAnsi="Times New Roman" w:eastAsia="宋体" w:cs="Times New Roman"/>
          <w:color w:val="000000"/>
          <w:kern w:val="0"/>
          <w:sz w:val="24"/>
          <w:szCs w:val="24"/>
          <w:lang w:val="en-US" w:eastAsia="zh-CN" w:bidi="ar"/>
        </w:rPr>
        <w:t>主要途径为水池的跑、冒、滴、漏等</w:t>
      </w:r>
      <w:r>
        <w:rPr>
          <w:rFonts w:hint="eastAsia" w:ascii="宋体" w:hAnsi="宋体" w:eastAsia="宋体" w:cs="宋体"/>
          <w:color w:val="000000"/>
          <w:kern w:val="0"/>
          <w:sz w:val="24"/>
          <w:szCs w:val="24"/>
          <w:lang w:val="en-US" w:eastAsia="zh-CN" w:bidi="ar"/>
        </w:rPr>
        <w:t>。尾矿浓缩池、循环水池内</w:t>
      </w:r>
      <w:r>
        <w:rPr>
          <w:rFonts w:hint="eastAsia" w:ascii="Times New Roman" w:hAnsi="Times New Roman" w:eastAsia="宋体" w:cs="Times New Roman"/>
          <w:color w:val="000000"/>
          <w:kern w:val="0"/>
          <w:sz w:val="24"/>
          <w:szCs w:val="24"/>
          <w:lang w:val="en-US" w:eastAsia="zh-CN" w:bidi="ar"/>
        </w:rPr>
        <w:t>水质较洁净，主要污染物为</w:t>
      </w:r>
      <w:r>
        <w:rPr>
          <w:rFonts w:hint="default" w:ascii="Times New Roman" w:hAnsi="Times New Roman" w:eastAsia="宋体" w:cs="Times New Roman"/>
          <w:color w:val="000000"/>
          <w:kern w:val="0"/>
          <w:sz w:val="24"/>
          <w:szCs w:val="24"/>
          <w:lang w:val="en-US" w:eastAsia="zh-CN" w:bidi="ar"/>
        </w:rPr>
        <w:t>SS</w:t>
      </w:r>
      <w:r>
        <w:rPr>
          <w:rFonts w:hint="eastAsia" w:ascii="Times New Roman" w:hAnsi="Times New Roman" w:eastAsia="宋体" w:cs="Times New Roman"/>
          <w:color w:val="000000"/>
          <w:kern w:val="0"/>
          <w:sz w:val="24"/>
          <w:szCs w:val="24"/>
          <w:lang w:val="en-US" w:eastAsia="zh-CN" w:bidi="ar"/>
        </w:rPr>
        <w:t>；化粪池污水中污染物</w:t>
      </w:r>
      <w:r>
        <w:rPr>
          <w:rFonts w:hint="eastAsia" w:ascii="Times New Roman" w:hAnsi="Times New Roman" w:eastAsia="宋体" w:cs="Times New Roman"/>
          <w:bCs/>
          <w:color w:val="000000"/>
          <w:kern w:val="0"/>
          <w:sz w:val="24"/>
          <w:szCs w:val="24"/>
          <w:lang w:val="en-US" w:eastAsia="zh-CN" w:bidi="ar"/>
        </w:rPr>
        <w:t>主要为</w:t>
      </w:r>
      <w:r>
        <w:rPr>
          <w:rFonts w:hint="default" w:ascii="Times New Roman" w:hAnsi="Times New Roman" w:eastAsia="宋体" w:cs="Times New Roman"/>
          <w:bCs/>
          <w:color w:val="000000"/>
          <w:kern w:val="0"/>
          <w:sz w:val="24"/>
          <w:szCs w:val="24"/>
          <w:lang w:val="en-US" w:eastAsia="zh-CN" w:bidi="ar"/>
        </w:rPr>
        <w:t>COD</w:t>
      </w: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SS</w:t>
      </w:r>
      <w:r>
        <w:rPr>
          <w:rFonts w:hint="eastAsia" w:ascii="Times New Roman" w:hAnsi="Times New Roman" w:eastAsia="宋体" w:cs="Times New Roman"/>
          <w:bCs/>
          <w:color w:val="000000"/>
          <w:kern w:val="0"/>
          <w:sz w:val="24"/>
          <w:szCs w:val="24"/>
          <w:lang w:val="en-US" w:eastAsia="zh-CN" w:bidi="ar"/>
        </w:rPr>
        <w:t>和氨氮等，不含特殊有毒有害污染物。</w:t>
      </w:r>
      <w:r>
        <w:rPr>
          <w:rFonts w:hint="eastAsia" w:ascii="Times New Roman" w:hAnsi="Times New Roman" w:eastAsia="宋体" w:cs="Times New Roman"/>
          <w:color w:val="000000"/>
          <w:kern w:val="0"/>
          <w:sz w:val="24"/>
          <w:szCs w:val="24"/>
          <w:lang w:val="en-US" w:eastAsia="zh-CN" w:bidi="ar"/>
        </w:rPr>
        <w:t>本项目生产废水全部回用不外排，生活污水</w:t>
      </w:r>
      <w:r>
        <w:rPr>
          <w:rFonts w:hint="eastAsia" w:ascii="宋体" w:hAnsi="宋体" w:eastAsia="宋体" w:cs="宋体"/>
          <w:color w:val="000000"/>
          <w:kern w:val="0"/>
          <w:sz w:val="24"/>
          <w:szCs w:val="24"/>
          <w:lang w:val="en-US" w:eastAsia="zh-CN" w:bidi="ar"/>
        </w:rPr>
        <w:t>排入本项目化粪池，定期清掏，堆沤腐熟、就地就近就农利用</w:t>
      </w:r>
      <w:r>
        <w:rPr>
          <w:rFonts w:hint="eastAsia" w:ascii="Times New Roman" w:hAnsi="Times New Roman" w:eastAsia="宋体" w:cs="Times New Roman"/>
          <w:bCs/>
          <w:color w:val="000000"/>
          <w:kern w:val="0"/>
          <w:sz w:val="24"/>
          <w:szCs w:val="24"/>
          <w:lang w:val="en-US" w:eastAsia="zh-CN" w:bidi="ar"/>
        </w:rPr>
        <w:t>。</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综上所述，本项目主要地下水污染源为尾矿浓缩池、循环水池、化粪池。</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5</w:t>
      </w:r>
      <w:r>
        <w:rPr>
          <w:rFonts w:hint="default" w:ascii="Times New Roman" w:hAnsi="Times New Roman" w:cs="Times New Roman"/>
          <w:color w:val="000000"/>
          <w:lang/>
        </w:rPr>
        <w:t xml:space="preserve">.2 </w:t>
      </w:r>
      <w:r>
        <w:rPr>
          <w:rFonts w:ascii="Times New Roman" w:hAnsi="Times New Roman" w:cs="Times New Roman"/>
          <w:color w:val="000000"/>
          <w:lang/>
        </w:rPr>
        <w:t>地下水环境影响分析</w:t>
      </w:r>
    </w:p>
    <w:p>
      <w:pPr>
        <w:keepNext w:val="0"/>
        <w:keepLines w:val="0"/>
        <w:widowControl/>
        <w:suppressLineNumbers w:val="0"/>
        <w:adjustRightInd w:val="0"/>
        <w:spacing w:before="0" w:beforeAutospacing="0" w:after="0" w:afterAutospacing="0" w:line="500" w:lineRule="exact"/>
        <w:ind w:left="0" w:right="0" w:firstLine="480" w:firstLineChars="200"/>
        <w:jc w:val="both"/>
        <w:rPr>
          <w:color w:val="000000"/>
          <w:lang w:val="en-US"/>
        </w:rPr>
      </w:pPr>
      <w:r>
        <w:rPr>
          <w:rFonts w:hint="eastAsia" w:ascii="Times New Roman" w:hAnsi="Times New Roman" w:eastAsia="宋体" w:cs="Times New Roman"/>
          <w:color w:val="000000"/>
          <w:kern w:val="0"/>
          <w:sz w:val="24"/>
          <w:szCs w:val="24"/>
          <w:lang w:val="en-US" w:eastAsia="zh-CN" w:bidi="ar"/>
        </w:rPr>
        <w:t>根据《环境影响评价技术导则</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地下水环境》（</w:t>
      </w:r>
      <w:r>
        <w:rPr>
          <w:rFonts w:hint="default" w:ascii="Times New Roman" w:hAnsi="Times New Roman" w:eastAsia="宋体" w:cs="Times New Roman"/>
          <w:color w:val="000000"/>
          <w:kern w:val="0"/>
          <w:sz w:val="24"/>
          <w:szCs w:val="24"/>
          <w:lang w:val="en-US" w:eastAsia="zh-CN" w:bidi="ar"/>
        </w:rPr>
        <w:t>HJ610-2016</w:t>
      </w:r>
      <w:r>
        <w:rPr>
          <w:rFonts w:hint="eastAsia" w:ascii="Times New Roman" w:hAnsi="Times New Roman" w:eastAsia="宋体" w:cs="Times New Roman"/>
          <w:color w:val="000000"/>
          <w:kern w:val="0"/>
          <w:sz w:val="24"/>
          <w:szCs w:val="24"/>
          <w:lang w:val="en-US" w:eastAsia="zh-CN" w:bidi="ar"/>
        </w:rPr>
        <w:t>），本项目属于</w:t>
      </w:r>
      <w:r>
        <w:rPr>
          <w:rFonts w:hint="default" w:ascii="Times New Roman" w:hAnsi="Times New Roman" w:eastAsia="宋体" w:cs="Times New Roman"/>
          <w:color w:val="000000"/>
          <w:kern w:val="0"/>
          <w:sz w:val="24"/>
          <w:szCs w:val="24"/>
          <w:lang w:val="en-US" w:eastAsia="zh-CN" w:bidi="ar"/>
        </w:rPr>
        <w:t>III</w:t>
      </w:r>
      <w:r>
        <w:rPr>
          <w:rFonts w:hint="eastAsia" w:ascii="Times New Roman" w:hAnsi="Times New Roman" w:eastAsia="宋体" w:cs="Times New Roman"/>
          <w:color w:val="000000"/>
          <w:kern w:val="0"/>
          <w:sz w:val="24"/>
          <w:szCs w:val="24"/>
          <w:lang w:val="en-US" w:eastAsia="zh-CN" w:bidi="ar"/>
        </w:rPr>
        <w:t>类建设项目，</w:t>
      </w:r>
      <w:r>
        <w:rPr>
          <w:rFonts w:hint="eastAsia" w:ascii="宋体" w:hAnsi="宋体" w:eastAsia="宋体" w:cs="宋体"/>
          <w:color w:val="000000"/>
          <w:kern w:val="0"/>
          <w:sz w:val="24"/>
          <w:szCs w:val="24"/>
          <w:lang w:val="en-US" w:eastAsia="zh-CN" w:bidi="ar"/>
        </w:rPr>
        <w:t>地下水环境敏感程度为较敏感，地下水评价工作等级为三级，可采用解析法或类比分析法进行地下水影响分析与评价。</w:t>
      </w:r>
    </w:p>
    <w:p>
      <w:pPr>
        <w:pStyle w:val="113"/>
        <w:widowControl/>
        <w:ind w:left="0" w:firstLine="480"/>
        <w:rPr>
          <w:rFonts w:hint="default" w:ascii="Times New Roman" w:hAnsi="Times New Roman" w:cs="Times New Roman"/>
          <w:color w:val="000000"/>
          <w:lang/>
        </w:rPr>
      </w:pP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w:t>
      </w:r>
      <w:r>
        <w:rPr>
          <w:rFonts w:hint="default" w:ascii="Times New Roman" w:hAnsi="Times New Roman" w:cs="Times New Roman"/>
          <w:color w:val="000000"/>
          <w:lang w:eastAsia="zh-CN"/>
        </w:rPr>
        <w:t>1</w:t>
      </w:r>
      <w:r>
        <w:rPr>
          <w:rFonts w:hint="default" w:ascii="Times New Roman" w:hAnsi="Times New Roman" w:cs="Times New Roman"/>
          <w:color w:val="000000"/>
          <w:lang/>
        </w:rPr>
        <w:t xml:space="preserve"> </w:t>
      </w:r>
      <w:r>
        <w:rPr>
          <w:rFonts w:ascii="Times New Roman" w:hAnsi="Times New Roman" w:cs="Times New Roman"/>
          <w:color w:val="000000"/>
          <w:lang w:eastAsia="zh-CN"/>
        </w:rPr>
        <w:t>本项目区域地质概况</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本项目区域地质构造为侵入岩，境内出露地层有远古界前震旦系、中生界侏罗系、白垩系、新界系地层及中生代燕山期火成岩侵入岩。区划属华北地层区、辽东分区出露地层有下元古界辽河群高家峪组和新生界第四系上更新统、全新统地层。</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地区的地貌类型主要以河间冲积平原为主。区域范围的地质构造属于中朝准地台。地区地层变化较大，地表下</w:t>
      </w:r>
      <w:r>
        <w:rPr>
          <w:rFonts w:hint="default" w:ascii="Times New Roman" w:hAnsi="Times New Roman" w:eastAsia="宋体" w:cs="Times New Roman"/>
          <w:color w:val="000000"/>
          <w:kern w:val="0"/>
          <w:sz w:val="24"/>
          <w:szCs w:val="24"/>
          <w:lang w:eastAsia="zh-CN" w:bidi="ar"/>
        </w:rPr>
        <w:t>80</w:t>
      </w:r>
      <w:r>
        <w:rPr>
          <w:rFonts w:hint="eastAsia" w:ascii="Times New Roman" w:hAnsi="Times New Roman" w:eastAsia="宋体" w:cs="Times New Roman"/>
          <w:color w:val="000000"/>
          <w:kern w:val="0"/>
          <w:sz w:val="24"/>
          <w:szCs w:val="24"/>
          <w:lang w:val="en-US" w:eastAsia="zh-CN" w:bidi="ar"/>
        </w:rPr>
        <w:t>米内地层情况大致可分为：黄褐色粉质粘土、黄色细砂层、中砂层、粗砂层和褐色、褐黄色粉质粘土层。各土层的承载力特征值大致为：</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第</w:t>
      </w:r>
      <w:r>
        <w:rPr>
          <w:rFonts w:hint="default" w:ascii="Times New Roman" w:hAnsi="Times New Roman" w:eastAsia="宋体" w:cs="Times New Roman"/>
          <w:color w:val="000000"/>
          <w:kern w:val="0"/>
          <w:sz w:val="24"/>
          <w:szCs w:val="24"/>
          <w:lang w:eastAsia="zh-CN" w:bidi="ar"/>
        </w:rPr>
        <w:t>1</w:t>
      </w:r>
      <w:r>
        <w:rPr>
          <w:rFonts w:hint="eastAsia" w:ascii="Times New Roman" w:hAnsi="Times New Roman" w:eastAsia="宋体" w:cs="Times New Roman"/>
          <w:color w:val="000000"/>
          <w:kern w:val="0"/>
          <w:sz w:val="24"/>
          <w:szCs w:val="24"/>
          <w:lang w:val="en-US" w:eastAsia="zh-CN" w:bidi="ar"/>
        </w:rPr>
        <w:t>层：粉质粘土</w:t>
      </w:r>
      <w:r>
        <w:rPr>
          <w:rFonts w:hint="default" w:ascii="Times New Roman" w:hAnsi="Times New Roman" w:eastAsia="宋体" w:cs="Times New Roman"/>
          <w:color w:val="000000"/>
          <w:kern w:val="0"/>
          <w:sz w:val="24"/>
          <w:szCs w:val="24"/>
          <w:lang w:eastAsia="zh-CN" w:bidi="ar"/>
        </w:rPr>
        <w:t xml:space="preserve"> fak=120-140kpa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第</w:t>
      </w:r>
      <w:r>
        <w:rPr>
          <w:rFonts w:hint="default" w:ascii="Times New Roman" w:hAnsi="Times New Roman" w:eastAsia="宋体" w:cs="Times New Roman"/>
          <w:color w:val="000000"/>
          <w:kern w:val="0"/>
          <w:sz w:val="24"/>
          <w:szCs w:val="24"/>
          <w:lang w:eastAsia="zh-CN" w:bidi="ar"/>
        </w:rPr>
        <w:t>2</w:t>
      </w:r>
      <w:r>
        <w:rPr>
          <w:rFonts w:hint="eastAsia" w:ascii="Times New Roman" w:hAnsi="Times New Roman" w:eastAsia="宋体" w:cs="Times New Roman"/>
          <w:color w:val="000000"/>
          <w:kern w:val="0"/>
          <w:sz w:val="24"/>
          <w:szCs w:val="24"/>
          <w:lang w:val="en-US" w:eastAsia="zh-CN" w:bidi="ar"/>
        </w:rPr>
        <w:t>层：粉细砂</w:t>
      </w:r>
      <w:r>
        <w:rPr>
          <w:rFonts w:hint="default" w:ascii="Times New Roman" w:hAnsi="Times New Roman" w:eastAsia="宋体" w:cs="Times New Roman"/>
          <w:color w:val="000000"/>
          <w:kern w:val="0"/>
          <w:sz w:val="24"/>
          <w:szCs w:val="24"/>
          <w:lang w:eastAsia="zh-CN" w:bidi="ar"/>
        </w:rPr>
        <w:t xml:space="preserve"> fak=120-140kpa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第</w:t>
      </w:r>
      <w:r>
        <w:rPr>
          <w:rFonts w:hint="default" w:ascii="Times New Roman" w:hAnsi="Times New Roman" w:eastAsia="宋体" w:cs="Times New Roman"/>
          <w:color w:val="000000"/>
          <w:kern w:val="0"/>
          <w:sz w:val="24"/>
          <w:szCs w:val="24"/>
          <w:lang w:eastAsia="zh-CN" w:bidi="ar"/>
        </w:rPr>
        <w:t>3</w:t>
      </w:r>
      <w:r>
        <w:rPr>
          <w:rFonts w:hint="eastAsia" w:ascii="Times New Roman" w:hAnsi="Times New Roman" w:eastAsia="宋体" w:cs="Times New Roman"/>
          <w:color w:val="000000"/>
          <w:kern w:val="0"/>
          <w:sz w:val="24"/>
          <w:szCs w:val="24"/>
          <w:lang w:val="en-US" w:eastAsia="zh-CN" w:bidi="ar"/>
        </w:rPr>
        <w:t>层：中砂</w:t>
      </w:r>
      <w:r>
        <w:rPr>
          <w:rFonts w:hint="default" w:ascii="Times New Roman" w:hAnsi="Times New Roman" w:eastAsia="宋体" w:cs="Times New Roman"/>
          <w:color w:val="000000"/>
          <w:kern w:val="0"/>
          <w:sz w:val="24"/>
          <w:szCs w:val="24"/>
          <w:lang w:eastAsia="zh-CN" w:bidi="ar"/>
        </w:rPr>
        <w:t xml:space="preserve"> fak=140-180kpa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第</w:t>
      </w:r>
      <w:r>
        <w:rPr>
          <w:rFonts w:hint="default" w:ascii="Times New Roman" w:hAnsi="Times New Roman" w:eastAsia="宋体" w:cs="Times New Roman"/>
          <w:color w:val="000000"/>
          <w:kern w:val="0"/>
          <w:sz w:val="24"/>
          <w:szCs w:val="24"/>
          <w:lang w:eastAsia="zh-CN" w:bidi="ar"/>
        </w:rPr>
        <w:t>4</w:t>
      </w:r>
      <w:r>
        <w:rPr>
          <w:rFonts w:hint="eastAsia" w:ascii="Times New Roman" w:hAnsi="Times New Roman" w:eastAsia="宋体" w:cs="Times New Roman"/>
          <w:color w:val="000000"/>
          <w:kern w:val="0"/>
          <w:sz w:val="24"/>
          <w:szCs w:val="24"/>
          <w:lang w:val="en-US" w:eastAsia="zh-CN" w:bidi="ar"/>
        </w:rPr>
        <w:t>层：粗砂</w:t>
      </w:r>
      <w:r>
        <w:rPr>
          <w:rFonts w:hint="default" w:ascii="Times New Roman" w:hAnsi="Times New Roman" w:eastAsia="宋体" w:cs="Times New Roman"/>
          <w:color w:val="000000"/>
          <w:kern w:val="0"/>
          <w:sz w:val="24"/>
          <w:szCs w:val="24"/>
          <w:lang w:eastAsia="zh-CN" w:bidi="ar"/>
        </w:rPr>
        <w:t xml:space="preserve"> fak=180-220kpa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第</w:t>
      </w:r>
      <w:r>
        <w:rPr>
          <w:rFonts w:hint="default" w:ascii="Times New Roman" w:hAnsi="Times New Roman" w:eastAsia="宋体" w:cs="Times New Roman"/>
          <w:color w:val="000000"/>
          <w:kern w:val="0"/>
          <w:sz w:val="24"/>
          <w:szCs w:val="24"/>
          <w:lang w:eastAsia="zh-CN" w:bidi="ar"/>
        </w:rPr>
        <w:t>5</w:t>
      </w:r>
      <w:r>
        <w:rPr>
          <w:rFonts w:hint="eastAsia" w:ascii="Times New Roman" w:hAnsi="Times New Roman" w:eastAsia="宋体" w:cs="Times New Roman"/>
          <w:color w:val="000000"/>
          <w:kern w:val="0"/>
          <w:sz w:val="24"/>
          <w:szCs w:val="24"/>
          <w:lang w:val="en-US" w:eastAsia="zh-CN" w:bidi="ar"/>
        </w:rPr>
        <w:t>层：粉质粘土</w:t>
      </w:r>
      <w:r>
        <w:rPr>
          <w:rFonts w:hint="default" w:ascii="Times New Roman" w:hAnsi="Times New Roman" w:eastAsia="宋体" w:cs="Times New Roman"/>
          <w:color w:val="000000"/>
          <w:kern w:val="0"/>
          <w:sz w:val="24"/>
          <w:szCs w:val="24"/>
          <w:lang w:eastAsia="zh-CN" w:bidi="ar"/>
        </w:rPr>
        <w:t xml:space="preserve"> fak=180-240kpa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第</w:t>
      </w:r>
      <w:r>
        <w:rPr>
          <w:rFonts w:hint="default" w:ascii="Times New Roman" w:hAnsi="Times New Roman" w:eastAsia="宋体" w:cs="Times New Roman"/>
          <w:color w:val="000000"/>
          <w:kern w:val="0"/>
          <w:sz w:val="24"/>
          <w:szCs w:val="24"/>
          <w:lang w:eastAsia="zh-CN" w:bidi="ar"/>
        </w:rPr>
        <w:t>6</w:t>
      </w:r>
      <w:r>
        <w:rPr>
          <w:rFonts w:hint="eastAsia" w:ascii="Times New Roman" w:hAnsi="Times New Roman" w:eastAsia="宋体" w:cs="Times New Roman"/>
          <w:color w:val="000000"/>
          <w:kern w:val="0"/>
          <w:sz w:val="24"/>
          <w:szCs w:val="24"/>
          <w:lang w:val="en-US" w:eastAsia="zh-CN" w:bidi="ar"/>
        </w:rPr>
        <w:t>层：粗砂</w:t>
      </w:r>
      <w:r>
        <w:rPr>
          <w:rFonts w:hint="default" w:ascii="Times New Roman" w:hAnsi="Times New Roman" w:eastAsia="宋体" w:cs="Times New Roman"/>
          <w:color w:val="000000"/>
          <w:kern w:val="0"/>
          <w:sz w:val="24"/>
          <w:szCs w:val="24"/>
          <w:lang w:eastAsia="zh-CN" w:bidi="ar"/>
        </w:rPr>
        <w:t xml:space="preserve"> fak=200-240kpa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钻探揭露场地底层主要由耕土、粉质粘土、碎石、花岗岩、片麻岩和煌斑岩组成，局部有粘土、粉土、粗砂。地层自上而下岩土特性如下：</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土（素填土）：黄褐色，主要由粉质粘土组成，含角砾和植物根系，稍湿，松散状态，局部为素填土，层厚</w:t>
      </w:r>
      <w:r>
        <w:rPr>
          <w:rFonts w:hint="default" w:ascii="Times New Roman" w:hAnsi="Times New Roman" w:eastAsia="宋体" w:cs="Times New Roman"/>
          <w:color w:val="000000"/>
          <w:kern w:val="0"/>
          <w:sz w:val="24"/>
          <w:szCs w:val="24"/>
          <w:lang w:eastAsia="zh-CN" w:bidi="ar"/>
        </w:rPr>
        <w:t>0.5</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eastAsia="zh-CN" w:bidi="ar"/>
        </w:rPr>
        <w:t>1.0m</w:t>
      </w:r>
      <w:r>
        <w:rPr>
          <w:rFonts w:hint="eastAsia" w:ascii="Times New Roman" w:hAnsi="Times New Roman" w:eastAsia="宋体" w:cs="Times New Roman"/>
          <w:color w:val="000000"/>
          <w:kern w:val="0"/>
          <w:sz w:val="24"/>
          <w:szCs w:val="24"/>
          <w:lang w:val="en-US" w:eastAsia="zh-CN" w:bidi="ar"/>
        </w:rPr>
        <w:t>，厂区分布普遍。</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粉质粘土：黄褐色，以粉质粘土为主，局部夹有粘土和粉土，稍湿</w:t>
      </w:r>
      <w:r>
        <w:rPr>
          <w:rFonts w:hint="default" w:ascii="Times New Roman" w:hAnsi="Times New Roman" w:eastAsia="宋体" w:cs="Times New Roman"/>
          <w:color w:val="000000"/>
          <w:kern w:val="0"/>
          <w:sz w:val="24"/>
          <w:szCs w:val="24"/>
          <w:lang w:eastAsia="zh-CN" w:bidi="ar"/>
        </w:rPr>
        <w:t>—</w:t>
      </w:r>
      <w:r>
        <w:rPr>
          <w:rFonts w:hint="eastAsia" w:ascii="Times New Roman" w:hAnsi="Times New Roman" w:eastAsia="宋体" w:cs="Times New Roman"/>
          <w:color w:val="000000"/>
          <w:kern w:val="0"/>
          <w:sz w:val="24"/>
          <w:szCs w:val="24"/>
          <w:lang w:val="en-US" w:eastAsia="zh-CN" w:bidi="ar"/>
        </w:rPr>
        <w:t>湿，可硬塑，无摇振反应，干强度和韧性中等，层底埋深</w:t>
      </w:r>
      <w:r>
        <w:rPr>
          <w:rFonts w:hint="default" w:ascii="Times New Roman" w:hAnsi="Times New Roman" w:eastAsia="宋体" w:cs="Times New Roman"/>
          <w:color w:val="000000"/>
          <w:kern w:val="0"/>
          <w:sz w:val="24"/>
          <w:szCs w:val="24"/>
          <w:lang w:eastAsia="zh-CN" w:bidi="ar"/>
        </w:rPr>
        <w:t>0.5</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eastAsia="zh-CN" w:bidi="ar"/>
        </w:rPr>
        <w:t>15.0m</w:t>
      </w:r>
      <w:r>
        <w:rPr>
          <w:rFonts w:hint="eastAsia" w:ascii="Times New Roman" w:hAnsi="Times New Roman" w:eastAsia="宋体" w:cs="Times New Roman"/>
          <w:color w:val="000000"/>
          <w:kern w:val="0"/>
          <w:sz w:val="24"/>
          <w:szCs w:val="24"/>
          <w:lang w:val="en-US" w:eastAsia="zh-CN" w:bidi="ar"/>
        </w:rPr>
        <w:t>，层厚</w:t>
      </w:r>
      <w:r>
        <w:rPr>
          <w:rFonts w:hint="default" w:ascii="Times New Roman" w:hAnsi="Times New Roman" w:eastAsia="宋体" w:cs="Times New Roman"/>
          <w:color w:val="000000"/>
          <w:kern w:val="0"/>
          <w:sz w:val="24"/>
          <w:szCs w:val="24"/>
          <w:lang w:eastAsia="zh-CN" w:bidi="ar"/>
        </w:rPr>
        <w:t>0.5</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eastAsia="zh-CN" w:bidi="ar"/>
        </w:rPr>
        <w:t>15.0m</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粗砂：黄褐色，石英</w:t>
      </w:r>
      <w:r>
        <w:rPr>
          <w:rFonts w:hint="default" w:ascii="Times New Roman" w:hAnsi="Times New Roman" w:eastAsia="宋体" w:cs="Times New Roman"/>
          <w:color w:val="000000"/>
          <w:kern w:val="0"/>
          <w:sz w:val="24"/>
          <w:szCs w:val="24"/>
          <w:lang w:eastAsia="zh-CN" w:bidi="ar"/>
        </w:rPr>
        <w:t>—</w:t>
      </w:r>
      <w:r>
        <w:rPr>
          <w:rFonts w:hint="eastAsia" w:ascii="Times New Roman" w:hAnsi="Times New Roman" w:eastAsia="宋体" w:cs="Times New Roman"/>
          <w:color w:val="000000"/>
          <w:kern w:val="0"/>
          <w:sz w:val="24"/>
          <w:szCs w:val="24"/>
          <w:lang w:val="en-US" w:eastAsia="zh-CN" w:bidi="ar"/>
        </w:rPr>
        <w:t>长石质，稍密。此层只存在钻孔</w:t>
      </w:r>
      <w:r>
        <w:rPr>
          <w:rFonts w:hint="default" w:ascii="Times New Roman" w:hAnsi="Times New Roman" w:eastAsia="宋体" w:cs="Times New Roman"/>
          <w:color w:val="000000"/>
          <w:kern w:val="0"/>
          <w:sz w:val="24"/>
          <w:szCs w:val="24"/>
          <w:lang w:eastAsia="zh-CN" w:bidi="ar"/>
        </w:rPr>
        <w:t>JK4</w:t>
      </w:r>
      <w:r>
        <w:rPr>
          <w:rFonts w:hint="eastAsia" w:ascii="Times New Roman" w:hAnsi="Times New Roman" w:eastAsia="宋体" w:cs="Times New Roman"/>
          <w:color w:val="000000"/>
          <w:kern w:val="0"/>
          <w:sz w:val="24"/>
          <w:szCs w:val="24"/>
          <w:lang w:val="en-US" w:eastAsia="zh-CN" w:bidi="ar"/>
        </w:rPr>
        <w:t>和</w:t>
      </w:r>
      <w:r>
        <w:rPr>
          <w:rFonts w:hint="default" w:ascii="Times New Roman" w:hAnsi="Times New Roman" w:eastAsia="宋体" w:cs="Times New Roman"/>
          <w:color w:val="000000"/>
          <w:kern w:val="0"/>
          <w:sz w:val="24"/>
          <w:szCs w:val="24"/>
          <w:lang w:eastAsia="zh-CN" w:bidi="ar"/>
        </w:rPr>
        <w:t>JK8</w:t>
      </w:r>
      <w:r>
        <w:rPr>
          <w:rFonts w:hint="eastAsia" w:ascii="Times New Roman" w:hAnsi="Times New Roman" w:eastAsia="宋体" w:cs="Times New Roman"/>
          <w:color w:val="000000"/>
          <w:kern w:val="0"/>
          <w:sz w:val="24"/>
          <w:szCs w:val="24"/>
          <w:lang w:val="en-US" w:eastAsia="zh-CN" w:bidi="ar"/>
        </w:rPr>
        <w:t>中，层厚</w:t>
      </w:r>
      <w:r>
        <w:rPr>
          <w:rFonts w:hint="default" w:ascii="Times New Roman" w:hAnsi="Times New Roman" w:eastAsia="宋体" w:cs="Times New Roman"/>
          <w:color w:val="000000"/>
          <w:kern w:val="0"/>
          <w:sz w:val="24"/>
          <w:szCs w:val="24"/>
          <w:lang w:eastAsia="zh-CN" w:bidi="ar"/>
        </w:rPr>
        <w:t>0.40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eastAsia="zh-CN" w:bidi="ar"/>
        </w:rPr>
        <w:t>2.0m</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粉质粘土：灰黑色，湿，可塑，有摇振反应，干强度、韧性低。此层只存在钻孔</w:t>
      </w:r>
      <w:r>
        <w:rPr>
          <w:rFonts w:hint="default" w:ascii="Times New Roman" w:hAnsi="Times New Roman" w:eastAsia="宋体" w:cs="Times New Roman"/>
          <w:color w:val="000000"/>
          <w:kern w:val="0"/>
          <w:sz w:val="24"/>
          <w:szCs w:val="24"/>
          <w:lang w:eastAsia="zh-CN" w:bidi="ar"/>
        </w:rPr>
        <w:t xml:space="preserve">JK5 </w:t>
      </w:r>
      <w:r>
        <w:rPr>
          <w:rFonts w:hint="eastAsia" w:ascii="Times New Roman" w:hAnsi="Times New Roman" w:eastAsia="宋体" w:cs="Times New Roman"/>
          <w:color w:val="000000"/>
          <w:kern w:val="0"/>
          <w:sz w:val="24"/>
          <w:szCs w:val="24"/>
          <w:lang w:val="en-US" w:eastAsia="zh-CN" w:bidi="ar"/>
        </w:rPr>
        <w:t>中，呈透镜体状。层底埋深</w:t>
      </w:r>
      <w:r>
        <w:rPr>
          <w:rFonts w:hint="default" w:ascii="Times New Roman" w:hAnsi="Times New Roman" w:eastAsia="宋体" w:cs="Times New Roman"/>
          <w:color w:val="000000"/>
          <w:kern w:val="0"/>
          <w:sz w:val="24"/>
          <w:szCs w:val="24"/>
          <w:lang w:eastAsia="zh-CN" w:bidi="ar"/>
        </w:rPr>
        <w:t>4.0m</w:t>
      </w:r>
      <w:r>
        <w:rPr>
          <w:rFonts w:hint="eastAsia" w:ascii="Times New Roman" w:hAnsi="Times New Roman" w:eastAsia="宋体" w:cs="Times New Roman"/>
          <w:color w:val="000000"/>
          <w:kern w:val="0"/>
          <w:sz w:val="24"/>
          <w:szCs w:val="24"/>
          <w:lang w:val="en-US" w:eastAsia="zh-CN" w:bidi="ar"/>
        </w:rPr>
        <w:t>，层厚</w:t>
      </w:r>
      <w:r>
        <w:rPr>
          <w:rFonts w:hint="default" w:ascii="Times New Roman" w:hAnsi="Times New Roman" w:eastAsia="宋体" w:cs="Times New Roman"/>
          <w:color w:val="000000"/>
          <w:kern w:val="0"/>
          <w:sz w:val="24"/>
          <w:szCs w:val="24"/>
          <w:lang w:eastAsia="zh-CN" w:bidi="ar"/>
        </w:rPr>
        <w:t>1.0m</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碎石：颗粒呈棱角状，粒径</w:t>
      </w:r>
      <w:r>
        <w:rPr>
          <w:rFonts w:hint="default" w:ascii="Times New Roman" w:hAnsi="Times New Roman" w:eastAsia="宋体" w:cs="Times New Roman"/>
          <w:color w:val="000000"/>
          <w:kern w:val="0"/>
          <w:sz w:val="24"/>
          <w:szCs w:val="24"/>
          <w:lang w:eastAsia="zh-CN" w:bidi="ar"/>
        </w:rPr>
        <w:t>20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eastAsia="zh-CN" w:bidi="ar"/>
        </w:rPr>
        <w:t>180m</w:t>
      </w:r>
      <w:r>
        <w:rPr>
          <w:rFonts w:hint="eastAsia" w:ascii="Times New Roman" w:hAnsi="Times New Roman" w:eastAsia="宋体" w:cs="Times New Roman"/>
          <w:color w:val="000000"/>
          <w:kern w:val="0"/>
          <w:sz w:val="24"/>
          <w:szCs w:val="24"/>
          <w:lang w:val="en-US" w:eastAsia="zh-CN" w:bidi="ar"/>
        </w:rPr>
        <w:t>，成份主要为花岗岩，充填粘性土，中密状态，层厚</w:t>
      </w:r>
      <w:r>
        <w:rPr>
          <w:rFonts w:hint="default" w:ascii="Times New Roman" w:hAnsi="Times New Roman" w:eastAsia="宋体" w:cs="Times New Roman"/>
          <w:color w:val="000000"/>
          <w:kern w:val="0"/>
          <w:sz w:val="24"/>
          <w:szCs w:val="24"/>
          <w:lang w:eastAsia="zh-CN" w:bidi="ar"/>
        </w:rPr>
        <w:t>1.4</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eastAsia="zh-CN" w:bidi="ar"/>
        </w:rPr>
        <w:t>0.6</w:t>
      </w:r>
      <w:r>
        <w:rPr>
          <w:rFonts w:hint="eastAsia" w:ascii="Times New Roman" w:hAnsi="Times New Roman" w:eastAsia="宋体" w:cs="Times New Roman"/>
          <w:color w:val="000000"/>
          <w:kern w:val="0"/>
          <w:sz w:val="24"/>
          <w:szCs w:val="24"/>
          <w:lang w:val="en-US" w:eastAsia="zh-CN" w:bidi="ar"/>
        </w:rPr>
        <w:t>，局部分布。</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全风化花岗岩：黄褐色，成份石英、长石、黑云母，粒状结构，块状构造，风化成砂状、土状，局部分布。</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强风化花岗岩：灰白、棕红色，矿物成分以石英、长石、黑云母为主，中细粒结构，块状构造，普遍分布。</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中风化花岗岩：灰白</w:t>
      </w:r>
      <w:r>
        <w:rPr>
          <w:rFonts w:hint="default" w:ascii="Times New Roman" w:hAnsi="Times New Roman" w:eastAsia="宋体" w:cs="Times New Roman"/>
          <w:color w:val="000000"/>
          <w:kern w:val="0"/>
          <w:sz w:val="24"/>
          <w:szCs w:val="24"/>
          <w:lang w:eastAsia="zh-CN" w:bidi="ar"/>
        </w:rPr>
        <w:t>—</w:t>
      </w:r>
      <w:r>
        <w:rPr>
          <w:rFonts w:hint="eastAsia" w:ascii="Times New Roman" w:hAnsi="Times New Roman" w:eastAsia="宋体" w:cs="Times New Roman"/>
          <w:color w:val="000000"/>
          <w:kern w:val="0"/>
          <w:sz w:val="24"/>
          <w:szCs w:val="24"/>
          <w:lang w:val="en-US" w:eastAsia="zh-CN" w:bidi="ar"/>
        </w:rPr>
        <w:t>肉红色，矿物成分以石英、长石、黑云母为主，中细粒结构，块状构造，普遍分布。</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全风化煌斑岩：黄褐色，粒状结构，土状构造，硬塑状态，该层只在钻孔</w:t>
      </w:r>
      <w:r>
        <w:rPr>
          <w:rFonts w:hint="default" w:ascii="Times New Roman" w:hAnsi="Times New Roman" w:eastAsia="宋体" w:cs="Times New Roman"/>
          <w:color w:val="000000"/>
          <w:kern w:val="0"/>
          <w:sz w:val="24"/>
          <w:szCs w:val="24"/>
          <w:lang w:eastAsia="zh-CN" w:bidi="ar"/>
        </w:rPr>
        <w:t>JK5</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eastAsia="zh-CN" w:bidi="ar"/>
        </w:rPr>
        <w:t xml:space="preserve">JK7 </w:t>
      </w:r>
      <w:r>
        <w:rPr>
          <w:rFonts w:hint="eastAsia" w:ascii="Times New Roman" w:hAnsi="Times New Roman" w:eastAsia="宋体" w:cs="Times New Roman"/>
          <w:color w:val="000000"/>
          <w:kern w:val="0"/>
          <w:sz w:val="24"/>
          <w:szCs w:val="24"/>
          <w:lang w:val="en-US" w:eastAsia="zh-CN" w:bidi="ar"/>
        </w:rPr>
        <w:t>和</w:t>
      </w:r>
      <w:r>
        <w:rPr>
          <w:rFonts w:hint="default" w:ascii="Times New Roman" w:hAnsi="Times New Roman" w:eastAsia="宋体" w:cs="Times New Roman"/>
          <w:color w:val="000000"/>
          <w:kern w:val="0"/>
          <w:sz w:val="24"/>
          <w:szCs w:val="24"/>
          <w:lang w:eastAsia="zh-CN" w:bidi="ar"/>
        </w:rPr>
        <w:t xml:space="preserve">JK8 </w:t>
      </w:r>
      <w:r>
        <w:rPr>
          <w:rFonts w:hint="eastAsia" w:ascii="Times New Roman" w:hAnsi="Times New Roman" w:eastAsia="宋体" w:cs="Times New Roman"/>
          <w:color w:val="000000"/>
          <w:kern w:val="0"/>
          <w:sz w:val="24"/>
          <w:szCs w:val="24"/>
          <w:lang w:val="en-US" w:eastAsia="zh-CN" w:bidi="ar"/>
        </w:rPr>
        <w:t>中出现，未穿透此层。</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废水污染物对地下水的污染途径主要取决于上覆地层岩性、包气带防护能力、含水层的埋藏分布等因素。未经处理的污水在非正常情况下泄漏，其有害物质的淋溶、流失、渗入地下，可通过包气带进入含水层导致对地下水的污染。因此，包气带的垂直渗漏是地下水的主要污染途径。包气带的防护能力大小与包气带厚度、岩性结构、弱渗透性地层的渗透性能及厚度有关，若包气带粘性土厚度小，且分布不连续、不稳定，即地下水自然防护能力就差，那么污水渗漏就易对地下水产生污染，若包气带粘性土厚度虽小，但分布连续、稳定，地下水自然防护条件相对就好些，污染物对地下水影响就相对小些。另外，不同的底地层对污染物的防护作用不同，从岩性来看，岩土的吸附净化能力由强到弱大致分为粘土、亚粘土、粉土、细砂和中粗砂。</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废水在向地下渗透时，由于污染物被吸附形成一层微生物膜土层，在微生物的作用下，加之土壤的吸附、过滤等作用，会使得废水在向地下迁移过程中污染物浓度大幅度降低。据有关单位对广州污水处理厂处理后废水进行回灌补充地下水的试验结果表明，</w:t>
      </w:r>
      <w:r>
        <w:rPr>
          <w:rFonts w:hint="default" w:ascii="Times New Roman" w:hAnsi="Times New Roman" w:eastAsia="宋体" w:cs="Times New Roman"/>
          <w:color w:val="000000"/>
          <w:kern w:val="0"/>
          <w:sz w:val="24"/>
          <w:szCs w:val="24"/>
          <w:lang w:val="en-US" w:eastAsia="zh-CN" w:bidi="ar"/>
        </w:rPr>
        <w:t>2m</w:t>
      </w:r>
      <w:r>
        <w:rPr>
          <w:rFonts w:hint="eastAsia" w:ascii="Times New Roman" w:hAnsi="Times New Roman" w:eastAsia="宋体" w:cs="Times New Roman"/>
          <w:color w:val="000000"/>
          <w:kern w:val="0"/>
          <w:sz w:val="24"/>
          <w:szCs w:val="24"/>
          <w:lang w:val="en-US" w:eastAsia="zh-CN" w:bidi="ar"/>
        </w:rPr>
        <w:t>厚的自然土层对</w:t>
      </w:r>
      <w:r>
        <w:rPr>
          <w:rFonts w:hint="default" w:ascii="Times New Roman" w:hAnsi="Times New Roman" w:eastAsia="宋体" w:cs="Times New Roman"/>
          <w:color w:val="000000"/>
          <w:kern w:val="0"/>
          <w:sz w:val="24"/>
          <w:szCs w:val="24"/>
          <w:lang w:val="en-US" w:eastAsia="zh-CN" w:bidi="ar"/>
        </w:rPr>
        <w:t>COD</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BOD</w:t>
      </w:r>
      <w:r>
        <w:rPr>
          <w:rFonts w:hint="default" w:ascii="Times New Roman" w:hAnsi="Times New Roman" w:eastAsia="宋体" w:cs="Times New Roman"/>
          <w:color w:val="000000"/>
          <w:kern w:val="0"/>
          <w:sz w:val="24"/>
          <w:szCs w:val="24"/>
          <w:vertAlign w:val="subscript"/>
          <w:lang w:val="en-US" w:eastAsia="zh-CN" w:bidi="ar"/>
        </w:rPr>
        <w:t>5</w:t>
      </w:r>
      <w:r>
        <w:rPr>
          <w:rFonts w:hint="eastAsia" w:ascii="Times New Roman" w:hAnsi="Times New Roman" w:eastAsia="宋体" w:cs="Times New Roman"/>
          <w:color w:val="000000"/>
          <w:kern w:val="0"/>
          <w:sz w:val="24"/>
          <w:szCs w:val="24"/>
          <w:lang w:val="en-US" w:eastAsia="zh-CN" w:bidi="ar"/>
        </w:rPr>
        <w:t>的去除率分别达到</w:t>
      </w:r>
      <w:r>
        <w:rPr>
          <w:rFonts w:hint="default" w:ascii="Times New Roman" w:hAnsi="Times New Roman" w:eastAsia="宋体" w:cs="Times New Roman"/>
          <w:color w:val="000000"/>
          <w:kern w:val="0"/>
          <w:sz w:val="24"/>
          <w:szCs w:val="24"/>
          <w:lang w:val="en-US" w:eastAsia="zh-CN" w:bidi="ar"/>
        </w:rPr>
        <w:t>90%</w:t>
      </w:r>
      <w:r>
        <w:rPr>
          <w:rFonts w:hint="eastAsia" w:ascii="Times New Roman" w:hAnsi="Times New Roman" w:eastAsia="宋体" w:cs="Times New Roman"/>
          <w:color w:val="000000"/>
          <w:kern w:val="0"/>
          <w:sz w:val="24"/>
          <w:szCs w:val="24"/>
          <w:lang w:val="en-US" w:eastAsia="zh-CN" w:bidi="ar"/>
        </w:rPr>
        <w:t>和</w:t>
      </w:r>
      <w:r>
        <w:rPr>
          <w:rFonts w:hint="default" w:ascii="Times New Roman" w:hAnsi="Times New Roman" w:eastAsia="宋体" w:cs="Times New Roman"/>
          <w:color w:val="000000"/>
          <w:kern w:val="0"/>
          <w:sz w:val="24"/>
          <w:szCs w:val="24"/>
          <w:lang w:val="en-US" w:eastAsia="zh-CN" w:bidi="ar"/>
        </w:rPr>
        <w:t>95%</w:t>
      </w:r>
      <w:r>
        <w:rPr>
          <w:rFonts w:hint="eastAsia" w:ascii="Times New Roman" w:hAnsi="Times New Roman" w:eastAsia="宋体" w:cs="Times New Roman"/>
          <w:color w:val="000000"/>
          <w:kern w:val="0"/>
          <w:sz w:val="24"/>
          <w:szCs w:val="24"/>
          <w:lang w:val="en-US" w:eastAsia="zh-CN" w:bidi="ar"/>
        </w:rPr>
        <w:t>，因此经过自然土层的净化，废水对地下水质的影响较小。</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从本项目所在区域的地层岩性来看，粉质黏土、细砂等具有较低的渗透性，场址区域地层防护性能较好。</w:t>
      </w:r>
    </w:p>
    <w:p>
      <w:pPr>
        <w:pStyle w:val="113"/>
        <w:widowControl/>
        <w:ind w:left="0" w:firstLine="480"/>
        <w:rPr>
          <w:rFonts w:hint="default" w:ascii="Times New Roman" w:hAnsi="Times New Roman" w:cs="Times New Roman"/>
          <w:color w:val="000000"/>
          <w:lang/>
        </w:rPr>
      </w:pP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 </w:t>
      </w:r>
      <w:r>
        <w:rPr>
          <w:rFonts w:ascii="Times New Roman" w:hAnsi="Times New Roman" w:cs="Times New Roman"/>
          <w:color w:val="000000"/>
          <w:lang w:eastAsia="zh-CN"/>
        </w:rPr>
        <w:t>正常工况下影响分析</w:t>
      </w:r>
    </w:p>
    <w:p>
      <w:pPr>
        <w:keepNext w:val="0"/>
        <w:keepLines w:val="0"/>
        <w:widowControl/>
        <w:suppressLineNumbers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场区可能泄漏至地面区域污染物的性质和生产单元的构筑方式，将本项目场区划分为重点污染防治区和一般污染防治区。对于裸露于地面的生产功能单元，发生物料泄漏后容易被及时发现和处理的区域或部位，将其划分为一般污染防治区，由于这类区域或部位发生泄漏时容易发现、处理方便，在采取防渗措施后，对地下水影响不大。对于位于地下或者半地下的生产功能单元，发生物料泄漏后不容易及时被发现和处理的区域或部位，将其划分为重点污染防治区。参照《石油化工防渗工程技术规范》（</w:t>
      </w:r>
      <w:r>
        <w:rPr>
          <w:rFonts w:hint="default" w:ascii="Times New Roman" w:hAnsi="Times New Roman" w:eastAsia="宋体" w:cs="Times New Roman"/>
          <w:color w:val="000000"/>
          <w:kern w:val="0"/>
          <w:sz w:val="24"/>
          <w:szCs w:val="24"/>
          <w:lang w:val="en-US" w:eastAsia="zh-CN" w:bidi="ar"/>
        </w:rPr>
        <w:t>GB/T 50934-2013</w:t>
      </w:r>
      <w:r>
        <w:rPr>
          <w:rFonts w:hint="eastAsia" w:ascii="Times New Roman" w:hAnsi="Times New Roman" w:eastAsia="宋体" w:cs="Times New Roman"/>
          <w:color w:val="000000"/>
          <w:kern w:val="0"/>
          <w:sz w:val="24"/>
          <w:szCs w:val="24"/>
          <w:lang w:val="en-US" w:eastAsia="zh-CN" w:bidi="ar"/>
        </w:rPr>
        <w:t>），一般污染防治区防渗层的防渗性能不低于</w:t>
      </w:r>
      <w:r>
        <w:rPr>
          <w:rFonts w:hint="default" w:ascii="Times New Roman" w:hAnsi="Times New Roman" w:eastAsia="宋体" w:cs="Times New Roman"/>
          <w:color w:val="000000"/>
          <w:kern w:val="0"/>
          <w:sz w:val="24"/>
          <w:szCs w:val="24"/>
          <w:lang w:val="en-US" w:eastAsia="zh-CN" w:bidi="ar"/>
        </w:rPr>
        <w:t>1.5m</w:t>
      </w:r>
      <w:r>
        <w:rPr>
          <w:rFonts w:hint="eastAsia" w:ascii="Times New Roman" w:hAnsi="Times New Roman" w:eastAsia="宋体" w:cs="Times New Roman"/>
          <w:color w:val="000000"/>
          <w:kern w:val="0"/>
          <w:sz w:val="24"/>
          <w:szCs w:val="24"/>
          <w:lang w:val="en-US" w:eastAsia="zh-CN" w:bidi="ar"/>
        </w:rPr>
        <w:t>厚的渗透系数为</w:t>
      </w:r>
      <w:r>
        <w:rPr>
          <w:rFonts w:hint="default" w:ascii="Times New Roman" w:hAnsi="Times New Roman" w:eastAsia="宋体" w:cs="Times New Roman"/>
          <w:color w:val="000000"/>
          <w:kern w:val="0"/>
          <w:sz w:val="24"/>
          <w:szCs w:val="24"/>
          <w:lang w:val="en-US" w:eastAsia="zh-CN" w:bidi="ar"/>
        </w:rPr>
        <w:t>1.0×10</w:t>
      </w:r>
      <w:r>
        <w:rPr>
          <w:rFonts w:hint="default" w:ascii="Times New Roman" w:hAnsi="Times New Roman" w:eastAsia="宋体" w:cs="Times New Roman"/>
          <w:color w:val="000000"/>
          <w:kern w:val="0"/>
          <w:sz w:val="24"/>
          <w:szCs w:val="24"/>
          <w:vertAlign w:val="superscript"/>
          <w:lang w:val="en-US" w:eastAsia="zh-CN" w:bidi="ar"/>
        </w:rPr>
        <w:t>-7</w:t>
      </w:r>
      <w:r>
        <w:rPr>
          <w:rFonts w:hint="default" w:ascii="Times New Roman" w:hAnsi="Times New Roman" w:eastAsia="宋体" w:cs="Times New Roman"/>
          <w:color w:val="000000"/>
          <w:kern w:val="0"/>
          <w:sz w:val="24"/>
          <w:szCs w:val="24"/>
          <w:lang w:val="en-US" w:eastAsia="zh-CN" w:bidi="ar"/>
        </w:rPr>
        <w:t>cm/s</w:t>
      </w:r>
      <w:r>
        <w:rPr>
          <w:rFonts w:hint="eastAsia" w:ascii="Times New Roman" w:hAnsi="Times New Roman" w:eastAsia="宋体" w:cs="Times New Roman"/>
          <w:color w:val="000000"/>
          <w:kern w:val="0"/>
          <w:sz w:val="24"/>
          <w:szCs w:val="24"/>
          <w:lang w:val="en-US" w:eastAsia="zh-CN" w:bidi="ar"/>
        </w:rPr>
        <w:t>的粘土层，重点污染防治区防渗层的防渗性能不低于</w:t>
      </w:r>
      <w:r>
        <w:rPr>
          <w:rFonts w:hint="default" w:ascii="Times New Roman" w:hAnsi="Times New Roman" w:eastAsia="宋体" w:cs="Times New Roman"/>
          <w:color w:val="000000"/>
          <w:kern w:val="0"/>
          <w:sz w:val="24"/>
          <w:szCs w:val="24"/>
          <w:lang w:val="en-US" w:eastAsia="zh-CN" w:bidi="ar"/>
        </w:rPr>
        <w:t>6.0m</w:t>
      </w:r>
      <w:r>
        <w:rPr>
          <w:rFonts w:hint="eastAsia" w:ascii="Times New Roman" w:hAnsi="Times New Roman" w:eastAsia="宋体" w:cs="Times New Roman"/>
          <w:color w:val="000000"/>
          <w:kern w:val="0"/>
          <w:sz w:val="24"/>
          <w:szCs w:val="24"/>
          <w:lang w:val="en-US" w:eastAsia="zh-CN" w:bidi="ar"/>
        </w:rPr>
        <w:t>厚的渗透系数为</w:t>
      </w:r>
      <w:r>
        <w:rPr>
          <w:rFonts w:hint="default" w:ascii="Times New Roman" w:hAnsi="Times New Roman" w:eastAsia="宋体" w:cs="Times New Roman"/>
          <w:color w:val="000000"/>
          <w:kern w:val="0"/>
          <w:sz w:val="24"/>
          <w:szCs w:val="24"/>
          <w:lang w:val="en-US" w:eastAsia="zh-CN" w:bidi="ar"/>
        </w:rPr>
        <w:t>1.0×10</w:t>
      </w:r>
      <w:r>
        <w:rPr>
          <w:rFonts w:hint="default" w:ascii="Times New Roman" w:hAnsi="Times New Roman" w:eastAsia="宋体" w:cs="Times New Roman"/>
          <w:color w:val="000000"/>
          <w:kern w:val="0"/>
          <w:sz w:val="24"/>
          <w:szCs w:val="24"/>
          <w:vertAlign w:val="superscript"/>
          <w:lang w:val="en-US" w:eastAsia="zh-CN" w:bidi="ar"/>
        </w:rPr>
        <w:t>-7</w:t>
      </w:r>
      <w:r>
        <w:rPr>
          <w:rFonts w:hint="default" w:ascii="Times New Roman" w:hAnsi="Times New Roman" w:eastAsia="宋体" w:cs="Times New Roman"/>
          <w:color w:val="000000"/>
          <w:kern w:val="0"/>
          <w:sz w:val="24"/>
          <w:szCs w:val="24"/>
          <w:lang w:val="en-US" w:eastAsia="zh-CN" w:bidi="ar"/>
        </w:rPr>
        <w:t>cm/s</w:t>
      </w:r>
      <w:r>
        <w:rPr>
          <w:rFonts w:hint="eastAsia" w:ascii="Times New Roman" w:hAnsi="Times New Roman" w:eastAsia="宋体" w:cs="Times New Roman"/>
          <w:color w:val="000000"/>
          <w:kern w:val="0"/>
          <w:sz w:val="24"/>
          <w:szCs w:val="24"/>
          <w:lang w:val="en-US" w:eastAsia="zh-CN" w:bidi="ar"/>
        </w:rPr>
        <w:t>的粘土层。</w:t>
      </w:r>
    </w:p>
    <w:p>
      <w:pPr>
        <w:keepNext w:val="0"/>
        <w:keepLines w:val="0"/>
        <w:widowControl/>
        <w:suppressLineNumbers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采用上述防渗措施后，则污染介质穿透该防渗层的时间可用下式进行估算：</w:t>
      </w:r>
    </w:p>
    <w:p>
      <w:pPr>
        <w:keepNext w:val="0"/>
        <w:keepLines w:val="0"/>
        <w:widowControl/>
        <w:suppressLineNumbers w:val="0"/>
        <w:autoSpaceDE w:val="0"/>
        <w:autoSpaceDN w:val="0"/>
        <w:snapToGrid w:val="0"/>
        <w:spacing w:before="0" w:beforeAutospacing="0" w:after="0" w:afterAutospacing="0" w:line="360" w:lineRule="auto"/>
        <w:ind w:left="0" w:right="0" w:firstLine="2469" w:firstLineChars="1029"/>
        <w:jc w:val="left"/>
        <w:textAlignment w:val="center"/>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drawing>
          <wp:inline distT="0" distB="0" distL="114300" distR="114300">
            <wp:extent cx="533400" cy="200025"/>
            <wp:effectExtent l="0" t="0" r="0" b="7620"/>
            <wp:docPr id="2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3"/>
                    <pic:cNvPicPr>
                      <a:picLocks noChangeAspect="1"/>
                    </pic:cNvPicPr>
                  </pic:nvPicPr>
                  <pic:blipFill>
                    <a:blip r:embed="rId78">
                      <a:clrChange>
                        <a:clrFrom>
                          <a:srgbClr val="FFFFFF"/>
                        </a:clrFrom>
                        <a:clrTo>
                          <a:srgbClr val="FFFFFF">
                            <a:alpha val="0"/>
                          </a:srgbClr>
                        </a:clrTo>
                      </a:clrChange>
                    </a:blip>
                    <a:stretch>
                      <a:fillRect/>
                    </a:stretch>
                  </pic:blipFill>
                  <pic:spPr>
                    <a:xfrm>
                      <a:off x="0" y="0"/>
                      <a:ext cx="533400" cy="200025"/>
                    </a:xfrm>
                    <a:prstGeom prst="rect">
                      <a:avLst/>
                    </a:prstGeom>
                    <a:noFill/>
                    <a:ln>
                      <a:noFill/>
                    </a:ln>
                  </pic:spPr>
                </pic:pic>
              </a:graphicData>
            </a:graphic>
          </wp:inline>
        </w:drawing>
      </w:r>
    </w:p>
    <w:p>
      <w:pPr>
        <w:keepNext w:val="0"/>
        <w:keepLines w:val="0"/>
        <w:widowControl/>
        <w:suppressLineNumbers w:val="0"/>
        <w:autoSpaceDE w:val="0"/>
        <w:autoSpaceDN w:val="0"/>
        <w:snapToGrid w:val="0"/>
        <w:spacing w:before="0" w:beforeAutospacing="0" w:after="0" w:afterAutospacing="0" w:line="360" w:lineRule="auto"/>
        <w:ind w:left="0" w:right="0" w:firstLine="2469" w:firstLineChars="1029"/>
        <w:jc w:val="left"/>
        <w:textAlignment w:val="center"/>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drawing>
          <wp:inline distT="0" distB="0" distL="114300" distR="114300">
            <wp:extent cx="895350" cy="400050"/>
            <wp:effectExtent l="0" t="0" r="0" b="0"/>
            <wp:docPr id="2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4"/>
                    <pic:cNvPicPr>
                      <a:picLocks noChangeAspect="1"/>
                    </pic:cNvPicPr>
                  </pic:nvPicPr>
                  <pic:blipFill>
                    <a:blip r:embed="rId79">
                      <a:clrChange>
                        <a:clrFrom>
                          <a:srgbClr val="FFFFFF"/>
                        </a:clrFrom>
                        <a:clrTo>
                          <a:srgbClr val="FFFFFF">
                            <a:alpha val="0"/>
                          </a:srgbClr>
                        </a:clrTo>
                      </a:clrChange>
                    </a:blip>
                    <a:stretch>
                      <a:fillRect/>
                    </a:stretch>
                  </pic:blipFill>
                  <pic:spPr>
                    <a:xfrm>
                      <a:off x="0" y="0"/>
                      <a:ext cx="895350" cy="400050"/>
                    </a:xfrm>
                    <a:prstGeom prst="rect">
                      <a:avLst/>
                    </a:prstGeom>
                    <a:noFill/>
                    <a:ln>
                      <a:noFill/>
                    </a:ln>
                  </pic:spPr>
                </pic:pic>
              </a:graphicData>
            </a:graphic>
          </wp:inline>
        </w:drawing>
      </w:r>
    </w:p>
    <w:p>
      <w:pPr>
        <w:keepNext w:val="0"/>
        <w:keepLines w:val="0"/>
        <w:widowControl/>
        <w:suppressLineNumbers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其中，</w:t>
      </w:r>
      <w:r>
        <w:rPr>
          <w:rFonts w:hint="default" w:ascii="Times New Roman" w:hAnsi="Times New Roman" w:eastAsia="宋体" w:cs="Times New Roman"/>
          <w:color w:val="000000"/>
          <w:kern w:val="0"/>
          <w:sz w:val="24"/>
          <w:szCs w:val="24"/>
          <w:lang w:val="en-US" w:eastAsia="zh-CN" w:bidi="ar"/>
        </w:rPr>
        <w:t>T——</w:t>
      </w:r>
      <w:r>
        <w:rPr>
          <w:rFonts w:hint="eastAsia" w:ascii="Times New Roman" w:hAnsi="Times New Roman" w:eastAsia="宋体" w:cs="Times New Roman"/>
          <w:color w:val="000000"/>
          <w:kern w:val="0"/>
          <w:sz w:val="24"/>
          <w:szCs w:val="24"/>
          <w:lang w:val="en-US" w:eastAsia="zh-CN" w:bidi="ar"/>
        </w:rPr>
        <w:t>污染物穿透防渗层的时间；</w:t>
      </w:r>
    </w:p>
    <w:p>
      <w:pPr>
        <w:keepNext w:val="0"/>
        <w:keepLines w:val="0"/>
        <w:widowControl/>
        <w:suppressLineNumbers w:val="0"/>
        <w:snapToGrid w:val="0"/>
        <w:spacing w:before="0" w:beforeAutospacing="0" w:after="0" w:afterAutospacing="0" w:line="360" w:lineRule="auto"/>
        <w:ind w:left="499" w:right="0" w:hanging="499" w:hangingChars="208"/>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d——</w:t>
      </w:r>
      <w:r>
        <w:rPr>
          <w:rFonts w:hint="eastAsia" w:ascii="Times New Roman" w:hAnsi="Times New Roman" w:eastAsia="宋体" w:cs="Times New Roman"/>
          <w:color w:val="000000"/>
          <w:kern w:val="0"/>
          <w:sz w:val="24"/>
          <w:szCs w:val="24"/>
          <w:lang w:val="en-US" w:eastAsia="zh-CN" w:bidi="ar"/>
        </w:rPr>
        <w:t>防渗层厚度，一般污染防治区防渗层厚度为</w:t>
      </w:r>
      <w:r>
        <w:rPr>
          <w:rFonts w:hint="default" w:ascii="Times New Roman" w:hAnsi="Times New Roman" w:eastAsia="宋体" w:cs="Times New Roman"/>
          <w:color w:val="000000"/>
          <w:kern w:val="0"/>
          <w:sz w:val="24"/>
          <w:szCs w:val="24"/>
          <w:lang w:val="en-US" w:eastAsia="zh-CN" w:bidi="ar"/>
        </w:rPr>
        <w:t>1.5m</w:t>
      </w:r>
      <w:r>
        <w:rPr>
          <w:rFonts w:hint="eastAsia" w:ascii="Times New Roman" w:hAnsi="Times New Roman" w:eastAsia="宋体" w:cs="Times New Roman"/>
          <w:color w:val="000000"/>
          <w:kern w:val="0"/>
          <w:sz w:val="24"/>
          <w:szCs w:val="24"/>
          <w:lang w:val="en-US" w:eastAsia="zh-CN" w:bidi="ar"/>
        </w:rPr>
        <w:t>，重点污染防治区防渗层厚度为</w:t>
      </w:r>
      <w:r>
        <w:rPr>
          <w:rFonts w:hint="default" w:ascii="Times New Roman" w:hAnsi="Times New Roman" w:eastAsia="宋体" w:cs="Times New Roman"/>
          <w:color w:val="000000"/>
          <w:kern w:val="0"/>
          <w:sz w:val="24"/>
          <w:szCs w:val="24"/>
          <w:lang w:val="en-US" w:eastAsia="zh-CN" w:bidi="ar"/>
        </w:rPr>
        <w:t>6.0m</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napToGrid w:val="0"/>
        <w:spacing w:before="0" w:beforeAutospacing="0" w:after="0" w:afterAutospacing="0" w:line="360" w:lineRule="auto"/>
        <w:ind w:left="0" w:right="0" w:firstLine="1200" w:firstLineChars="5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k——</w:t>
      </w:r>
      <w:r>
        <w:rPr>
          <w:rFonts w:hint="eastAsia" w:ascii="Times New Roman" w:hAnsi="Times New Roman" w:eastAsia="宋体" w:cs="Times New Roman"/>
          <w:color w:val="000000"/>
          <w:kern w:val="0"/>
          <w:sz w:val="24"/>
          <w:szCs w:val="24"/>
          <w:lang w:val="en-US" w:eastAsia="zh-CN" w:bidi="ar"/>
        </w:rPr>
        <w:t>防渗层的渗透系数，即</w:t>
      </w:r>
      <w:r>
        <w:rPr>
          <w:rFonts w:hint="default" w:ascii="Times New Roman" w:hAnsi="Times New Roman" w:eastAsia="宋体" w:cs="Times New Roman"/>
          <w:color w:val="000000"/>
          <w:kern w:val="0"/>
          <w:sz w:val="24"/>
          <w:szCs w:val="24"/>
          <w:lang w:val="en-US" w:eastAsia="zh-CN" w:bidi="ar"/>
        </w:rPr>
        <w:t>1.0×10</w:t>
      </w:r>
      <w:r>
        <w:rPr>
          <w:rFonts w:hint="default" w:ascii="Times New Roman" w:hAnsi="Times New Roman" w:eastAsia="宋体" w:cs="Times New Roman"/>
          <w:color w:val="000000"/>
          <w:kern w:val="0"/>
          <w:sz w:val="24"/>
          <w:szCs w:val="24"/>
          <w:vertAlign w:val="superscript"/>
          <w:lang w:val="en-US" w:eastAsia="zh-CN" w:bidi="ar"/>
        </w:rPr>
        <w:t>-7</w:t>
      </w:r>
      <w:r>
        <w:rPr>
          <w:rFonts w:hint="default" w:ascii="Times New Roman" w:hAnsi="Times New Roman" w:eastAsia="宋体" w:cs="Times New Roman"/>
          <w:color w:val="000000"/>
          <w:kern w:val="0"/>
          <w:sz w:val="24"/>
          <w:szCs w:val="24"/>
          <w:lang w:val="en-US" w:eastAsia="zh-CN" w:bidi="ar"/>
        </w:rPr>
        <w:t>cm/s</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napToGrid w:val="0"/>
        <w:spacing w:before="0" w:beforeAutospacing="0" w:after="0" w:afterAutospacing="0" w:line="360" w:lineRule="auto"/>
        <w:ind w:left="0" w:right="0" w:firstLine="1200" w:firstLineChars="5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h——</w:t>
      </w:r>
      <w:r>
        <w:rPr>
          <w:rFonts w:hint="eastAsia" w:ascii="Times New Roman" w:hAnsi="Times New Roman" w:eastAsia="宋体" w:cs="Times New Roman"/>
          <w:color w:val="000000"/>
          <w:kern w:val="0"/>
          <w:sz w:val="24"/>
          <w:szCs w:val="24"/>
          <w:lang w:val="en-US" w:eastAsia="zh-CN" w:bidi="ar"/>
        </w:rPr>
        <w:t>防渗层上面的积水高度，假设为</w:t>
      </w:r>
      <w:r>
        <w:rPr>
          <w:rFonts w:hint="default" w:ascii="Times New Roman" w:hAnsi="Times New Roman" w:eastAsia="宋体" w:cs="Times New Roman"/>
          <w:color w:val="000000"/>
          <w:kern w:val="0"/>
          <w:sz w:val="24"/>
          <w:szCs w:val="24"/>
          <w:lang w:val="en-US" w:eastAsia="zh-CN" w:bidi="ar"/>
        </w:rPr>
        <w:t>1m</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经计算，污染物穿透一般污染防治区防渗层的时间为</w:t>
      </w:r>
      <w:r>
        <w:rPr>
          <w:rFonts w:hint="default" w:ascii="Times New Roman" w:hAnsi="Times New Roman" w:eastAsia="宋体" w:cs="Times New Roman"/>
          <w:color w:val="000000"/>
          <w:kern w:val="0"/>
          <w:sz w:val="24"/>
          <w:szCs w:val="24"/>
          <w:lang w:val="en-US" w:eastAsia="zh-CN" w:bidi="ar"/>
        </w:rPr>
        <w:t>28.5</w:t>
      </w:r>
      <w:r>
        <w:rPr>
          <w:rFonts w:hint="eastAsia" w:ascii="Times New Roman" w:hAnsi="Times New Roman" w:eastAsia="宋体" w:cs="Times New Roman"/>
          <w:color w:val="000000"/>
          <w:kern w:val="0"/>
          <w:sz w:val="24"/>
          <w:szCs w:val="24"/>
          <w:lang w:val="en-US" w:eastAsia="zh-CN" w:bidi="ar"/>
        </w:rPr>
        <w:t>年，穿透重点污染防治区防渗层的时间为</w:t>
      </w:r>
      <w:r>
        <w:rPr>
          <w:rFonts w:hint="default" w:ascii="Times New Roman" w:hAnsi="Times New Roman" w:eastAsia="宋体" w:cs="Times New Roman"/>
          <w:color w:val="000000"/>
          <w:kern w:val="0"/>
          <w:sz w:val="24"/>
          <w:szCs w:val="24"/>
          <w:lang w:val="en-US" w:eastAsia="zh-CN" w:bidi="ar"/>
        </w:rPr>
        <w:t>163.07</w:t>
      </w:r>
      <w:r>
        <w:rPr>
          <w:rFonts w:hint="eastAsia" w:ascii="Times New Roman" w:hAnsi="Times New Roman" w:eastAsia="宋体" w:cs="Times New Roman"/>
          <w:color w:val="000000"/>
          <w:kern w:val="0"/>
          <w:sz w:val="24"/>
          <w:szCs w:val="24"/>
          <w:lang w:val="en-US" w:eastAsia="zh-CN" w:bidi="ar"/>
        </w:rPr>
        <w:t>年，可见在采取防渗措施后可渗透的污染物非常少，对地下水影响不大。</w:t>
      </w:r>
    </w:p>
    <w:p>
      <w:pPr>
        <w:keepNext w:val="0"/>
        <w:keepLines w:val="0"/>
        <w:widowControl/>
        <w:suppressLineNumbers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此外，企业现有浮选项目已运行多年，从本次评价地下水水质监测结果可知，各污染因子均满足《地下水质量标准》（</w:t>
      </w:r>
      <w:r>
        <w:rPr>
          <w:rFonts w:hint="default" w:ascii="Times New Roman" w:hAnsi="Times New Roman" w:eastAsia="宋体" w:cs="Times New Roman"/>
          <w:color w:val="000000"/>
          <w:kern w:val="0"/>
          <w:sz w:val="24"/>
          <w:szCs w:val="24"/>
          <w:lang w:val="en-US" w:eastAsia="zh-CN" w:bidi="ar"/>
        </w:rPr>
        <w:t>GB/T14848-2017</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Ⅲ</w:t>
      </w:r>
      <w:r>
        <w:rPr>
          <w:rFonts w:hint="eastAsia" w:ascii="Times New Roman" w:hAnsi="Times New Roman" w:eastAsia="宋体" w:cs="Times New Roman"/>
          <w:color w:val="000000"/>
          <w:kern w:val="0"/>
          <w:sz w:val="24"/>
          <w:szCs w:val="24"/>
          <w:lang w:val="en-US" w:eastAsia="zh-CN" w:bidi="ar"/>
        </w:rPr>
        <w:t>类标准，说明企业运营至今，未对区域地下水环境造成影响。</w:t>
      </w:r>
    </w:p>
    <w:p>
      <w:pPr>
        <w:keepNext w:val="0"/>
        <w:keepLines w:val="0"/>
        <w:widowControl/>
        <w:suppressLineNumbers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本项目实施后，建设单位应定期维护防渗系统，并按本次评价确定的监测计划，对场界下游地下水跟踪监控井进行定期监测。一旦发</w:t>
      </w:r>
      <w:r>
        <w:rPr>
          <w:rFonts w:hint="eastAsia" w:ascii="宋体" w:hAnsi="宋体" w:eastAsia="宋体" w:cs="宋体"/>
          <w:color w:val="000000"/>
          <w:kern w:val="0"/>
          <w:sz w:val="24"/>
          <w:szCs w:val="24"/>
          <w:lang w:val="en-US" w:eastAsia="zh-CN" w:bidi="ar"/>
        </w:rPr>
        <w:t>现地下水污染事故时，应立即采取应急措施，查明并切断污染源，探明地下水污染深度、范围和污染程度，合理布置抽水井，抽取被污染的地下水，必要时也可在厂界内设置防渗墙，确保地下水污染控制在厂界内。</w:t>
      </w:r>
    </w:p>
    <w:p>
      <w:pPr>
        <w:pStyle w:val="8"/>
        <w:widowControl/>
        <w:rPr>
          <w:color w:val="000000"/>
          <w:lang/>
        </w:rPr>
      </w:pPr>
      <w:bookmarkStart w:id="186" w:name="_Toc41656146"/>
      <w:bookmarkStart w:id="187" w:name="_Toc204651540"/>
      <w:bookmarkStart w:id="188" w:name="_Toc107304902"/>
      <w:bookmarkStart w:id="189" w:name="_Toc104632787"/>
      <w:bookmarkStart w:id="190" w:name="_Toc104632620"/>
      <w:bookmarkStart w:id="191" w:name="_Toc104632332"/>
      <w:bookmarkStart w:id="192" w:name="_Toc104631909"/>
      <w:r>
        <w:rPr>
          <w:color w:val="000000"/>
          <w:lang/>
        </w:rPr>
        <w:t xml:space="preserve">5.6 </w:t>
      </w:r>
      <w:r>
        <w:rPr>
          <w:rFonts w:hint="eastAsia" w:ascii="Times New Roman" w:hAnsi="Times New Roman" w:eastAsia="宋体" w:cs="宋体"/>
          <w:color w:val="000000"/>
          <w:lang w:eastAsia="zh-CN"/>
        </w:rPr>
        <w:t>运营期固体废物环境影响分析</w:t>
      </w:r>
      <w:bookmarkEnd w:id="186"/>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根据工程污染分析中本项目运营后固体废物的产生环节、产生量、收集处置方式，分析评价固体废物对环境的影响。</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本项目营运后产生的固体废物主要有</w:t>
      </w:r>
      <w:r>
        <w:rPr>
          <w:rFonts w:hint="eastAsia" w:ascii="Times New Roman" w:hAnsi="Times New Roman" w:eastAsia="宋体" w:cs="Times New Roman"/>
          <w:snapToGrid w:val="0"/>
          <w:color w:val="000000"/>
          <w:kern w:val="0"/>
          <w:sz w:val="24"/>
          <w:szCs w:val="24"/>
          <w:lang w:val="en-US" w:eastAsia="zh-CN" w:bidi="ar"/>
        </w:rPr>
        <w:t>振动筛废筛网、布袋除尘器收尘灰、</w:t>
      </w:r>
      <w:r>
        <w:rPr>
          <w:rFonts w:hint="eastAsia" w:ascii="宋体" w:hAnsi="宋体" w:eastAsia="宋体" w:cs="Times New Roman"/>
          <w:snapToGrid w:val="0"/>
          <w:color w:val="000000"/>
          <w:kern w:val="0"/>
          <w:sz w:val="24"/>
          <w:szCs w:val="24"/>
          <w:lang w:val="en-US" w:eastAsia="zh-CN" w:bidi="ar"/>
        </w:rPr>
        <w:t>厂房遮挡粉尘、</w:t>
      </w:r>
      <w:r>
        <w:rPr>
          <w:rFonts w:hint="eastAsia" w:ascii="Times New Roman" w:hAnsi="Times New Roman" w:eastAsia="宋体" w:cs="Times New Roman"/>
          <w:snapToGrid w:val="0"/>
          <w:color w:val="000000"/>
          <w:kern w:val="0"/>
          <w:sz w:val="24"/>
          <w:szCs w:val="24"/>
          <w:lang w:val="en-US" w:eastAsia="zh-CN" w:bidi="ar"/>
        </w:rPr>
        <w:t>球磨机废钢球、循环水池矿泥、浮选药剂包装桶</w:t>
      </w:r>
      <w:r>
        <w:rPr>
          <w:rFonts w:hint="eastAsia" w:ascii="Times New Roman" w:hAnsi="Times New Roman" w:eastAsia="宋体" w:cs="Times New Roman"/>
          <w:color w:val="000000"/>
          <w:kern w:val="0"/>
          <w:sz w:val="24"/>
          <w:szCs w:val="24"/>
          <w:lang w:val="en-US" w:eastAsia="zh-CN" w:bidi="ar"/>
        </w:rPr>
        <w:t>等一般工业固体废物，</w:t>
      </w:r>
      <w:r>
        <w:rPr>
          <w:rFonts w:hint="eastAsia" w:ascii="宋体" w:hAnsi="宋体" w:eastAsia="宋体" w:cs="Times New Roman"/>
          <w:snapToGrid w:val="0"/>
          <w:color w:val="000000"/>
          <w:kern w:val="0"/>
          <w:sz w:val="24"/>
          <w:szCs w:val="24"/>
          <w:lang w:val="en-US" w:eastAsia="zh-CN" w:bidi="ar"/>
        </w:rPr>
        <w:t>废润滑油桶</w:t>
      </w:r>
      <w:r>
        <w:rPr>
          <w:rFonts w:hint="eastAsia" w:ascii="Times New Roman" w:hAnsi="Times New Roman" w:eastAsia="宋体" w:cs="Times New Roman"/>
          <w:color w:val="000000"/>
          <w:kern w:val="0"/>
          <w:sz w:val="24"/>
          <w:szCs w:val="24"/>
          <w:lang w:val="en-US" w:eastAsia="zh-CN" w:bidi="ar"/>
        </w:rPr>
        <w:t>等危险废物，以及生活垃圾。本项目原料及不可利用废物须贮存在具有防雨、防风、防渗、防火等功能的厂房或库房内。</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6</w:t>
      </w:r>
      <w:r>
        <w:rPr>
          <w:rFonts w:hint="default" w:ascii="Times New Roman" w:hAnsi="Times New Roman" w:cs="Times New Roman"/>
          <w:color w:val="000000"/>
          <w:lang/>
        </w:rPr>
        <w:t>.</w:t>
      </w:r>
      <w:r>
        <w:rPr>
          <w:rFonts w:hint="default" w:ascii="Times New Roman" w:hAnsi="Times New Roman" w:cs="Times New Roman"/>
          <w:color w:val="000000"/>
          <w:lang w:eastAsia="zh-CN"/>
        </w:rPr>
        <w:t xml:space="preserve">1 </w:t>
      </w:r>
      <w:r>
        <w:rPr>
          <w:rFonts w:ascii="Times New Roman" w:hAnsi="Times New Roman" w:cs="Times New Roman"/>
          <w:color w:val="000000"/>
          <w:lang w:eastAsia="zh-CN"/>
        </w:rPr>
        <w:t>固体废物的来源及产生量</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）一般工业固体废物</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本项目一般工业固体废物产生和处置情况见下表。</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bCs/>
          <w:color w:val="000000"/>
          <w:spacing w:val="4"/>
          <w:lang w:val="en-US"/>
        </w:rPr>
      </w:pPr>
      <w:r>
        <w:rPr>
          <w:rFonts w:hint="eastAsia" w:ascii="Times New Roman" w:hAnsi="Times New Roman" w:eastAsia="黑体" w:cs="Times New Roman"/>
          <w:bCs/>
          <w:color w:val="000000"/>
          <w:spacing w:val="4"/>
          <w:kern w:val="0"/>
          <w:sz w:val="24"/>
          <w:szCs w:val="24"/>
          <w:lang w:val="en-US" w:eastAsia="zh-CN" w:bidi="ar"/>
        </w:rPr>
        <w:t>表</w:t>
      </w:r>
      <w:r>
        <w:rPr>
          <w:rFonts w:hint="default" w:ascii="Times New Roman" w:hAnsi="Times New Roman" w:eastAsia="黑体" w:cs="Times New Roman"/>
          <w:bCs/>
          <w:color w:val="000000"/>
          <w:spacing w:val="4"/>
          <w:kern w:val="0"/>
          <w:sz w:val="24"/>
          <w:szCs w:val="24"/>
          <w:lang w:val="en-US" w:eastAsia="zh-CN" w:bidi="ar"/>
        </w:rPr>
        <w:t xml:space="preserve">5.6-1    </w:t>
      </w:r>
      <w:r>
        <w:rPr>
          <w:rFonts w:hint="eastAsia" w:ascii="Times New Roman" w:hAnsi="Times New Roman" w:eastAsia="黑体" w:cs="Times New Roman"/>
          <w:bCs/>
          <w:color w:val="000000"/>
          <w:spacing w:val="4"/>
          <w:kern w:val="0"/>
          <w:sz w:val="24"/>
          <w:szCs w:val="24"/>
          <w:lang w:val="en-US" w:eastAsia="zh-CN" w:bidi="ar"/>
        </w:rPr>
        <w:t>一般固废的产生与处置措施一览表</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056"/>
        <w:gridCol w:w="2577"/>
        <w:gridCol w:w="1283"/>
        <w:gridCol w:w="1294"/>
        <w:gridCol w:w="2517"/>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rPr>
        <w:tc>
          <w:tcPr>
            <w:tcW w:w="605" w:type="pc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编号</w:t>
            </w:r>
          </w:p>
        </w:tc>
        <w:tc>
          <w:tcPr>
            <w:tcW w:w="1476"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污染源及污染物</w:t>
            </w:r>
          </w:p>
        </w:tc>
        <w:tc>
          <w:tcPr>
            <w:tcW w:w="735"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产生量（</w:t>
            </w:r>
            <w:r>
              <w:rPr>
                <w:rFonts w:hint="default" w:ascii="Times New Roman" w:hAnsi="Times New Roman" w:cs="Times New Roman"/>
                <w:color w:val="000000"/>
                <w:sz w:val="21"/>
                <w:szCs w:val="24"/>
                <w:bdr w:val="none" w:color="auto" w:sz="0" w:space="0"/>
                <w:lang w:val="en-US"/>
              </w:rPr>
              <w:t>t/a</w:t>
            </w:r>
            <w:r>
              <w:rPr>
                <w:rFonts w:ascii="Times New Roman" w:hAnsi="Times New Roman" w:cs="Times New Roman"/>
                <w:color w:val="000000"/>
                <w:sz w:val="21"/>
                <w:szCs w:val="24"/>
                <w:bdr w:val="none" w:color="auto" w:sz="0" w:space="0"/>
              </w:rPr>
              <w:t>）</w:t>
            </w:r>
          </w:p>
        </w:tc>
        <w:tc>
          <w:tcPr>
            <w:tcW w:w="741"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排放规律</w:t>
            </w:r>
          </w:p>
        </w:tc>
        <w:tc>
          <w:tcPr>
            <w:tcW w:w="1442"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处置措施</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05"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1"/>
                <w:bdr w:val="none" w:color="auto" w:sz="0" w:space="0"/>
                <w:lang w:val="en-US"/>
              </w:rPr>
              <w:t>S</w:t>
            </w:r>
            <w:r>
              <w:rPr>
                <w:rFonts w:hint="default" w:ascii="Times New Roman" w:hAnsi="Times New Roman" w:cs="Times New Roman"/>
                <w:color w:val="000000"/>
                <w:sz w:val="21"/>
                <w:szCs w:val="21"/>
                <w:bdr w:val="none" w:color="auto" w:sz="0" w:space="0"/>
                <w:vertAlign w:val="subscript"/>
                <w:lang w:val="en-US"/>
              </w:rPr>
              <w:t>1</w:t>
            </w:r>
          </w:p>
        </w:tc>
        <w:tc>
          <w:tcPr>
            <w:tcW w:w="147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振动筛废筛网</w:t>
            </w:r>
          </w:p>
        </w:tc>
        <w:tc>
          <w:tcPr>
            <w:tcW w:w="735"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60</w:t>
            </w:r>
          </w:p>
        </w:tc>
        <w:tc>
          <w:tcPr>
            <w:tcW w:w="74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间断</w:t>
            </w:r>
          </w:p>
        </w:tc>
        <w:tc>
          <w:tcPr>
            <w:tcW w:w="14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1"/>
                <w:bdr w:val="none" w:color="auto" w:sz="0" w:space="0"/>
              </w:rPr>
              <w:t>厂家回收</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05"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1"/>
                <w:bdr w:val="none" w:color="auto" w:sz="0" w:space="0"/>
                <w:lang w:val="en-US"/>
              </w:rPr>
              <w:t>S</w:t>
            </w:r>
            <w:r>
              <w:rPr>
                <w:rFonts w:hint="default" w:ascii="Times New Roman" w:hAnsi="Times New Roman" w:cs="Times New Roman"/>
                <w:color w:val="000000"/>
                <w:sz w:val="21"/>
                <w:szCs w:val="21"/>
                <w:bdr w:val="none" w:color="auto" w:sz="0" w:space="0"/>
                <w:vertAlign w:val="subscript"/>
                <w:lang w:val="en-US"/>
              </w:rPr>
              <w:t>2</w:t>
            </w:r>
          </w:p>
        </w:tc>
        <w:tc>
          <w:tcPr>
            <w:tcW w:w="147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布袋除尘器收尘灰</w:t>
            </w:r>
          </w:p>
        </w:tc>
        <w:tc>
          <w:tcPr>
            <w:tcW w:w="735"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449.94</w:t>
            </w:r>
          </w:p>
        </w:tc>
        <w:tc>
          <w:tcPr>
            <w:tcW w:w="74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间断</w:t>
            </w:r>
          </w:p>
        </w:tc>
        <w:tc>
          <w:tcPr>
            <w:tcW w:w="14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1"/>
                <w:bdr w:val="none" w:color="auto" w:sz="0" w:space="0"/>
              </w:rPr>
              <w:t>回用于生产</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05"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1"/>
                <w:bdr w:val="none" w:color="auto" w:sz="0" w:space="0"/>
                <w:lang w:val="en-US"/>
              </w:rPr>
              <w:t>S</w:t>
            </w:r>
            <w:r>
              <w:rPr>
                <w:rFonts w:hint="default" w:ascii="Times New Roman" w:hAnsi="Times New Roman" w:cs="Times New Roman"/>
                <w:color w:val="000000"/>
                <w:sz w:val="21"/>
                <w:szCs w:val="21"/>
                <w:bdr w:val="none" w:color="auto" w:sz="0" w:space="0"/>
                <w:vertAlign w:val="subscript"/>
                <w:lang w:val="en-US"/>
              </w:rPr>
              <w:t>3</w:t>
            </w:r>
          </w:p>
        </w:tc>
        <w:tc>
          <w:tcPr>
            <w:tcW w:w="147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球磨机废钢球</w:t>
            </w:r>
          </w:p>
        </w:tc>
        <w:tc>
          <w:tcPr>
            <w:tcW w:w="735"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600</w:t>
            </w:r>
          </w:p>
        </w:tc>
        <w:tc>
          <w:tcPr>
            <w:tcW w:w="74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间断</w:t>
            </w:r>
          </w:p>
        </w:tc>
        <w:tc>
          <w:tcPr>
            <w:tcW w:w="14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1"/>
                <w:bdr w:val="none" w:color="auto" w:sz="0" w:space="0"/>
              </w:rPr>
              <w:t>厂家回收</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05"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1"/>
                <w:bdr w:val="none" w:color="auto" w:sz="0" w:space="0"/>
                <w:lang w:val="en-US"/>
              </w:rPr>
              <w:t>S</w:t>
            </w:r>
            <w:r>
              <w:rPr>
                <w:rFonts w:hint="default" w:ascii="Times New Roman" w:hAnsi="Times New Roman" w:cs="Times New Roman"/>
                <w:color w:val="000000"/>
                <w:sz w:val="21"/>
                <w:szCs w:val="21"/>
                <w:bdr w:val="none" w:color="auto" w:sz="0" w:space="0"/>
                <w:vertAlign w:val="subscript"/>
                <w:lang w:val="en-US"/>
              </w:rPr>
              <w:t>4</w:t>
            </w:r>
          </w:p>
        </w:tc>
        <w:tc>
          <w:tcPr>
            <w:tcW w:w="147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循环水池矿泥</w:t>
            </w:r>
          </w:p>
        </w:tc>
        <w:tc>
          <w:tcPr>
            <w:tcW w:w="735"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24000</w:t>
            </w:r>
          </w:p>
        </w:tc>
        <w:tc>
          <w:tcPr>
            <w:tcW w:w="74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间断</w:t>
            </w:r>
          </w:p>
        </w:tc>
        <w:tc>
          <w:tcPr>
            <w:tcW w:w="14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1"/>
                <w:bdr w:val="none" w:color="auto" w:sz="0" w:space="0"/>
              </w:rPr>
              <w:t>送尾矿库定期外售</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05"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w:t>
            </w:r>
          </w:p>
        </w:tc>
        <w:tc>
          <w:tcPr>
            <w:tcW w:w="147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厂房遮挡粉尘</w:t>
            </w:r>
          </w:p>
        </w:tc>
        <w:tc>
          <w:tcPr>
            <w:tcW w:w="735"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34.84</w:t>
            </w:r>
          </w:p>
        </w:tc>
        <w:tc>
          <w:tcPr>
            <w:tcW w:w="74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间断</w:t>
            </w:r>
          </w:p>
        </w:tc>
        <w:tc>
          <w:tcPr>
            <w:tcW w:w="1442"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1"/>
                <w:bdr w:val="none" w:color="auto" w:sz="0" w:space="0"/>
              </w:rPr>
              <w:t>回用于生产</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05"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476"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color w:val="000000"/>
                <w:sz w:val="21"/>
                <w:szCs w:val="24"/>
                <w:bdr w:val="none" w:color="auto" w:sz="0" w:space="0"/>
              </w:rPr>
              <w:t>废含油抹布</w:t>
            </w:r>
          </w:p>
        </w:tc>
        <w:tc>
          <w:tcPr>
            <w:tcW w:w="735"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0.002</w:t>
            </w:r>
          </w:p>
        </w:tc>
        <w:tc>
          <w:tcPr>
            <w:tcW w:w="741"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间断</w:t>
            </w:r>
          </w:p>
        </w:tc>
        <w:tc>
          <w:tcPr>
            <w:tcW w:w="1442"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环卫清运</w:t>
            </w:r>
          </w:p>
        </w:tc>
      </w:tr>
    </w:tbl>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bCs w:val="0"/>
          <w:color w:val="000000"/>
          <w:kern w:val="0"/>
          <w:sz w:val="24"/>
          <w:szCs w:val="24"/>
          <w:lang w:val="en-US" w:eastAsia="zh-CN" w:bidi="ar"/>
        </w:rPr>
        <w:t>①</w:t>
      </w:r>
      <w:r>
        <w:rPr>
          <w:rFonts w:hint="eastAsia" w:ascii="Times New Roman" w:hAnsi="Times New Roman" w:eastAsia="宋体" w:cs="Times New Roman"/>
          <w:b/>
          <w:bCs w:val="0"/>
          <w:snapToGrid w:val="0"/>
          <w:color w:val="000000"/>
          <w:kern w:val="0"/>
          <w:sz w:val="24"/>
          <w:szCs w:val="24"/>
          <w:lang w:val="en-US" w:eastAsia="zh-CN" w:bidi="ar"/>
        </w:rPr>
        <w:t>振动筛废筛网</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snapToGrid w:val="0"/>
          <w:color w:val="000000"/>
          <w:kern w:val="0"/>
          <w:sz w:val="24"/>
          <w:szCs w:val="24"/>
          <w:lang w:val="en-US" w:eastAsia="zh-CN" w:bidi="ar"/>
        </w:rPr>
        <w:t>本项目振动筛筛网需定期更换，废筛网产生量为</w:t>
      </w:r>
      <w:r>
        <w:rPr>
          <w:rFonts w:hint="default" w:ascii="Times New Roman" w:hAnsi="Times New Roman" w:eastAsia="宋体" w:cs="Times New Roman"/>
          <w:snapToGrid w:val="0"/>
          <w:color w:val="000000"/>
          <w:kern w:val="0"/>
          <w:sz w:val="24"/>
          <w:szCs w:val="24"/>
          <w:lang w:val="en-US" w:eastAsia="zh-CN" w:bidi="ar"/>
        </w:rPr>
        <w:t>60t/a</w:t>
      </w:r>
      <w:r>
        <w:rPr>
          <w:rFonts w:hint="eastAsia" w:ascii="Times New Roman" w:hAnsi="Times New Roman" w:eastAsia="宋体" w:cs="Times New Roman"/>
          <w:snapToGrid w:val="0"/>
          <w:color w:val="000000"/>
          <w:kern w:val="0"/>
          <w:sz w:val="24"/>
          <w:szCs w:val="24"/>
          <w:lang w:val="en-US" w:eastAsia="zh-CN" w:bidi="ar"/>
        </w:rPr>
        <w:t>，定期由厂家回收，不外排。</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bCs w:val="0"/>
          <w:color w:val="000000"/>
          <w:kern w:val="0"/>
          <w:sz w:val="24"/>
          <w:szCs w:val="24"/>
          <w:lang w:val="en-US" w:eastAsia="zh-CN" w:bidi="ar"/>
        </w:rPr>
        <w:t>②</w:t>
      </w:r>
      <w:r>
        <w:rPr>
          <w:rFonts w:hint="eastAsia" w:ascii="Times New Roman" w:hAnsi="Times New Roman" w:eastAsia="宋体" w:cs="Times New Roman"/>
          <w:b/>
          <w:bCs w:val="0"/>
          <w:snapToGrid w:val="0"/>
          <w:color w:val="000000"/>
          <w:kern w:val="0"/>
          <w:sz w:val="24"/>
          <w:szCs w:val="24"/>
          <w:lang w:val="en-US" w:eastAsia="zh-CN" w:bidi="ar"/>
        </w:rPr>
        <w:t>布袋除尘器收尘灰</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snapToGrid w:val="0"/>
          <w:color w:val="000000"/>
          <w:kern w:val="0"/>
          <w:sz w:val="24"/>
          <w:szCs w:val="24"/>
          <w:lang w:val="en-US" w:eastAsia="zh-CN" w:bidi="ar"/>
        </w:rPr>
        <w:t>本项目原矿破碎、筛分、转运过程除尘器收集的除尘灰合计约</w:t>
      </w:r>
      <w:r>
        <w:rPr>
          <w:rFonts w:hint="default" w:ascii="Times New Roman" w:hAnsi="Times New Roman" w:eastAsia="宋体" w:cs="Times New Roman"/>
          <w:snapToGrid w:val="0"/>
          <w:color w:val="000000"/>
          <w:kern w:val="0"/>
          <w:sz w:val="24"/>
          <w:szCs w:val="24"/>
          <w:lang w:val="en-US" w:eastAsia="zh-CN" w:bidi="ar"/>
        </w:rPr>
        <w:t>449.94t/a</w:t>
      </w:r>
      <w:r>
        <w:rPr>
          <w:rFonts w:hint="eastAsia" w:ascii="Times New Roman" w:hAnsi="Times New Roman" w:eastAsia="宋体" w:cs="Times New Roman"/>
          <w:snapToGrid w:val="0"/>
          <w:color w:val="000000"/>
          <w:kern w:val="0"/>
          <w:sz w:val="24"/>
          <w:szCs w:val="24"/>
          <w:lang w:val="en-US" w:eastAsia="zh-CN" w:bidi="ar"/>
        </w:rPr>
        <w:t>，定期收集后，可直接回用于生产。</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bCs w:val="0"/>
          <w:color w:val="000000"/>
          <w:kern w:val="0"/>
          <w:sz w:val="24"/>
          <w:szCs w:val="24"/>
          <w:lang w:val="en-US" w:eastAsia="zh-CN" w:bidi="ar"/>
        </w:rPr>
        <w:t>③</w:t>
      </w:r>
      <w:r>
        <w:rPr>
          <w:rFonts w:hint="eastAsia" w:ascii="Times New Roman" w:hAnsi="Times New Roman" w:eastAsia="宋体" w:cs="Times New Roman"/>
          <w:b/>
          <w:bCs w:val="0"/>
          <w:snapToGrid w:val="0"/>
          <w:color w:val="000000"/>
          <w:kern w:val="0"/>
          <w:sz w:val="24"/>
          <w:szCs w:val="24"/>
          <w:lang w:val="en-US" w:eastAsia="zh-CN" w:bidi="ar"/>
        </w:rPr>
        <w:t>球磨机废钢球</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snapToGrid w:val="0"/>
          <w:color w:val="000000"/>
          <w:kern w:val="0"/>
          <w:sz w:val="24"/>
          <w:szCs w:val="24"/>
          <w:lang w:val="en-US" w:eastAsia="zh-CN" w:bidi="ar"/>
        </w:rPr>
        <w:t>本项目球磨机钢球需定期更换，废钢球产生量为</w:t>
      </w:r>
      <w:r>
        <w:rPr>
          <w:rFonts w:hint="default" w:ascii="Times New Roman" w:hAnsi="Times New Roman" w:eastAsia="宋体" w:cs="Times New Roman"/>
          <w:snapToGrid w:val="0"/>
          <w:color w:val="000000"/>
          <w:kern w:val="0"/>
          <w:sz w:val="24"/>
          <w:szCs w:val="24"/>
          <w:lang w:val="en-US" w:eastAsia="zh-CN" w:bidi="ar"/>
        </w:rPr>
        <w:t>600t/a</w:t>
      </w:r>
      <w:r>
        <w:rPr>
          <w:rFonts w:hint="eastAsia" w:ascii="Times New Roman" w:hAnsi="Times New Roman" w:eastAsia="宋体" w:cs="Times New Roman"/>
          <w:snapToGrid w:val="0"/>
          <w:color w:val="000000"/>
          <w:kern w:val="0"/>
          <w:sz w:val="24"/>
          <w:szCs w:val="24"/>
          <w:lang w:val="en-US" w:eastAsia="zh-CN" w:bidi="ar"/>
        </w:rPr>
        <w:t>，定期由厂家回收，不外排。</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bCs w:val="0"/>
          <w:color w:val="000000"/>
          <w:kern w:val="0"/>
          <w:sz w:val="24"/>
          <w:szCs w:val="24"/>
          <w:lang w:val="en-US" w:eastAsia="zh-CN" w:bidi="ar"/>
        </w:rPr>
        <w:t>④</w:t>
      </w:r>
      <w:r>
        <w:rPr>
          <w:rFonts w:hint="eastAsia" w:ascii="Times New Roman" w:hAnsi="Times New Roman" w:eastAsia="宋体" w:cs="Times New Roman"/>
          <w:b/>
          <w:bCs w:val="0"/>
          <w:snapToGrid w:val="0"/>
          <w:color w:val="000000"/>
          <w:kern w:val="0"/>
          <w:sz w:val="24"/>
          <w:szCs w:val="24"/>
          <w:lang w:val="en-US" w:eastAsia="zh-CN" w:bidi="ar"/>
        </w:rPr>
        <w:t>循环水池矿泥</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snapToGrid w:val="0"/>
          <w:color w:val="000000"/>
          <w:kern w:val="0"/>
          <w:sz w:val="24"/>
          <w:szCs w:val="24"/>
          <w:lang w:val="en-US" w:eastAsia="zh-CN" w:bidi="ar"/>
        </w:rPr>
        <w:t>本项目循环水池的矿泥年产生量约</w:t>
      </w:r>
      <w:r>
        <w:rPr>
          <w:rFonts w:hint="default" w:ascii="Times New Roman" w:hAnsi="Times New Roman" w:eastAsia="宋体" w:cs="Times New Roman"/>
          <w:snapToGrid w:val="0"/>
          <w:color w:val="000000"/>
          <w:kern w:val="0"/>
          <w:sz w:val="24"/>
          <w:szCs w:val="24"/>
          <w:lang w:val="en-US" w:eastAsia="zh-CN" w:bidi="ar"/>
        </w:rPr>
        <w:t>24000t/a</w:t>
      </w:r>
      <w:r>
        <w:rPr>
          <w:rFonts w:hint="eastAsia" w:ascii="Times New Roman" w:hAnsi="Times New Roman" w:eastAsia="宋体" w:cs="Times New Roman"/>
          <w:snapToGrid w:val="0"/>
          <w:color w:val="000000"/>
          <w:kern w:val="0"/>
          <w:sz w:val="24"/>
          <w:szCs w:val="24"/>
          <w:lang w:val="en-US" w:eastAsia="zh-CN" w:bidi="ar"/>
        </w:rPr>
        <w:t>，主要成分为</w:t>
      </w:r>
      <w:r>
        <w:rPr>
          <w:rFonts w:hint="default" w:ascii="Times New Roman" w:hAnsi="Times New Roman" w:eastAsia="宋体" w:cs="Times New Roman"/>
          <w:snapToGrid w:val="0"/>
          <w:color w:val="000000"/>
          <w:kern w:val="0"/>
          <w:sz w:val="24"/>
          <w:szCs w:val="24"/>
          <w:lang w:val="en-US" w:eastAsia="zh-CN" w:bidi="ar"/>
        </w:rPr>
        <w:t>MgO</w:t>
      </w:r>
      <w:r>
        <w:rPr>
          <w:rFonts w:hint="eastAsia" w:ascii="Times New Roman" w:hAnsi="Times New Roman" w:eastAsia="宋体" w:cs="Times New Roman"/>
          <w:snapToGrid w:val="0"/>
          <w:color w:val="000000"/>
          <w:kern w:val="0"/>
          <w:sz w:val="24"/>
          <w:szCs w:val="24"/>
          <w:lang w:val="en-US" w:eastAsia="zh-CN" w:bidi="ar"/>
        </w:rPr>
        <w:t>，定期清掏后送尾矿库。</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bCs w:val="0"/>
          <w:color w:val="000000"/>
          <w:kern w:val="0"/>
          <w:sz w:val="24"/>
          <w:szCs w:val="24"/>
          <w:lang w:val="en-US" w:eastAsia="zh-CN" w:bidi="ar"/>
        </w:rPr>
        <w:t>⑤</w:t>
      </w:r>
      <w:r>
        <w:rPr>
          <w:rFonts w:hint="eastAsia" w:ascii="宋体" w:hAnsi="宋体" w:eastAsia="宋体" w:cs="Times New Roman"/>
          <w:b/>
          <w:bCs w:val="0"/>
          <w:snapToGrid w:val="0"/>
          <w:color w:val="000000"/>
          <w:kern w:val="0"/>
          <w:sz w:val="24"/>
          <w:szCs w:val="24"/>
          <w:lang w:val="en-US" w:eastAsia="zh-CN" w:bidi="ar"/>
        </w:rPr>
        <w:t>厂房遮挡粉尘</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snapToGrid w:val="0"/>
          <w:color w:val="000000"/>
          <w:kern w:val="0"/>
          <w:sz w:val="24"/>
          <w:szCs w:val="24"/>
          <w:lang w:val="en-US" w:eastAsia="zh-CN" w:bidi="ar"/>
        </w:rPr>
        <w:t>本项目原料库、破碎车间、精矿库、尾矿库地面厂房遮挡沉降的粉尘约</w:t>
      </w:r>
      <w:r>
        <w:rPr>
          <w:rFonts w:hint="default" w:ascii="Times New Roman" w:hAnsi="Times New Roman" w:eastAsia="宋体" w:cs="Times New Roman"/>
          <w:snapToGrid w:val="0"/>
          <w:color w:val="000000"/>
          <w:kern w:val="0"/>
          <w:sz w:val="24"/>
          <w:szCs w:val="24"/>
          <w:lang w:val="en-US" w:eastAsia="zh-CN" w:bidi="ar"/>
        </w:rPr>
        <w:t>6.79t/a</w:t>
      </w:r>
      <w:r>
        <w:rPr>
          <w:rFonts w:hint="eastAsia" w:ascii="Times New Roman" w:hAnsi="Times New Roman" w:eastAsia="宋体" w:cs="Times New Roman"/>
          <w:snapToGrid w:val="0"/>
          <w:color w:val="000000"/>
          <w:kern w:val="0"/>
          <w:sz w:val="24"/>
          <w:szCs w:val="24"/>
          <w:lang w:val="en-US" w:eastAsia="zh-CN" w:bidi="ar"/>
        </w:rPr>
        <w:t>，定期清扫收集后，可直接回用于生产。</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color w:val="000000"/>
          <w:lang w:val="en-US"/>
        </w:rPr>
      </w:pPr>
      <w:r>
        <w:rPr>
          <w:rFonts w:hint="eastAsia" w:ascii="宋体" w:hAnsi="宋体" w:eastAsia="宋体" w:cs="宋体"/>
          <w:b/>
          <w:color w:val="000000"/>
          <w:kern w:val="0"/>
          <w:sz w:val="24"/>
          <w:szCs w:val="24"/>
          <w:lang w:val="en-US" w:eastAsia="zh-CN" w:bidi="ar"/>
        </w:rPr>
        <w:t>⑥</w:t>
      </w:r>
      <w:r>
        <w:rPr>
          <w:rFonts w:hint="eastAsia" w:ascii="Times New Roman" w:hAnsi="Times New Roman" w:eastAsia="宋体" w:cs="Times New Roman"/>
          <w:b/>
          <w:snapToGrid w:val="0"/>
          <w:color w:val="000000"/>
          <w:kern w:val="0"/>
          <w:sz w:val="24"/>
          <w:szCs w:val="24"/>
          <w:lang w:val="en-US" w:eastAsia="zh-CN" w:bidi="ar"/>
        </w:rPr>
        <w:t>浮选药剂包装桶</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snapToGrid w:val="0"/>
          <w:color w:val="000000"/>
          <w:kern w:val="0"/>
          <w:sz w:val="24"/>
          <w:szCs w:val="24"/>
          <w:lang w:val="en-US" w:eastAsia="zh-CN" w:bidi="ar"/>
        </w:rPr>
        <w:t>本项目反浮选药剂由包装桶承装，使用过程中产生废包装桶，产生量约为</w:t>
      </w:r>
      <w:r>
        <w:rPr>
          <w:rFonts w:hint="default" w:ascii="Times New Roman" w:hAnsi="Times New Roman" w:eastAsia="宋体" w:cs="Times New Roman"/>
          <w:snapToGrid w:val="0"/>
          <w:color w:val="000000"/>
          <w:kern w:val="0"/>
          <w:sz w:val="24"/>
          <w:szCs w:val="24"/>
          <w:lang w:val="en-US" w:eastAsia="zh-CN" w:bidi="ar"/>
        </w:rPr>
        <w:t>150t/a</w:t>
      </w:r>
      <w:r>
        <w:rPr>
          <w:rFonts w:hint="eastAsia" w:ascii="Times New Roman" w:hAnsi="Times New Roman" w:eastAsia="宋体" w:cs="Times New Roman"/>
          <w:snapToGrid w:val="0"/>
          <w:color w:val="000000"/>
          <w:kern w:val="0"/>
          <w:sz w:val="24"/>
          <w:szCs w:val="24"/>
          <w:lang w:val="en-US" w:eastAsia="zh-CN" w:bidi="ar"/>
        </w:rPr>
        <w:t>，废包装桶沾染浮选药剂，根据《国家危险废物名录》（</w:t>
      </w:r>
      <w:r>
        <w:rPr>
          <w:rFonts w:hint="default" w:ascii="Times New Roman" w:hAnsi="Times New Roman" w:eastAsia="宋体" w:cs="Times New Roman"/>
          <w:snapToGrid w:val="0"/>
          <w:color w:val="000000"/>
          <w:kern w:val="0"/>
          <w:sz w:val="24"/>
          <w:szCs w:val="24"/>
          <w:lang w:val="en-US" w:eastAsia="zh-CN" w:bidi="ar"/>
        </w:rPr>
        <w:t>2016</w:t>
      </w:r>
      <w:r>
        <w:rPr>
          <w:rFonts w:hint="eastAsia" w:ascii="Times New Roman" w:hAnsi="Times New Roman" w:eastAsia="宋体" w:cs="Times New Roman"/>
          <w:snapToGrid w:val="0"/>
          <w:color w:val="000000"/>
          <w:kern w:val="0"/>
          <w:sz w:val="24"/>
          <w:szCs w:val="24"/>
          <w:lang w:val="en-US" w:eastAsia="zh-CN" w:bidi="ar"/>
        </w:rPr>
        <w:t>年）浮选药剂废包装桶不属于危险废物，但为控制该原料桶回收过程中可能产生的环境风险，应当按照国家对原料包装物所包装的危险废物有关规定和要求对其贮存、运输进行严格监管，并在厂内危废暂存间暂存，浮选药剂包装桶可由药剂生产厂家回收再利用。</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）危险废物</w:t>
      </w:r>
    </w:p>
    <w:p>
      <w:pPr>
        <w:keepNext w:val="0"/>
        <w:keepLines w:val="0"/>
        <w:widowControl/>
        <w:suppressLineNumbers w:val="0"/>
        <w:adjustRightInd w:val="0"/>
        <w:spacing w:before="0" w:beforeAutospacing="0" w:after="0" w:afterAutospacing="0" w:line="500" w:lineRule="exact"/>
        <w:ind w:left="0" w:right="0" w:firstLine="482" w:firstLineChars="200"/>
        <w:jc w:val="left"/>
        <w:rPr>
          <w:b/>
          <w:bCs w:val="0"/>
          <w:color w:val="000000"/>
          <w:lang w:val="en-US"/>
        </w:rPr>
      </w:pPr>
      <w:r>
        <w:rPr>
          <w:rFonts w:hint="eastAsia" w:ascii="宋体" w:hAnsi="宋体" w:eastAsia="宋体" w:cs="宋体"/>
          <w:b/>
          <w:bCs w:val="0"/>
          <w:color w:val="000000"/>
          <w:kern w:val="0"/>
          <w:sz w:val="24"/>
          <w:szCs w:val="24"/>
          <w:lang w:val="en-US" w:eastAsia="zh-CN" w:bidi="ar"/>
        </w:rPr>
        <w:t>①废润滑油桶</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根据《国家危险废物名录（</w:t>
      </w:r>
      <w:r>
        <w:rPr>
          <w:rFonts w:hint="default" w:ascii="Times New Roman" w:hAnsi="Times New Roman" w:eastAsia="宋体" w:cs="Times New Roman"/>
          <w:snapToGrid w:val="0"/>
          <w:color w:val="000000"/>
          <w:kern w:val="0"/>
          <w:sz w:val="24"/>
          <w:szCs w:val="24"/>
          <w:lang w:val="en-US" w:eastAsia="zh-CN" w:bidi="ar"/>
        </w:rPr>
        <w:t>2016</w:t>
      </w:r>
      <w:r>
        <w:rPr>
          <w:rFonts w:hint="eastAsia" w:ascii="Times New Roman" w:hAnsi="Times New Roman" w:eastAsia="宋体" w:cs="Times New Roman"/>
          <w:snapToGrid w:val="0"/>
          <w:color w:val="000000"/>
          <w:kern w:val="0"/>
          <w:sz w:val="24"/>
          <w:szCs w:val="24"/>
          <w:lang w:val="en-US" w:eastAsia="zh-CN" w:bidi="ar"/>
        </w:rPr>
        <w:t>年）》废润滑油桶属</w:t>
      </w:r>
      <w:r>
        <w:rPr>
          <w:rFonts w:hint="default" w:ascii="Times New Roman" w:hAnsi="Times New Roman" w:eastAsia="宋体" w:cs="Times New Roman"/>
          <w:snapToGrid w:val="0"/>
          <w:color w:val="000000"/>
          <w:kern w:val="0"/>
          <w:sz w:val="24"/>
          <w:szCs w:val="24"/>
          <w:lang w:val="en-US" w:eastAsia="zh-CN" w:bidi="ar"/>
        </w:rPr>
        <w:t>HW08</w:t>
      </w:r>
      <w:r>
        <w:rPr>
          <w:rFonts w:hint="eastAsia" w:ascii="Times New Roman" w:hAnsi="Times New Roman" w:eastAsia="宋体" w:cs="Times New Roman"/>
          <w:snapToGrid w:val="0"/>
          <w:color w:val="000000"/>
          <w:kern w:val="0"/>
          <w:sz w:val="24"/>
          <w:szCs w:val="24"/>
          <w:lang w:val="en-US" w:eastAsia="zh-CN" w:bidi="ar"/>
        </w:rPr>
        <w:t>废矿物油与含矿物油废物，危险代码为</w:t>
      </w:r>
      <w:r>
        <w:rPr>
          <w:rFonts w:hint="default" w:ascii="Times New Roman" w:hAnsi="Times New Roman" w:eastAsia="宋体" w:cs="Times New Roman"/>
          <w:snapToGrid w:val="0"/>
          <w:color w:val="000000"/>
          <w:kern w:val="0"/>
          <w:sz w:val="24"/>
          <w:szCs w:val="24"/>
          <w:lang w:val="en-US" w:eastAsia="zh-CN" w:bidi="ar"/>
        </w:rPr>
        <w:t>900-214-08</w:t>
      </w:r>
      <w:r>
        <w:rPr>
          <w:rFonts w:hint="eastAsia" w:ascii="Times New Roman" w:hAnsi="Times New Roman" w:eastAsia="宋体" w:cs="Times New Roman"/>
          <w:snapToGrid w:val="0"/>
          <w:color w:val="000000"/>
          <w:kern w:val="0"/>
          <w:sz w:val="24"/>
          <w:szCs w:val="24"/>
          <w:lang w:val="en-US" w:eastAsia="zh-CN" w:bidi="ar"/>
        </w:rPr>
        <w:t>，本项目废润滑油桶产生量约为</w:t>
      </w:r>
      <w:r>
        <w:rPr>
          <w:rFonts w:hint="default" w:ascii="Times New Roman" w:hAnsi="Times New Roman" w:eastAsia="宋体" w:cs="Times New Roman"/>
          <w:snapToGrid w:val="0"/>
          <w:color w:val="000000"/>
          <w:kern w:val="0"/>
          <w:sz w:val="24"/>
          <w:szCs w:val="24"/>
          <w:lang w:val="en-US" w:eastAsia="zh-CN" w:bidi="ar"/>
        </w:rPr>
        <w:t>0.1t/a</w:t>
      </w:r>
      <w:r>
        <w:rPr>
          <w:rFonts w:hint="eastAsia" w:ascii="Times New Roman" w:hAnsi="Times New Roman" w:eastAsia="宋体" w:cs="Times New Roman"/>
          <w:snapToGrid w:val="0"/>
          <w:color w:val="000000"/>
          <w:kern w:val="0"/>
          <w:sz w:val="24"/>
          <w:szCs w:val="24"/>
          <w:lang w:val="en-US" w:eastAsia="zh-CN" w:bidi="ar"/>
        </w:rPr>
        <w:t>，暂存于厂内危废暂存间，定期送有资质单位进行无害化处理。</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宋体" w:hAnsi="宋体" w:eastAsia="宋体" w:cs="宋体"/>
          <w:b/>
          <w:bCs w:val="0"/>
          <w:color w:val="000000"/>
          <w:kern w:val="0"/>
          <w:sz w:val="24"/>
          <w:szCs w:val="24"/>
          <w:lang w:val="en-US" w:eastAsia="zh-CN" w:bidi="ar"/>
        </w:rPr>
        <w:t>②</w:t>
      </w:r>
      <w:r>
        <w:rPr>
          <w:rFonts w:hint="eastAsia" w:ascii="Times New Roman" w:hAnsi="Times New Roman" w:eastAsia="宋体" w:cs="Times New Roman"/>
          <w:b/>
          <w:bCs w:val="0"/>
          <w:snapToGrid w:val="0"/>
          <w:color w:val="000000"/>
          <w:kern w:val="0"/>
          <w:sz w:val="24"/>
          <w:szCs w:val="24"/>
          <w:lang w:val="en-US" w:eastAsia="zh-CN" w:bidi="ar"/>
        </w:rPr>
        <w:t>浮选药剂包装桶</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snapToGrid w:val="0"/>
          <w:color w:val="000000"/>
          <w:kern w:val="0"/>
          <w:sz w:val="24"/>
          <w:szCs w:val="24"/>
          <w:lang w:val="en-US" w:eastAsia="zh-CN" w:bidi="ar"/>
        </w:rPr>
        <w:t>本项目反浮选药剂由包装桶承装，使用过程中产生废包装桶，废包装桶沾染浮选药剂，根据《国家危险废物名录》（</w:t>
      </w:r>
      <w:r>
        <w:rPr>
          <w:rFonts w:hint="default" w:ascii="Times New Roman" w:hAnsi="Times New Roman" w:eastAsia="宋体" w:cs="Times New Roman"/>
          <w:snapToGrid w:val="0"/>
          <w:color w:val="000000"/>
          <w:kern w:val="0"/>
          <w:sz w:val="24"/>
          <w:szCs w:val="24"/>
          <w:lang w:val="en-US" w:eastAsia="zh-CN" w:bidi="ar"/>
        </w:rPr>
        <w:t>2016</w:t>
      </w:r>
      <w:r>
        <w:rPr>
          <w:rFonts w:hint="eastAsia" w:ascii="Times New Roman" w:hAnsi="Times New Roman" w:eastAsia="宋体" w:cs="Times New Roman"/>
          <w:snapToGrid w:val="0"/>
          <w:color w:val="000000"/>
          <w:kern w:val="0"/>
          <w:sz w:val="24"/>
          <w:szCs w:val="24"/>
          <w:lang w:val="en-US" w:eastAsia="zh-CN" w:bidi="ar"/>
        </w:rPr>
        <w:t>年）浮选药剂废包装桶属</w:t>
      </w:r>
      <w:r>
        <w:rPr>
          <w:rFonts w:hint="default" w:ascii="Times New Roman" w:hAnsi="Times New Roman" w:eastAsia="宋体" w:cs="Times New Roman"/>
          <w:snapToGrid w:val="0"/>
          <w:color w:val="000000"/>
          <w:kern w:val="0"/>
          <w:sz w:val="24"/>
          <w:szCs w:val="24"/>
          <w:lang w:val="en-US" w:eastAsia="zh-CN" w:bidi="ar"/>
        </w:rPr>
        <w:t>HW49</w:t>
      </w:r>
      <w:r>
        <w:rPr>
          <w:rFonts w:hint="eastAsia" w:ascii="Times New Roman" w:hAnsi="Times New Roman" w:eastAsia="宋体" w:cs="Times New Roman"/>
          <w:snapToGrid w:val="0"/>
          <w:color w:val="000000"/>
          <w:kern w:val="0"/>
          <w:sz w:val="24"/>
          <w:szCs w:val="24"/>
          <w:lang w:val="en-US" w:eastAsia="zh-CN" w:bidi="ar"/>
        </w:rPr>
        <w:t>其他废物，危险代码为</w:t>
      </w:r>
      <w:r>
        <w:rPr>
          <w:rFonts w:hint="default" w:ascii="Times New Roman" w:hAnsi="Times New Roman" w:eastAsia="宋体" w:cs="Times New Roman"/>
          <w:snapToGrid w:val="0"/>
          <w:color w:val="000000"/>
          <w:kern w:val="0"/>
          <w:sz w:val="24"/>
          <w:szCs w:val="24"/>
          <w:lang w:val="en-US" w:eastAsia="zh-CN" w:bidi="ar"/>
        </w:rPr>
        <w:t>900-041-49</w:t>
      </w:r>
      <w:r>
        <w:rPr>
          <w:rFonts w:hint="eastAsia" w:ascii="Times New Roman" w:hAnsi="Times New Roman" w:eastAsia="宋体" w:cs="Times New Roman"/>
          <w:snapToGrid w:val="0"/>
          <w:color w:val="000000"/>
          <w:kern w:val="0"/>
          <w:sz w:val="24"/>
          <w:szCs w:val="24"/>
          <w:lang w:val="en-US" w:eastAsia="zh-CN" w:bidi="ar"/>
        </w:rPr>
        <w:t>，本项目废润滑油桶产生量约为</w:t>
      </w:r>
      <w:r>
        <w:rPr>
          <w:rFonts w:hint="default" w:ascii="Times New Roman" w:hAnsi="Times New Roman" w:eastAsia="宋体" w:cs="Times New Roman"/>
          <w:snapToGrid w:val="0"/>
          <w:color w:val="000000"/>
          <w:kern w:val="0"/>
          <w:sz w:val="24"/>
          <w:szCs w:val="24"/>
          <w:lang w:val="en-US" w:eastAsia="zh-CN" w:bidi="ar"/>
        </w:rPr>
        <w:t>0.8t/a</w:t>
      </w:r>
      <w:r>
        <w:rPr>
          <w:rFonts w:hint="eastAsia" w:ascii="Times New Roman" w:hAnsi="Times New Roman" w:eastAsia="宋体" w:cs="Times New Roman"/>
          <w:snapToGrid w:val="0"/>
          <w:color w:val="000000"/>
          <w:kern w:val="0"/>
          <w:sz w:val="24"/>
          <w:szCs w:val="24"/>
          <w:lang w:val="en-US" w:eastAsia="zh-CN" w:bidi="ar"/>
        </w:rPr>
        <w:t>，暂存于厂内危废暂存间，定期送有资质单位进行无害化处理。</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color w:val="000000"/>
          <w:kern w:val="0"/>
          <w:sz w:val="24"/>
          <w:szCs w:val="24"/>
          <w:lang w:val="en-US" w:eastAsia="zh-CN" w:bidi="ar"/>
        </w:rPr>
        <w:t>本项目危险废物产生和处置情况见下表。</w:t>
      </w: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bCs/>
          <w:color w:val="000000"/>
          <w:spacing w:val="4"/>
          <w:lang w:val="en-US"/>
        </w:rPr>
      </w:pPr>
      <w:r>
        <w:rPr>
          <w:rFonts w:hint="eastAsia" w:ascii="Times New Roman" w:hAnsi="Times New Roman" w:eastAsia="黑体" w:cs="Times New Roman"/>
          <w:bCs/>
          <w:color w:val="000000"/>
          <w:spacing w:val="4"/>
          <w:kern w:val="0"/>
          <w:sz w:val="24"/>
          <w:szCs w:val="24"/>
          <w:lang w:val="en-US" w:eastAsia="zh-CN" w:bidi="ar"/>
        </w:rPr>
        <w:t>表</w:t>
      </w:r>
      <w:r>
        <w:rPr>
          <w:rFonts w:hint="default" w:ascii="Times New Roman" w:hAnsi="Times New Roman" w:eastAsia="黑体" w:cs="Times New Roman"/>
          <w:bCs/>
          <w:color w:val="000000"/>
          <w:spacing w:val="4"/>
          <w:kern w:val="0"/>
          <w:sz w:val="24"/>
          <w:szCs w:val="24"/>
          <w:lang w:val="en-US" w:eastAsia="zh-CN" w:bidi="ar"/>
        </w:rPr>
        <w:t xml:space="preserve">5.6-2    </w:t>
      </w:r>
      <w:r>
        <w:rPr>
          <w:rFonts w:hint="eastAsia" w:ascii="Times New Roman" w:hAnsi="Times New Roman" w:eastAsia="黑体" w:cs="Times New Roman"/>
          <w:bCs/>
          <w:color w:val="000000"/>
          <w:spacing w:val="4"/>
          <w:kern w:val="0"/>
          <w:sz w:val="24"/>
          <w:szCs w:val="24"/>
          <w:lang w:val="en-US" w:eastAsia="zh-CN" w:bidi="ar"/>
        </w:rPr>
        <w:t>危险废物的产生与处置措施一览表</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776"/>
        <w:gridCol w:w="815"/>
        <w:gridCol w:w="1006"/>
        <w:gridCol w:w="828"/>
        <w:gridCol w:w="694"/>
        <w:gridCol w:w="687"/>
        <w:gridCol w:w="694"/>
        <w:gridCol w:w="692"/>
        <w:gridCol w:w="692"/>
        <w:gridCol w:w="691"/>
        <w:gridCol w:w="931"/>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40" w:hRule="atLeast"/>
        </w:trPr>
        <w:tc>
          <w:tcPr>
            <w:tcW w:w="455" w:type="pct"/>
            <w:tcBorders>
              <w:top w:val="thinThickSmallGap" w:color="auto" w:sz="12" w:space="0"/>
              <w:left w:val="nil"/>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危险废物名称</w:t>
            </w:r>
          </w:p>
        </w:tc>
        <w:tc>
          <w:tcPr>
            <w:tcW w:w="479"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危险废物类别</w:t>
            </w:r>
          </w:p>
        </w:tc>
        <w:tc>
          <w:tcPr>
            <w:tcW w:w="591"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危险废物代码</w:t>
            </w:r>
          </w:p>
        </w:tc>
        <w:tc>
          <w:tcPr>
            <w:tcW w:w="487"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产生量（</w:t>
            </w:r>
            <w:r>
              <w:rPr>
                <w:rFonts w:hint="default" w:ascii="Times New Roman" w:hAnsi="Times New Roman" w:cs="Times New Roman"/>
                <w:color w:val="000000"/>
                <w:sz w:val="21"/>
                <w:szCs w:val="24"/>
                <w:bdr w:val="none" w:color="auto" w:sz="0" w:space="0"/>
                <w:lang w:val="en-US"/>
              </w:rPr>
              <w:t>t/a</w:t>
            </w:r>
            <w:r>
              <w:rPr>
                <w:rFonts w:ascii="Times New Roman" w:hAnsi="Times New Roman" w:cs="Times New Roman"/>
                <w:color w:val="000000"/>
                <w:sz w:val="21"/>
                <w:szCs w:val="24"/>
                <w:bdr w:val="none" w:color="auto" w:sz="0" w:space="0"/>
              </w:rPr>
              <w:t>）</w:t>
            </w:r>
          </w:p>
        </w:tc>
        <w:tc>
          <w:tcPr>
            <w:tcW w:w="408"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产生工序</w:t>
            </w:r>
          </w:p>
        </w:tc>
        <w:tc>
          <w:tcPr>
            <w:tcW w:w="404"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形态</w:t>
            </w:r>
          </w:p>
        </w:tc>
        <w:tc>
          <w:tcPr>
            <w:tcW w:w="408"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主要成分</w:t>
            </w:r>
          </w:p>
        </w:tc>
        <w:tc>
          <w:tcPr>
            <w:tcW w:w="407"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有害成分</w:t>
            </w:r>
          </w:p>
        </w:tc>
        <w:tc>
          <w:tcPr>
            <w:tcW w:w="407"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产废周期</w:t>
            </w:r>
          </w:p>
        </w:tc>
        <w:tc>
          <w:tcPr>
            <w:tcW w:w="406" w:type="pct"/>
            <w:tcBorders>
              <w:top w:val="thinThickSmallGap" w:color="auto" w:sz="12" w:space="0"/>
              <w:left w:val="single" w:color="auto" w:sz="6" w:space="0"/>
              <w:bottom w:val="single" w:color="auto" w:sz="6" w:space="0"/>
              <w:right w:val="single" w:color="auto" w:sz="6" w:space="0"/>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危险特性</w:t>
            </w:r>
          </w:p>
        </w:tc>
        <w:tc>
          <w:tcPr>
            <w:tcW w:w="547" w:type="pct"/>
            <w:tcBorders>
              <w:top w:val="thinThickSmallGap" w:color="auto" w:sz="12" w:space="0"/>
              <w:left w:val="single" w:color="auto" w:sz="6" w:space="0"/>
              <w:bottom w:val="single" w:color="auto" w:sz="6" w:space="0"/>
              <w:right w:val="nil"/>
            </w:tcBorders>
            <w:shd w:val="clear" w:color="auto" w:fill="D9D9D9"/>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处置措施</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5"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废润滑油桶</w:t>
            </w:r>
          </w:p>
        </w:tc>
        <w:tc>
          <w:tcPr>
            <w:tcW w:w="479"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HW08</w:t>
            </w:r>
          </w:p>
        </w:tc>
        <w:tc>
          <w:tcPr>
            <w:tcW w:w="59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900-214-08</w:t>
            </w:r>
          </w:p>
        </w:tc>
        <w:tc>
          <w:tcPr>
            <w:tcW w:w="48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0.1</w:t>
            </w:r>
          </w:p>
        </w:tc>
        <w:tc>
          <w:tcPr>
            <w:tcW w:w="4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设备维修保养</w:t>
            </w:r>
          </w:p>
        </w:tc>
        <w:tc>
          <w:tcPr>
            <w:tcW w:w="404"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固体</w:t>
            </w:r>
          </w:p>
        </w:tc>
        <w:tc>
          <w:tcPr>
            <w:tcW w:w="408"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润滑油</w:t>
            </w:r>
          </w:p>
        </w:tc>
        <w:tc>
          <w:tcPr>
            <w:tcW w:w="40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润滑油</w:t>
            </w:r>
          </w:p>
        </w:tc>
        <w:tc>
          <w:tcPr>
            <w:tcW w:w="40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3</w:t>
            </w:r>
            <w:r>
              <w:rPr>
                <w:rFonts w:ascii="Times New Roman" w:hAnsi="Times New Roman" w:cs="Times New Roman"/>
                <w:color w:val="000000"/>
                <w:sz w:val="21"/>
                <w:szCs w:val="24"/>
                <w:bdr w:val="none" w:color="auto" w:sz="0" w:space="0"/>
              </w:rPr>
              <w:t>个月</w:t>
            </w:r>
          </w:p>
        </w:tc>
        <w:tc>
          <w:tcPr>
            <w:tcW w:w="40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T</w:t>
            </w:r>
          </w:p>
        </w:tc>
        <w:tc>
          <w:tcPr>
            <w:tcW w:w="547" w:type="pct"/>
            <w:vMerge w:val="restar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委托有资质单位进行无害化处理</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5"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color w:val="000000"/>
                <w:sz w:val="21"/>
                <w:szCs w:val="24"/>
                <w:bdr w:val="none" w:color="auto" w:sz="0" w:space="0"/>
              </w:rPr>
              <w:t>浮选药剂包装桶</w:t>
            </w:r>
          </w:p>
        </w:tc>
        <w:tc>
          <w:tcPr>
            <w:tcW w:w="479"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HW49</w:t>
            </w:r>
          </w:p>
        </w:tc>
        <w:tc>
          <w:tcPr>
            <w:tcW w:w="591"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900-041-49</w:t>
            </w:r>
          </w:p>
        </w:tc>
        <w:tc>
          <w:tcPr>
            <w:tcW w:w="487"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0.8</w:t>
            </w:r>
          </w:p>
        </w:tc>
        <w:tc>
          <w:tcPr>
            <w:tcW w:w="408"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浮选过程</w:t>
            </w:r>
          </w:p>
        </w:tc>
        <w:tc>
          <w:tcPr>
            <w:tcW w:w="404"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固体</w:t>
            </w:r>
          </w:p>
        </w:tc>
        <w:tc>
          <w:tcPr>
            <w:tcW w:w="408"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浮选药剂</w:t>
            </w:r>
          </w:p>
        </w:tc>
        <w:tc>
          <w:tcPr>
            <w:tcW w:w="407"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浮选药剂</w:t>
            </w:r>
          </w:p>
        </w:tc>
        <w:tc>
          <w:tcPr>
            <w:tcW w:w="407"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w:t>
            </w:r>
            <w:r>
              <w:rPr>
                <w:rFonts w:ascii="Times New Roman" w:hAnsi="Times New Roman" w:cs="Times New Roman"/>
                <w:color w:val="000000"/>
                <w:sz w:val="21"/>
                <w:szCs w:val="24"/>
                <w:bdr w:val="none" w:color="auto" w:sz="0" w:space="0"/>
              </w:rPr>
              <w:t>个月</w:t>
            </w:r>
          </w:p>
        </w:tc>
        <w:tc>
          <w:tcPr>
            <w:tcW w:w="406"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T/In</w:t>
            </w:r>
          </w:p>
        </w:tc>
        <w:tc>
          <w:tcPr>
            <w:tcW w:w="547" w:type="pct"/>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bl>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bCs/>
          <w:color w:val="000000"/>
          <w:spacing w:val="4"/>
          <w:lang w:val="en-US"/>
        </w:rPr>
      </w:pPr>
    </w:p>
    <w:p>
      <w:pPr>
        <w:keepNext w:val="0"/>
        <w:keepLines w:val="0"/>
        <w:widowControl/>
        <w:suppressLineNumbers w:val="0"/>
        <w:adjustRightInd w:val="0"/>
        <w:spacing w:before="0" w:beforeAutospacing="0" w:after="0" w:afterAutospacing="0" w:line="500" w:lineRule="exact"/>
        <w:ind w:left="0" w:right="0" w:firstLine="482" w:firstLineChars="200"/>
        <w:jc w:val="left"/>
        <w:rPr>
          <w:rFonts w:hint="default" w:ascii="Times New Roman" w:hAnsi="Times New Roman" w:cs="Times New Roman"/>
          <w:b/>
          <w:snapToGrid w:val="0"/>
          <w:color w:val="000000"/>
          <w:lang w:val="en-US"/>
        </w:rPr>
      </w:pPr>
      <w:r>
        <w:rPr>
          <w:rFonts w:hint="eastAsia" w:ascii="Times New Roman" w:hAnsi="Times New Roman" w:eastAsia="宋体" w:cs="Times New Roman"/>
          <w:b/>
          <w:snapToGrid w:val="0"/>
          <w:color w:val="000000"/>
          <w:kern w:val="0"/>
          <w:sz w:val="24"/>
          <w:szCs w:val="24"/>
          <w:lang w:val="en-US" w:eastAsia="zh-CN" w:bidi="ar"/>
        </w:rPr>
        <w:t>（</w:t>
      </w:r>
      <w:r>
        <w:rPr>
          <w:rFonts w:hint="default" w:ascii="Times New Roman" w:hAnsi="Times New Roman" w:eastAsia="宋体" w:cs="Times New Roman"/>
          <w:b/>
          <w:snapToGrid w:val="0"/>
          <w:color w:val="000000"/>
          <w:kern w:val="0"/>
          <w:sz w:val="24"/>
          <w:szCs w:val="24"/>
          <w:lang w:val="en-US" w:eastAsia="zh-CN" w:bidi="ar"/>
        </w:rPr>
        <w:t>3</w:t>
      </w:r>
      <w:r>
        <w:rPr>
          <w:rFonts w:hint="eastAsia" w:ascii="Times New Roman" w:hAnsi="Times New Roman" w:eastAsia="宋体" w:cs="Times New Roman"/>
          <w:b/>
          <w:snapToGrid w:val="0"/>
          <w:color w:val="000000"/>
          <w:kern w:val="0"/>
          <w:sz w:val="24"/>
          <w:szCs w:val="24"/>
          <w:lang w:val="en-US" w:eastAsia="zh-CN" w:bidi="ar"/>
        </w:rPr>
        <w:t>）生活垃圾</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snapToGrid w:val="0"/>
          <w:color w:val="000000"/>
          <w:lang w:val="en-US"/>
        </w:rPr>
      </w:pPr>
      <w:r>
        <w:rPr>
          <w:rFonts w:hint="eastAsia" w:ascii="Times New Roman" w:hAnsi="Times New Roman" w:eastAsia="宋体" w:cs="Times New Roman"/>
          <w:snapToGrid w:val="0"/>
          <w:color w:val="000000"/>
          <w:kern w:val="0"/>
          <w:sz w:val="24"/>
          <w:szCs w:val="24"/>
          <w:lang w:val="en-US" w:eastAsia="zh-CN" w:bidi="ar"/>
        </w:rPr>
        <w:t>本项目生活垃圾产生量按照</w:t>
      </w:r>
      <w:r>
        <w:rPr>
          <w:rFonts w:hint="default" w:ascii="Times New Roman" w:hAnsi="Times New Roman" w:eastAsia="宋体" w:cs="Times New Roman"/>
          <w:snapToGrid w:val="0"/>
          <w:color w:val="000000"/>
          <w:kern w:val="0"/>
          <w:sz w:val="24"/>
          <w:szCs w:val="24"/>
          <w:lang w:val="en-US" w:eastAsia="zh-CN" w:bidi="ar"/>
        </w:rPr>
        <w:t>0.5kg/</w:t>
      </w:r>
      <w:r>
        <w:rPr>
          <w:rFonts w:hint="eastAsia" w:ascii="Times New Roman" w:hAnsi="Times New Roman" w:eastAsia="宋体" w:cs="Times New Roman"/>
          <w:snapToGrid w:val="0"/>
          <w:color w:val="000000"/>
          <w:kern w:val="0"/>
          <w:sz w:val="24"/>
          <w:szCs w:val="24"/>
          <w:lang w:val="en-US" w:eastAsia="zh-CN" w:bidi="ar"/>
        </w:rPr>
        <w:t>人·</w:t>
      </w:r>
      <w:r>
        <w:rPr>
          <w:rFonts w:hint="default" w:ascii="Times New Roman" w:hAnsi="Times New Roman" w:eastAsia="宋体" w:cs="Times New Roman"/>
          <w:snapToGrid w:val="0"/>
          <w:color w:val="000000"/>
          <w:kern w:val="0"/>
          <w:sz w:val="24"/>
          <w:szCs w:val="24"/>
          <w:lang w:val="en-US" w:eastAsia="zh-CN" w:bidi="ar"/>
        </w:rPr>
        <w:t>d</w:t>
      </w:r>
      <w:r>
        <w:rPr>
          <w:rFonts w:hint="eastAsia" w:ascii="Times New Roman" w:hAnsi="Times New Roman" w:eastAsia="宋体" w:cs="Times New Roman"/>
          <w:snapToGrid w:val="0"/>
          <w:color w:val="000000"/>
          <w:kern w:val="0"/>
          <w:sz w:val="24"/>
          <w:szCs w:val="24"/>
          <w:lang w:val="en-US" w:eastAsia="zh-CN" w:bidi="ar"/>
        </w:rPr>
        <w:t>计算。本项目共有员工</w:t>
      </w:r>
      <w:r>
        <w:rPr>
          <w:rFonts w:hint="default" w:ascii="Times New Roman" w:hAnsi="Times New Roman" w:eastAsia="宋体" w:cs="Times New Roman"/>
          <w:snapToGrid w:val="0"/>
          <w:color w:val="000000"/>
          <w:kern w:val="0"/>
          <w:sz w:val="24"/>
          <w:szCs w:val="24"/>
          <w:lang w:val="en-US" w:eastAsia="zh-CN" w:bidi="ar"/>
        </w:rPr>
        <w:t>80</w:t>
      </w:r>
      <w:r>
        <w:rPr>
          <w:rFonts w:hint="eastAsia" w:ascii="Times New Roman" w:hAnsi="Times New Roman" w:eastAsia="宋体" w:cs="Times New Roman"/>
          <w:snapToGrid w:val="0"/>
          <w:color w:val="000000"/>
          <w:kern w:val="0"/>
          <w:sz w:val="24"/>
          <w:szCs w:val="24"/>
          <w:lang w:val="en-US" w:eastAsia="zh-CN" w:bidi="ar"/>
        </w:rPr>
        <w:t>人，年生产天数为</w:t>
      </w:r>
      <w:r>
        <w:rPr>
          <w:rFonts w:hint="default" w:ascii="Times New Roman" w:hAnsi="Times New Roman" w:eastAsia="宋体" w:cs="Times New Roman"/>
          <w:snapToGrid w:val="0"/>
          <w:color w:val="000000"/>
          <w:kern w:val="0"/>
          <w:sz w:val="24"/>
          <w:szCs w:val="24"/>
          <w:lang w:val="en-US" w:eastAsia="zh-CN" w:bidi="ar"/>
        </w:rPr>
        <w:t>300</w:t>
      </w:r>
      <w:r>
        <w:rPr>
          <w:rFonts w:hint="eastAsia" w:ascii="Times New Roman" w:hAnsi="Times New Roman" w:eastAsia="宋体" w:cs="Times New Roman"/>
          <w:snapToGrid w:val="0"/>
          <w:color w:val="000000"/>
          <w:kern w:val="0"/>
          <w:sz w:val="24"/>
          <w:szCs w:val="24"/>
          <w:lang w:val="en-US" w:eastAsia="zh-CN" w:bidi="ar"/>
        </w:rPr>
        <w:t>天，则生活垃圾产生量约为</w:t>
      </w:r>
      <w:r>
        <w:rPr>
          <w:rFonts w:hint="default" w:ascii="Times New Roman" w:hAnsi="Times New Roman" w:eastAsia="宋体" w:cs="Times New Roman"/>
          <w:snapToGrid w:val="0"/>
          <w:color w:val="000000"/>
          <w:kern w:val="0"/>
          <w:sz w:val="24"/>
          <w:szCs w:val="24"/>
          <w:lang w:val="en-US" w:eastAsia="zh-CN" w:bidi="ar"/>
        </w:rPr>
        <w:t>12t/a</w:t>
      </w:r>
      <w:r>
        <w:rPr>
          <w:rFonts w:hint="eastAsia" w:ascii="Times New Roman" w:hAnsi="Times New Roman" w:eastAsia="宋体" w:cs="Times New Roman"/>
          <w:snapToGrid w:val="0"/>
          <w:color w:val="000000"/>
          <w:kern w:val="0"/>
          <w:sz w:val="24"/>
          <w:szCs w:val="24"/>
          <w:lang w:val="en-US" w:eastAsia="zh-CN" w:bidi="ar"/>
        </w:rPr>
        <w:t>。生活垃圾倒至指定的垃圾箱，并由环卫部门定期清运到指定地点统一处理。</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5</w:t>
      </w:r>
      <w:r>
        <w:rPr>
          <w:rFonts w:hint="default" w:ascii="Times New Roman" w:hAnsi="Times New Roman" w:cs="Times New Roman"/>
          <w:color w:val="000000"/>
          <w:lang/>
        </w:rPr>
        <w:t>.</w:t>
      </w:r>
      <w:r>
        <w:rPr>
          <w:rFonts w:hint="default" w:ascii="Times New Roman" w:hAnsi="Times New Roman" w:cs="Times New Roman"/>
          <w:color w:val="000000"/>
          <w:lang w:eastAsia="zh-CN"/>
        </w:rPr>
        <w:t>6</w:t>
      </w:r>
      <w:r>
        <w:rPr>
          <w:rFonts w:hint="default" w:ascii="Times New Roman" w:hAnsi="Times New Roman" w:cs="Times New Roman"/>
          <w:color w:val="000000"/>
          <w:lang/>
        </w:rPr>
        <w:t>.</w:t>
      </w:r>
      <w:r>
        <w:rPr>
          <w:rFonts w:hint="default" w:ascii="Times New Roman" w:hAnsi="Times New Roman" w:cs="Times New Roman"/>
          <w:color w:val="000000"/>
          <w:lang w:eastAsia="zh-CN"/>
        </w:rPr>
        <w:t xml:space="preserve">2 </w:t>
      </w:r>
      <w:r>
        <w:rPr>
          <w:rFonts w:ascii="Times New Roman" w:hAnsi="Times New Roman" w:cs="Times New Roman"/>
          <w:color w:val="000000"/>
          <w:lang w:eastAsia="zh-CN"/>
        </w:rPr>
        <w:t>固体废物影响分析</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snapToGrid w:val="0"/>
          <w:color w:val="000000"/>
          <w:lang w:val="en-US"/>
        </w:rPr>
      </w:pPr>
      <w:r>
        <w:rPr>
          <w:rFonts w:hint="eastAsia" w:ascii="宋体" w:hAnsi="宋体" w:eastAsia="宋体" w:cs="宋体"/>
          <w:color w:val="000000"/>
          <w:kern w:val="0"/>
          <w:sz w:val="24"/>
          <w:szCs w:val="24"/>
          <w:lang w:val="en-US" w:eastAsia="zh-CN" w:bidi="ar"/>
        </w:rPr>
        <w:t>本项目产生的一般固废</w:t>
      </w:r>
      <w:r>
        <w:rPr>
          <w:rFonts w:hint="eastAsia" w:ascii="Times New Roman" w:hAnsi="Times New Roman" w:eastAsia="宋体" w:cs="Times New Roman"/>
          <w:snapToGrid w:val="0"/>
          <w:color w:val="000000"/>
          <w:kern w:val="0"/>
          <w:sz w:val="24"/>
          <w:szCs w:val="24"/>
          <w:lang w:val="en-US" w:eastAsia="zh-CN" w:bidi="ar"/>
        </w:rPr>
        <w:t>振动筛废筛网、球磨机废钢球定期由厂家回收，不外排，布袋除尘器收尘灰、</w:t>
      </w:r>
      <w:r>
        <w:rPr>
          <w:rFonts w:hint="eastAsia" w:ascii="宋体" w:hAnsi="宋体" w:eastAsia="宋体" w:cs="Times New Roman"/>
          <w:snapToGrid w:val="0"/>
          <w:color w:val="000000"/>
          <w:kern w:val="0"/>
          <w:sz w:val="24"/>
          <w:szCs w:val="24"/>
          <w:lang w:val="en-US" w:eastAsia="zh-CN" w:bidi="ar"/>
        </w:rPr>
        <w:t>厂房遮挡粉尘、</w:t>
      </w:r>
      <w:r>
        <w:rPr>
          <w:rFonts w:hint="eastAsia" w:ascii="Times New Roman" w:hAnsi="Times New Roman" w:eastAsia="宋体" w:cs="Times New Roman"/>
          <w:snapToGrid w:val="0"/>
          <w:color w:val="000000"/>
          <w:kern w:val="0"/>
          <w:sz w:val="24"/>
          <w:szCs w:val="24"/>
          <w:lang w:val="en-US" w:eastAsia="zh-CN" w:bidi="ar"/>
        </w:rPr>
        <w:t>循环水池矿泥回用于生产，不外排；危险废物废润滑油桶、浮选药剂包装桶暂存于厂内危废暂存间，定期送有资质单位进行无害化处理；</w:t>
      </w:r>
      <w:bookmarkStart w:id="193" w:name="_Hlk42178531"/>
      <w:r>
        <w:rPr>
          <w:rFonts w:hint="eastAsia" w:ascii="Times New Roman" w:hAnsi="Times New Roman" w:eastAsia="宋体" w:cs="Times New Roman"/>
          <w:snapToGrid w:val="0"/>
          <w:color w:val="000000"/>
          <w:kern w:val="0"/>
          <w:sz w:val="24"/>
          <w:szCs w:val="24"/>
          <w:lang w:val="en-US" w:eastAsia="zh-CN" w:bidi="ar"/>
        </w:rPr>
        <w:t>废含油抹布和</w:t>
      </w:r>
      <w:bookmarkEnd w:id="193"/>
      <w:r>
        <w:rPr>
          <w:rFonts w:hint="eastAsia" w:ascii="Times New Roman" w:hAnsi="Times New Roman" w:eastAsia="宋体" w:cs="Times New Roman"/>
          <w:snapToGrid w:val="0"/>
          <w:color w:val="000000"/>
          <w:kern w:val="0"/>
          <w:sz w:val="24"/>
          <w:szCs w:val="24"/>
          <w:lang w:val="en-US" w:eastAsia="zh-CN" w:bidi="ar"/>
        </w:rPr>
        <w:t>生活垃圾由环卫部门定期清运到指定地点统一处理。</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本项目设置专用危险废物暂存间，面积</w:t>
      </w:r>
      <w:r>
        <w:rPr>
          <w:rFonts w:hint="default" w:ascii="Times New Roman" w:hAnsi="Times New Roman" w:eastAsia="宋体" w:cs="Times New Roman"/>
          <w:color w:val="000000"/>
          <w:kern w:val="0"/>
          <w:sz w:val="24"/>
          <w:szCs w:val="24"/>
          <w:lang w:val="en-US" w:eastAsia="zh-CN" w:bidi="ar"/>
        </w:rPr>
        <w:t>30m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。为防止危险废物在厂内临时存储过程中对环境产生污染影响，根据《危险废物贮存污染控制标准》（</w:t>
      </w:r>
      <w:r>
        <w:rPr>
          <w:rFonts w:hint="default" w:ascii="Times New Roman" w:hAnsi="Times New Roman" w:eastAsia="宋体" w:cs="Times New Roman"/>
          <w:color w:val="000000"/>
          <w:kern w:val="0"/>
          <w:sz w:val="24"/>
          <w:szCs w:val="24"/>
          <w:lang w:val="en-US" w:eastAsia="zh-CN" w:bidi="ar"/>
        </w:rPr>
        <w:t>GB18597-2001</w:t>
      </w:r>
      <w:r>
        <w:rPr>
          <w:rFonts w:hint="eastAsia" w:ascii="Times New Roman" w:hAnsi="Times New Roman" w:eastAsia="宋体" w:cs="Times New Roman"/>
          <w:color w:val="000000"/>
          <w:kern w:val="0"/>
          <w:sz w:val="24"/>
          <w:szCs w:val="24"/>
          <w:lang w:val="en-US" w:eastAsia="zh-CN" w:bidi="ar"/>
        </w:rPr>
        <w:t>）中的相关内容，做好防雨、放风，基础要做防渗处理，并设环保标志牌。在危险废物转移过程中要严格执行危险废物转移联单制度，按规定申领填写联单、按规定运行联单、在规定存档期限内妥善保管联单并定期限向环保部门报送联单。本评价要求：</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①</w:t>
      </w:r>
      <w:r>
        <w:rPr>
          <w:rFonts w:hint="eastAsia" w:ascii="Times New Roman" w:hAnsi="Times New Roman" w:eastAsia="宋体" w:cs="Times New Roman"/>
          <w:color w:val="000000"/>
          <w:kern w:val="0"/>
          <w:sz w:val="24"/>
          <w:szCs w:val="24"/>
          <w:lang w:val="en-US" w:eastAsia="zh-CN" w:bidi="ar"/>
        </w:rPr>
        <w:t>按照危险废物贮存污染控制标准要求，各种危险废物应采用专用容器存放，贴上标签，并置于专用贮存间。贮存间设立危险废物警示标志，由专人进行管理，做好危险废物有关记录。</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②</w:t>
      </w:r>
      <w:r>
        <w:rPr>
          <w:rFonts w:hint="eastAsia" w:ascii="Times New Roman" w:hAnsi="Times New Roman" w:eastAsia="宋体" w:cs="Times New Roman"/>
          <w:color w:val="000000"/>
          <w:kern w:val="0"/>
          <w:sz w:val="24"/>
          <w:szCs w:val="24"/>
          <w:lang w:val="en-US" w:eastAsia="zh-CN" w:bidi="ar"/>
        </w:rPr>
        <w:t>危险废物暂存场所设置堵截泄漏的裙脚，地面进行防渗处理，防渗层渗透系数小于</w:t>
      </w:r>
      <w:r>
        <w:rPr>
          <w:rFonts w:hint="default" w:ascii="Times New Roman" w:hAnsi="Times New Roman" w:eastAsia="宋体" w:cs="Times New Roman"/>
          <w:color w:val="000000"/>
          <w:kern w:val="0"/>
          <w:sz w:val="24"/>
          <w:szCs w:val="24"/>
          <w:lang w:val="en-US" w:eastAsia="zh-CN" w:bidi="ar"/>
        </w:rPr>
        <w:t>1×10</w:t>
      </w:r>
      <w:r>
        <w:rPr>
          <w:rFonts w:hint="default" w:ascii="Times New Roman" w:hAnsi="Times New Roman" w:eastAsia="宋体" w:cs="Times New Roman"/>
          <w:color w:val="000000"/>
          <w:kern w:val="0"/>
          <w:sz w:val="24"/>
          <w:szCs w:val="24"/>
          <w:vertAlign w:val="superscript"/>
          <w:lang w:val="en-US" w:eastAsia="zh-CN" w:bidi="ar"/>
        </w:rPr>
        <w:t>-10</w:t>
      </w:r>
      <w:r>
        <w:rPr>
          <w:rFonts w:hint="default" w:ascii="Times New Roman" w:hAnsi="Times New Roman" w:eastAsia="宋体" w:cs="Times New Roman"/>
          <w:color w:val="000000"/>
          <w:kern w:val="0"/>
          <w:sz w:val="24"/>
          <w:szCs w:val="24"/>
          <w:lang w:val="en-US" w:eastAsia="zh-CN" w:bidi="ar"/>
        </w:rPr>
        <w:t>cm/s</w:t>
      </w:r>
      <w:r>
        <w:rPr>
          <w:rFonts w:hint="eastAsia" w:ascii="Times New Roman" w:hAnsi="Times New Roman" w:eastAsia="宋体" w:cs="Times New Roman"/>
          <w:color w:val="000000"/>
          <w:kern w:val="0"/>
          <w:sz w:val="24"/>
          <w:szCs w:val="24"/>
          <w:lang w:val="en-US" w:eastAsia="zh-CN" w:bidi="ar"/>
        </w:rPr>
        <w:t>，且做到表面无裂隙，避免泄漏对地下水产生污染影响。并设置泄漏液体的收集装置。</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③</w:t>
      </w:r>
      <w:r>
        <w:rPr>
          <w:rFonts w:hint="eastAsia" w:ascii="Times New Roman" w:hAnsi="Times New Roman" w:eastAsia="宋体" w:cs="Times New Roman"/>
          <w:color w:val="000000"/>
          <w:kern w:val="0"/>
          <w:sz w:val="24"/>
          <w:szCs w:val="24"/>
          <w:lang w:val="en-US" w:eastAsia="zh-CN" w:bidi="ar"/>
        </w:rPr>
        <w:t>对装有危废的容器进行定期检查，容器泄漏损坏时必须立即处理，并将危废装入完好容器内。</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宋体" w:hAnsi="宋体" w:eastAsia="宋体" w:cs="Times New Roman"/>
          <w:color w:val="000000"/>
          <w:kern w:val="0"/>
          <w:sz w:val="24"/>
          <w:szCs w:val="24"/>
          <w:lang w:val="en-US" w:eastAsia="zh-CN" w:bidi="ar"/>
        </w:rPr>
        <w:t>④</w:t>
      </w:r>
      <w:r>
        <w:rPr>
          <w:rFonts w:hint="eastAsia" w:ascii="Times New Roman" w:hAnsi="Times New Roman" w:eastAsia="宋体" w:cs="Times New Roman"/>
          <w:color w:val="000000"/>
          <w:kern w:val="0"/>
          <w:sz w:val="24"/>
          <w:szCs w:val="24"/>
          <w:lang w:val="en-US" w:eastAsia="zh-CN" w:bidi="ar"/>
        </w:rPr>
        <w:t>危险废物贮存周期不超过一年。</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cs="Times New Roman"/>
          <w:color w:val="000000"/>
          <w:lang w:val="en-US"/>
        </w:rPr>
      </w:pPr>
      <w:bookmarkStart w:id="194" w:name="OLE_LINK73"/>
      <w:bookmarkStart w:id="195" w:name="OLE_LINK72"/>
      <w:r>
        <w:rPr>
          <w:rFonts w:hint="eastAsia" w:ascii="宋体" w:hAnsi="宋体" w:eastAsia="宋体" w:cs="Times New Roman"/>
          <w:color w:val="000000"/>
          <w:kern w:val="0"/>
          <w:sz w:val="24"/>
          <w:szCs w:val="24"/>
          <w:lang w:val="en-US" w:eastAsia="zh-CN" w:bidi="ar"/>
        </w:rPr>
        <w:t>综上所述，在采取以上相应处置措施的基础上，本项目投产后产生的各类一般工业固废、危险废物、生活垃圾均可得到有效处理或处置，</w:t>
      </w:r>
      <w:bookmarkEnd w:id="194"/>
      <w:bookmarkEnd w:id="195"/>
      <w:r>
        <w:rPr>
          <w:rFonts w:hint="eastAsia" w:ascii="宋体" w:hAnsi="宋体" w:eastAsia="宋体" w:cs="Times New Roman"/>
          <w:color w:val="000000"/>
          <w:kern w:val="0"/>
          <w:sz w:val="24"/>
          <w:szCs w:val="24"/>
          <w:lang w:val="en-US" w:eastAsia="zh-CN" w:bidi="ar"/>
        </w:rPr>
        <w:t>项目产生的固体废物对周围环境影响较小。</w:t>
      </w:r>
    </w:p>
    <w:bookmarkEnd w:id="187"/>
    <w:bookmarkEnd w:id="188"/>
    <w:bookmarkEnd w:id="189"/>
    <w:bookmarkEnd w:id="190"/>
    <w:bookmarkEnd w:id="191"/>
    <w:bookmarkEnd w:id="192"/>
    <w:p>
      <w:pPr>
        <w:pStyle w:val="8"/>
        <w:widowControl/>
        <w:rPr>
          <w:color w:val="000000"/>
          <w:lang/>
        </w:rPr>
      </w:pPr>
      <w:bookmarkStart w:id="196" w:name="_Toc41656147"/>
      <w:bookmarkStart w:id="197" w:name="_Toc175714280"/>
      <w:bookmarkStart w:id="198" w:name="_Toc175711447"/>
      <w:bookmarkStart w:id="199" w:name="_Toc166464748"/>
      <w:bookmarkStart w:id="200" w:name="_Toc158523427"/>
      <w:bookmarkStart w:id="201" w:name="_Toc154570265"/>
      <w:bookmarkStart w:id="202" w:name="_Toc154569878"/>
      <w:bookmarkStart w:id="203" w:name="_Toc153878474"/>
      <w:bookmarkStart w:id="204" w:name="_Toc153007138"/>
      <w:bookmarkStart w:id="205" w:name="_Toc151278939"/>
      <w:bookmarkStart w:id="206" w:name="_Toc151276200"/>
      <w:bookmarkStart w:id="207" w:name="_Toc151200307"/>
      <w:bookmarkStart w:id="208" w:name="_Toc151200147"/>
      <w:r>
        <w:rPr>
          <w:color w:val="000000"/>
          <w:lang/>
        </w:rPr>
        <w:t xml:space="preserve">5.7 </w:t>
      </w:r>
      <w:r>
        <w:rPr>
          <w:rFonts w:hint="eastAsia" w:ascii="Times New Roman" w:hAnsi="Times New Roman" w:eastAsia="宋体" w:cs="宋体"/>
          <w:color w:val="000000"/>
          <w:lang w:eastAsia="zh-CN"/>
        </w:rPr>
        <w:t>环境风险评价</w:t>
      </w:r>
      <w:bookmarkEnd w:id="196"/>
    </w:p>
    <w:p>
      <w:pPr>
        <w:keepNext w:val="0"/>
        <w:keepLines w:val="0"/>
        <w:widowControl/>
        <w:suppressLineNumbers w:val="0"/>
        <w:spacing w:before="0" w:beforeAutospacing="0" w:after="0" w:afterAutospacing="0"/>
        <w:ind w:left="0" w:right="0" w:firstLine="480" w:firstLineChars="200"/>
        <w:jc w:val="left"/>
        <w:rPr>
          <w:color w:val="000000"/>
          <w:lang/>
        </w:rPr>
      </w:pPr>
      <w:r>
        <w:rPr>
          <w:rFonts w:hint="eastAsia" w:ascii="Times New Roman" w:hAnsi="Times New Roman" w:eastAsia="宋体" w:cs="Times New Roman"/>
          <w:color w:val="000000"/>
          <w:kern w:val="0"/>
          <w:sz w:val="24"/>
          <w:szCs w:val="24"/>
          <w:lang w:val="en-US" w:eastAsia="zh-CN" w:bidi="ar"/>
        </w:rPr>
        <w:t>根据《建设项目环境风险评价技术导则》（</w:t>
      </w:r>
      <w:r>
        <w:rPr>
          <w:rFonts w:hint="default" w:ascii="Times New Roman" w:hAnsi="Times New Roman" w:eastAsia="宋体" w:cs="Times New Roman"/>
          <w:color w:val="000000"/>
          <w:kern w:val="0"/>
          <w:sz w:val="24"/>
          <w:szCs w:val="24"/>
          <w:lang w:val="en-US" w:eastAsia="zh-CN" w:bidi="ar"/>
        </w:rPr>
        <w:t>HJ169-2018</w:t>
      </w:r>
      <w:r>
        <w:rPr>
          <w:rFonts w:hint="eastAsia" w:ascii="Times New Roman" w:hAnsi="Times New Roman" w:eastAsia="宋体" w:cs="Times New Roman"/>
          <w:color w:val="000000"/>
          <w:kern w:val="0"/>
          <w:sz w:val="24"/>
          <w:szCs w:val="24"/>
          <w:lang w:val="en-US" w:eastAsia="zh-CN" w:bidi="ar"/>
        </w:rPr>
        <w:t>）的环境风险评价工作等级划分依据，本项目环境风险潜势为</w:t>
      </w:r>
      <w:r>
        <w:rPr>
          <w:rFonts w:hint="default" w:ascii="Times New Roman" w:hAnsi="Times New Roman" w:eastAsia="宋体" w:cs="Times New Roman"/>
          <w:color w:val="000000"/>
          <w:kern w:val="0"/>
          <w:sz w:val="24"/>
          <w:szCs w:val="24"/>
          <w:lang w:val="en-US" w:eastAsia="zh-CN" w:bidi="ar"/>
        </w:rPr>
        <w:t>Ⅰ</w:t>
      </w:r>
      <w:r>
        <w:rPr>
          <w:rFonts w:hint="eastAsia" w:ascii="Times New Roman" w:hAnsi="Times New Roman" w:eastAsia="宋体" w:cs="Times New Roman"/>
          <w:color w:val="000000"/>
          <w:kern w:val="0"/>
          <w:sz w:val="24"/>
          <w:szCs w:val="24"/>
          <w:lang w:val="en-US" w:eastAsia="zh-CN" w:bidi="ar"/>
        </w:rPr>
        <w:t>，环境风险评价工作等级为简单分析。根据导则要求，</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简单分析</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的基本内容主要包括环境风险识别、环境风险分析、环境风险防范措施及应急要求、分析结论等，不需进行定量预测。</w:t>
      </w:r>
    </w:p>
    <w:p>
      <w:pPr>
        <w:keepNext/>
        <w:keepLines w:val="0"/>
        <w:widowControl/>
        <w:suppressLineNumbers w:val="0"/>
        <w:tabs>
          <w:tab w:val="left" w:pos="658"/>
        </w:tabs>
        <w:spacing w:before="0" w:beforeAutospacing="0" w:after="0" w:afterAutospacing="0" w:line="360" w:lineRule="auto"/>
        <w:ind w:left="0" w:right="0"/>
        <w:jc w:val="left"/>
        <w:outlineLvl w:val="2"/>
        <w:rPr>
          <w:rFonts w:hint="default" w:ascii="Times New Roman" w:hAnsi="Times New Roman" w:cs="Times New Roman"/>
          <w:b/>
          <w:bCs w:val="0"/>
          <w:color w:val="000000"/>
          <w:szCs w:val="28"/>
          <w:lang/>
        </w:rPr>
      </w:pPr>
      <w:r>
        <w:rPr>
          <w:rFonts w:hint="default" w:ascii="Times New Roman" w:hAnsi="Times New Roman" w:eastAsia="宋体" w:cs="Times New Roman"/>
          <w:b/>
          <w:bCs w:val="0"/>
          <w:color w:val="000000"/>
          <w:kern w:val="0"/>
          <w:sz w:val="24"/>
          <w:szCs w:val="28"/>
          <w:lang w:eastAsia="zh-CN" w:bidi="ar"/>
        </w:rPr>
        <w:t xml:space="preserve">5.7.1 </w:t>
      </w:r>
      <w:r>
        <w:rPr>
          <w:rFonts w:hint="eastAsia" w:ascii="Times New Roman" w:hAnsi="Times New Roman" w:eastAsia="宋体" w:cs="Times New Roman"/>
          <w:b/>
          <w:bCs w:val="0"/>
          <w:color w:val="000000"/>
          <w:kern w:val="0"/>
          <w:sz w:val="24"/>
          <w:szCs w:val="28"/>
          <w:lang w:val="en-US" w:eastAsia="zh-CN" w:bidi="ar"/>
        </w:rPr>
        <w:t>环境风险</w:t>
      </w:r>
      <w:r>
        <w:rPr>
          <w:rFonts w:hint="eastAsia" w:ascii="Times New Roman" w:hAnsi="Times New Roman" w:eastAsia="宋体" w:cs="Times New Roman"/>
          <w:b/>
          <w:bCs w:val="0"/>
          <w:color w:val="000000"/>
          <w:kern w:val="0"/>
          <w:sz w:val="24"/>
          <w:szCs w:val="28"/>
          <w:lang w:eastAsia="zh-CN" w:bidi="ar"/>
        </w:rPr>
        <w:t>识别</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）物质危险性识别</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本项目涉及的风险物质为润滑油，其理化性质等见表</w:t>
      </w:r>
      <w:r>
        <w:rPr>
          <w:rFonts w:hint="default" w:ascii="Times New Roman" w:hAnsi="Times New Roman" w:eastAsia="宋体" w:cs="Times New Roman"/>
          <w:color w:val="000000"/>
          <w:kern w:val="0"/>
          <w:sz w:val="24"/>
          <w:szCs w:val="24"/>
          <w:lang w:val="en-US" w:eastAsia="zh-CN" w:bidi="ar"/>
        </w:rPr>
        <w:t>5.7-1</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5.7-1  </w:t>
      </w:r>
      <w:r>
        <w:rPr>
          <w:rFonts w:hint="eastAsia" w:ascii="Times New Roman" w:hAnsi="Times New Roman" w:eastAsia="黑体" w:cs="Times New Roman"/>
          <w:color w:val="000000"/>
          <w:kern w:val="0"/>
          <w:sz w:val="24"/>
          <w:szCs w:val="24"/>
          <w:lang w:val="en-US" w:eastAsia="zh-CN" w:bidi="ar"/>
        </w:rPr>
        <w:t>润滑油理化性质及主要危险特性一览表</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2267"/>
        <w:gridCol w:w="1868"/>
        <w:gridCol w:w="2300"/>
        <w:gridCol w:w="2292"/>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40" w:hRule="atLeast"/>
          <w:jc w:val="center"/>
        </w:trPr>
        <w:tc>
          <w:tcPr>
            <w:tcW w:w="1299" w:type="pct"/>
            <w:tcBorders>
              <w:top w:val="thinThickSmallGap" w:color="auto" w:sz="12" w:space="0"/>
              <w:left w:val="nil"/>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中文名称</w:t>
            </w:r>
          </w:p>
        </w:tc>
        <w:tc>
          <w:tcPr>
            <w:tcW w:w="1070" w:type="pct"/>
            <w:tcBorders>
              <w:top w:val="thinThickSmallGap" w:color="auto" w:sz="12"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润滑油</w:t>
            </w:r>
          </w:p>
        </w:tc>
        <w:tc>
          <w:tcPr>
            <w:tcW w:w="1318" w:type="pct"/>
            <w:tcBorders>
              <w:top w:val="thinThickSmallGap" w:color="auto" w:sz="12"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英文名</w:t>
            </w:r>
          </w:p>
        </w:tc>
        <w:tc>
          <w:tcPr>
            <w:tcW w:w="1313" w:type="pct"/>
            <w:tcBorders>
              <w:top w:val="thinThickSmallGap" w:color="auto" w:sz="12"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lubricating</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9" w:type="pct"/>
            <w:tcBorders>
              <w:top w:val="single" w:color="auto" w:sz="4" w:space="0"/>
              <w:left w:val="nil"/>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外观与性状</w:t>
            </w:r>
          </w:p>
        </w:tc>
        <w:tc>
          <w:tcPr>
            <w:tcW w:w="107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淡黄色粘稠液体</w:t>
            </w:r>
          </w:p>
        </w:tc>
        <w:tc>
          <w:tcPr>
            <w:tcW w:w="131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闪点（</w:t>
            </w:r>
            <w:r>
              <w:rPr>
                <w:rFonts w:hint="default" w:ascii="Times New Roman" w:hAnsi="Times New Roman" w:cs="Times New Roman"/>
                <w:color w:val="000000"/>
                <w:sz w:val="21"/>
                <w:szCs w:val="24"/>
                <w:bdr w:val="none" w:color="auto" w:sz="0" w:space="0"/>
                <w:lang w:val="en-US"/>
              </w:rPr>
              <w:t>℃</w:t>
            </w:r>
            <w:r>
              <w:rPr>
                <w:rFonts w:ascii="Times New Roman" w:hAnsi="Times New Roman" w:cs="Times New Roman"/>
                <w:color w:val="000000"/>
                <w:sz w:val="21"/>
                <w:szCs w:val="24"/>
                <w:bdr w:val="none" w:color="auto" w:sz="0" w:space="0"/>
              </w:rPr>
              <w:t>）</w:t>
            </w:r>
          </w:p>
        </w:tc>
        <w:tc>
          <w:tcPr>
            <w:tcW w:w="1313"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120~340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9" w:type="pct"/>
            <w:tcBorders>
              <w:top w:val="single" w:color="auto" w:sz="4" w:space="0"/>
              <w:left w:val="nil"/>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自燃点（</w:t>
            </w:r>
            <w:r>
              <w:rPr>
                <w:rFonts w:hint="default" w:ascii="Times New Roman" w:hAnsi="Times New Roman" w:cs="Times New Roman"/>
                <w:color w:val="000000"/>
                <w:sz w:val="21"/>
                <w:szCs w:val="24"/>
                <w:bdr w:val="none" w:color="auto" w:sz="0" w:space="0"/>
                <w:lang w:val="en-US"/>
              </w:rPr>
              <w:t>℃</w:t>
            </w:r>
            <w:r>
              <w:rPr>
                <w:rFonts w:ascii="Times New Roman" w:hAnsi="Times New Roman" w:cs="Times New Roman"/>
                <w:color w:val="000000"/>
                <w:sz w:val="21"/>
                <w:szCs w:val="24"/>
                <w:bdr w:val="none" w:color="auto" w:sz="0" w:space="0"/>
              </w:rPr>
              <w:t>）</w:t>
            </w:r>
          </w:p>
        </w:tc>
        <w:tc>
          <w:tcPr>
            <w:tcW w:w="107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300~350</w:t>
            </w:r>
          </w:p>
        </w:tc>
        <w:tc>
          <w:tcPr>
            <w:tcW w:w="131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相对密度</w:t>
            </w:r>
            <w:r>
              <w:rPr>
                <w:rFonts w:hint="default" w:ascii="Times New Roman" w:hAnsi="Times New Roman" w:cs="Times New Roman"/>
                <w:color w:val="000000"/>
                <w:sz w:val="21"/>
                <w:szCs w:val="24"/>
                <w:bdr w:val="none" w:color="auto" w:sz="0" w:space="0"/>
                <w:lang w:val="en-US"/>
              </w:rPr>
              <w:t xml:space="preserve"> (=1)</w:t>
            </w:r>
          </w:p>
        </w:tc>
        <w:tc>
          <w:tcPr>
            <w:tcW w:w="1313"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934.8</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9" w:type="pct"/>
            <w:tcBorders>
              <w:top w:val="single" w:color="auto" w:sz="4" w:space="0"/>
              <w:left w:val="nil"/>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沸点（</w:t>
            </w:r>
            <w:r>
              <w:rPr>
                <w:rFonts w:hint="default" w:ascii="Times New Roman" w:hAnsi="Times New Roman" w:cs="Times New Roman"/>
                <w:color w:val="000000"/>
                <w:sz w:val="21"/>
                <w:szCs w:val="24"/>
                <w:bdr w:val="none" w:color="auto" w:sz="0" w:space="0"/>
                <w:lang w:val="en-US"/>
              </w:rPr>
              <w:t>℃</w:t>
            </w:r>
            <w:r>
              <w:rPr>
                <w:rFonts w:ascii="Times New Roman" w:hAnsi="Times New Roman" w:cs="Times New Roman"/>
                <w:color w:val="000000"/>
                <w:sz w:val="21"/>
                <w:szCs w:val="24"/>
                <w:bdr w:val="none" w:color="auto" w:sz="0" w:space="0"/>
              </w:rPr>
              <w:t>）</w:t>
            </w:r>
          </w:p>
        </w:tc>
        <w:tc>
          <w:tcPr>
            <w:tcW w:w="107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-252.8</w:t>
            </w:r>
          </w:p>
        </w:tc>
        <w:tc>
          <w:tcPr>
            <w:tcW w:w="1318"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饱和蒸汽压（</w:t>
            </w:r>
            <w:r>
              <w:rPr>
                <w:rFonts w:hint="default" w:ascii="Times New Roman" w:hAnsi="Times New Roman" w:cs="Times New Roman"/>
                <w:color w:val="000000"/>
                <w:sz w:val="21"/>
                <w:szCs w:val="24"/>
                <w:bdr w:val="none" w:color="auto" w:sz="0" w:space="0"/>
                <w:lang w:val="en-US"/>
              </w:rPr>
              <w:t>kPa</w:t>
            </w:r>
            <w:r>
              <w:rPr>
                <w:rFonts w:ascii="Times New Roman" w:hAnsi="Times New Roman" w:cs="Times New Roman"/>
                <w:color w:val="000000"/>
                <w:sz w:val="21"/>
                <w:szCs w:val="24"/>
                <w:bdr w:val="none" w:color="auto" w:sz="0" w:space="0"/>
              </w:rPr>
              <w:t>）</w:t>
            </w:r>
          </w:p>
        </w:tc>
        <w:tc>
          <w:tcPr>
            <w:tcW w:w="1313" w:type="pct"/>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0.13/145.8℃</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9" w:type="pct"/>
            <w:tcBorders>
              <w:top w:val="single" w:color="auto" w:sz="4" w:space="0"/>
              <w:left w:val="nil"/>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溶解性</w:t>
            </w:r>
          </w:p>
        </w:tc>
        <w:tc>
          <w:tcPr>
            <w:tcW w:w="3701" w:type="pct"/>
            <w:gridSpan w:val="3"/>
            <w:tcBorders>
              <w:top w:val="single" w:color="auto" w:sz="4" w:space="0"/>
              <w:left w:val="single" w:color="auto" w:sz="4" w:space="0"/>
              <w:bottom w:val="single" w:color="auto" w:sz="4"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不溶于水，溶于苯、乙醇、乙醚、氯仿等多种有机溶剂。</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9" w:type="pct"/>
            <w:tcBorders>
              <w:top w:val="single" w:color="auto" w:sz="4" w:space="0"/>
              <w:left w:val="nil"/>
              <w:bottom w:val="thickThin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燃烧爆炸危险</w:t>
            </w:r>
          </w:p>
        </w:tc>
        <w:tc>
          <w:tcPr>
            <w:tcW w:w="3701" w:type="pct"/>
            <w:gridSpan w:val="3"/>
            <w:tcBorders>
              <w:top w:val="single" w:color="auto" w:sz="4" w:space="0"/>
              <w:left w:val="single" w:color="auto" w:sz="4" w:space="0"/>
              <w:bottom w:val="thickThinSmallGap" w:color="auto" w:sz="12"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可燃液体，火灾危险性为丙</w:t>
            </w:r>
            <w:r>
              <w:rPr>
                <w:rFonts w:hint="default" w:ascii="Times New Roman" w:hAnsi="Times New Roman" w:cs="Times New Roman"/>
                <w:color w:val="000000"/>
                <w:sz w:val="21"/>
                <w:szCs w:val="24"/>
                <w:bdr w:val="none" w:color="auto" w:sz="0" w:space="0"/>
                <w:lang w:val="en-US"/>
              </w:rPr>
              <w:t>B</w:t>
            </w:r>
            <w:r>
              <w:rPr>
                <w:rFonts w:ascii="Times New Roman" w:hAnsi="Times New Roman" w:cs="Times New Roman"/>
                <w:color w:val="000000"/>
                <w:sz w:val="21"/>
                <w:szCs w:val="24"/>
                <w:bdr w:val="none" w:color="auto" w:sz="0" w:space="0"/>
              </w:rPr>
              <w:t>类；遇明火、高热可燃。燃烧分解产物</w:t>
            </w:r>
            <w:r>
              <w:rPr>
                <w:rFonts w:hint="default" w:ascii="Times New Roman" w:hAnsi="Times New Roman" w:cs="Times New Roman"/>
                <w:color w:val="000000"/>
                <w:sz w:val="21"/>
                <w:szCs w:val="24"/>
                <w:bdr w:val="none" w:color="auto" w:sz="0" w:space="0"/>
                <w:lang w:val="en-US"/>
              </w:rPr>
              <w:t>CO</w:t>
            </w:r>
            <w:r>
              <w:rPr>
                <w:rFonts w:ascii="Times New Roman" w:hAnsi="Times New Roman" w:cs="Times New Roman"/>
                <w:color w:val="000000"/>
                <w:sz w:val="21"/>
                <w:szCs w:val="24"/>
                <w:bdr w:val="none" w:color="auto" w:sz="0" w:space="0"/>
              </w:rPr>
              <w:t>、</w:t>
            </w:r>
            <w:r>
              <w:rPr>
                <w:rFonts w:hint="default" w:ascii="Times New Roman" w:hAnsi="Times New Roman" w:cs="Times New Roman"/>
                <w:color w:val="000000"/>
                <w:sz w:val="21"/>
                <w:szCs w:val="24"/>
                <w:bdr w:val="none" w:color="auto" w:sz="0" w:space="0"/>
                <w:lang w:val="en-US"/>
              </w:rPr>
              <w:t>CO</w:t>
            </w:r>
            <w:r>
              <w:rPr>
                <w:rFonts w:hint="default" w:ascii="Times New Roman" w:hAnsi="Times New Roman" w:cs="Times New Roman"/>
                <w:color w:val="000000"/>
                <w:sz w:val="21"/>
                <w:szCs w:val="24"/>
                <w:bdr w:val="none" w:color="auto" w:sz="0" w:space="0"/>
                <w:vertAlign w:val="subscript"/>
                <w:lang w:val="en-US"/>
              </w:rPr>
              <w:t>2</w:t>
            </w:r>
            <w:r>
              <w:rPr>
                <w:rFonts w:ascii="Times New Roman" w:hAnsi="Times New Roman" w:cs="Times New Roman"/>
                <w:color w:val="000000"/>
                <w:sz w:val="21"/>
                <w:szCs w:val="24"/>
                <w:bdr w:val="none" w:color="auto" w:sz="0" w:space="0"/>
              </w:rPr>
              <w:t>等有毒有害气体。</w:t>
            </w:r>
          </w:p>
        </w:tc>
      </w:tr>
    </w:tbl>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）生产系统危险性识别</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判断生产装置及储运系统是否具有风险性，首要的条件就是确定生产装置内物质和贮运系统中贮存物质是否具有危险性。因此以本项目物质危险性识别为基础，将所筛选出的风险物质因子作为总纲，对其涉及到的生产设施及储存系统进一步识别，以确定生产设施及储存系统中的风险因子。</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本项目涉及环境风险的生产设施主要为材料库，润滑油在更换前即用即买，暂存于材料库内，润滑油属于可燃液体，在储存过程中可能由于下列原因导致泄漏或发生火灾事故：</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Times New Roman"/>
          <w:color w:val="000000"/>
          <w:kern w:val="0"/>
          <w:sz w:val="24"/>
          <w:szCs w:val="24"/>
          <w:lang w:val="en-US" w:eastAsia="zh-CN" w:bidi="ar"/>
        </w:rPr>
        <w:t>①</w:t>
      </w:r>
      <w:r>
        <w:rPr>
          <w:rFonts w:hint="eastAsia" w:ascii="Times New Roman" w:hAnsi="Times New Roman" w:eastAsia="宋体" w:cs="Times New Roman"/>
          <w:color w:val="000000"/>
          <w:kern w:val="0"/>
          <w:sz w:val="24"/>
          <w:szCs w:val="24"/>
          <w:lang w:val="en-US" w:eastAsia="zh-CN" w:bidi="ar"/>
        </w:rPr>
        <w:t>贮存桶由于制造缺陷或受到外力作用等原因导致润滑油渗漏，有毒有害物质进入土壤及地下水环境；</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Times New Roman"/>
          <w:color w:val="000000"/>
          <w:kern w:val="0"/>
          <w:sz w:val="24"/>
          <w:szCs w:val="24"/>
          <w:lang w:val="en-US" w:eastAsia="zh-CN" w:bidi="ar"/>
        </w:rPr>
        <w:t>②</w:t>
      </w:r>
      <w:r>
        <w:rPr>
          <w:rFonts w:hint="eastAsia" w:ascii="Times New Roman" w:hAnsi="Times New Roman" w:eastAsia="宋体" w:cs="Times New Roman"/>
          <w:color w:val="000000"/>
          <w:kern w:val="0"/>
          <w:sz w:val="24"/>
          <w:szCs w:val="24"/>
          <w:lang w:val="en-US" w:eastAsia="zh-CN" w:bidi="ar"/>
        </w:rPr>
        <w:t>由于地震作用可能造成贮存桶破裂而导致泄漏事故。</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Times New Roman"/>
          <w:color w:val="000000"/>
          <w:kern w:val="0"/>
          <w:sz w:val="24"/>
          <w:szCs w:val="24"/>
          <w:lang w:val="en-US" w:eastAsia="zh-CN" w:bidi="ar"/>
        </w:rPr>
        <w:t>③</w:t>
      </w:r>
      <w:r>
        <w:rPr>
          <w:rFonts w:hint="eastAsia" w:ascii="Times New Roman" w:hAnsi="Times New Roman" w:eastAsia="宋体" w:cs="Times New Roman"/>
          <w:color w:val="000000"/>
          <w:kern w:val="0"/>
          <w:sz w:val="24"/>
          <w:szCs w:val="24"/>
          <w:lang w:val="en-US" w:eastAsia="zh-CN" w:bidi="ar"/>
        </w:rPr>
        <w:t>在大量泄漏并在高温环境下，遇明火或火花发生燃烧并引起火灾事故，产生的有毒有害气体进入大气环境，对周围敏感目标产生影响。</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本项目生产系统危险性识别见表</w:t>
      </w:r>
      <w:r>
        <w:rPr>
          <w:rFonts w:hint="default" w:ascii="Times New Roman" w:hAnsi="Times New Roman" w:eastAsia="黑体" w:cs="Times New Roman"/>
          <w:color w:val="000000"/>
          <w:kern w:val="0"/>
          <w:sz w:val="24"/>
          <w:szCs w:val="24"/>
          <w:lang w:val="en-US" w:eastAsia="zh-CN" w:bidi="ar"/>
        </w:rPr>
        <w:t>5.7-2</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5.7-2  </w:t>
      </w:r>
      <w:r>
        <w:rPr>
          <w:rFonts w:hint="eastAsia" w:ascii="Times New Roman" w:hAnsi="Times New Roman" w:eastAsia="黑体" w:cs="Times New Roman"/>
          <w:color w:val="000000"/>
          <w:kern w:val="0"/>
          <w:sz w:val="24"/>
          <w:szCs w:val="24"/>
          <w:lang w:val="en-US" w:eastAsia="zh-CN" w:bidi="ar"/>
        </w:rPr>
        <w:t>生产系统危险性识别一览表</w:t>
      </w:r>
    </w:p>
    <w:tbl>
      <w:tblPr>
        <w:tblStyle w:val="32"/>
        <w:tblW w:w="8581" w:type="dxa"/>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598"/>
        <w:gridCol w:w="1275"/>
        <w:gridCol w:w="709"/>
        <w:gridCol w:w="1295"/>
        <w:gridCol w:w="1494"/>
        <w:gridCol w:w="2210"/>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423" w:hRule="atLeast"/>
          <w:tblHeader/>
          <w:jc w:val="center"/>
        </w:trPr>
        <w:tc>
          <w:tcPr>
            <w:tcW w:w="1598" w:type="dxa"/>
            <w:tcBorders>
              <w:top w:val="thinThickSmallGap" w:color="auto" w:sz="12" w:space="0"/>
              <w:left w:val="nil"/>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危险物质名称</w:t>
            </w:r>
          </w:p>
        </w:tc>
        <w:tc>
          <w:tcPr>
            <w:tcW w:w="1275" w:type="dxa"/>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所处位置</w:t>
            </w:r>
          </w:p>
        </w:tc>
        <w:tc>
          <w:tcPr>
            <w:tcW w:w="709" w:type="dxa"/>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状态</w:t>
            </w:r>
          </w:p>
        </w:tc>
        <w:tc>
          <w:tcPr>
            <w:tcW w:w="1295" w:type="dxa"/>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储罐类型</w:t>
            </w:r>
          </w:p>
        </w:tc>
        <w:tc>
          <w:tcPr>
            <w:tcW w:w="1494" w:type="dxa"/>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规格</w:t>
            </w:r>
          </w:p>
        </w:tc>
        <w:tc>
          <w:tcPr>
            <w:tcW w:w="2210" w:type="dxa"/>
            <w:tcBorders>
              <w:top w:val="thinThickSmallGap" w:color="auto" w:sz="12" w:space="0"/>
              <w:left w:val="single" w:color="auto" w:sz="6" w:space="0"/>
              <w:bottom w:val="single" w:color="auto" w:sz="6" w:space="0"/>
              <w:right w:val="nil"/>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存在量</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423" w:hRule="atLeast"/>
          <w:jc w:val="center"/>
        </w:trPr>
        <w:tc>
          <w:tcPr>
            <w:tcW w:w="1598" w:type="dxa"/>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autoSpaceDE w:val="0"/>
              <w:autoSpaceDN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zh-CN"/>
              </w:rPr>
            </w:pPr>
            <w:r>
              <w:rPr>
                <w:rFonts w:ascii="Times New Roman" w:hAnsi="Times New Roman" w:cs="Times New Roman"/>
                <w:color w:val="000000"/>
                <w:sz w:val="21"/>
                <w:szCs w:val="21"/>
                <w:bdr w:val="none" w:color="auto" w:sz="0" w:space="0"/>
                <w:lang w:val="zh-CN"/>
              </w:rPr>
              <w:t>润滑油</w:t>
            </w:r>
          </w:p>
        </w:tc>
        <w:tc>
          <w:tcPr>
            <w:tcW w:w="1275"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材料库</w:t>
            </w:r>
          </w:p>
        </w:tc>
        <w:tc>
          <w:tcPr>
            <w:tcW w:w="709"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液</w:t>
            </w:r>
          </w:p>
        </w:tc>
        <w:tc>
          <w:tcPr>
            <w:tcW w:w="1295"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包装桶</w:t>
            </w:r>
          </w:p>
        </w:tc>
        <w:tc>
          <w:tcPr>
            <w:tcW w:w="1494"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200L/</w:t>
            </w:r>
            <w:r>
              <w:rPr>
                <w:rFonts w:ascii="Times New Roman" w:hAnsi="Times New Roman" w:cs="Times New Roman"/>
                <w:color w:val="000000"/>
                <w:sz w:val="21"/>
                <w:szCs w:val="21"/>
                <w:bdr w:val="none" w:color="auto" w:sz="0" w:space="0"/>
              </w:rPr>
              <w:t>桶</w:t>
            </w:r>
          </w:p>
        </w:tc>
        <w:tc>
          <w:tcPr>
            <w:tcW w:w="2210" w:type="dxa"/>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0.33t</w:t>
            </w:r>
          </w:p>
        </w:tc>
      </w:tr>
    </w:tbl>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eastAsia="zh-CN" w:bidi="ar"/>
        </w:rPr>
        <w:t>3</w:t>
      </w:r>
      <w:r>
        <w:rPr>
          <w:rFonts w:hint="eastAsia" w:ascii="Times New Roman" w:hAnsi="Times New Roman" w:eastAsia="宋体" w:cs="Times New Roman"/>
          <w:color w:val="000000"/>
          <w:kern w:val="0"/>
          <w:sz w:val="24"/>
          <w:szCs w:val="24"/>
          <w:lang w:val="en-US" w:eastAsia="zh-CN" w:bidi="ar"/>
        </w:rPr>
        <w:t>）危险物质向环境转移途径识别</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润滑油向环境转移的途径主要为发生泄露事故时泄漏物料排入地坪，在项目场区下渗进而会对地下水质量造成长期不利影响。在大量泄漏并在高温环境下，遇明火或火花发生燃烧并引起火灾爆炸事故，燃烧分解产物</w:t>
      </w:r>
      <w:r>
        <w:rPr>
          <w:rFonts w:hint="default" w:ascii="Times New Roman" w:hAnsi="Times New Roman" w:eastAsia="宋体" w:cs="Times New Roman"/>
          <w:color w:val="000000"/>
          <w:kern w:val="0"/>
          <w:sz w:val="24"/>
          <w:szCs w:val="24"/>
          <w:lang w:val="en-US" w:eastAsia="zh-CN" w:bidi="ar"/>
        </w:rPr>
        <w:t>CO</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CO</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Times New Roman" w:hAnsi="Times New Roman" w:eastAsia="宋体" w:cs="Times New Roman"/>
          <w:color w:val="000000"/>
          <w:kern w:val="0"/>
          <w:sz w:val="24"/>
          <w:szCs w:val="24"/>
          <w:lang w:val="en-US" w:eastAsia="zh-CN" w:bidi="ar"/>
        </w:rPr>
        <w:t>等有毒有害气体进入大气环境，对环境空气产生污染，甚至造成人员中毒事件。</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根据《环境化学毒物防治手册》（化学工业出版社，江泉观等），</w:t>
      </w:r>
      <w:r>
        <w:rPr>
          <w:rFonts w:hint="default" w:ascii="Times New Roman" w:hAnsi="Times New Roman" w:eastAsia="宋体" w:cs="Times New Roman"/>
          <w:color w:val="000000"/>
          <w:kern w:val="0"/>
          <w:sz w:val="24"/>
          <w:szCs w:val="24"/>
          <w:lang w:val="en-US" w:eastAsia="zh-CN" w:bidi="ar"/>
        </w:rPr>
        <w:t>CO</w:t>
      </w:r>
      <w:r>
        <w:rPr>
          <w:rFonts w:hint="eastAsia" w:ascii="Times New Roman" w:hAnsi="Times New Roman" w:eastAsia="宋体" w:cs="Times New Roman"/>
          <w:color w:val="000000"/>
          <w:kern w:val="0"/>
          <w:sz w:val="24"/>
          <w:szCs w:val="24"/>
          <w:lang w:val="en-US" w:eastAsia="zh-CN" w:bidi="ar"/>
        </w:rPr>
        <w:t>一般经呼吸道吸入及排出，吸入的</w:t>
      </w:r>
      <w:r>
        <w:rPr>
          <w:rFonts w:hint="default" w:ascii="Times New Roman" w:hAnsi="Times New Roman" w:eastAsia="宋体" w:cs="Times New Roman"/>
          <w:color w:val="000000"/>
          <w:kern w:val="0"/>
          <w:sz w:val="24"/>
          <w:szCs w:val="24"/>
          <w:lang w:val="en-US" w:eastAsia="zh-CN" w:bidi="ar"/>
        </w:rPr>
        <w:t>CO</w:t>
      </w:r>
      <w:r>
        <w:rPr>
          <w:rFonts w:hint="eastAsia" w:ascii="Times New Roman" w:hAnsi="Times New Roman" w:eastAsia="宋体" w:cs="Times New Roman"/>
          <w:color w:val="000000"/>
          <w:kern w:val="0"/>
          <w:sz w:val="24"/>
          <w:szCs w:val="24"/>
          <w:lang w:val="en-US" w:eastAsia="zh-CN" w:bidi="ar"/>
        </w:rPr>
        <w:t>通过肺泡进入血液循环系统，立即与血红蛋白结合形成碳氧血红蛋白（</w:t>
      </w:r>
      <w:r>
        <w:rPr>
          <w:rFonts w:hint="default" w:ascii="Times New Roman" w:hAnsi="Times New Roman" w:eastAsia="宋体" w:cs="Times New Roman"/>
          <w:color w:val="000000"/>
          <w:kern w:val="0"/>
          <w:sz w:val="24"/>
          <w:szCs w:val="24"/>
          <w:lang w:val="en-US" w:eastAsia="zh-CN" w:bidi="ar"/>
        </w:rPr>
        <w:t>HbCO</w:t>
      </w:r>
      <w:r>
        <w:rPr>
          <w:rFonts w:hint="eastAsia" w:ascii="Times New Roman" w:hAnsi="Times New Roman" w:eastAsia="宋体" w:cs="Times New Roman"/>
          <w:color w:val="000000"/>
          <w:kern w:val="0"/>
          <w:sz w:val="24"/>
          <w:szCs w:val="24"/>
          <w:lang w:val="en-US" w:eastAsia="zh-CN" w:bidi="ar"/>
        </w:rPr>
        <w:t>）。人体</w:t>
      </w:r>
      <w:r>
        <w:rPr>
          <w:rFonts w:hint="default" w:ascii="Times New Roman" w:hAnsi="Times New Roman" w:eastAsia="宋体" w:cs="Times New Roman"/>
          <w:color w:val="000000"/>
          <w:kern w:val="0"/>
          <w:sz w:val="24"/>
          <w:szCs w:val="24"/>
          <w:lang w:val="en-US" w:eastAsia="zh-CN" w:bidi="ar"/>
        </w:rPr>
        <w:t>CO</w:t>
      </w:r>
      <w:r>
        <w:rPr>
          <w:rFonts w:hint="eastAsia" w:ascii="Times New Roman" w:hAnsi="Times New Roman" w:eastAsia="宋体" w:cs="Times New Roman"/>
          <w:color w:val="000000"/>
          <w:kern w:val="0"/>
          <w:sz w:val="24"/>
          <w:szCs w:val="24"/>
          <w:lang w:val="en-US" w:eastAsia="zh-CN" w:bidi="ar"/>
        </w:rPr>
        <w:t>中毒主要是吸入过量</w:t>
      </w:r>
      <w:r>
        <w:rPr>
          <w:rFonts w:hint="default" w:ascii="Times New Roman" w:hAnsi="Times New Roman" w:eastAsia="宋体" w:cs="Times New Roman"/>
          <w:color w:val="000000"/>
          <w:kern w:val="0"/>
          <w:sz w:val="24"/>
          <w:szCs w:val="24"/>
          <w:lang w:val="en-US" w:eastAsia="zh-CN" w:bidi="ar"/>
        </w:rPr>
        <w:t>CO</w:t>
      </w:r>
      <w:r>
        <w:rPr>
          <w:rFonts w:hint="eastAsia" w:ascii="Times New Roman" w:hAnsi="Times New Roman" w:eastAsia="宋体" w:cs="Times New Roman"/>
          <w:color w:val="000000"/>
          <w:kern w:val="0"/>
          <w:sz w:val="24"/>
          <w:szCs w:val="24"/>
          <w:lang w:val="en-US" w:eastAsia="zh-CN" w:bidi="ar"/>
        </w:rPr>
        <w:t>引起组织缺氧，短期内吸入高浓度</w:t>
      </w:r>
      <w:r>
        <w:rPr>
          <w:rFonts w:hint="default" w:ascii="Times New Roman" w:hAnsi="Times New Roman" w:eastAsia="宋体" w:cs="Times New Roman"/>
          <w:color w:val="000000"/>
          <w:kern w:val="0"/>
          <w:sz w:val="24"/>
          <w:szCs w:val="24"/>
          <w:lang w:val="en-US" w:eastAsia="zh-CN" w:bidi="ar"/>
        </w:rPr>
        <w:t>CO</w:t>
      </w:r>
      <w:r>
        <w:rPr>
          <w:rFonts w:hint="eastAsia" w:ascii="Times New Roman" w:hAnsi="Times New Roman" w:eastAsia="宋体" w:cs="Times New Roman"/>
          <w:color w:val="000000"/>
          <w:kern w:val="0"/>
          <w:sz w:val="24"/>
          <w:szCs w:val="24"/>
          <w:lang w:val="en-US" w:eastAsia="zh-CN" w:bidi="ar"/>
        </w:rPr>
        <w:t>可引起头痛、头晕、心悸、四肢无力、恶心、呕吐、意识模糊，重者昏迷。</w:t>
      </w:r>
    </w:p>
    <w:p>
      <w:pPr>
        <w:keepNext/>
        <w:keepLines w:val="0"/>
        <w:widowControl/>
        <w:suppressLineNumbers w:val="0"/>
        <w:tabs>
          <w:tab w:val="left" w:pos="658"/>
        </w:tabs>
        <w:spacing w:before="0" w:beforeAutospacing="0" w:after="0" w:afterAutospacing="0" w:line="360" w:lineRule="auto"/>
        <w:ind w:left="0" w:right="0"/>
        <w:jc w:val="left"/>
        <w:outlineLvl w:val="2"/>
        <w:rPr>
          <w:rFonts w:hint="default" w:ascii="Times New Roman" w:hAnsi="Times New Roman" w:cs="Times New Roman"/>
          <w:b/>
          <w:bCs w:val="0"/>
          <w:color w:val="000000"/>
          <w:szCs w:val="28"/>
          <w:lang/>
        </w:rPr>
      </w:pPr>
      <w:r>
        <w:rPr>
          <w:rFonts w:hint="default" w:ascii="Times New Roman" w:hAnsi="Times New Roman" w:eastAsia="宋体" w:cs="Times New Roman"/>
          <w:b/>
          <w:bCs w:val="0"/>
          <w:color w:val="000000"/>
          <w:kern w:val="0"/>
          <w:sz w:val="24"/>
          <w:szCs w:val="28"/>
          <w:lang w:eastAsia="zh-CN" w:bidi="ar"/>
        </w:rPr>
        <w:t xml:space="preserve">5.7.2 </w:t>
      </w:r>
      <w:r>
        <w:rPr>
          <w:rFonts w:hint="eastAsia" w:ascii="Times New Roman" w:hAnsi="Times New Roman" w:eastAsia="宋体" w:cs="Times New Roman"/>
          <w:b/>
          <w:bCs w:val="0"/>
          <w:color w:val="000000"/>
          <w:kern w:val="0"/>
          <w:sz w:val="24"/>
          <w:szCs w:val="28"/>
          <w:lang w:val="en-US" w:eastAsia="zh-CN" w:bidi="ar"/>
        </w:rPr>
        <w:t>环境风险分析</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）风险事故情形</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根据《建设项目环境风险评价技术导则》（</w:t>
      </w:r>
      <w:r>
        <w:rPr>
          <w:rFonts w:hint="default" w:ascii="Times New Roman" w:hAnsi="Times New Roman" w:eastAsia="宋体" w:cs="Times New Roman"/>
          <w:color w:val="000000"/>
          <w:kern w:val="0"/>
          <w:sz w:val="24"/>
          <w:szCs w:val="24"/>
          <w:lang w:val="en-US" w:eastAsia="zh-CN" w:bidi="ar"/>
        </w:rPr>
        <w:t>HJ169-2018</w:t>
      </w:r>
      <w:r>
        <w:rPr>
          <w:rFonts w:hint="eastAsia" w:ascii="Times New Roman" w:hAnsi="Times New Roman" w:eastAsia="宋体" w:cs="Times New Roman"/>
          <w:color w:val="000000"/>
          <w:kern w:val="0"/>
          <w:sz w:val="24"/>
          <w:szCs w:val="24"/>
          <w:lang w:val="en-US" w:eastAsia="zh-CN" w:bidi="ar"/>
        </w:rPr>
        <w:t>）和环境风险识别结论，本工程可能涉及的主要环境风险类型及危害见表</w:t>
      </w:r>
      <w:r>
        <w:rPr>
          <w:rFonts w:hint="default" w:ascii="Times New Roman" w:hAnsi="Times New Roman" w:eastAsia="宋体" w:cs="Times New Roman"/>
          <w:color w:val="000000"/>
          <w:kern w:val="0"/>
          <w:sz w:val="24"/>
          <w:szCs w:val="24"/>
          <w:lang w:val="en-US" w:eastAsia="zh-CN" w:bidi="ar"/>
        </w:rPr>
        <w:t>5.7-3</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5.7-3  </w:t>
      </w:r>
      <w:r>
        <w:rPr>
          <w:rFonts w:hint="eastAsia" w:ascii="Times New Roman" w:hAnsi="Times New Roman" w:eastAsia="黑体" w:cs="Times New Roman"/>
          <w:color w:val="000000"/>
          <w:kern w:val="0"/>
          <w:sz w:val="24"/>
          <w:szCs w:val="24"/>
          <w:lang w:val="en-US" w:eastAsia="zh-CN" w:bidi="ar"/>
        </w:rPr>
        <w:t>本工程涉及的主要风险类型及特征</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384"/>
        <w:gridCol w:w="1278"/>
        <w:gridCol w:w="2412"/>
        <w:gridCol w:w="3653"/>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97" w:hRule="atLeast"/>
        </w:trPr>
        <w:tc>
          <w:tcPr>
            <w:tcW w:w="793" w:type="pct"/>
            <w:tcBorders>
              <w:top w:val="thinThickSmallGap" w:color="auto" w:sz="12" w:space="0"/>
              <w:left w:val="nil"/>
              <w:bottom w:val="single" w:color="auto" w:sz="6" w:space="0"/>
              <w:right w:val="single" w:color="auto" w:sz="6" w:space="0"/>
            </w:tcBorders>
            <w:shd w:val="clear" w:color="auto" w:fill="DDDDDD"/>
            <w:vAlign w:val="center"/>
          </w:tcPr>
          <w:p>
            <w:pPr>
              <w:pStyle w:val="27"/>
              <w:keepNext w:val="0"/>
              <w:keepLines w:val="0"/>
              <w:widowControl/>
              <w:suppressLineNumbers w:val="0"/>
              <w:spacing w:before="0" w:beforeAutospacing="1" w:after="0" w:afterAutospacing="1"/>
              <w:ind w:left="0" w:right="0"/>
              <w:jc w:val="center"/>
              <w:rPr>
                <w:rFonts w:hint="default" w:ascii="Times New Roman" w:hAnsi="Times New Roman" w:eastAsia="Arial Unicode MS" w:cs="Times New Roman"/>
                <w:color w:val="000000"/>
                <w:sz w:val="21"/>
                <w:szCs w:val="21"/>
                <w:bdr w:val="none" w:color="auto" w:sz="0" w:space="0"/>
                <w:lang w:val="en-US"/>
              </w:rPr>
            </w:pPr>
            <w:r>
              <w:rPr>
                <w:rFonts w:hint="eastAsia" w:ascii="Times New Roman" w:hAnsi="Times New Roman" w:eastAsia="Arial Unicode MS" w:cs="Times New Roman"/>
                <w:color w:val="000000"/>
                <w:sz w:val="21"/>
                <w:szCs w:val="21"/>
                <w:bdr w:val="none" w:color="auto" w:sz="0" w:space="0"/>
              </w:rPr>
              <w:t>危险性单元</w:t>
            </w:r>
          </w:p>
        </w:tc>
        <w:tc>
          <w:tcPr>
            <w:tcW w:w="732" w:type="pct"/>
            <w:tcBorders>
              <w:top w:val="thinThickSmallGap" w:color="auto" w:sz="12" w:space="0"/>
              <w:left w:val="single" w:color="auto" w:sz="6" w:space="0"/>
              <w:bottom w:val="single" w:color="auto" w:sz="6" w:space="0"/>
              <w:right w:val="single" w:color="auto" w:sz="6" w:space="0"/>
            </w:tcBorders>
            <w:shd w:val="clear" w:color="auto" w:fill="DDDDDD"/>
            <w:vAlign w:val="center"/>
          </w:tcPr>
          <w:p>
            <w:pPr>
              <w:pStyle w:val="27"/>
              <w:keepNext w:val="0"/>
              <w:keepLines w:val="0"/>
              <w:widowControl/>
              <w:suppressLineNumbers w:val="0"/>
              <w:spacing w:before="0" w:beforeAutospacing="1" w:after="0" w:afterAutospacing="1"/>
              <w:ind w:left="0" w:right="0"/>
              <w:jc w:val="center"/>
              <w:rPr>
                <w:rFonts w:hint="default" w:ascii="Times New Roman" w:hAnsi="Times New Roman" w:eastAsia="Arial Unicode MS" w:cs="Times New Roman"/>
                <w:color w:val="000000"/>
                <w:sz w:val="21"/>
                <w:szCs w:val="21"/>
                <w:bdr w:val="none" w:color="auto" w:sz="0" w:space="0"/>
                <w:lang w:val="en-US"/>
              </w:rPr>
            </w:pPr>
            <w:r>
              <w:rPr>
                <w:rFonts w:hint="eastAsia" w:ascii="Times New Roman" w:hAnsi="Times New Roman" w:eastAsia="Arial Unicode MS" w:cs="Times New Roman"/>
                <w:color w:val="000000"/>
                <w:sz w:val="21"/>
                <w:szCs w:val="21"/>
                <w:bdr w:val="none" w:color="auto" w:sz="0" w:space="0"/>
              </w:rPr>
              <w:t>风险类型</w:t>
            </w:r>
          </w:p>
        </w:tc>
        <w:tc>
          <w:tcPr>
            <w:tcW w:w="1382" w:type="pct"/>
            <w:tcBorders>
              <w:top w:val="thinThickSmallGap" w:color="auto" w:sz="12" w:space="0"/>
              <w:left w:val="single" w:color="auto" w:sz="6" w:space="0"/>
              <w:bottom w:val="single" w:color="auto" w:sz="6" w:space="0"/>
              <w:right w:val="single" w:color="auto" w:sz="6" w:space="0"/>
            </w:tcBorders>
            <w:shd w:val="clear" w:color="auto" w:fill="DDDDDD"/>
            <w:vAlign w:val="center"/>
          </w:tcPr>
          <w:p>
            <w:pPr>
              <w:pStyle w:val="27"/>
              <w:keepNext w:val="0"/>
              <w:keepLines w:val="0"/>
              <w:widowControl/>
              <w:suppressLineNumbers w:val="0"/>
              <w:spacing w:before="0" w:beforeAutospacing="1" w:after="0" w:afterAutospacing="1"/>
              <w:ind w:left="0" w:right="0"/>
              <w:jc w:val="center"/>
              <w:rPr>
                <w:rFonts w:hint="default" w:ascii="Times New Roman" w:hAnsi="Times New Roman" w:eastAsia="Arial Unicode MS" w:cs="Times New Roman"/>
                <w:color w:val="000000"/>
                <w:sz w:val="21"/>
                <w:szCs w:val="21"/>
                <w:bdr w:val="none" w:color="auto" w:sz="0" w:space="0"/>
                <w:lang w:val="en-US"/>
              </w:rPr>
            </w:pPr>
            <w:r>
              <w:rPr>
                <w:rFonts w:hint="eastAsia" w:ascii="Times New Roman" w:hAnsi="Times New Roman" w:eastAsia="Arial Unicode MS" w:cs="Times New Roman"/>
                <w:color w:val="000000"/>
                <w:sz w:val="21"/>
                <w:szCs w:val="21"/>
                <w:bdr w:val="none" w:color="auto" w:sz="0" w:space="0"/>
              </w:rPr>
              <w:t>危害</w:t>
            </w:r>
          </w:p>
        </w:tc>
        <w:tc>
          <w:tcPr>
            <w:tcW w:w="2093" w:type="pct"/>
            <w:tcBorders>
              <w:top w:val="thinThickSmallGap" w:color="auto" w:sz="12" w:space="0"/>
              <w:left w:val="single" w:color="auto" w:sz="6" w:space="0"/>
              <w:bottom w:val="single" w:color="auto" w:sz="6" w:space="0"/>
              <w:right w:val="nil"/>
            </w:tcBorders>
            <w:shd w:val="clear" w:color="auto" w:fill="DDDDDD"/>
            <w:vAlign w:val="center"/>
          </w:tcPr>
          <w:p>
            <w:pPr>
              <w:pStyle w:val="27"/>
              <w:keepNext w:val="0"/>
              <w:keepLines w:val="0"/>
              <w:widowControl/>
              <w:suppressLineNumbers w:val="0"/>
              <w:spacing w:before="0" w:beforeAutospacing="1" w:after="0" w:afterAutospacing="1"/>
              <w:ind w:left="0" w:right="0"/>
              <w:jc w:val="center"/>
              <w:rPr>
                <w:rFonts w:hint="default" w:ascii="Times New Roman" w:hAnsi="Times New Roman" w:eastAsia="Arial Unicode MS" w:cs="Times New Roman"/>
                <w:color w:val="000000"/>
                <w:sz w:val="21"/>
                <w:szCs w:val="21"/>
                <w:bdr w:val="none" w:color="auto" w:sz="0" w:space="0"/>
                <w:lang w:val="en-US"/>
              </w:rPr>
            </w:pPr>
            <w:r>
              <w:rPr>
                <w:rFonts w:hint="eastAsia" w:ascii="Times New Roman" w:hAnsi="Times New Roman" w:eastAsia="Arial Unicode MS" w:cs="Times New Roman"/>
                <w:color w:val="000000"/>
                <w:sz w:val="21"/>
                <w:szCs w:val="21"/>
                <w:bdr w:val="none" w:color="auto" w:sz="0" w:space="0"/>
              </w:rPr>
              <w:t>原因简析</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93" w:type="pct"/>
            <w:tcBorders>
              <w:top w:val="single" w:color="auto" w:sz="6" w:space="0"/>
              <w:left w:val="nil"/>
              <w:bottom w:val="thickThinSmallGap" w:color="auto" w:sz="12" w:space="0"/>
              <w:right w:val="single" w:color="auto" w:sz="6" w:space="0"/>
            </w:tcBorders>
            <w:shd w:val="clear"/>
            <w:vAlign w:val="center"/>
          </w:tcPr>
          <w:p>
            <w:pPr>
              <w:pStyle w:val="27"/>
              <w:keepNext w:val="0"/>
              <w:keepLines w:val="0"/>
              <w:widowControl/>
              <w:suppressLineNumbers w:val="0"/>
              <w:spacing w:before="0" w:beforeAutospacing="1" w:after="0" w:afterAutospacing="1"/>
              <w:ind w:left="0" w:right="0"/>
              <w:jc w:val="center"/>
              <w:rPr>
                <w:rFonts w:hint="default" w:ascii="Times New Roman" w:hAnsi="Times New Roman" w:eastAsia="Arial Unicode MS" w:cs="Times New Roman"/>
                <w:color w:val="000000"/>
                <w:sz w:val="21"/>
                <w:szCs w:val="21"/>
                <w:bdr w:val="none" w:color="auto" w:sz="0" w:space="0"/>
                <w:lang w:val="en-US"/>
              </w:rPr>
            </w:pPr>
            <w:r>
              <w:rPr>
                <w:rFonts w:hint="eastAsia" w:ascii="Times New Roman" w:hAnsi="Times New Roman" w:eastAsia="Arial Unicode MS" w:cs="Times New Roman"/>
                <w:color w:val="000000"/>
                <w:sz w:val="21"/>
                <w:szCs w:val="21"/>
                <w:bdr w:val="none" w:color="auto" w:sz="0" w:space="0"/>
              </w:rPr>
              <w:t>材料库</w:t>
            </w:r>
          </w:p>
        </w:tc>
        <w:tc>
          <w:tcPr>
            <w:tcW w:w="732" w:type="pct"/>
            <w:tcBorders>
              <w:top w:val="single" w:color="auto" w:sz="6" w:space="0"/>
              <w:left w:val="single" w:color="auto" w:sz="6" w:space="0"/>
              <w:bottom w:val="thickThinSmallGap" w:color="auto" w:sz="12" w:space="0"/>
              <w:right w:val="single" w:color="auto" w:sz="6" w:space="0"/>
            </w:tcBorders>
            <w:shd w:val="clear"/>
            <w:vAlign w:val="center"/>
          </w:tcPr>
          <w:p>
            <w:pPr>
              <w:pStyle w:val="27"/>
              <w:keepNext w:val="0"/>
              <w:keepLines w:val="0"/>
              <w:widowControl/>
              <w:suppressLineNumbers w:val="0"/>
              <w:spacing w:before="0" w:beforeAutospacing="1" w:after="0" w:afterAutospacing="1"/>
              <w:ind w:left="0" w:right="0"/>
              <w:jc w:val="center"/>
              <w:rPr>
                <w:rFonts w:hint="default" w:ascii="Times New Roman" w:hAnsi="Times New Roman" w:eastAsia="Arial Unicode MS" w:cs="Times New Roman"/>
                <w:color w:val="000000"/>
                <w:sz w:val="21"/>
                <w:szCs w:val="21"/>
                <w:bdr w:val="none" w:color="auto" w:sz="0" w:space="0"/>
                <w:lang w:val="en-US"/>
              </w:rPr>
            </w:pPr>
            <w:r>
              <w:rPr>
                <w:rFonts w:hint="eastAsia" w:ascii="Times New Roman" w:hAnsi="Times New Roman" w:eastAsia="Arial Unicode MS" w:cs="Times New Roman"/>
                <w:color w:val="000000"/>
                <w:sz w:val="21"/>
                <w:szCs w:val="21"/>
                <w:bdr w:val="none" w:color="auto" w:sz="0" w:space="0"/>
              </w:rPr>
              <w:t>泄漏</w:t>
            </w:r>
          </w:p>
        </w:tc>
        <w:tc>
          <w:tcPr>
            <w:tcW w:w="1382" w:type="pct"/>
            <w:tcBorders>
              <w:top w:val="single" w:color="auto" w:sz="6" w:space="0"/>
              <w:left w:val="single" w:color="auto" w:sz="6" w:space="0"/>
              <w:bottom w:val="thickThinSmallGap" w:color="auto" w:sz="12" w:space="0"/>
              <w:right w:val="single" w:color="auto" w:sz="6" w:space="0"/>
            </w:tcBorders>
            <w:shd w:val="clear"/>
            <w:vAlign w:val="center"/>
          </w:tcPr>
          <w:p>
            <w:pPr>
              <w:pStyle w:val="27"/>
              <w:keepNext w:val="0"/>
              <w:keepLines w:val="0"/>
              <w:widowControl/>
              <w:suppressLineNumbers w:val="0"/>
              <w:spacing w:before="0" w:beforeAutospacing="1" w:after="0" w:afterAutospacing="1"/>
              <w:ind w:left="0" w:right="0"/>
              <w:jc w:val="center"/>
              <w:rPr>
                <w:rFonts w:hint="default" w:ascii="Times New Roman" w:hAnsi="Times New Roman" w:eastAsia="Arial Unicode MS" w:cs="Times New Roman"/>
                <w:color w:val="000000"/>
                <w:sz w:val="21"/>
                <w:szCs w:val="21"/>
                <w:bdr w:val="none" w:color="auto" w:sz="0" w:space="0"/>
                <w:lang w:val="en-US"/>
              </w:rPr>
            </w:pPr>
            <w:r>
              <w:rPr>
                <w:rFonts w:hint="eastAsia" w:ascii="Times New Roman" w:hAnsi="Times New Roman" w:eastAsia="Arial Unicode MS" w:cs="Times New Roman"/>
                <w:color w:val="000000"/>
                <w:sz w:val="21"/>
                <w:szCs w:val="21"/>
                <w:bdr w:val="none" w:color="auto" w:sz="0" w:space="0"/>
              </w:rPr>
              <w:t>污染环境</w:t>
            </w:r>
          </w:p>
        </w:tc>
        <w:tc>
          <w:tcPr>
            <w:tcW w:w="2093" w:type="pct"/>
            <w:tcBorders>
              <w:top w:val="single" w:color="auto" w:sz="6" w:space="0"/>
              <w:left w:val="single" w:color="auto" w:sz="6" w:space="0"/>
              <w:bottom w:val="thickThinSmallGap" w:color="auto" w:sz="12" w:space="0"/>
              <w:right w:val="nil"/>
            </w:tcBorders>
            <w:shd w:val="clear"/>
            <w:vAlign w:val="center"/>
          </w:tcPr>
          <w:p>
            <w:pPr>
              <w:pStyle w:val="27"/>
              <w:keepNext w:val="0"/>
              <w:keepLines w:val="0"/>
              <w:widowControl/>
              <w:suppressLineNumbers w:val="0"/>
              <w:spacing w:before="0" w:beforeAutospacing="1" w:after="0" w:afterAutospacing="1"/>
              <w:ind w:left="0" w:right="0"/>
              <w:jc w:val="center"/>
              <w:rPr>
                <w:rFonts w:hint="default" w:ascii="Times New Roman" w:hAnsi="Times New Roman" w:eastAsia="Arial Unicode MS" w:cs="Times New Roman"/>
                <w:color w:val="000000"/>
                <w:sz w:val="21"/>
                <w:szCs w:val="21"/>
                <w:bdr w:val="none" w:color="auto" w:sz="0" w:space="0"/>
                <w:lang w:val="en-US"/>
              </w:rPr>
            </w:pPr>
            <w:r>
              <w:rPr>
                <w:rFonts w:hint="eastAsia" w:ascii="Times New Roman" w:hAnsi="Times New Roman" w:eastAsia="Arial Unicode MS" w:cs="Times New Roman"/>
                <w:color w:val="000000"/>
                <w:sz w:val="21"/>
                <w:szCs w:val="21"/>
                <w:bdr w:val="none" w:color="auto" w:sz="0" w:space="0"/>
              </w:rPr>
              <w:t>贮存桶制造缺陷或受到外力作用破裂</w:t>
            </w:r>
          </w:p>
          <w:p>
            <w:pPr>
              <w:pStyle w:val="27"/>
              <w:keepNext w:val="0"/>
              <w:keepLines w:val="0"/>
              <w:widowControl/>
              <w:suppressLineNumbers w:val="0"/>
              <w:spacing w:before="0" w:beforeAutospacing="1" w:after="0" w:afterAutospacing="1"/>
              <w:ind w:left="0" w:right="0"/>
              <w:jc w:val="center"/>
              <w:rPr>
                <w:rFonts w:hint="default" w:ascii="Times New Roman" w:hAnsi="Times New Roman" w:eastAsia="Arial Unicode MS" w:cs="Times New Roman"/>
                <w:color w:val="000000"/>
                <w:sz w:val="21"/>
                <w:szCs w:val="21"/>
                <w:bdr w:val="none" w:color="auto" w:sz="0" w:space="0"/>
                <w:lang w:val="en-US"/>
              </w:rPr>
            </w:pPr>
            <w:r>
              <w:rPr>
                <w:rFonts w:hint="eastAsia" w:ascii="Times New Roman" w:hAnsi="Times New Roman" w:eastAsia="Arial Unicode MS" w:cs="Times New Roman"/>
                <w:color w:val="000000"/>
                <w:sz w:val="21"/>
                <w:szCs w:val="21"/>
                <w:bdr w:val="none" w:color="auto" w:sz="0" w:space="0"/>
              </w:rPr>
              <w:t>地震作用造成贮存桶破裂</w:t>
            </w:r>
          </w:p>
        </w:tc>
      </w:tr>
    </w:tbl>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）风险事故情形概率</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事故概率可以通过事故树分析，确定事件后用概率计算法求得，也可以通过同类装置事故调查给出概率统计值。根据《建设项目环境风险评价技术导则》（</w:t>
      </w:r>
      <w:r>
        <w:rPr>
          <w:rFonts w:hint="default" w:ascii="Times New Roman" w:hAnsi="Times New Roman" w:eastAsia="宋体" w:cs="Times New Roman"/>
          <w:color w:val="000000"/>
          <w:kern w:val="0"/>
          <w:sz w:val="24"/>
          <w:szCs w:val="24"/>
          <w:lang w:val="en-US" w:eastAsia="zh-CN" w:bidi="ar"/>
        </w:rPr>
        <w:t>HJ169-2018</w:t>
      </w:r>
      <w:r>
        <w:rPr>
          <w:rFonts w:hint="eastAsia" w:ascii="Times New Roman" w:hAnsi="Times New Roman" w:eastAsia="宋体" w:cs="Times New Roman"/>
          <w:color w:val="000000"/>
          <w:kern w:val="0"/>
          <w:sz w:val="24"/>
          <w:szCs w:val="24"/>
          <w:lang w:val="en-US" w:eastAsia="zh-CN" w:bidi="ar"/>
        </w:rPr>
        <w:t>）附录</w:t>
      </w:r>
      <w:r>
        <w:rPr>
          <w:rFonts w:hint="default" w:ascii="Times New Roman" w:hAnsi="Times New Roman" w:eastAsia="宋体" w:cs="Times New Roman"/>
          <w:color w:val="000000"/>
          <w:kern w:val="0"/>
          <w:sz w:val="24"/>
          <w:szCs w:val="24"/>
          <w:lang w:val="en-US" w:eastAsia="zh-CN" w:bidi="ar"/>
        </w:rPr>
        <w:t>E</w:t>
      </w:r>
      <w:r>
        <w:rPr>
          <w:rFonts w:hint="eastAsia" w:ascii="Times New Roman" w:hAnsi="Times New Roman" w:eastAsia="宋体" w:cs="Times New Roman"/>
          <w:color w:val="000000"/>
          <w:kern w:val="0"/>
          <w:sz w:val="24"/>
          <w:szCs w:val="24"/>
          <w:lang w:val="en-US" w:eastAsia="zh-CN" w:bidi="ar"/>
        </w:rPr>
        <w:t>泄露频率推荐值并采用类比法，确定本次评价风险事故情形概率见表</w:t>
      </w:r>
      <w:r>
        <w:rPr>
          <w:rFonts w:hint="default" w:ascii="Times New Roman" w:hAnsi="Times New Roman" w:eastAsia="黑体" w:cs="Times New Roman"/>
          <w:color w:val="000000"/>
          <w:kern w:val="0"/>
          <w:sz w:val="24"/>
          <w:szCs w:val="24"/>
          <w:lang w:val="en-US" w:eastAsia="zh-CN" w:bidi="ar"/>
        </w:rPr>
        <w:t>5.7-4</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851"/>
          <w:tab w:val="left" w:pos="1141"/>
          <w:tab w:val="left" w:pos="4335"/>
        </w:tabs>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5.7-4 </w:t>
      </w:r>
      <w:r>
        <w:rPr>
          <w:rFonts w:hint="eastAsia" w:ascii="Times New Roman" w:hAnsi="Times New Roman" w:eastAsia="黑体" w:cs="Times New Roman"/>
          <w:color w:val="000000"/>
          <w:kern w:val="0"/>
          <w:sz w:val="24"/>
          <w:szCs w:val="24"/>
          <w:lang w:val="en-US" w:eastAsia="zh-CN" w:bidi="ar"/>
        </w:rPr>
        <w:t>本项目风险事故情形概率统计表</w:t>
      </w:r>
    </w:p>
    <w:tbl>
      <w:tblPr>
        <w:tblStyle w:val="32"/>
        <w:tblW w:w="0" w:type="auto"/>
        <w:tblInd w:w="0" w:type="dxa"/>
        <w:tblBorders>
          <w:top w:val="thinThickSmallGap" w:color="000000" w:sz="12" w:space="0"/>
          <w:left w:val="none" w:color="auto" w:sz="6" w:space="0"/>
          <w:bottom w:val="thickThinSmallGap" w:color="000000" w:sz="12" w:space="0"/>
          <w:right w:val="none" w:color="auto" w:sz="6" w:space="0"/>
          <w:insideH w:val="single" w:color="000000" w:sz="8" w:space="0"/>
          <w:insideV w:val="single" w:color="000000" w:sz="8" w:space="0"/>
        </w:tblBorders>
        <w:shd w:val="clear"/>
        <w:tblLayout w:type="fixed"/>
        <w:tblCellMar>
          <w:top w:w="0" w:type="dxa"/>
          <w:left w:w="108" w:type="dxa"/>
          <w:bottom w:w="0" w:type="dxa"/>
          <w:right w:w="108" w:type="dxa"/>
        </w:tblCellMar>
      </w:tblPr>
      <w:tblGrid>
        <w:gridCol w:w="1668"/>
        <w:gridCol w:w="5104"/>
        <w:gridCol w:w="1776"/>
      </w:tblGrid>
      <w:tr>
        <w:tblPrEx>
          <w:tblBorders>
            <w:top w:val="thinThickSmallGap" w:color="000000" w:sz="12" w:space="0"/>
            <w:left w:val="none" w:color="auto" w:sz="6" w:space="0"/>
            <w:bottom w:val="thickThinSmallGap" w:color="000000" w:sz="12" w:space="0"/>
            <w:right w:val="none" w:color="auto" w:sz="6" w:space="0"/>
            <w:insideH w:val="single" w:color="000000" w:sz="8" w:space="0"/>
            <w:insideV w:val="single" w:color="000000" w:sz="8" w:space="0"/>
          </w:tblBorders>
          <w:shd w:val="clear"/>
          <w:tblCellMar>
            <w:top w:w="0" w:type="dxa"/>
            <w:left w:w="108" w:type="dxa"/>
            <w:bottom w:w="0" w:type="dxa"/>
            <w:right w:w="108" w:type="dxa"/>
          </w:tblCellMar>
        </w:tblPrEx>
        <w:trPr>
          <w:trHeight w:val="397" w:hRule="atLeast"/>
        </w:trPr>
        <w:tc>
          <w:tcPr>
            <w:tcW w:w="1668" w:type="dxa"/>
            <w:tcBorders>
              <w:top w:val="thinThickSmallGap" w:color="000000" w:sz="12" w:space="0"/>
              <w:left w:val="nil"/>
              <w:bottom w:val="single" w:color="000000" w:sz="8" w:space="0"/>
              <w:right w:val="single" w:color="000000" w:sz="8" w:space="0"/>
            </w:tcBorders>
            <w:shd w:val="clear" w:color="auto" w:fill="E0E0E0"/>
            <w:vAlign w:val="center"/>
          </w:tcPr>
          <w:p>
            <w:pPr>
              <w:keepNext w:val="0"/>
              <w:keepLines w:val="0"/>
              <w:widowControl/>
              <w:suppressLineNumbers w:val="0"/>
              <w:overflowPunct w:val="0"/>
              <w:adjustRightInd w:val="0"/>
              <w:spacing w:before="0" w:beforeAutospacing="0" w:after="0" w:afterAutospacing="0"/>
              <w:ind w:left="0" w:right="0"/>
              <w:jc w:val="center"/>
              <w:textAlignment w:val="baseline"/>
              <w:rPr>
                <w:rFonts w:hint="default" w:ascii="Times New Roman" w:hAnsi="Times New Roman" w:cs="Times New Roman"/>
                <w:color w:val="000000"/>
                <w:kern w:val="24"/>
                <w:sz w:val="21"/>
                <w:szCs w:val="24"/>
                <w:bdr w:val="none" w:color="auto" w:sz="0" w:space="0"/>
                <w:vertAlign w:val="baseline"/>
                <w:lang/>
              </w:rPr>
            </w:pPr>
            <w:r>
              <w:rPr>
                <w:rFonts w:ascii="Times New Roman" w:hAnsi="Times New Roman" w:cs="Times New Roman"/>
                <w:color w:val="000000"/>
                <w:kern w:val="24"/>
                <w:sz w:val="21"/>
                <w:szCs w:val="24"/>
                <w:bdr w:val="none" w:color="auto" w:sz="0" w:space="0"/>
                <w:vertAlign w:val="baseline"/>
                <w:lang/>
              </w:rPr>
              <w:t>风险事故情形</w:t>
            </w:r>
          </w:p>
        </w:tc>
        <w:tc>
          <w:tcPr>
            <w:tcW w:w="5104" w:type="dxa"/>
            <w:tcBorders>
              <w:top w:val="thinThickSmallGap" w:color="000000" w:sz="12" w:space="0"/>
              <w:left w:val="single" w:color="000000" w:sz="8" w:space="0"/>
              <w:bottom w:val="single" w:color="000000" w:sz="8" w:space="0"/>
              <w:right w:val="single" w:color="000000" w:sz="8" w:space="0"/>
            </w:tcBorders>
            <w:shd w:val="clear" w:color="auto" w:fill="E0E0E0"/>
            <w:vAlign w:val="center"/>
          </w:tcPr>
          <w:p>
            <w:pPr>
              <w:keepNext w:val="0"/>
              <w:keepLines w:val="0"/>
              <w:widowControl/>
              <w:suppressLineNumbers w:val="0"/>
              <w:overflowPunct w:val="0"/>
              <w:adjustRightInd w:val="0"/>
              <w:spacing w:before="0" w:beforeAutospacing="0" w:after="0" w:afterAutospacing="0"/>
              <w:ind w:left="0" w:right="0"/>
              <w:jc w:val="center"/>
              <w:textAlignment w:val="baseline"/>
              <w:rPr>
                <w:rFonts w:hint="default" w:ascii="Times New Roman" w:hAnsi="Times New Roman" w:cs="Times New Roman"/>
                <w:color w:val="000000"/>
                <w:kern w:val="24"/>
                <w:sz w:val="21"/>
                <w:szCs w:val="24"/>
                <w:bdr w:val="none" w:color="auto" w:sz="0" w:space="0"/>
                <w:vertAlign w:val="baseline"/>
                <w:lang/>
              </w:rPr>
            </w:pPr>
            <w:r>
              <w:rPr>
                <w:rFonts w:ascii="Times New Roman" w:hAnsi="Times New Roman" w:cs="Times New Roman"/>
                <w:color w:val="000000"/>
                <w:kern w:val="24"/>
                <w:sz w:val="21"/>
                <w:szCs w:val="24"/>
                <w:bdr w:val="none" w:color="auto" w:sz="0" w:space="0"/>
                <w:vertAlign w:val="baseline"/>
                <w:lang/>
              </w:rPr>
              <w:t>情形描述</w:t>
            </w:r>
          </w:p>
        </w:tc>
        <w:tc>
          <w:tcPr>
            <w:tcW w:w="1776" w:type="dxa"/>
            <w:tcBorders>
              <w:top w:val="thinThickSmallGap" w:color="000000" w:sz="12" w:space="0"/>
              <w:left w:val="single" w:color="000000" w:sz="8" w:space="0"/>
              <w:bottom w:val="single" w:color="000000" w:sz="8" w:space="0"/>
              <w:right w:val="nil"/>
            </w:tcBorders>
            <w:shd w:val="clear" w:color="auto" w:fill="E0E0E0"/>
            <w:vAlign w:val="center"/>
          </w:tcPr>
          <w:p>
            <w:pPr>
              <w:keepNext w:val="0"/>
              <w:keepLines w:val="0"/>
              <w:widowControl/>
              <w:suppressLineNumbers w:val="0"/>
              <w:overflowPunct w:val="0"/>
              <w:adjustRightInd w:val="0"/>
              <w:spacing w:before="0" w:beforeAutospacing="0" w:after="0" w:afterAutospacing="0"/>
              <w:ind w:left="0" w:right="0"/>
              <w:jc w:val="center"/>
              <w:textAlignment w:val="baseline"/>
              <w:rPr>
                <w:rFonts w:hint="default" w:ascii="Times New Roman" w:hAnsi="Times New Roman" w:cs="Times New Roman"/>
                <w:color w:val="000000"/>
                <w:kern w:val="24"/>
                <w:sz w:val="21"/>
                <w:szCs w:val="24"/>
                <w:bdr w:val="none" w:color="auto" w:sz="0" w:space="0"/>
                <w:vertAlign w:val="baseline"/>
                <w:lang/>
              </w:rPr>
            </w:pPr>
            <w:r>
              <w:rPr>
                <w:rFonts w:ascii="Times New Roman" w:hAnsi="Times New Roman" w:cs="Times New Roman"/>
                <w:color w:val="000000"/>
                <w:kern w:val="24"/>
                <w:sz w:val="21"/>
                <w:szCs w:val="24"/>
                <w:bdr w:val="none" w:color="auto" w:sz="0" w:space="0"/>
                <w:vertAlign w:val="baseline"/>
                <w:lang/>
              </w:rPr>
              <w:t>概率</w:t>
            </w:r>
          </w:p>
        </w:tc>
      </w:tr>
      <w:tr>
        <w:tblPrEx>
          <w:tblBorders>
            <w:top w:val="thinThickSmallGap" w:color="000000" w:sz="12" w:space="0"/>
            <w:left w:val="none" w:color="auto" w:sz="6" w:space="0"/>
            <w:bottom w:val="thickThinSmallGap" w:color="000000" w:sz="12" w:space="0"/>
            <w:right w:val="non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1668" w:type="dxa"/>
            <w:tcBorders>
              <w:top w:val="single" w:color="000000" w:sz="8" w:space="0"/>
              <w:left w:val="nil"/>
              <w:bottom w:val="thickThinSmallGap" w:color="000000" w:sz="12" w:space="0"/>
              <w:right w:val="single" w:color="000000" w:sz="8" w:space="0"/>
            </w:tcBorders>
            <w:shd w:val="clear"/>
            <w:vAlign w:val="center"/>
          </w:tcPr>
          <w:p>
            <w:pPr>
              <w:keepNext w:val="0"/>
              <w:keepLines w:val="0"/>
              <w:widowControl/>
              <w:suppressLineNumbers w:val="0"/>
              <w:overflowPunct w:val="0"/>
              <w:adjustRightInd w:val="0"/>
              <w:spacing w:before="0" w:beforeAutospacing="0" w:after="0" w:afterAutospacing="0"/>
              <w:ind w:left="0" w:right="0"/>
              <w:jc w:val="center"/>
              <w:textAlignment w:val="baseline"/>
              <w:rPr>
                <w:rFonts w:hint="default" w:ascii="Times New Roman" w:hAnsi="Times New Roman" w:cs="Times New Roman"/>
                <w:color w:val="000000"/>
                <w:kern w:val="24"/>
                <w:sz w:val="21"/>
                <w:szCs w:val="24"/>
                <w:bdr w:val="none" w:color="auto" w:sz="0" w:space="0"/>
                <w:vertAlign w:val="baseline"/>
                <w:lang/>
              </w:rPr>
            </w:pPr>
            <w:r>
              <w:rPr>
                <w:rFonts w:ascii="Times New Roman" w:hAnsi="Times New Roman" w:cs="Times New Roman"/>
                <w:color w:val="000000"/>
                <w:kern w:val="24"/>
                <w:sz w:val="21"/>
                <w:szCs w:val="24"/>
                <w:bdr w:val="none" w:color="auto" w:sz="0" w:space="0"/>
                <w:vertAlign w:val="baseline"/>
                <w:lang/>
              </w:rPr>
              <w:t>情形</w:t>
            </w:r>
            <w:r>
              <w:rPr>
                <w:rFonts w:hint="default" w:ascii="Times New Roman" w:hAnsi="Times New Roman" w:cs="Times New Roman"/>
                <w:color w:val="000000"/>
                <w:kern w:val="24"/>
                <w:sz w:val="21"/>
                <w:szCs w:val="24"/>
                <w:bdr w:val="none" w:color="auto" w:sz="0" w:space="0"/>
                <w:vertAlign w:val="baseline"/>
                <w:lang/>
              </w:rPr>
              <w:t>1</w:t>
            </w:r>
          </w:p>
        </w:tc>
        <w:tc>
          <w:tcPr>
            <w:tcW w:w="5104" w:type="dxa"/>
            <w:tcBorders>
              <w:top w:val="single" w:color="000000" w:sz="8" w:space="0"/>
              <w:left w:val="single" w:color="000000" w:sz="8" w:space="0"/>
              <w:bottom w:val="thickThinSmallGap" w:color="000000" w:sz="12" w:space="0"/>
              <w:right w:val="single" w:color="000000" w:sz="8" w:space="0"/>
            </w:tcBorders>
            <w:shd w:val="clear"/>
            <w:vAlign w:val="center"/>
          </w:tcPr>
          <w:p>
            <w:pPr>
              <w:pStyle w:val="27"/>
              <w:keepNext w:val="0"/>
              <w:keepLines w:val="0"/>
              <w:widowControl/>
              <w:suppressLineNumbers w:val="0"/>
              <w:spacing w:before="0" w:beforeAutospacing="1" w:after="0" w:afterAutospacing="1"/>
              <w:ind w:left="0" w:right="0"/>
              <w:rPr>
                <w:rFonts w:hint="default" w:ascii="Times New Roman" w:hAnsi="Times New Roman" w:eastAsia="Arial Unicode MS" w:cs="Times New Roman"/>
                <w:color w:val="000000"/>
                <w:kern w:val="24"/>
                <w:sz w:val="21"/>
                <w:szCs w:val="24"/>
                <w:bdr w:val="none" w:color="auto" w:sz="0" w:space="0"/>
                <w:lang w:val="en-US"/>
              </w:rPr>
            </w:pPr>
            <w:r>
              <w:rPr>
                <w:rFonts w:hint="eastAsia" w:ascii="Times New Roman" w:hAnsi="Times New Roman" w:eastAsia="Arial Unicode MS" w:cs="Times New Roman"/>
                <w:color w:val="000000"/>
                <w:sz w:val="21"/>
                <w:szCs w:val="21"/>
                <w:bdr w:val="none" w:color="auto" w:sz="0" w:space="0"/>
              </w:rPr>
              <w:t>贮存桶制造缺陷或受到外力作用、地震作用破裂造成润滑油泄漏。</w:t>
            </w:r>
          </w:p>
        </w:tc>
        <w:tc>
          <w:tcPr>
            <w:tcW w:w="1776" w:type="dxa"/>
            <w:tcBorders>
              <w:top w:val="single" w:color="000000" w:sz="8" w:space="0"/>
              <w:left w:val="single" w:color="000000" w:sz="8" w:space="0"/>
              <w:bottom w:val="thickThinSmallGap" w:color="000000" w:sz="12" w:space="0"/>
              <w:right w:val="nil"/>
            </w:tcBorders>
            <w:shd w:val="clear"/>
            <w:vAlign w:val="center"/>
          </w:tcPr>
          <w:p>
            <w:pPr>
              <w:keepNext w:val="0"/>
              <w:keepLines w:val="0"/>
              <w:widowControl/>
              <w:suppressLineNumbers w:val="0"/>
              <w:overflowPunct w:val="0"/>
              <w:adjustRightInd w:val="0"/>
              <w:spacing w:before="0" w:beforeAutospacing="0" w:after="0" w:afterAutospacing="0"/>
              <w:ind w:left="0" w:right="0"/>
              <w:jc w:val="center"/>
              <w:textAlignment w:val="baseline"/>
              <w:rPr>
                <w:rFonts w:hint="default" w:ascii="Times New Roman" w:hAnsi="Times New Roman" w:cs="Times New Roman"/>
                <w:color w:val="000000"/>
                <w:kern w:val="24"/>
                <w:sz w:val="21"/>
                <w:szCs w:val="24"/>
                <w:bdr w:val="none" w:color="auto" w:sz="0" w:space="0"/>
                <w:vertAlign w:val="baseline"/>
                <w:lang/>
              </w:rPr>
            </w:pPr>
            <w:r>
              <w:rPr>
                <w:rFonts w:hint="default" w:ascii="Times New Roman" w:hAnsi="Times New Roman" w:cs="Times New Roman"/>
                <w:color w:val="000000"/>
                <w:kern w:val="24"/>
                <w:sz w:val="21"/>
                <w:szCs w:val="24"/>
                <w:bdr w:val="none" w:color="auto" w:sz="0" w:space="0"/>
                <w:vertAlign w:val="baseline"/>
                <w:lang/>
              </w:rPr>
              <w:t>1.00×10</w:t>
            </w:r>
            <w:r>
              <w:rPr>
                <w:rFonts w:hint="default" w:ascii="Times New Roman" w:hAnsi="Times New Roman" w:cs="Times New Roman"/>
                <w:color w:val="000000"/>
                <w:kern w:val="24"/>
                <w:sz w:val="21"/>
                <w:szCs w:val="24"/>
                <w:bdr w:val="none" w:color="auto" w:sz="0" w:space="0"/>
                <w:vertAlign w:val="superscript"/>
                <w:lang/>
              </w:rPr>
              <w:t>-4</w:t>
            </w:r>
            <w:r>
              <w:rPr>
                <w:rFonts w:hint="default" w:ascii="Times New Roman" w:hAnsi="Times New Roman" w:cs="Times New Roman"/>
                <w:color w:val="000000"/>
                <w:kern w:val="24"/>
                <w:sz w:val="21"/>
                <w:szCs w:val="24"/>
                <w:bdr w:val="none" w:color="auto" w:sz="0" w:space="0"/>
                <w:vertAlign w:val="baseline"/>
                <w:lang/>
              </w:rPr>
              <w:t>/a</w:t>
            </w:r>
          </w:p>
        </w:tc>
      </w:tr>
    </w:tbl>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）危险物质泄漏源强计算</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对于情形</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的润滑油泄露，采用《建设项目环境风险评价技术导则》（</w:t>
      </w:r>
      <w:r>
        <w:rPr>
          <w:rFonts w:hint="default" w:ascii="Times New Roman" w:hAnsi="Times New Roman" w:eastAsia="宋体" w:cs="Times New Roman"/>
          <w:color w:val="000000"/>
          <w:kern w:val="0"/>
          <w:sz w:val="24"/>
          <w:szCs w:val="24"/>
          <w:lang w:val="en-US" w:eastAsia="zh-CN" w:bidi="ar"/>
        </w:rPr>
        <w:t>HJ169-2018</w:t>
      </w:r>
      <w:r>
        <w:rPr>
          <w:rFonts w:hint="eastAsia" w:ascii="Times New Roman" w:hAnsi="Times New Roman" w:eastAsia="宋体" w:cs="Times New Roman"/>
          <w:color w:val="000000"/>
          <w:kern w:val="0"/>
          <w:sz w:val="24"/>
          <w:szCs w:val="24"/>
          <w:lang w:val="en-US" w:eastAsia="zh-CN" w:bidi="ar"/>
        </w:rPr>
        <w:t>）附录</w:t>
      </w:r>
      <w:r>
        <w:rPr>
          <w:rFonts w:hint="default" w:ascii="Times New Roman" w:hAnsi="Times New Roman" w:eastAsia="宋体" w:cs="Times New Roman"/>
          <w:color w:val="000000"/>
          <w:kern w:val="0"/>
          <w:sz w:val="24"/>
          <w:szCs w:val="24"/>
          <w:lang w:val="en-US" w:eastAsia="zh-CN" w:bidi="ar"/>
        </w:rPr>
        <w:t>F</w:t>
      </w:r>
      <w:r>
        <w:rPr>
          <w:rFonts w:hint="eastAsia" w:ascii="Times New Roman" w:hAnsi="Times New Roman" w:eastAsia="宋体" w:cs="Times New Roman"/>
          <w:color w:val="000000"/>
          <w:kern w:val="0"/>
          <w:sz w:val="24"/>
          <w:szCs w:val="24"/>
          <w:lang w:val="en-US" w:eastAsia="zh-CN" w:bidi="ar"/>
        </w:rPr>
        <w:t>中的液体泄露速率计算公式，具体如下：</w:t>
      </w:r>
    </w:p>
    <w:p>
      <w:pPr>
        <w:keepNext w:val="0"/>
        <w:keepLines w:val="0"/>
        <w:widowControl/>
        <w:suppressLineNumbers w:val="0"/>
        <w:spacing w:before="0" w:beforeAutospacing="0" w:after="0" w:afterAutospacing="0" w:line="360" w:lineRule="auto"/>
        <w:ind w:left="0" w:right="0"/>
        <w:jc w:val="center"/>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drawing>
          <wp:inline distT="0" distB="0" distL="114300" distR="114300">
            <wp:extent cx="1943100" cy="542925"/>
            <wp:effectExtent l="0" t="0" r="0" b="9525"/>
            <wp:docPr id="25" name="图片 41" descr="捕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1" descr="捕获"/>
                    <pic:cNvPicPr>
                      <a:picLocks noChangeAspect="1"/>
                    </pic:cNvPicPr>
                  </pic:nvPicPr>
                  <pic:blipFill>
                    <a:blip r:embed="rId80"/>
                    <a:stretch>
                      <a:fillRect/>
                    </a:stretch>
                  </pic:blipFill>
                  <pic:spPr>
                    <a:xfrm>
                      <a:off x="0" y="0"/>
                      <a:ext cx="1943100" cy="542925"/>
                    </a:xfrm>
                    <a:prstGeom prst="rect">
                      <a:avLst/>
                    </a:prstGeom>
                    <a:noFill/>
                    <a:ln>
                      <a:noFill/>
                    </a:ln>
                  </pic:spPr>
                </pic:pic>
              </a:graphicData>
            </a:graphic>
          </wp:inline>
        </w:drawing>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Q</w:t>
      </w:r>
      <w:r>
        <w:rPr>
          <w:rFonts w:hint="default" w:ascii="Times New Roman" w:hAnsi="Times New Roman" w:eastAsia="宋体" w:cs="Times New Roman"/>
          <w:color w:val="000000"/>
          <w:kern w:val="0"/>
          <w:sz w:val="24"/>
          <w:szCs w:val="24"/>
          <w:vertAlign w:val="subscript"/>
          <w:lang w:val="en-US" w:eastAsia="zh-CN" w:bidi="ar"/>
        </w:rPr>
        <w:t>L</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液体泄漏速率，</w:t>
      </w:r>
      <w:r>
        <w:rPr>
          <w:rFonts w:hint="default" w:ascii="Times New Roman" w:hAnsi="Times New Roman" w:eastAsia="宋体" w:cs="Times New Roman"/>
          <w:color w:val="000000"/>
          <w:kern w:val="0"/>
          <w:sz w:val="24"/>
          <w:szCs w:val="24"/>
          <w:lang w:val="en-US" w:eastAsia="zh-CN" w:bidi="ar"/>
        </w:rPr>
        <w:t>kg/s</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P—</w:t>
      </w:r>
      <w:r>
        <w:rPr>
          <w:rFonts w:hint="eastAsia" w:ascii="Times New Roman" w:hAnsi="Times New Roman" w:eastAsia="宋体" w:cs="Times New Roman"/>
          <w:color w:val="000000"/>
          <w:kern w:val="0"/>
          <w:sz w:val="24"/>
          <w:szCs w:val="24"/>
          <w:lang w:val="en-US" w:eastAsia="zh-CN" w:bidi="ar"/>
        </w:rPr>
        <w:t>容器压力，</w:t>
      </w:r>
      <w:r>
        <w:rPr>
          <w:rFonts w:hint="default" w:ascii="Times New Roman" w:hAnsi="Times New Roman" w:eastAsia="宋体" w:cs="Times New Roman"/>
          <w:color w:val="000000"/>
          <w:kern w:val="0"/>
          <w:sz w:val="24"/>
          <w:szCs w:val="24"/>
          <w:lang w:val="en-US" w:eastAsia="zh-CN" w:bidi="ar"/>
        </w:rPr>
        <w:t>Pa</w:t>
      </w:r>
      <w:r>
        <w:rPr>
          <w:rFonts w:hint="eastAsia" w:ascii="Times New Roman" w:hAnsi="Times New Roman" w:eastAsia="宋体" w:cs="Times New Roman"/>
          <w:color w:val="000000"/>
          <w:kern w:val="0"/>
          <w:sz w:val="24"/>
          <w:szCs w:val="24"/>
          <w:lang w:val="en-US" w:eastAsia="zh-CN" w:bidi="ar"/>
        </w:rPr>
        <w:t>，取</w:t>
      </w:r>
      <w:r>
        <w:rPr>
          <w:rFonts w:hint="default" w:ascii="Times New Roman" w:hAnsi="Times New Roman" w:eastAsia="宋体" w:cs="Times New Roman"/>
          <w:color w:val="000000"/>
          <w:kern w:val="0"/>
          <w:sz w:val="24"/>
          <w:szCs w:val="24"/>
          <w:lang w:val="en-US" w:eastAsia="zh-CN" w:bidi="ar"/>
        </w:rPr>
        <w:t>101325Pa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P</w:t>
      </w:r>
      <w:r>
        <w:rPr>
          <w:rFonts w:hint="default" w:ascii="Times New Roman" w:hAnsi="Times New Roman" w:eastAsia="宋体" w:cs="Times New Roman"/>
          <w:color w:val="000000"/>
          <w:kern w:val="0"/>
          <w:sz w:val="24"/>
          <w:szCs w:val="24"/>
          <w:vertAlign w:val="subscript"/>
          <w:lang w:val="en-US" w:eastAsia="zh-CN" w:bidi="ar"/>
        </w:rPr>
        <w:t>0</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环境压力，</w:t>
      </w:r>
      <w:r>
        <w:rPr>
          <w:rFonts w:hint="default" w:ascii="Times New Roman" w:hAnsi="Times New Roman" w:eastAsia="宋体" w:cs="Times New Roman"/>
          <w:color w:val="000000"/>
          <w:kern w:val="0"/>
          <w:sz w:val="24"/>
          <w:szCs w:val="24"/>
          <w:lang w:val="en-US" w:eastAsia="zh-CN" w:bidi="ar"/>
        </w:rPr>
        <w:t>101325Pa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ρ—</w:t>
      </w:r>
      <w:r>
        <w:rPr>
          <w:rFonts w:hint="eastAsia" w:ascii="Times New Roman" w:hAnsi="Times New Roman" w:eastAsia="宋体" w:cs="Times New Roman"/>
          <w:color w:val="000000"/>
          <w:kern w:val="0"/>
          <w:sz w:val="24"/>
          <w:szCs w:val="24"/>
          <w:lang w:val="en-US" w:eastAsia="zh-CN" w:bidi="ar"/>
        </w:rPr>
        <w:t>泄漏液体密度，</w:t>
      </w:r>
      <w:r>
        <w:rPr>
          <w:rFonts w:hint="default" w:ascii="Times New Roman" w:hAnsi="Times New Roman" w:eastAsia="宋体" w:cs="Times New Roman"/>
          <w:color w:val="000000"/>
          <w:kern w:val="0"/>
          <w:sz w:val="24"/>
          <w:szCs w:val="24"/>
          <w:lang w:val="en-US" w:eastAsia="zh-CN" w:bidi="ar"/>
        </w:rPr>
        <w:t>934.8kg/m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g—</w:t>
      </w:r>
      <w:r>
        <w:rPr>
          <w:rFonts w:hint="eastAsia" w:ascii="Times New Roman" w:hAnsi="Times New Roman" w:eastAsia="宋体" w:cs="Times New Roman"/>
          <w:color w:val="000000"/>
          <w:kern w:val="0"/>
          <w:sz w:val="24"/>
          <w:szCs w:val="24"/>
          <w:lang w:val="en-US" w:eastAsia="zh-CN" w:bidi="ar"/>
        </w:rPr>
        <w:t>重力加速度，</w:t>
      </w:r>
      <w:r>
        <w:rPr>
          <w:rFonts w:hint="default" w:ascii="Times New Roman" w:hAnsi="Times New Roman" w:eastAsia="宋体" w:cs="Times New Roman"/>
          <w:color w:val="000000"/>
          <w:kern w:val="0"/>
          <w:sz w:val="24"/>
          <w:szCs w:val="24"/>
          <w:lang w:val="en-US" w:eastAsia="zh-CN" w:bidi="ar"/>
        </w:rPr>
        <w:t>9.81m/s</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h—</w:t>
      </w:r>
      <w:r>
        <w:rPr>
          <w:rFonts w:hint="eastAsia" w:ascii="Times New Roman" w:hAnsi="Times New Roman" w:eastAsia="宋体" w:cs="Times New Roman"/>
          <w:color w:val="000000"/>
          <w:kern w:val="0"/>
          <w:sz w:val="24"/>
          <w:szCs w:val="24"/>
          <w:lang w:val="en-US" w:eastAsia="zh-CN" w:bidi="ar"/>
        </w:rPr>
        <w:t>裂口之上液位高度，取</w:t>
      </w:r>
      <w:r>
        <w:rPr>
          <w:rFonts w:hint="default" w:ascii="Times New Roman" w:hAnsi="Times New Roman" w:eastAsia="宋体" w:cs="Times New Roman"/>
          <w:color w:val="000000"/>
          <w:kern w:val="0"/>
          <w:sz w:val="24"/>
          <w:szCs w:val="24"/>
          <w:lang w:val="en-US" w:eastAsia="zh-CN" w:bidi="ar"/>
        </w:rPr>
        <w:t>0.5m</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C</w:t>
      </w:r>
      <w:r>
        <w:rPr>
          <w:rFonts w:hint="default" w:ascii="Times New Roman" w:hAnsi="Times New Roman" w:eastAsia="宋体" w:cs="Times New Roman"/>
          <w:color w:val="000000"/>
          <w:kern w:val="0"/>
          <w:sz w:val="24"/>
          <w:szCs w:val="24"/>
          <w:vertAlign w:val="subscript"/>
          <w:lang w:val="en-US" w:eastAsia="zh-CN" w:bidi="ar"/>
        </w:rPr>
        <w:t>d</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液体泄漏系数，取</w:t>
      </w:r>
      <w:r>
        <w:rPr>
          <w:rFonts w:hint="default" w:ascii="Times New Roman" w:hAnsi="Times New Roman" w:eastAsia="宋体" w:cs="Times New Roman"/>
          <w:color w:val="000000"/>
          <w:kern w:val="0"/>
          <w:sz w:val="24"/>
          <w:szCs w:val="24"/>
          <w:lang w:val="en-US" w:eastAsia="zh-CN" w:bidi="ar"/>
        </w:rPr>
        <w:t>0.50</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裂口面积，</w:t>
      </w:r>
      <w:r>
        <w:rPr>
          <w:rFonts w:hint="eastAsia" w:ascii="Times New Roman" w:hAnsi="Times New Roman" w:eastAsia="宋体" w:cs="Times New Roman"/>
          <w:bCs/>
          <w:color w:val="000000"/>
          <w:kern w:val="0"/>
          <w:sz w:val="24"/>
          <w:szCs w:val="24"/>
          <w:lang w:val="en-US" w:eastAsia="zh-CN" w:bidi="ar"/>
        </w:rPr>
        <w:t>孔径</w:t>
      </w:r>
      <w:r>
        <w:rPr>
          <w:rFonts w:hint="default" w:ascii="Times New Roman" w:hAnsi="Times New Roman" w:eastAsia="宋体" w:cs="Times New Roman"/>
          <w:bCs/>
          <w:color w:val="000000"/>
          <w:kern w:val="0"/>
          <w:sz w:val="24"/>
          <w:szCs w:val="24"/>
          <w:lang w:val="en-US" w:eastAsia="zh-CN" w:bidi="ar"/>
        </w:rPr>
        <w:t>10mm</w:t>
      </w:r>
      <w:r>
        <w:rPr>
          <w:rFonts w:hint="eastAsia" w:ascii="Times New Roman" w:hAnsi="Times New Roman" w:eastAsia="宋体" w:cs="Times New Roman"/>
          <w:bCs/>
          <w:color w:val="000000"/>
          <w:kern w:val="0"/>
          <w:sz w:val="24"/>
          <w:szCs w:val="24"/>
          <w:lang w:val="en-US" w:eastAsia="zh-CN" w:bidi="ar"/>
        </w:rPr>
        <w:t>，取</w:t>
      </w:r>
      <w:r>
        <w:rPr>
          <w:rFonts w:hint="default" w:ascii="Times New Roman" w:hAnsi="Times New Roman" w:eastAsia="宋体" w:cs="Times New Roman"/>
          <w:bCs/>
          <w:color w:val="000000"/>
          <w:kern w:val="0"/>
          <w:sz w:val="24"/>
          <w:szCs w:val="24"/>
          <w:lang w:val="en-US" w:eastAsia="zh-CN" w:bidi="ar"/>
        </w:rPr>
        <w:t>0.0000785</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经计算，润滑油泄露速率为</w:t>
      </w:r>
      <w:r>
        <w:rPr>
          <w:rFonts w:hint="default" w:ascii="Times New Roman" w:hAnsi="Times New Roman" w:eastAsia="宋体" w:cs="Times New Roman"/>
          <w:color w:val="000000"/>
          <w:kern w:val="0"/>
          <w:sz w:val="24"/>
          <w:szCs w:val="24"/>
          <w:lang w:val="en-US" w:eastAsia="zh-CN" w:bidi="ar"/>
        </w:rPr>
        <w:t>0.115kg/s</w:t>
      </w:r>
      <w:r>
        <w:rPr>
          <w:rFonts w:hint="eastAsia" w:ascii="Times New Roman" w:hAnsi="Times New Roman" w:eastAsia="宋体" w:cs="Times New Roman"/>
          <w:color w:val="000000"/>
          <w:kern w:val="0"/>
          <w:sz w:val="24"/>
          <w:szCs w:val="24"/>
          <w:lang w:val="en-US" w:eastAsia="zh-CN" w:bidi="ar"/>
        </w:rPr>
        <w:t>，泄露时间按</w:t>
      </w:r>
      <w:r>
        <w:rPr>
          <w:rFonts w:hint="default" w:ascii="Times New Roman" w:hAnsi="Times New Roman" w:eastAsia="宋体" w:cs="Times New Roman"/>
          <w:color w:val="000000"/>
          <w:kern w:val="0"/>
          <w:sz w:val="24"/>
          <w:szCs w:val="24"/>
          <w:lang w:val="en-US" w:eastAsia="zh-CN" w:bidi="ar"/>
        </w:rPr>
        <w:t>10min</w:t>
      </w:r>
      <w:r>
        <w:rPr>
          <w:rFonts w:hint="eastAsia" w:ascii="Times New Roman" w:hAnsi="Times New Roman" w:eastAsia="宋体" w:cs="Times New Roman"/>
          <w:color w:val="000000"/>
          <w:kern w:val="0"/>
          <w:sz w:val="24"/>
          <w:szCs w:val="24"/>
          <w:lang w:val="en-US" w:eastAsia="zh-CN" w:bidi="ar"/>
        </w:rPr>
        <w:t>考虑，则润滑油泄漏量为</w:t>
      </w:r>
      <w:r>
        <w:rPr>
          <w:rFonts w:hint="default" w:ascii="Times New Roman" w:hAnsi="Times New Roman" w:eastAsia="宋体" w:cs="Times New Roman"/>
          <w:color w:val="000000"/>
          <w:kern w:val="0"/>
          <w:sz w:val="24"/>
          <w:szCs w:val="24"/>
          <w:lang w:val="en-US" w:eastAsia="zh-CN" w:bidi="ar"/>
        </w:rPr>
        <w:t>69kg</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考虑到泄漏后及时收集处理、厂区地面防渗以及岩层的吸附、降解等作用，润滑油泄漏量较小。</w:t>
      </w:r>
    </w:p>
    <w:p>
      <w:pPr>
        <w:keepNext/>
        <w:keepLines w:val="0"/>
        <w:widowControl/>
        <w:suppressLineNumbers w:val="0"/>
        <w:tabs>
          <w:tab w:val="left" w:pos="658"/>
        </w:tabs>
        <w:spacing w:before="0" w:beforeAutospacing="0" w:after="0" w:afterAutospacing="0" w:line="360" w:lineRule="auto"/>
        <w:ind w:left="0" w:right="0"/>
        <w:jc w:val="left"/>
        <w:outlineLvl w:val="2"/>
        <w:rPr>
          <w:rFonts w:hint="default" w:ascii="Times New Roman" w:hAnsi="Times New Roman" w:cs="Times New Roman"/>
          <w:b/>
          <w:bCs w:val="0"/>
          <w:color w:val="000000"/>
          <w:szCs w:val="28"/>
          <w:lang/>
        </w:rPr>
      </w:pPr>
      <w:r>
        <w:rPr>
          <w:rFonts w:hint="default" w:ascii="Times New Roman" w:hAnsi="Times New Roman" w:eastAsia="宋体" w:cs="Times New Roman"/>
          <w:b/>
          <w:bCs w:val="0"/>
          <w:color w:val="000000"/>
          <w:kern w:val="0"/>
          <w:sz w:val="24"/>
          <w:szCs w:val="28"/>
          <w:lang w:eastAsia="zh-CN" w:bidi="ar"/>
        </w:rPr>
        <w:t xml:space="preserve">5.7.3 </w:t>
      </w:r>
      <w:r>
        <w:rPr>
          <w:rFonts w:hint="eastAsia" w:ascii="Times New Roman" w:hAnsi="Times New Roman" w:eastAsia="宋体" w:cs="Times New Roman"/>
          <w:b/>
          <w:bCs w:val="0"/>
          <w:color w:val="000000"/>
          <w:kern w:val="0"/>
          <w:sz w:val="24"/>
          <w:szCs w:val="28"/>
          <w:lang w:val="en-US" w:eastAsia="zh-CN" w:bidi="ar"/>
        </w:rPr>
        <w:t>环境风险防范措施及应急要求</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依据环境保护部文件环发</w:t>
      </w:r>
      <w:r>
        <w:rPr>
          <w:rFonts w:hint="default" w:ascii="Times New Roman" w:hAnsi="Times New Roman" w:eastAsia="宋体" w:cs="Times New Roman"/>
          <w:color w:val="000000"/>
          <w:kern w:val="0"/>
          <w:sz w:val="24"/>
          <w:szCs w:val="24"/>
          <w:lang w:val="en-US" w:eastAsia="zh-CN" w:bidi="ar"/>
        </w:rPr>
        <w:t>[2012]77</w:t>
      </w:r>
      <w:r>
        <w:rPr>
          <w:rFonts w:hint="eastAsia" w:ascii="Times New Roman" w:hAnsi="Times New Roman" w:eastAsia="宋体" w:cs="Times New Roman"/>
          <w:color w:val="000000"/>
          <w:kern w:val="0"/>
          <w:sz w:val="24"/>
          <w:szCs w:val="24"/>
          <w:lang w:val="en-US" w:eastAsia="zh-CN" w:bidi="ar"/>
        </w:rPr>
        <w:t>号《关于进一步加强环境影响评价管理防范环境风险的通知》中相关要求，针对本项目的特点，为保证生产安全，减少事故的发生，尽可能消除事故隐患，并降低事故发生对环境的影响。建设单位应制定环境风险防范措施和事故应急处理。</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）风险管理措施</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本工程风险管理包括：</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建立健全环境</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安全管理制度，并严格予以执行。</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建立应急预案，并与当地的应急预案衔接，一旦出现事故可借助社会救援，把损失和对环境的污染降到最低。</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）安全管理与监督</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①安全生产管理机构</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设置安全生产管理机构，配备安全生产人员，企业主要负责人和职业卫生管理人员，必须经过安全培训取得安全资格证书。</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②安全生产管理</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企业应当对本单位存在的各类危险源进行辨识，实行分级管理。</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企业结合厂里实际情况，建立隐患排查治理制度，开展安全检查；对检查中发现的事故隐患，及时整改；暂时不能整改完毕的，应当制定具体整改计划，并采取可靠的安全保障措施。</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③职业卫生监督检查设施</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按照国家有关规定，加强职业危害的防治与职业健康监护工作，采取有效措施控制职业危害，保证作业场所的职业卫生条件符合法律、行政法规和国家标准或者行业标准的规定。在强化监管力度的同时，加大职业危害的防范的投入，及时整治改善职业危害超标场所，改善劳动条件，特别要加强对粉尘等职业危害较严重项目检测设施的投入。</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）环境风险防范措施</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①严格润滑油管理制度，定期检查贮存场所，发现破损及时更换。</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Times New Roman"/>
          <w:color w:val="000000"/>
          <w:kern w:val="0"/>
          <w:sz w:val="24"/>
          <w:szCs w:val="24"/>
          <w:lang w:val="en-US" w:eastAsia="zh-CN" w:bidi="ar"/>
        </w:rPr>
        <w:t>②</w:t>
      </w:r>
      <w:r>
        <w:rPr>
          <w:rFonts w:hint="eastAsia" w:ascii="Times New Roman" w:hAnsi="Times New Roman" w:eastAsia="宋体" w:cs="Times New Roman"/>
          <w:color w:val="000000"/>
          <w:kern w:val="0"/>
          <w:sz w:val="24"/>
          <w:szCs w:val="24"/>
          <w:lang w:val="en-US" w:eastAsia="zh-CN" w:bidi="ar"/>
        </w:rPr>
        <w:t>密切注意气象预报，如出现高温天气要严密监视，做好通风降温工作</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Times New Roman"/>
          <w:color w:val="000000"/>
          <w:kern w:val="0"/>
          <w:sz w:val="24"/>
          <w:szCs w:val="24"/>
          <w:lang w:val="en-US" w:eastAsia="zh-CN" w:bidi="ar"/>
        </w:rPr>
        <w:t>③</w:t>
      </w:r>
      <w:r>
        <w:rPr>
          <w:rFonts w:hint="eastAsia" w:ascii="Times New Roman" w:hAnsi="Times New Roman" w:eastAsia="宋体" w:cs="Times New Roman"/>
          <w:color w:val="000000"/>
          <w:kern w:val="0"/>
          <w:sz w:val="24"/>
          <w:szCs w:val="24"/>
          <w:lang w:val="en-US" w:eastAsia="zh-CN" w:bidi="ar"/>
        </w:rPr>
        <w:t>贮存设施应加强防震抗震措施等。</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Times New Roman"/>
          <w:color w:val="000000"/>
          <w:kern w:val="0"/>
          <w:sz w:val="24"/>
          <w:szCs w:val="24"/>
          <w:lang w:val="en-US" w:eastAsia="zh-CN" w:bidi="ar"/>
        </w:rPr>
        <w:t>④</w:t>
      </w:r>
      <w:r>
        <w:rPr>
          <w:rFonts w:hint="eastAsia" w:ascii="Times New Roman" w:hAnsi="Times New Roman" w:eastAsia="宋体" w:cs="Times New Roman"/>
          <w:color w:val="000000"/>
          <w:kern w:val="0"/>
          <w:sz w:val="24"/>
          <w:szCs w:val="24"/>
          <w:lang w:val="en-US" w:eastAsia="zh-CN" w:bidi="ar"/>
        </w:rPr>
        <w:t>在维修间门口建设缓坡或围堰，防止油品泄露时溢出库外。</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Times New Roman"/>
          <w:color w:val="000000"/>
          <w:kern w:val="0"/>
          <w:sz w:val="24"/>
          <w:szCs w:val="24"/>
          <w:lang w:val="en-US" w:eastAsia="zh-CN" w:bidi="ar"/>
        </w:rPr>
        <w:t>⑤</w:t>
      </w:r>
      <w:r>
        <w:rPr>
          <w:rFonts w:hint="eastAsia" w:ascii="Times New Roman" w:hAnsi="Times New Roman" w:eastAsia="宋体" w:cs="Times New Roman"/>
          <w:color w:val="000000"/>
          <w:kern w:val="0"/>
          <w:sz w:val="24"/>
          <w:szCs w:val="24"/>
          <w:lang w:val="en-US" w:eastAsia="zh-CN" w:bidi="ar"/>
        </w:rPr>
        <w:t>参考《石油化工工程防渗技术规范》（</w:t>
      </w:r>
      <w:r>
        <w:rPr>
          <w:rFonts w:hint="default" w:ascii="Times New Roman" w:hAnsi="Times New Roman" w:eastAsia="宋体" w:cs="Times New Roman"/>
          <w:color w:val="000000"/>
          <w:kern w:val="0"/>
          <w:sz w:val="24"/>
          <w:szCs w:val="24"/>
          <w:lang w:val="en-US" w:eastAsia="zh-CN" w:bidi="ar"/>
        </w:rPr>
        <w:t>GB/T 50934-2013</w:t>
      </w:r>
      <w:r>
        <w:rPr>
          <w:rFonts w:hint="eastAsia" w:ascii="Times New Roman" w:hAnsi="Times New Roman" w:eastAsia="宋体" w:cs="Times New Roman"/>
          <w:color w:val="000000"/>
          <w:kern w:val="0"/>
          <w:sz w:val="24"/>
          <w:szCs w:val="24"/>
          <w:lang w:val="en-US" w:eastAsia="zh-CN" w:bidi="ar"/>
        </w:rPr>
        <w:t>）中的相关要求对厂区进行分区防渗。</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）事故应急措施</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一旦发生火灾事故，采取消防器材及固定式消防设施进行灭火。建设一座容积</w:t>
      </w:r>
      <w:r>
        <w:rPr>
          <w:rFonts w:hint="default" w:ascii="Times New Roman" w:hAnsi="Times New Roman" w:eastAsia="宋体" w:cs="Times New Roman"/>
          <w:color w:val="000000"/>
          <w:kern w:val="0"/>
          <w:sz w:val="24"/>
          <w:szCs w:val="24"/>
          <w:lang w:val="en-US" w:eastAsia="zh-CN" w:bidi="ar"/>
        </w:rPr>
        <w:t>1000m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的事故池。</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若火灾时发生</w:t>
      </w:r>
      <w:r>
        <w:rPr>
          <w:rFonts w:hint="default" w:ascii="Times New Roman" w:hAnsi="Times New Roman" w:eastAsia="宋体" w:cs="Times New Roman"/>
          <w:color w:val="000000"/>
          <w:kern w:val="0"/>
          <w:sz w:val="24"/>
          <w:szCs w:val="24"/>
          <w:lang w:val="en-US" w:eastAsia="zh-CN" w:bidi="ar"/>
        </w:rPr>
        <w:t>CO</w:t>
      </w:r>
      <w:r>
        <w:rPr>
          <w:rFonts w:hint="eastAsia" w:ascii="Times New Roman" w:hAnsi="Times New Roman" w:eastAsia="宋体" w:cs="Times New Roman"/>
          <w:color w:val="000000"/>
          <w:kern w:val="0"/>
          <w:sz w:val="24"/>
          <w:szCs w:val="24"/>
          <w:lang w:val="en-US" w:eastAsia="zh-CN" w:bidi="ar"/>
        </w:rPr>
        <w:t>中毒，迅速将患者移离中毒现场至通风处，松开衣领，注意保暖，密切观察意识状态。血</w:t>
      </w:r>
      <w:r>
        <w:rPr>
          <w:rFonts w:hint="default" w:ascii="Times New Roman" w:hAnsi="Times New Roman" w:eastAsia="宋体" w:cs="Times New Roman"/>
          <w:color w:val="000000"/>
          <w:kern w:val="0"/>
          <w:sz w:val="24"/>
          <w:szCs w:val="24"/>
          <w:lang w:val="en-US" w:eastAsia="zh-CN" w:bidi="ar"/>
        </w:rPr>
        <w:t>HbCO</w:t>
      </w:r>
      <w:r>
        <w:rPr>
          <w:rFonts w:hint="eastAsia" w:ascii="Times New Roman" w:hAnsi="Times New Roman" w:eastAsia="宋体" w:cs="Times New Roman"/>
          <w:color w:val="000000"/>
          <w:kern w:val="0"/>
          <w:sz w:val="24"/>
          <w:szCs w:val="24"/>
          <w:lang w:val="en-US" w:eastAsia="zh-CN" w:bidi="ar"/>
        </w:rPr>
        <w:t>系</w:t>
      </w:r>
      <w:r>
        <w:rPr>
          <w:rFonts w:hint="default" w:ascii="Times New Roman" w:hAnsi="Times New Roman" w:eastAsia="宋体" w:cs="Times New Roman"/>
          <w:color w:val="000000"/>
          <w:kern w:val="0"/>
          <w:sz w:val="24"/>
          <w:szCs w:val="24"/>
          <w:lang w:val="en-US" w:eastAsia="zh-CN" w:bidi="ar"/>
        </w:rPr>
        <w:t>CO</w:t>
      </w:r>
      <w:r>
        <w:rPr>
          <w:rFonts w:hint="eastAsia" w:ascii="Times New Roman" w:hAnsi="Times New Roman" w:eastAsia="宋体" w:cs="Times New Roman"/>
          <w:color w:val="000000"/>
          <w:kern w:val="0"/>
          <w:sz w:val="24"/>
          <w:szCs w:val="24"/>
          <w:lang w:val="en-US" w:eastAsia="zh-CN" w:bidi="ar"/>
        </w:rPr>
        <w:t>中毒唯一特异的化验指标，但只有及时测定才对诊断更有参考意义。脱离中毒环境</w:t>
      </w:r>
      <w:r>
        <w:rPr>
          <w:rFonts w:hint="default" w:ascii="Times New Roman" w:hAnsi="Times New Roman" w:eastAsia="宋体" w:cs="Times New Roman"/>
          <w:color w:val="000000"/>
          <w:kern w:val="0"/>
          <w:sz w:val="24"/>
          <w:szCs w:val="24"/>
          <w:lang w:val="en-US" w:eastAsia="zh-CN" w:bidi="ar"/>
        </w:rPr>
        <w:t>8h</w:t>
      </w:r>
      <w:r>
        <w:rPr>
          <w:rFonts w:hint="eastAsia" w:ascii="Times New Roman" w:hAnsi="Times New Roman" w:eastAsia="宋体" w:cs="Times New Roman"/>
          <w:color w:val="000000"/>
          <w:kern w:val="0"/>
          <w:sz w:val="24"/>
          <w:szCs w:val="24"/>
          <w:lang w:val="en-US" w:eastAsia="zh-CN" w:bidi="ar"/>
        </w:rPr>
        <w:t>以上患者血中</w:t>
      </w:r>
      <w:r>
        <w:rPr>
          <w:rFonts w:hint="default" w:ascii="Times New Roman" w:hAnsi="Times New Roman" w:eastAsia="宋体" w:cs="Times New Roman"/>
          <w:color w:val="000000"/>
          <w:kern w:val="0"/>
          <w:sz w:val="24"/>
          <w:szCs w:val="24"/>
          <w:lang w:val="en-US" w:eastAsia="zh-CN" w:bidi="ar"/>
        </w:rPr>
        <w:t>HbCO</w:t>
      </w:r>
      <w:r>
        <w:rPr>
          <w:rFonts w:hint="eastAsia" w:ascii="Times New Roman" w:hAnsi="Times New Roman" w:eastAsia="宋体" w:cs="Times New Roman"/>
          <w:color w:val="000000"/>
          <w:kern w:val="0"/>
          <w:sz w:val="24"/>
          <w:szCs w:val="24"/>
          <w:lang w:val="en-US" w:eastAsia="zh-CN" w:bidi="ar"/>
        </w:rPr>
        <w:t>多在</w:t>
      </w:r>
      <w:r>
        <w:rPr>
          <w:rFonts w:hint="default" w:ascii="Times New Roman" w:hAnsi="Times New Roman" w:eastAsia="宋体" w:cs="Times New Roman"/>
          <w:color w:val="000000"/>
          <w:kern w:val="0"/>
          <w:sz w:val="24"/>
          <w:szCs w:val="24"/>
          <w:lang w:val="en-US" w:eastAsia="zh-CN" w:bidi="ar"/>
        </w:rPr>
        <w:t>10%</w:t>
      </w:r>
      <w:r>
        <w:rPr>
          <w:rFonts w:hint="eastAsia" w:ascii="Times New Roman" w:hAnsi="Times New Roman" w:eastAsia="宋体" w:cs="Times New Roman"/>
          <w:color w:val="000000"/>
          <w:kern w:val="0"/>
          <w:sz w:val="24"/>
          <w:szCs w:val="24"/>
          <w:lang w:val="en-US" w:eastAsia="zh-CN" w:bidi="ar"/>
        </w:rPr>
        <w:t>以下。及时有效给氧是急性</w:t>
      </w:r>
      <w:r>
        <w:rPr>
          <w:rFonts w:hint="default" w:ascii="Times New Roman" w:hAnsi="Times New Roman" w:eastAsia="宋体" w:cs="Times New Roman"/>
          <w:color w:val="000000"/>
          <w:kern w:val="0"/>
          <w:sz w:val="24"/>
          <w:szCs w:val="24"/>
          <w:lang w:val="en-US" w:eastAsia="zh-CN" w:bidi="ar"/>
        </w:rPr>
        <w:t>CO</w:t>
      </w:r>
      <w:r>
        <w:rPr>
          <w:rFonts w:hint="eastAsia" w:ascii="Times New Roman" w:hAnsi="Times New Roman" w:eastAsia="宋体" w:cs="Times New Roman"/>
          <w:color w:val="000000"/>
          <w:kern w:val="0"/>
          <w:sz w:val="24"/>
          <w:szCs w:val="24"/>
          <w:lang w:val="en-US" w:eastAsia="zh-CN" w:bidi="ar"/>
        </w:rPr>
        <w:t>中毒最重要的治疗原则。应用高压氧疗法，可加速患者血中</w:t>
      </w:r>
      <w:r>
        <w:rPr>
          <w:rFonts w:hint="default" w:ascii="Times New Roman" w:hAnsi="Times New Roman" w:eastAsia="宋体" w:cs="Times New Roman"/>
          <w:color w:val="000000"/>
          <w:kern w:val="0"/>
          <w:sz w:val="24"/>
          <w:szCs w:val="24"/>
          <w:lang w:val="en-US" w:eastAsia="zh-CN" w:bidi="ar"/>
        </w:rPr>
        <w:t>HbCO</w:t>
      </w:r>
      <w:r>
        <w:rPr>
          <w:rFonts w:hint="eastAsia" w:ascii="Times New Roman" w:hAnsi="Times New Roman" w:eastAsia="宋体" w:cs="Times New Roman"/>
          <w:color w:val="000000"/>
          <w:kern w:val="0"/>
          <w:sz w:val="24"/>
          <w:szCs w:val="24"/>
          <w:lang w:val="en-US" w:eastAsia="zh-CN" w:bidi="ar"/>
        </w:rPr>
        <w:t>的清除，迅速纠正组织缺氧。方法是用</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2.5</w:t>
      </w:r>
      <w:r>
        <w:rPr>
          <w:rFonts w:hint="eastAsia" w:ascii="Times New Roman" w:hAnsi="Times New Roman" w:eastAsia="宋体" w:cs="Times New Roman"/>
          <w:color w:val="000000"/>
          <w:kern w:val="0"/>
          <w:sz w:val="24"/>
          <w:szCs w:val="24"/>
          <w:lang w:val="en-US" w:eastAsia="zh-CN" w:bidi="ar"/>
        </w:rPr>
        <w:t>个大气压活瓣式面罩吸入纯氧</w:t>
      </w:r>
      <w:r>
        <w:rPr>
          <w:rFonts w:hint="default" w:ascii="Times New Roman" w:hAnsi="Times New Roman" w:eastAsia="宋体" w:cs="Times New Roman"/>
          <w:color w:val="000000"/>
          <w:kern w:val="0"/>
          <w:sz w:val="24"/>
          <w:szCs w:val="24"/>
          <w:lang w:val="en-US" w:eastAsia="zh-CN" w:bidi="ar"/>
        </w:rPr>
        <w:t>60min</w:t>
      </w:r>
      <w:r>
        <w:rPr>
          <w:rFonts w:hint="eastAsia" w:ascii="Times New Roman" w:hAnsi="Times New Roman" w:eastAsia="宋体" w:cs="Times New Roman"/>
          <w:color w:val="000000"/>
          <w:kern w:val="0"/>
          <w:sz w:val="24"/>
          <w:szCs w:val="24"/>
          <w:lang w:val="en-US" w:eastAsia="zh-CN" w:bidi="ar"/>
        </w:rPr>
        <w:t>，每日</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次，轻度中毒一般</w:t>
      </w:r>
      <w:r>
        <w:rPr>
          <w:rFonts w:hint="default" w:ascii="Times New Roman" w:hAnsi="Times New Roman" w:eastAsia="宋体" w:cs="Times New Roman"/>
          <w:color w:val="000000"/>
          <w:kern w:val="0"/>
          <w:sz w:val="24"/>
          <w:szCs w:val="24"/>
          <w:lang w:val="en-US" w:eastAsia="zh-CN" w:bidi="ar"/>
        </w:rPr>
        <w:t>5</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7</w:t>
      </w:r>
      <w:r>
        <w:rPr>
          <w:rFonts w:hint="eastAsia" w:ascii="Times New Roman" w:hAnsi="Times New Roman" w:eastAsia="宋体" w:cs="Times New Roman"/>
          <w:color w:val="000000"/>
          <w:kern w:val="0"/>
          <w:sz w:val="24"/>
          <w:szCs w:val="24"/>
          <w:lang w:val="en-US" w:eastAsia="zh-CN" w:bidi="ar"/>
        </w:rPr>
        <w:t>次，中度中毒</w:t>
      </w:r>
      <w:r>
        <w:rPr>
          <w:rFonts w:hint="default" w:ascii="Times New Roman" w:hAnsi="Times New Roman" w:eastAsia="宋体" w:cs="Times New Roman"/>
          <w:color w:val="000000"/>
          <w:kern w:val="0"/>
          <w:sz w:val="24"/>
          <w:szCs w:val="24"/>
          <w:lang w:val="en-US" w:eastAsia="zh-CN" w:bidi="ar"/>
        </w:rPr>
        <w:t>10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20</w:t>
      </w:r>
      <w:r>
        <w:rPr>
          <w:rFonts w:hint="eastAsia" w:ascii="Times New Roman" w:hAnsi="Times New Roman" w:eastAsia="宋体" w:cs="Times New Roman"/>
          <w:color w:val="000000"/>
          <w:kern w:val="0"/>
          <w:sz w:val="24"/>
          <w:szCs w:val="24"/>
          <w:lang w:val="en-US" w:eastAsia="zh-CN" w:bidi="ar"/>
        </w:rPr>
        <w:t>次，重度中毒</w:t>
      </w:r>
      <w:r>
        <w:rPr>
          <w:rFonts w:hint="default" w:ascii="Times New Roman" w:hAnsi="Times New Roman" w:eastAsia="宋体" w:cs="Times New Roman"/>
          <w:color w:val="000000"/>
          <w:kern w:val="0"/>
          <w:sz w:val="24"/>
          <w:szCs w:val="24"/>
          <w:lang w:val="en-US" w:eastAsia="zh-CN" w:bidi="ar"/>
        </w:rPr>
        <w:t>20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30</w:t>
      </w:r>
      <w:r>
        <w:rPr>
          <w:rFonts w:hint="eastAsia" w:ascii="Times New Roman" w:hAnsi="Times New Roman" w:eastAsia="宋体" w:cs="Times New Roman"/>
          <w:color w:val="000000"/>
          <w:kern w:val="0"/>
          <w:sz w:val="24"/>
          <w:szCs w:val="24"/>
          <w:lang w:val="en-US" w:eastAsia="zh-CN" w:bidi="ar"/>
        </w:rPr>
        <w:t>次。</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5</w:t>
      </w:r>
      <w:r>
        <w:rPr>
          <w:rFonts w:hint="eastAsia" w:ascii="Times New Roman" w:hAnsi="Times New Roman" w:eastAsia="宋体" w:cs="Times New Roman"/>
          <w:color w:val="000000"/>
          <w:kern w:val="0"/>
          <w:sz w:val="24"/>
          <w:szCs w:val="24"/>
          <w:lang w:val="en-US" w:eastAsia="zh-CN" w:bidi="ar"/>
        </w:rPr>
        <w:t>）制定突发环境风险应急预案</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根据环境保护部环发</w:t>
      </w:r>
      <w:r>
        <w:rPr>
          <w:rFonts w:hint="default" w:ascii="Times New Roman" w:hAnsi="Times New Roman" w:eastAsia="宋体" w:cs="Times New Roman"/>
          <w:color w:val="000000"/>
          <w:kern w:val="0"/>
          <w:sz w:val="24"/>
          <w:szCs w:val="24"/>
          <w:lang w:val="en-US" w:eastAsia="zh-CN" w:bidi="ar"/>
        </w:rPr>
        <w:t>[2015]4</w:t>
      </w:r>
      <w:r>
        <w:rPr>
          <w:rFonts w:hint="eastAsia" w:ascii="Times New Roman" w:hAnsi="Times New Roman" w:eastAsia="宋体" w:cs="Times New Roman"/>
          <w:color w:val="000000"/>
          <w:kern w:val="0"/>
          <w:sz w:val="24"/>
          <w:szCs w:val="24"/>
          <w:lang w:val="en-US" w:eastAsia="zh-CN" w:bidi="ar"/>
        </w:rPr>
        <w:t>号文《关于印发</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企业事业单位突发环境事件应急预案备案管理办法（试行）</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的通知》和《突发环境事件应急管理办法》等相关文件要求，建设单位应开展环境风险应急预案编制工作，并进行备案。</w:t>
      </w:r>
    </w:p>
    <w:p>
      <w:pPr>
        <w:keepNext/>
        <w:keepLines w:val="0"/>
        <w:widowControl/>
        <w:suppressLineNumbers w:val="0"/>
        <w:tabs>
          <w:tab w:val="left" w:pos="658"/>
        </w:tabs>
        <w:spacing w:before="0" w:beforeAutospacing="0" w:after="0" w:afterAutospacing="0" w:line="360" w:lineRule="auto"/>
        <w:ind w:left="0" w:right="0"/>
        <w:jc w:val="left"/>
        <w:outlineLvl w:val="2"/>
        <w:rPr>
          <w:rFonts w:hint="default" w:ascii="Times New Roman" w:hAnsi="Times New Roman" w:cs="Times New Roman"/>
          <w:b/>
          <w:bCs w:val="0"/>
          <w:color w:val="000000"/>
          <w:szCs w:val="28"/>
          <w:lang/>
        </w:rPr>
      </w:pPr>
      <w:r>
        <w:rPr>
          <w:rFonts w:hint="default" w:ascii="Times New Roman" w:hAnsi="Times New Roman" w:eastAsia="宋体" w:cs="Times New Roman"/>
          <w:b/>
          <w:bCs w:val="0"/>
          <w:color w:val="000000"/>
          <w:kern w:val="0"/>
          <w:sz w:val="24"/>
          <w:szCs w:val="28"/>
          <w:lang w:eastAsia="zh-CN" w:bidi="ar"/>
        </w:rPr>
        <w:t xml:space="preserve">5.7.4 </w:t>
      </w:r>
      <w:r>
        <w:rPr>
          <w:rFonts w:hint="eastAsia" w:ascii="Times New Roman" w:hAnsi="Times New Roman" w:eastAsia="宋体" w:cs="Times New Roman"/>
          <w:b/>
          <w:bCs w:val="0"/>
          <w:color w:val="000000"/>
          <w:kern w:val="0"/>
          <w:sz w:val="24"/>
          <w:szCs w:val="28"/>
          <w:lang w:val="en-US" w:eastAsia="zh-CN" w:bidi="ar"/>
        </w:rPr>
        <w:t>环境风险简单分析结论</w:t>
      </w:r>
    </w:p>
    <w:p>
      <w:pPr>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本项目的环境风险主要表现为润滑油的贮存事故、恶劣自然条件等情况下突发的泄漏、火灾事故导致的大气、水体及土壤的环境污染。</w:t>
      </w:r>
    </w:p>
    <w:p>
      <w:pPr>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在泄漏或火灾事故时必定会对周围环境产生一定的不良影响，但事故影响持续时间不长，由于润滑油贮存量较小，且采取风险防范措施，总体来说对周边不会产生大的影响。本项目润滑油贮存过程中必须做好的物料的贮存运输工作，严格做好安全生产工作，使事故发生时能及时有效的得到控制，缩短事故发生的持续时间，从而降低对周围环境的影响。</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企业在做好安全防范措施和应急措施的前提下，本项目的安全隐患可以得到控制，本项目的事故风险水平是可以接受的。</w:t>
      </w: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color w:val="000000"/>
          <w:lang w:val="en-US"/>
        </w:rPr>
      </w:pPr>
    </w:p>
    <w:p>
      <w:pPr>
        <w:keepNext w:val="0"/>
        <w:keepLines w:val="0"/>
        <w:widowControl/>
        <w:suppressLineNumbers w:val="0"/>
        <w:adjustRightInd w:val="0"/>
        <w:spacing w:before="0" w:beforeAutospacing="0" w:after="0" w:afterAutospacing="0" w:line="500" w:lineRule="exact"/>
        <w:ind w:left="0" w:right="0" w:firstLine="420" w:firstLineChars="200"/>
        <w:jc w:val="left"/>
        <w:rPr>
          <w:rFonts w:hint="default" w:ascii="Times New Roman" w:hAnsi="Times New Roman" w:eastAsia="方正书宋简体" w:cs="Times New Roman"/>
          <w:color w:val="000000"/>
          <w:lang w:val="en-US"/>
        </w:rPr>
      </w:pPr>
    </w:p>
    <w:p>
      <w:pPr>
        <w:rPr>
          <w:rFonts w:hint="default" w:ascii="Times New Roman" w:hAnsi="Times New Roman" w:eastAsia="方正书宋简体" w:cs="Times New Roman"/>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p>
      <w:pPr>
        <w:pStyle w:val="7"/>
        <w:widowControl/>
        <w:rPr>
          <w:rFonts w:hint="default" w:ascii="Times New Roman" w:hAnsi="Times New Roman" w:cs="Times New Roman"/>
          <w:color w:val="000000"/>
          <w:lang/>
        </w:rPr>
      </w:pPr>
      <w:bookmarkStart w:id="209" w:name="_Toc41656148"/>
      <w:r>
        <w:rPr>
          <w:rFonts w:hint="default" w:ascii="Times New Roman" w:hAnsi="Times New Roman" w:cs="Times New Roman"/>
          <w:color w:val="000000"/>
          <w:lang w:eastAsia="zh-CN"/>
        </w:rPr>
        <w:t>6</w:t>
      </w:r>
      <w:r>
        <w:rPr>
          <w:rFonts w:hint="default" w:ascii="Times New Roman" w:hAnsi="Times New Roman" w:cs="Times New Roman"/>
          <w:color w:val="000000"/>
          <w:lang/>
        </w:rPr>
        <w:t xml:space="preserve">. </w:t>
      </w:r>
      <w:bookmarkEnd w:id="197"/>
      <w:bookmarkEnd w:id="198"/>
      <w:bookmarkEnd w:id="199"/>
      <w:bookmarkEnd w:id="200"/>
      <w:bookmarkEnd w:id="201"/>
      <w:bookmarkEnd w:id="202"/>
      <w:bookmarkEnd w:id="203"/>
      <w:bookmarkEnd w:id="204"/>
      <w:bookmarkEnd w:id="205"/>
      <w:bookmarkEnd w:id="206"/>
      <w:bookmarkEnd w:id="207"/>
      <w:bookmarkEnd w:id="208"/>
      <w:r>
        <w:rPr>
          <w:rFonts w:ascii="Times New Roman" w:hAnsi="Times New Roman" w:cs="Times New Roman"/>
          <w:color w:val="000000"/>
          <w:lang/>
        </w:rPr>
        <w:t>环境保护措施及其可行性论证</w:t>
      </w:r>
      <w:bookmarkEnd w:id="209"/>
    </w:p>
    <w:p>
      <w:pPr>
        <w:pStyle w:val="8"/>
        <w:widowControl/>
        <w:rPr>
          <w:color w:val="000000"/>
          <w:lang/>
        </w:rPr>
      </w:pPr>
      <w:bookmarkStart w:id="210" w:name="_Toc41656149"/>
      <w:bookmarkStart w:id="211" w:name="_Toc151200154"/>
      <w:bookmarkStart w:id="212" w:name="_Toc151200314"/>
      <w:bookmarkStart w:id="213" w:name="_Toc151276207"/>
      <w:bookmarkStart w:id="214" w:name="_Toc151278941"/>
      <w:bookmarkStart w:id="215" w:name="_Toc153007140"/>
      <w:bookmarkStart w:id="216" w:name="_Toc153878476"/>
      <w:bookmarkStart w:id="217" w:name="_Toc154569880"/>
      <w:bookmarkStart w:id="218" w:name="_Toc154570267"/>
      <w:bookmarkStart w:id="219" w:name="_Toc158523429"/>
      <w:bookmarkStart w:id="220" w:name="_Toc166464749"/>
      <w:bookmarkStart w:id="221" w:name="_Toc175711448"/>
      <w:bookmarkStart w:id="222" w:name="_Toc175714281"/>
      <w:r>
        <w:rPr>
          <w:color w:val="000000"/>
          <w:lang/>
        </w:rPr>
        <w:t xml:space="preserve">6.1 </w:t>
      </w:r>
      <w:r>
        <w:rPr>
          <w:rFonts w:hint="eastAsia" w:ascii="Times New Roman" w:hAnsi="Times New Roman" w:eastAsia="宋体" w:cs="宋体"/>
          <w:color w:val="000000"/>
          <w:lang w:eastAsia="zh-CN"/>
        </w:rPr>
        <w:t>施工期污染防治措施</w:t>
      </w:r>
      <w:bookmarkEnd w:id="210"/>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6.1.</w:t>
      </w:r>
      <w:r>
        <w:rPr>
          <w:rFonts w:hint="default" w:ascii="Times New Roman" w:hAnsi="Times New Roman" w:cs="Times New Roman"/>
          <w:color w:val="000000"/>
          <w:lang w:eastAsia="zh-CN"/>
        </w:rPr>
        <w:t>1</w:t>
      </w:r>
      <w:r>
        <w:rPr>
          <w:rFonts w:hint="default" w:ascii="Times New Roman" w:hAnsi="Times New Roman" w:cs="Times New Roman"/>
          <w:color w:val="000000"/>
          <w:lang/>
        </w:rPr>
        <w:t xml:space="preserve"> </w:t>
      </w:r>
      <w:r>
        <w:rPr>
          <w:rFonts w:ascii="Times New Roman" w:hAnsi="Times New Roman" w:cs="Times New Roman"/>
          <w:color w:val="000000"/>
          <w:lang/>
        </w:rPr>
        <w:t>施工扬尘</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项目在施工期间，不可避免地会产生一些地面扬尘，这些扬尘尽管是短期行为，但也会对附近区域环境带来不利影响，所以在施工期间要采取积极有效的措施尽量减轻扬尘的产生，最大限度地防止扬尘扩散，具体环保要求如下：</w:t>
      </w:r>
    </w:p>
    <w:p>
      <w:pPr>
        <w:keepNext w:val="0"/>
        <w:keepLines w:val="0"/>
        <w:widowControl/>
        <w:numPr>
          <w:ilvl w:val="0"/>
          <w:numId w:val="7"/>
        </w:numPr>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施工场地周边必须设置高度在</w:t>
      </w:r>
      <w:r>
        <w:rPr>
          <w:rFonts w:hint="default" w:ascii="Times New Roman" w:hAnsi="Times New Roman" w:eastAsia="宋体" w:cs="Times New Roman"/>
          <w:color w:val="000000"/>
          <w:kern w:val="0"/>
          <w:sz w:val="24"/>
          <w:szCs w:val="24"/>
          <w:lang w:val="en-US" w:eastAsia="zh-CN" w:bidi="ar"/>
        </w:rPr>
        <w:t>1.8m</w:t>
      </w:r>
      <w:r>
        <w:rPr>
          <w:rFonts w:hint="eastAsia" w:ascii="Times New Roman" w:hAnsi="Times New Roman" w:eastAsia="宋体" w:cs="Times New Roman"/>
          <w:color w:val="000000"/>
          <w:kern w:val="0"/>
          <w:sz w:val="24"/>
          <w:szCs w:val="24"/>
          <w:lang w:val="en-US" w:eastAsia="zh-CN" w:bidi="ar"/>
        </w:rPr>
        <w:t>以上的围挡，围挡间无缝隙，围挡底端设置防溢座。</w:t>
      </w:r>
    </w:p>
    <w:p>
      <w:pPr>
        <w:keepNext w:val="0"/>
        <w:keepLines w:val="0"/>
        <w:widowControl/>
        <w:numPr>
          <w:ilvl w:val="0"/>
          <w:numId w:val="7"/>
        </w:numPr>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工程材料、砂石、土方或废弃物等易产生扬尘的物质应当密闭处理。若在工地内堆置，则应采取覆盖防尘布、覆盖防尘网、配合定期喷洒粉尘抑制剂等措施，防止风蚀起尘。</w:t>
      </w:r>
    </w:p>
    <w:p>
      <w:pPr>
        <w:keepNext w:val="0"/>
        <w:keepLines w:val="0"/>
        <w:widowControl/>
        <w:numPr>
          <w:ilvl w:val="0"/>
          <w:numId w:val="7"/>
        </w:numPr>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期间，物料、渣土、垃圾运输车辆的出入口内侧设置洗车平台，洗车平台四周设置防溢座或其他防止设施，防止洗车废水溢出工地；设置废水收集坑及沉砂池。车辆驶离工地前，应在洗车平台冲洗轮胎及车身，使其表面不附着污泥。</w:t>
      </w:r>
    </w:p>
    <w:p>
      <w:pPr>
        <w:keepNext w:val="0"/>
        <w:keepLines w:val="0"/>
        <w:widowControl/>
        <w:numPr>
          <w:ilvl w:val="0"/>
          <w:numId w:val="7"/>
        </w:numPr>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进出工地的物料、渣土、垃圾运输车辆，装载的物料、垃圾、渣土高度不得超过车辆槽帮上沿，车斗用苫布遮盖或采用密闭车斗。若车斗用苫布覆盖，应当严实密闭，苫布边缘至少要遮住槽帮上沿以下</w:t>
      </w:r>
      <w:r>
        <w:rPr>
          <w:rFonts w:hint="default" w:ascii="Times New Roman" w:hAnsi="Times New Roman" w:eastAsia="宋体" w:cs="Times New Roman"/>
          <w:color w:val="000000"/>
          <w:kern w:val="0"/>
          <w:sz w:val="24"/>
          <w:szCs w:val="24"/>
          <w:lang w:val="en-US" w:eastAsia="zh-CN" w:bidi="ar"/>
        </w:rPr>
        <w:t>15</w:t>
      </w:r>
      <w:r>
        <w:rPr>
          <w:rFonts w:hint="eastAsia" w:ascii="Times New Roman" w:hAnsi="Times New Roman" w:eastAsia="宋体" w:cs="Times New Roman"/>
          <w:color w:val="000000"/>
          <w:kern w:val="0"/>
          <w:sz w:val="24"/>
          <w:szCs w:val="24"/>
          <w:lang w:val="en-US" w:eastAsia="zh-CN" w:bidi="ar"/>
        </w:rPr>
        <w:t>公分，保证物料、渣土、垃圾等不露出。车辆应当按照批准的路线和时间进行物料、渣土、垃圾的运输。</w:t>
      </w:r>
    </w:p>
    <w:p>
      <w:pPr>
        <w:keepNext w:val="0"/>
        <w:keepLines w:val="0"/>
        <w:widowControl/>
        <w:numPr>
          <w:ilvl w:val="0"/>
          <w:numId w:val="7"/>
        </w:numPr>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天气预报</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级风以上天气应停止产生扬尘的施工作业，例如土石方工程等。</w:t>
      </w:r>
    </w:p>
    <w:p>
      <w:pPr>
        <w:keepNext w:val="0"/>
        <w:keepLines w:val="0"/>
        <w:widowControl/>
        <w:numPr>
          <w:ilvl w:val="0"/>
          <w:numId w:val="7"/>
        </w:numPr>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应有专人负责逸散性材料、垃圾、渣土、裸地等密闭、覆盖、洒水、车辆清洗等作业并纪录扬尘控制措施的实施情况。</w:t>
      </w:r>
    </w:p>
    <w:p>
      <w:pPr>
        <w:keepNext w:val="0"/>
        <w:keepLines w:val="0"/>
        <w:widowControl/>
        <w:numPr>
          <w:ilvl w:val="0"/>
          <w:numId w:val="7"/>
        </w:numPr>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期间需使用混凝土时，应当适用预拌混凝土或进行密闭搅拌并预备防尘除尘装置，严禁现场露天搅拌。应组织石材、木制半成品进入施工现场，实施装配式施工，减少因切割石材、木制品加工所造成的扬尘污染。</w:t>
      </w:r>
    </w:p>
    <w:p>
      <w:pPr>
        <w:keepNext w:val="0"/>
        <w:keepLines w:val="0"/>
        <w:widowControl/>
        <w:numPr>
          <w:ilvl w:val="0"/>
          <w:numId w:val="7"/>
        </w:numPr>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施工期间，应对工地建筑结构脚手架外侧设置有效抑尘的防尘网或防尘布。</w:t>
      </w:r>
    </w:p>
    <w:p>
      <w:pPr>
        <w:keepNext w:val="0"/>
        <w:keepLines w:val="0"/>
        <w:widowControl/>
        <w:numPr>
          <w:ilvl w:val="0"/>
          <w:numId w:val="7"/>
        </w:numPr>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工地内建筑上层具有粉尘逸散性的工程材料、渣土或废弃物输送至地面或地下楼层时，须从建筑内部管道或密闭输送管道输送，或者进行人工搬运。</w:t>
      </w:r>
    </w:p>
    <w:p>
      <w:pPr>
        <w:keepNext w:val="0"/>
        <w:keepLines w:val="0"/>
        <w:widowControl/>
        <w:numPr>
          <w:ilvl w:val="0"/>
          <w:numId w:val="7"/>
        </w:numPr>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施工工地内车型道路，应采取铺设钢板、混凝土、沥青混凝土、用礁渣、细石或其它功能相当的材料等措施之一，防止机动车扬尘。</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对于工地内裸露地面，应采取以下防尘措施之一：覆盖防尘布或防尘网；铺设钢板、混凝土、沥青混凝土、用炉渣、细石或其它功能相当的材料；每周洒水两次；地表压实处理并洒水；根据抑尘剂性能，定期喷洒抑尘剂。在道路上施工的工地必须实行封闭式施工，严禁在车行道上堆放施工弃土，要采用洒水、遮盖或喷洒覆盖剂等措施防治扬尘。</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6.1.</w:t>
      </w:r>
      <w:r>
        <w:rPr>
          <w:rFonts w:hint="default" w:ascii="Times New Roman" w:hAnsi="Times New Roman" w:cs="Times New Roman"/>
          <w:color w:val="000000"/>
          <w:lang w:eastAsia="zh-CN"/>
        </w:rPr>
        <w:t>3</w:t>
      </w:r>
      <w:r>
        <w:rPr>
          <w:rFonts w:hint="default" w:ascii="Times New Roman" w:hAnsi="Times New Roman" w:cs="Times New Roman"/>
          <w:color w:val="000000"/>
          <w:lang/>
        </w:rPr>
        <w:t xml:space="preserve"> </w:t>
      </w:r>
      <w:r>
        <w:rPr>
          <w:rFonts w:ascii="Times New Roman" w:hAnsi="Times New Roman" w:cs="Times New Roman"/>
          <w:color w:val="000000"/>
          <w:lang/>
        </w:rPr>
        <w:t>施工噪声</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由于施工是露天作业，流动性和间歇性较强，对各生产环节中的噪声治理具有一定难度，下面结合施工特点，对一些重点噪声设备和声源，提出一些治理措施和建议：</w:t>
      </w:r>
    </w:p>
    <w:p>
      <w:pPr>
        <w:keepNext w:val="0"/>
        <w:keepLines w:val="0"/>
        <w:widowControl/>
        <w:numPr>
          <w:ilvl w:val="0"/>
          <w:numId w:val="8"/>
        </w:numPr>
        <w:suppressLineNumbers w:val="0"/>
        <w:spacing w:before="0" w:beforeAutospacing="0" w:after="0" w:afterAutospacing="0" w:line="500" w:lineRule="exact"/>
        <w:ind w:left="900" w:right="0" w:hanging="42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降低声源的噪声强度</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基础施工过程中主要发声设备气锤打桩机等，要求采用水力撞锤代替撞击打桩的传统方法。</w:t>
      </w:r>
    </w:p>
    <w:p>
      <w:pPr>
        <w:keepNext w:val="0"/>
        <w:keepLines w:val="0"/>
        <w:widowControl/>
        <w:numPr>
          <w:ilvl w:val="0"/>
          <w:numId w:val="8"/>
        </w:numPr>
        <w:suppressLineNumbers w:val="0"/>
        <w:spacing w:before="0" w:beforeAutospacing="0" w:after="0" w:afterAutospacing="0" w:line="500" w:lineRule="exact"/>
        <w:ind w:left="900" w:right="0" w:hanging="42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采用局部吸声、隔声降噪技术</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对各施工环节中噪声较为突出的，且难以对声源进行降噪可能的设备装置，应采取临时隔声措施，在隔离体上敷以吸声材料，以此达到降噪效果。</w:t>
      </w:r>
    </w:p>
    <w:p>
      <w:pPr>
        <w:keepNext w:val="0"/>
        <w:keepLines w:val="0"/>
        <w:widowControl/>
        <w:numPr>
          <w:ilvl w:val="0"/>
          <w:numId w:val="8"/>
        </w:numPr>
        <w:suppressLineNumbers w:val="0"/>
        <w:spacing w:before="0" w:beforeAutospacing="0" w:after="0" w:afterAutospacing="0" w:line="500" w:lineRule="exact"/>
        <w:ind w:left="900" w:right="0" w:hanging="42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加强施工队伍的教育，提高职工的环保意识</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施工现场的许多噪声只要施工人员能合理操作就可以大大减轻，要求卸货时轻拿轻放、用振动器时减少和金属物的接触等，因此加强施工队伍的环保教育十分必要。</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对不同阶段的施工噪声必须遵守《建筑施工场界环境噪声排放标准》</w:t>
      </w:r>
      <w:r>
        <w:rPr>
          <w:rFonts w:hint="eastAsia" w:ascii="Times New Roman" w:hAnsi="Times New Roman" w:eastAsia="黑体" w:cs="Times New Roman"/>
          <w:color w:val="000000"/>
          <w:kern w:val="0"/>
          <w:sz w:val="24"/>
          <w:szCs w:val="24"/>
          <w:lang w:val="en-US" w:eastAsia="zh-CN" w:bidi="ar"/>
        </w:rPr>
        <w:t>（</w:t>
      </w:r>
      <w:r>
        <w:rPr>
          <w:rFonts w:hint="default" w:ascii="Times New Roman" w:hAnsi="Times New Roman" w:eastAsia="黑体" w:cs="Times New Roman"/>
          <w:color w:val="000000"/>
          <w:kern w:val="0"/>
          <w:sz w:val="24"/>
          <w:szCs w:val="24"/>
          <w:lang w:val="en-US" w:eastAsia="zh-CN" w:bidi="ar"/>
        </w:rPr>
        <w:t>GB12523-2011</w:t>
      </w:r>
      <w:r>
        <w:rPr>
          <w:rFonts w:hint="eastAsia" w:ascii="Times New Roman" w:hAnsi="Times New Roman" w:eastAsia="黑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中规定标准。项目施工噪声产生的影响属于短期行为，待施工结束后即可消除，施工过程中产生的噪声通过采取以上防治措施后，并依照鞍山市施工的有关规定进行施工，其对周围环境的影响可降到较低程度。</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6.1.</w:t>
      </w: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 </w:t>
      </w:r>
      <w:r>
        <w:rPr>
          <w:rFonts w:ascii="Times New Roman" w:hAnsi="Times New Roman" w:cs="Times New Roman"/>
          <w:color w:val="000000"/>
          <w:lang/>
        </w:rPr>
        <w:t>施工垃圾</w:t>
      </w:r>
    </w:p>
    <w:p>
      <w:pPr>
        <w:keepNext w:val="0"/>
        <w:keepLines w:val="0"/>
        <w:widowControl/>
        <w:suppressLineNumbers w:val="0"/>
        <w:tabs>
          <w:tab w:val="left" w:pos="1506"/>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本项目施工期固废主要有建构筑物基础开挖时产生的土石方、施工建设过程中产生的建筑垃圾以及施工人员生活垃圾。</w:t>
      </w:r>
    </w:p>
    <w:p>
      <w:pPr>
        <w:keepNext w:val="0"/>
        <w:keepLines w:val="0"/>
        <w:widowControl/>
        <w:suppressLineNumbers w:val="0"/>
        <w:tabs>
          <w:tab w:val="left" w:pos="1506"/>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建筑垃圾包括废弃建材（如砂石、石灰、混凝土、木材、废砖等）以及设备安装过程中产生的废包装材料等，基本属于无害废物。产生的建筑垃圾需要集中收集堆放，外排至政府指定渣场，金属、木块等废物回收利用。</w:t>
      </w:r>
    </w:p>
    <w:p>
      <w:pPr>
        <w:keepNext w:val="0"/>
        <w:keepLines w:val="0"/>
        <w:widowControl/>
        <w:suppressLineNumbers w:val="0"/>
        <w:tabs>
          <w:tab w:val="left" w:pos="1506"/>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生活垃圾主要为就餐后的废饭盒和少量日常办公垃圾，如果施工期间能及时收集、清理和转运，则不会对当地环境产生明显影响。</w:t>
      </w:r>
    </w:p>
    <w:p>
      <w:pPr>
        <w:keepNext w:val="0"/>
        <w:keepLines w:val="0"/>
        <w:widowControl/>
        <w:suppressLineNumbers w:val="0"/>
        <w:tabs>
          <w:tab w:val="left" w:pos="1506"/>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为防止施工期产生的固体废物对环境产生不利影响，建设单位应要求施工单位采取如下控制措施：</w:t>
      </w:r>
    </w:p>
    <w:p>
      <w:pPr>
        <w:keepNext w:val="0"/>
        <w:keepLines w:val="0"/>
        <w:widowControl/>
        <w:suppressLineNumbers w:val="0"/>
        <w:tabs>
          <w:tab w:val="left" w:pos="1506"/>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）根据施工产生的工程垃圾和渣土的量，分类管理，可利用的渣土尽量在场内周转，就地利用，以防污染周围水体水质和影响周围环境卫生。</w:t>
      </w:r>
    </w:p>
    <w:p>
      <w:pPr>
        <w:keepNext w:val="0"/>
        <w:keepLines w:val="0"/>
        <w:widowControl/>
        <w:suppressLineNumbers w:val="0"/>
        <w:tabs>
          <w:tab w:val="left" w:pos="1506"/>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）车辆运输散体物料和固体废物时，必须密闭、包扎、覆盖，不得沿途漏撒；运载土方的车辆必须在规定时间内，按指定路段行驶。</w:t>
      </w:r>
    </w:p>
    <w:p>
      <w:pPr>
        <w:keepNext w:val="0"/>
        <w:keepLines w:val="0"/>
        <w:widowControl/>
        <w:suppressLineNumbers w:val="0"/>
        <w:tabs>
          <w:tab w:val="left" w:pos="1506"/>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）生活垃圾与建筑垃圾分开，设封闭式垃圾站，以免污染环境。将生活垃圾收集后，应及时由环卫部门分类进行消纳处理。</w:t>
      </w:r>
    </w:p>
    <w:p>
      <w:pPr>
        <w:keepNext w:val="0"/>
        <w:keepLines w:val="0"/>
        <w:widowControl/>
        <w:suppressLineNumbers w:val="0"/>
        <w:tabs>
          <w:tab w:val="left" w:pos="1506"/>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）施工现场严禁焚烧或掩埋各类有毒有害物品。</w:t>
      </w:r>
    </w:p>
    <w:p>
      <w:pPr>
        <w:keepNext w:val="0"/>
        <w:keepLines w:val="0"/>
        <w:widowControl/>
        <w:suppressLineNumbers w:val="0"/>
        <w:tabs>
          <w:tab w:val="left" w:pos="1506"/>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5</w:t>
      </w:r>
      <w:r>
        <w:rPr>
          <w:rFonts w:hint="eastAsia" w:ascii="Times New Roman" w:hAnsi="Times New Roman" w:eastAsia="宋体" w:cs="Times New Roman"/>
          <w:color w:val="000000"/>
          <w:kern w:val="0"/>
          <w:sz w:val="24"/>
          <w:szCs w:val="24"/>
          <w:lang w:val="en-US" w:eastAsia="zh-CN" w:bidi="ar"/>
        </w:rPr>
        <w:t>）根据材料不同性质要求，采取防锈、防雨、防潮、防晒措施，减少因不合理存放造成材料无法使用而产生的固体废物量。</w:t>
      </w:r>
    </w:p>
    <w:p>
      <w:pPr>
        <w:keepNext w:val="0"/>
        <w:keepLines w:val="0"/>
        <w:widowControl/>
        <w:suppressLineNumbers w:val="0"/>
        <w:tabs>
          <w:tab w:val="left" w:pos="1506"/>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6</w:t>
      </w:r>
      <w:r>
        <w:rPr>
          <w:rFonts w:hint="eastAsia" w:ascii="Times New Roman" w:hAnsi="Times New Roman" w:eastAsia="宋体" w:cs="Times New Roman"/>
          <w:color w:val="000000"/>
          <w:kern w:val="0"/>
          <w:sz w:val="24"/>
          <w:szCs w:val="24"/>
          <w:lang w:val="en-US" w:eastAsia="zh-CN" w:bidi="ar"/>
        </w:rPr>
        <w:t>）对于工程实施中产生的废弃材料，应严格按照国家相关法律法规及产业政策进行管理，按照</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减量化、无害化、资源化</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的原则进行处理。可回收利用的材料应优先进行综合利用；属于危废的应交由具备资质的专业单位安全处置，并加强危废的全过程管理。</w:t>
      </w:r>
    </w:p>
    <w:p>
      <w:pPr>
        <w:keepNext w:val="0"/>
        <w:keepLines w:val="0"/>
        <w:widowControl/>
        <w:suppressLineNumbers w:val="0"/>
        <w:tabs>
          <w:tab w:val="left" w:pos="1506"/>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7</w:t>
      </w:r>
      <w:r>
        <w:rPr>
          <w:rFonts w:hint="eastAsia" w:ascii="Times New Roman" w:hAnsi="Times New Roman" w:eastAsia="宋体" w:cs="Times New Roman"/>
          <w:color w:val="000000"/>
          <w:kern w:val="0"/>
          <w:sz w:val="24"/>
          <w:szCs w:val="24"/>
          <w:lang w:val="en-US" w:eastAsia="zh-CN" w:bidi="ar"/>
        </w:rPr>
        <w:t>）在工程竣工以后，施工单位应立即拆除各种临时施工设施，并负责将工地的剩余建筑垃圾、工程渣土处理干净。</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6.1.</w:t>
      </w:r>
      <w:r>
        <w:rPr>
          <w:rFonts w:hint="default" w:ascii="Times New Roman" w:hAnsi="Times New Roman" w:cs="Times New Roman"/>
          <w:color w:val="000000"/>
          <w:lang w:eastAsia="zh-CN"/>
        </w:rPr>
        <w:t>5</w:t>
      </w:r>
      <w:r>
        <w:rPr>
          <w:rFonts w:hint="default" w:ascii="Times New Roman" w:hAnsi="Times New Roman" w:cs="Times New Roman"/>
          <w:color w:val="000000"/>
          <w:lang/>
        </w:rPr>
        <w:t xml:space="preserve"> </w:t>
      </w:r>
      <w:r>
        <w:rPr>
          <w:rFonts w:ascii="Times New Roman" w:hAnsi="Times New Roman" w:cs="Times New Roman"/>
          <w:color w:val="000000"/>
          <w:lang/>
        </w:rPr>
        <w:t>施工废水</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）生产废水</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本项目施工生产废水主要为各种施工机械设备运转的冷却水及洗涤用水和施工现场清洗、建材清洗、混凝土养护、设备水压试验等产生的废水，这部分废水含有一定量的油污和泥沙。</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上述施工废水水量不大，但若不经处理或处理不当直接外排，同样危害环境。因此要求本项目建设工程的工地应设置沉淀设施，产生的少量施工废水经沉淀后作为抑尘洒水回用。</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）生活污水</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生活污水是由于施工队伍的生活活动造成的，含有大量细菌和病原体。生活污水水量不大，但如果不经处理或处理不当，同时会危害环境。所以，施工期废污水不能随意直排，排入厂内化粪池。</w:t>
      </w:r>
    </w:p>
    <w:p>
      <w:pPr>
        <w:pStyle w:val="8"/>
        <w:widowControl/>
        <w:rPr>
          <w:color w:val="000000"/>
          <w:lang/>
        </w:rPr>
      </w:pPr>
      <w:bookmarkStart w:id="223" w:name="_Toc41656150"/>
      <w:r>
        <w:rPr>
          <w:color w:val="000000"/>
          <w:lang/>
        </w:rPr>
        <w:t xml:space="preserve">6.2 </w:t>
      </w:r>
      <w:r>
        <w:rPr>
          <w:rFonts w:hint="eastAsia" w:ascii="Times New Roman" w:hAnsi="Times New Roman" w:eastAsia="宋体" w:cs="宋体"/>
          <w:color w:val="000000"/>
          <w:lang w:eastAsia="zh-CN"/>
        </w:rPr>
        <w:t>营运期环境保护措施及可行性分析</w:t>
      </w:r>
      <w:bookmarkEnd w:id="223"/>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 xml:space="preserve">6.2.1 </w:t>
      </w:r>
      <w:r>
        <w:rPr>
          <w:rFonts w:ascii="Times New Roman" w:hAnsi="Times New Roman" w:cs="Times New Roman"/>
          <w:color w:val="000000"/>
          <w:lang/>
        </w:rPr>
        <w:t>大气环境保护措施及可行性分析</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6</w:t>
      </w:r>
      <w:r>
        <w:rPr>
          <w:rFonts w:hint="default" w:ascii="Times New Roman" w:hAnsi="Times New Roman" w:cs="Times New Roman"/>
          <w:color w:val="000000"/>
          <w:lang/>
        </w:rPr>
        <w:t>.2.1.</w:t>
      </w:r>
      <w:r>
        <w:rPr>
          <w:rFonts w:hint="default" w:ascii="Times New Roman" w:hAnsi="Times New Roman" w:cs="Times New Roman"/>
          <w:color w:val="000000"/>
          <w:lang w:eastAsia="zh-CN"/>
        </w:rPr>
        <w:t>1</w:t>
      </w:r>
      <w:r>
        <w:rPr>
          <w:rFonts w:hint="default" w:ascii="Times New Roman" w:hAnsi="Times New Roman" w:cs="Times New Roman"/>
          <w:color w:val="000000"/>
          <w:lang/>
        </w:rPr>
        <w:t xml:space="preserve"> </w:t>
      </w:r>
      <w:r>
        <w:rPr>
          <w:rFonts w:ascii="Times New Roman" w:hAnsi="Times New Roman" w:cs="Times New Roman"/>
          <w:color w:val="000000"/>
          <w:lang w:eastAsia="zh-CN"/>
        </w:rPr>
        <w:t>有组织废气捕集措施</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本项目对生产过程中产生粉尘的设备和产尘点，设置密闭罩或捕集罩进行收尘，使罩内形成一定负压，增强捕集效果，防止粉尘外逸。具体捕集情况见表</w:t>
      </w:r>
      <w:r>
        <w:rPr>
          <w:rFonts w:hint="default" w:ascii="Times New Roman" w:hAnsi="Times New Roman" w:eastAsia="宋体" w:cs="Times New Roman"/>
          <w:color w:val="000000"/>
          <w:kern w:val="0"/>
          <w:sz w:val="24"/>
          <w:szCs w:val="24"/>
          <w:lang w:val="en-US" w:eastAsia="zh-CN" w:bidi="ar"/>
        </w:rPr>
        <w:t>6.2-1</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p>
    <w:p>
      <w:pPr>
        <w:keepNext w:val="0"/>
        <w:keepLines w:val="0"/>
        <w:widowControl/>
        <w:suppressLineNumbers w:val="0"/>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6.2-1  </w:t>
      </w:r>
      <w:r>
        <w:rPr>
          <w:rFonts w:hint="eastAsia" w:ascii="Times New Roman" w:hAnsi="Times New Roman" w:eastAsia="黑体" w:cs="Times New Roman"/>
          <w:color w:val="000000"/>
          <w:kern w:val="0"/>
          <w:sz w:val="24"/>
          <w:szCs w:val="24"/>
          <w:lang w:val="en-US" w:eastAsia="zh-CN" w:bidi="ar"/>
        </w:rPr>
        <w:t>本项目主要产尘点捕集措施情况一览表</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815"/>
        <w:gridCol w:w="2413"/>
        <w:gridCol w:w="5499"/>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7" w:hRule="atLeast"/>
          <w:tblHeader/>
        </w:trPr>
        <w:tc>
          <w:tcPr>
            <w:tcW w:w="467" w:type="pct"/>
            <w:tcBorders>
              <w:top w:val="thinThickSmallGap" w:color="auto" w:sz="12" w:space="0"/>
              <w:left w:val="nil"/>
              <w:bottom w:val="single" w:color="auto" w:sz="4" w:space="0"/>
              <w:right w:val="single" w:color="auto" w:sz="4" w:space="0"/>
            </w:tcBorders>
            <w:shd w:val="clear" w:color="auto" w:fill="E0E0E0"/>
            <w:vAlign w:val="center"/>
          </w:tcPr>
          <w:p>
            <w:pPr>
              <w:pStyle w:val="256"/>
              <w:widowControl/>
              <w:spacing w:before="0" w:beforeAutospacing="0" w:after="0" w:afterAutospacing="0" w:line="240" w:lineRule="auto"/>
              <w:ind w:left="0" w:right="0"/>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lang/>
              </w:rPr>
              <w:t>序号</w:t>
            </w:r>
          </w:p>
        </w:tc>
        <w:tc>
          <w:tcPr>
            <w:tcW w:w="1382" w:type="pct"/>
            <w:tcBorders>
              <w:top w:val="thinThickSmallGap" w:color="auto" w:sz="12" w:space="0"/>
              <w:left w:val="single" w:color="auto" w:sz="4" w:space="0"/>
              <w:bottom w:val="single" w:color="auto" w:sz="4" w:space="0"/>
              <w:right w:val="single" w:color="auto" w:sz="4" w:space="0"/>
            </w:tcBorders>
            <w:shd w:val="clear" w:color="auto" w:fill="E0E0E0"/>
            <w:vAlign w:val="center"/>
          </w:tcPr>
          <w:p>
            <w:pPr>
              <w:pStyle w:val="256"/>
              <w:widowControl/>
              <w:spacing w:before="0" w:beforeAutospacing="0" w:after="0" w:afterAutospacing="0" w:line="240" w:lineRule="auto"/>
              <w:ind w:left="0" w:right="0"/>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lang/>
              </w:rPr>
              <w:t>污染源</w:t>
            </w:r>
          </w:p>
        </w:tc>
        <w:tc>
          <w:tcPr>
            <w:tcW w:w="3150" w:type="pct"/>
            <w:tcBorders>
              <w:top w:val="thinThickSmallGap" w:color="auto" w:sz="12" w:space="0"/>
              <w:left w:val="single" w:color="auto" w:sz="4" w:space="0"/>
              <w:bottom w:val="single" w:color="auto" w:sz="4" w:space="0"/>
              <w:right w:val="nil"/>
            </w:tcBorders>
            <w:shd w:val="clear" w:color="auto" w:fill="E0E0E0"/>
            <w:vAlign w:val="center"/>
          </w:tcPr>
          <w:p>
            <w:pPr>
              <w:pStyle w:val="256"/>
              <w:widowControl/>
              <w:spacing w:before="0" w:beforeAutospacing="0" w:after="0" w:afterAutospacing="0" w:line="240" w:lineRule="auto"/>
              <w:ind w:left="0" w:right="0"/>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lang/>
              </w:rPr>
              <w:t>捕集措施</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tcBorders>
              <w:top w:val="single" w:color="auto" w:sz="4" w:space="0"/>
              <w:left w:val="nil"/>
              <w:bottom w:val="single" w:color="auto" w:sz="4" w:space="0"/>
              <w:right w:val="single" w:color="auto" w:sz="4" w:space="0"/>
            </w:tcBorders>
            <w:shd w:val="clear"/>
            <w:vAlign w:val="center"/>
          </w:tcPr>
          <w:p>
            <w:pPr>
              <w:pStyle w:val="138"/>
              <w:widowControl/>
              <w:spacing w:before="0" w:beforeAutospacing="0" w:after="0" w:afterAutospacing="0"/>
              <w:ind w:left="0" w:right="0"/>
              <w:rPr>
                <w:rFonts w:hint="default" w:ascii="Times New Roman" w:hAnsi="Times New Roman" w:cs="Times New Roman"/>
                <w:kern w:val="2"/>
                <w:szCs w:val="21"/>
                <w:bdr w:val="none" w:color="auto" w:sz="0" w:space="0"/>
                <w:lang w:eastAsia="zh-CN"/>
              </w:rPr>
            </w:pPr>
            <w:r>
              <w:rPr>
                <w:rFonts w:hint="default" w:ascii="Times New Roman" w:hAnsi="Times New Roman" w:cs="Times New Roman"/>
                <w:kern w:val="2"/>
                <w:szCs w:val="21"/>
                <w:bdr w:val="none" w:color="auto" w:sz="0" w:space="0"/>
                <w:lang w:eastAsia="zh-CN"/>
              </w:rPr>
              <w:t>1</w:t>
            </w:r>
          </w:p>
        </w:tc>
        <w:tc>
          <w:tcPr>
            <w:tcW w:w="1382" w:type="pct"/>
            <w:tcBorders>
              <w:top w:val="single" w:color="auto" w:sz="4" w:space="0"/>
              <w:left w:val="single" w:color="auto" w:sz="4" w:space="0"/>
              <w:bottom w:val="single" w:color="auto" w:sz="4" w:space="0"/>
              <w:right w:val="single" w:color="auto" w:sz="4" w:space="0"/>
            </w:tcBorders>
            <w:shd w:val="clear"/>
            <w:vAlign w:val="center"/>
          </w:tcPr>
          <w:p>
            <w:pPr>
              <w:pStyle w:val="138"/>
              <w:widowControl/>
              <w:spacing w:before="0" w:beforeAutospacing="0" w:after="0" w:afterAutospacing="0"/>
              <w:ind w:left="0" w:right="0"/>
              <w:rPr>
                <w:rFonts w:hint="default" w:ascii="Times New Roman" w:hAnsi="Times New Roman" w:cs="Times New Roman"/>
                <w:kern w:val="0"/>
                <w:szCs w:val="21"/>
                <w:bdr w:val="none" w:color="auto" w:sz="0" w:space="0"/>
                <w:lang w:eastAsia="zh-CN"/>
              </w:rPr>
            </w:pPr>
            <w:r>
              <w:rPr>
                <w:rFonts w:ascii="Times New Roman" w:hAnsi="Times New Roman" w:cs="Times New Roman"/>
                <w:kern w:val="0"/>
                <w:szCs w:val="21"/>
                <w:bdr w:val="none" w:color="auto" w:sz="0" w:space="0"/>
                <w:lang w:eastAsia="zh-CN"/>
              </w:rPr>
              <w:t>鄂式破碎机（粗破）</w:t>
            </w:r>
          </w:p>
        </w:tc>
        <w:tc>
          <w:tcPr>
            <w:tcW w:w="3150" w:type="pct"/>
            <w:tcBorders>
              <w:top w:val="single" w:color="auto" w:sz="4" w:space="0"/>
              <w:left w:val="single" w:color="auto" w:sz="4" w:space="0"/>
              <w:bottom w:val="single" w:color="auto" w:sz="4" w:space="0"/>
              <w:right w:val="nil"/>
            </w:tcBorders>
            <w:shd w:val="clear"/>
            <w:vAlign w:val="center"/>
          </w:tcPr>
          <w:p>
            <w:pPr>
              <w:pStyle w:val="138"/>
              <w:widowControl/>
              <w:spacing w:before="0" w:beforeAutospacing="0" w:after="0" w:afterAutospacing="0"/>
              <w:ind w:left="0" w:right="0"/>
              <w:rPr>
                <w:rFonts w:hint="default" w:ascii="Times New Roman" w:hAnsi="Times New Roman" w:cs="Times New Roman"/>
                <w:kern w:val="0"/>
                <w:szCs w:val="21"/>
                <w:bdr w:val="none" w:color="auto" w:sz="0" w:space="0"/>
                <w:lang/>
              </w:rPr>
            </w:pPr>
            <w:r>
              <w:rPr>
                <w:rFonts w:ascii="Times New Roman" w:hAnsi="Times New Roman" w:cs="Times New Roman"/>
                <w:bdr w:val="none" w:color="auto" w:sz="0" w:space="0"/>
                <w:lang/>
              </w:rPr>
              <w:t>破碎机进、出料口</w:t>
            </w:r>
            <w:r>
              <w:rPr>
                <w:rFonts w:ascii="Times New Roman" w:hAnsi="Times New Roman" w:cs="Times New Roman"/>
                <w:kern w:val="0"/>
                <w:szCs w:val="21"/>
                <w:bdr w:val="none" w:color="auto" w:sz="0" w:space="0"/>
                <w:lang/>
              </w:rPr>
              <w:t>上方设</w:t>
            </w:r>
            <w:r>
              <w:rPr>
                <w:rFonts w:ascii="Times New Roman" w:hAnsi="Times New Roman" w:cs="Times New Roman"/>
                <w:kern w:val="0"/>
                <w:szCs w:val="21"/>
                <w:bdr w:val="none" w:color="auto" w:sz="0" w:space="0"/>
                <w:lang w:eastAsia="zh-CN"/>
              </w:rPr>
              <w:t>置</w:t>
            </w:r>
            <w:r>
              <w:rPr>
                <w:rFonts w:ascii="Times New Roman" w:hAnsi="Times New Roman" w:cs="Times New Roman"/>
                <w:kern w:val="0"/>
                <w:szCs w:val="21"/>
                <w:bdr w:val="none" w:color="auto" w:sz="0" w:space="0"/>
                <w:lang/>
              </w:rPr>
              <w:t>捕集罩</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tcBorders>
              <w:top w:val="single" w:color="auto" w:sz="4" w:space="0"/>
              <w:left w:val="nil"/>
              <w:bottom w:val="single" w:color="auto" w:sz="4" w:space="0"/>
              <w:right w:val="single" w:color="auto" w:sz="4" w:space="0"/>
            </w:tcBorders>
            <w:shd w:val="clear"/>
            <w:vAlign w:val="center"/>
          </w:tcPr>
          <w:p>
            <w:pPr>
              <w:pStyle w:val="138"/>
              <w:widowControl/>
              <w:spacing w:before="0" w:beforeAutospacing="0" w:after="0" w:afterAutospacing="0"/>
              <w:ind w:left="0" w:right="0"/>
              <w:rPr>
                <w:rFonts w:hint="default" w:ascii="Times New Roman" w:hAnsi="Times New Roman" w:cs="Times New Roman"/>
                <w:kern w:val="2"/>
                <w:szCs w:val="21"/>
                <w:bdr w:val="none" w:color="auto" w:sz="0" w:space="0"/>
                <w:lang w:eastAsia="zh-CN"/>
              </w:rPr>
            </w:pPr>
            <w:r>
              <w:rPr>
                <w:rFonts w:hint="default" w:ascii="Times New Roman" w:hAnsi="Times New Roman" w:cs="Times New Roman"/>
                <w:kern w:val="2"/>
                <w:szCs w:val="21"/>
                <w:bdr w:val="none" w:color="auto" w:sz="0" w:space="0"/>
                <w:lang w:eastAsia="zh-CN"/>
              </w:rPr>
              <w:t>2</w:t>
            </w:r>
          </w:p>
        </w:tc>
        <w:tc>
          <w:tcPr>
            <w:tcW w:w="1382" w:type="pct"/>
            <w:tcBorders>
              <w:top w:val="single" w:color="auto" w:sz="4" w:space="0"/>
              <w:left w:val="single" w:color="auto" w:sz="4" w:space="0"/>
              <w:bottom w:val="single" w:color="auto" w:sz="4" w:space="0"/>
              <w:right w:val="single" w:color="auto" w:sz="4" w:space="0"/>
            </w:tcBorders>
            <w:shd w:val="clear"/>
            <w:vAlign w:val="center"/>
          </w:tcPr>
          <w:p>
            <w:pPr>
              <w:pStyle w:val="138"/>
              <w:widowControl/>
              <w:spacing w:before="0" w:beforeAutospacing="0" w:after="0" w:afterAutospacing="0"/>
              <w:ind w:left="0" w:right="0"/>
              <w:rPr>
                <w:rFonts w:hint="default" w:ascii="Times New Roman" w:hAnsi="Times New Roman" w:cs="Times New Roman"/>
                <w:kern w:val="0"/>
                <w:szCs w:val="21"/>
                <w:bdr w:val="none" w:color="auto" w:sz="0" w:space="0"/>
                <w:lang w:eastAsia="zh-CN"/>
              </w:rPr>
            </w:pPr>
            <w:r>
              <w:rPr>
                <w:rFonts w:ascii="Times New Roman" w:hAnsi="Times New Roman" w:cs="Times New Roman"/>
                <w:kern w:val="0"/>
                <w:szCs w:val="21"/>
                <w:bdr w:val="none" w:color="auto" w:sz="0" w:space="0"/>
                <w:lang w:eastAsia="zh-CN"/>
              </w:rPr>
              <w:t>鄂式破碎机（中破）</w:t>
            </w:r>
          </w:p>
        </w:tc>
        <w:tc>
          <w:tcPr>
            <w:tcW w:w="3150" w:type="pct"/>
            <w:tcBorders>
              <w:top w:val="single" w:color="auto" w:sz="4" w:space="0"/>
              <w:left w:val="single" w:color="auto" w:sz="4" w:space="0"/>
              <w:bottom w:val="single" w:color="auto" w:sz="4" w:space="0"/>
              <w:right w:val="nil"/>
            </w:tcBorders>
            <w:shd w:val="clear"/>
            <w:vAlign w:val="center"/>
          </w:tcPr>
          <w:p>
            <w:pPr>
              <w:pStyle w:val="138"/>
              <w:widowControl/>
              <w:spacing w:before="0" w:beforeAutospacing="0" w:after="0" w:afterAutospacing="0"/>
              <w:ind w:left="0" w:right="0"/>
              <w:rPr>
                <w:rFonts w:hint="default" w:ascii="Times New Roman" w:hAnsi="Times New Roman" w:cs="Times New Roman"/>
                <w:kern w:val="0"/>
                <w:szCs w:val="21"/>
                <w:bdr w:val="none" w:color="auto" w:sz="0" w:space="0"/>
                <w:lang/>
              </w:rPr>
            </w:pPr>
            <w:r>
              <w:rPr>
                <w:rFonts w:ascii="Times New Roman" w:hAnsi="Times New Roman" w:cs="Times New Roman"/>
                <w:bdr w:val="none" w:color="auto" w:sz="0" w:space="0"/>
                <w:lang/>
              </w:rPr>
              <w:t>破碎机进、出料口</w:t>
            </w:r>
            <w:r>
              <w:rPr>
                <w:rFonts w:ascii="Times New Roman" w:hAnsi="Times New Roman" w:cs="Times New Roman"/>
                <w:kern w:val="0"/>
                <w:szCs w:val="21"/>
                <w:bdr w:val="none" w:color="auto" w:sz="0" w:space="0"/>
                <w:lang/>
              </w:rPr>
              <w:t>上方设</w:t>
            </w:r>
            <w:r>
              <w:rPr>
                <w:rFonts w:ascii="Times New Roman" w:hAnsi="Times New Roman" w:cs="Times New Roman"/>
                <w:kern w:val="0"/>
                <w:szCs w:val="21"/>
                <w:bdr w:val="none" w:color="auto" w:sz="0" w:space="0"/>
                <w:lang w:eastAsia="zh-CN"/>
              </w:rPr>
              <w:t>置</w:t>
            </w:r>
            <w:r>
              <w:rPr>
                <w:rFonts w:ascii="Times New Roman" w:hAnsi="Times New Roman" w:cs="Times New Roman"/>
                <w:kern w:val="0"/>
                <w:szCs w:val="21"/>
                <w:bdr w:val="none" w:color="auto" w:sz="0" w:space="0"/>
                <w:lang/>
              </w:rPr>
              <w:t>捕集罩</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tcBorders>
              <w:top w:val="single" w:color="auto" w:sz="4" w:space="0"/>
              <w:left w:val="nil"/>
              <w:bottom w:val="single" w:color="auto" w:sz="4" w:space="0"/>
              <w:right w:val="single" w:color="auto" w:sz="4" w:space="0"/>
            </w:tcBorders>
            <w:shd w:val="clear"/>
            <w:vAlign w:val="center"/>
          </w:tcPr>
          <w:p>
            <w:pPr>
              <w:pStyle w:val="138"/>
              <w:widowControl/>
              <w:spacing w:before="0" w:beforeAutospacing="0" w:after="0" w:afterAutospacing="0"/>
              <w:ind w:left="0" w:right="0"/>
              <w:rPr>
                <w:rFonts w:hint="default" w:ascii="Times New Roman" w:hAnsi="Times New Roman" w:cs="Times New Roman"/>
                <w:kern w:val="2"/>
                <w:szCs w:val="21"/>
                <w:bdr w:val="none" w:color="auto" w:sz="0" w:space="0"/>
                <w:lang w:eastAsia="zh-CN"/>
              </w:rPr>
            </w:pPr>
            <w:r>
              <w:rPr>
                <w:rFonts w:hint="default" w:ascii="Times New Roman" w:hAnsi="Times New Roman" w:cs="Times New Roman"/>
                <w:kern w:val="2"/>
                <w:szCs w:val="21"/>
                <w:bdr w:val="none" w:color="auto" w:sz="0" w:space="0"/>
                <w:lang w:eastAsia="zh-CN"/>
              </w:rPr>
              <w:t>3</w:t>
            </w:r>
          </w:p>
        </w:tc>
        <w:tc>
          <w:tcPr>
            <w:tcW w:w="1382" w:type="pct"/>
            <w:tcBorders>
              <w:top w:val="single" w:color="auto" w:sz="4" w:space="0"/>
              <w:left w:val="single" w:color="auto" w:sz="4" w:space="0"/>
              <w:bottom w:val="single" w:color="auto" w:sz="4" w:space="0"/>
              <w:right w:val="single" w:color="auto" w:sz="4" w:space="0"/>
            </w:tcBorders>
            <w:shd w:val="clear"/>
            <w:vAlign w:val="center"/>
          </w:tcPr>
          <w:p>
            <w:pPr>
              <w:pStyle w:val="138"/>
              <w:widowControl/>
              <w:spacing w:before="0" w:beforeAutospacing="0" w:after="0" w:afterAutospacing="0"/>
              <w:ind w:left="0" w:right="0"/>
              <w:rPr>
                <w:rFonts w:hint="default" w:ascii="Times New Roman" w:hAnsi="Times New Roman" w:cs="Times New Roman"/>
                <w:kern w:val="0"/>
                <w:szCs w:val="21"/>
                <w:bdr w:val="none" w:color="auto" w:sz="0" w:space="0"/>
                <w:lang w:eastAsia="zh-CN"/>
              </w:rPr>
            </w:pPr>
            <w:r>
              <w:rPr>
                <w:rFonts w:ascii="Times New Roman" w:hAnsi="Times New Roman" w:cs="Times New Roman"/>
                <w:kern w:val="0"/>
                <w:szCs w:val="21"/>
                <w:bdr w:val="none" w:color="auto" w:sz="0" w:space="0"/>
                <w:lang w:eastAsia="zh-CN"/>
              </w:rPr>
              <w:t>圆锥破碎机</w:t>
            </w:r>
          </w:p>
        </w:tc>
        <w:tc>
          <w:tcPr>
            <w:tcW w:w="3150" w:type="pct"/>
            <w:tcBorders>
              <w:top w:val="single" w:color="auto" w:sz="4" w:space="0"/>
              <w:left w:val="single" w:color="auto" w:sz="4" w:space="0"/>
              <w:bottom w:val="single" w:color="auto" w:sz="4" w:space="0"/>
              <w:right w:val="nil"/>
            </w:tcBorders>
            <w:shd w:val="clear"/>
            <w:vAlign w:val="center"/>
          </w:tcPr>
          <w:p>
            <w:pPr>
              <w:pStyle w:val="138"/>
              <w:widowControl/>
              <w:spacing w:before="0" w:beforeAutospacing="0" w:after="0" w:afterAutospacing="0"/>
              <w:ind w:left="0" w:right="0"/>
              <w:rPr>
                <w:rFonts w:hint="default" w:ascii="Times New Roman" w:hAnsi="Times New Roman" w:cs="Times New Roman"/>
                <w:kern w:val="0"/>
                <w:szCs w:val="21"/>
                <w:bdr w:val="none" w:color="auto" w:sz="0" w:space="0"/>
                <w:lang/>
              </w:rPr>
            </w:pPr>
            <w:r>
              <w:rPr>
                <w:rFonts w:ascii="Times New Roman" w:hAnsi="Times New Roman" w:cs="Times New Roman"/>
                <w:bdr w:val="none" w:color="auto" w:sz="0" w:space="0"/>
                <w:lang/>
              </w:rPr>
              <w:t>破碎机进、出料口</w:t>
            </w:r>
            <w:r>
              <w:rPr>
                <w:rFonts w:ascii="Times New Roman" w:hAnsi="Times New Roman" w:cs="Times New Roman"/>
                <w:kern w:val="0"/>
                <w:szCs w:val="21"/>
                <w:bdr w:val="none" w:color="auto" w:sz="0" w:space="0"/>
                <w:lang/>
              </w:rPr>
              <w:t>上方设</w:t>
            </w:r>
            <w:r>
              <w:rPr>
                <w:rFonts w:ascii="Times New Roman" w:hAnsi="Times New Roman" w:cs="Times New Roman"/>
                <w:kern w:val="0"/>
                <w:szCs w:val="21"/>
                <w:bdr w:val="none" w:color="auto" w:sz="0" w:space="0"/>
                <w:lang w:eastAsia="zh-CN"/>
              </w:rPr>
              <w:t>置</w:t>
            </w:r>
            <w:r>
              <w:rPr>
                <w:rFonts w:ascii="Times New Roman" w:hAnsi="Times New Roman" w:cs="Times New Roman"/>
                <w:kern w:val="0"/>
                <w:szCs w:val="21"/>
                <w:bdr w:val="none" w:color="auto" w:sz="0" w:space="0"/>
                <w:lang/>
              </w:rPr>
              <w:t>捕集罩</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tcBorders>
              <w:top w:val="single" w:color="auto" w:sz="4" w:space="0"/>
              <w:left w:val="nil"/>
              <w:bottom w:val="single" w:color="auto" w:sz="4" w:space="0"/>
              <w:right w:val="single" w:color="auto" w:sz="4" w:space="0"/>
            </w:tcBorders>
            <w:shd w:val="clear"/>
            <w:vAlign w:val="center"/>
          </w:tcPr>
          <w:p>
            <w:pPr>
              <w:pStyle w:val="138"/>
              <w:widowControl/>
              <w:spacing w:before="0" w:beforeAutospacing="0" w:after="0" w:afterAutospacing="0"/>
              <w:ind w:left="0" w:right="0"/>
              <w:rPr>
                <w:rFonts w:hint="default" w:ascii="Times New Roman" w:hAnsi="Times New Roman" w:cs="Times New Roman"/>
                <w:kern w:val="2"/>
                <w:szCs w:val="21"/>
                <w:bdr w:val="none" w:color="auto" w:sz="0" w:space="0"/>
                <w:lang w:eastAsia="zh-CN"/>
              </w:rPr>
            </w:pPr>
            <w:r>
              <w:rPr>
                <w:rFonts w:hint="default" w:ascii="Times New Roman" w:hAnsi="Times New Roman" w:cs="Times New Roman"/>
                <w:kern w:val="2"/>
                <w:szCs w:val="21"/>
                <w:bdr w:val="none" w:color="auto" w:sz="0" w:space="0"/>
                <w:lang w:eastAsia="zh-CN"/>
              </w:rPr>
              <w:t>4</w:t>
            </w:r>
          </w:p>
        </w:tc>
        <w:tc>
          <w:tcPr>
            <w:tcW w:w="1382" w:type="pct"/>
            <w:tcBorders>
              <w:top w:val="single" w:color="auto" w:sz="4" w:space="0"/>
              <w:left w:val="single" w:color="auto" w:sz="4" w:space="0"/>
              <w:bottom w:val="single" w:color="auto" w:sz="4" w:space="0"/>
              <w:right w:val="single" w:color="auto" w:sz="4" w:space="0"/>
            </w:tcBorders>
            <w:shd w:val="clear"/>
            <w:vAlign w:val="center"/>
          </w:tcPr>
          <w:p>
            <w:pPr>
              <w:pStyle w:val="138"/>
              <w:widowControl/>
              <w:spacing w:before="0" w:beforeAutospacing="0" w:after="0" w:afterAutospacing="0"/>
              <w:ind w:left="0" w:right="0"/>
              <w:rPr>
                <w:rFonts w:hint="default" w:ascii="Times New Roman" w:hAnsi="Times New Roman" w:cs="Times New Roman"/>
                <w:kern w:val="0"/>
                <w:szCs w:val="21"/>
                <w:bdr w:val="none" w:color="auto" w:sz="0" w:space="0"/>
                <w:lang w:eastAsia="zh-CN"/>
              </w:rPr>
            </w:pPr>
            <w:r>
              <w:rPr>
                <w:rFonts w:ascii="Times New Roman" w:hAnsi="Times New Roman" w:cs="Times New Roman"/>
                <w:kern w:val="0"/>
                <w:szCs w:val="21"/>
                <w:bdr w:val="none" w:color="auto" w:sz="0" w:space="0"/>
                <w:lang w:eastAsia="zh-CN"/>
              </w:rPr>
              <w:t>振动筛分机</w:t>
            </w:r>
          </w:p>
        </w:tc>
        <w:tc>
          <w:tcPr>
            <w:tcW w:w="3150" w:type="pct"/>
            <w:tcBorders>
              <w:top w:val="single" w:color="auto" w:sz="4" w:space="0"/>
              <w:left w:val="single" w:color="auto" w:sz="4" w:space="0"/>
              <w:bottom w:val="single" w:color="auto" w:sz="4" w:space="0"/>
              <w:right w:val="nil"/>
            </w:tcBorders>
            <w:shd w:val="clear"/>
            <w:vAlign w:val="center"/>
          </w:tcPr>
          <w:p>
            <w:pPr>
              <w:pStyle w:val="138"/>
              <w:widowControl/>
              <w:spacing w:before="0" w:beforeAutospacing="0" w:after="0" w:afterAutospacing="0"/>
              <w:ind w:left="0" w:right="0"/>
              <w:rPr>
                <w:rFonts w:hint="default" w:ascii="Times New Roman" w:hAnsi="Times New Roman" w:cs="Times New Roman"/>
                <w:kern w:val="0"/>
                <w:szCs w:val="21"/>
                <w:bdr w:val="none" w:color="auto" w:sz="0" w:space="0"/>
                <w:lang/>
              </w:rPr>
            </w:pPr>
            <w:r>
              <w:rPr>
                <w:rFonts w:ascii="Times New Roman" w:hAnsi="Times New Roman" w:cs="Times New Roman"/>
                <w:kern w:val="0"/>
                <w:szCs w:val="21"/>
                <w:bdr w:val="none" w:color="auto" w:sz="0" w:space="0"/>
                <w:lang w:eastAsia="zh-CN"/>
              </w:rPr>
              <w:t>振动筛分机为封闭式，</w:t>
            </w:r>
            <w:r>
              <w:rPr>
                <w:rFonts w:ascii="Times New Roman" w:hAnsi="Times New Roman" w:cs="Times New Roman"/>
                <w:bdr w:val="none" w:color="auto" w:sz="0" w:space="0"/>
                <w:lang/>
              </w:rPr>
              <w:t>进、出料口</w:t>
            </w:r>
            <w:r>
              <w:rPr>
                <w:rFonts w:ascii="Times New Roman" w:hAnsi="Times New Roman" w:cs="Times New Roman"/>
                <w:kern w:val="0"/>
                <w:szCs w:val="21"/>
                <w:bdr w:val="none" w:color="auto" w:sz="0" w:space="0"/>
                <w:lang/>
              </w:rPr>
              <w:t>上方设</w:t>
            </w:r>
            <w:r>
              <w:rPr>
                <w:rFonts w:ascii="Times New Roman" w:hAnsi="Times New Roman" w:cs="Times New Roman"/>
                <w:kern w:val="0"/>
                <w:szCs w:val="21"/>
                <w:bdr w:val="none" w:color="auto" w:sz="0" w:space="0"/>
                <w:lang w:eastAsia="zh-CN"/>
              </w:rPr>
              <w:t>置</w:t>
            </w:r>
            <w:r>
              <w:rPr>
                <w:rFonts w:ascii="Times New Roman" w:hAnsi="Times New Roman" w:cs="Times New Roman"/>
                <w:kern w:val="0"/>
                <w:szCs w:val="21"/>
                <w:bdr w:val="none" w:color="auto" w:sz="0" w:space="0"/>
                <w:lang/>
              </w:rPr>
              <w:t>捕集罩</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tcBorders>
              <w:top w:val="single" w:color="auto" w:sz="4" w:space="0"/>
              <w:left w:val="nil"/>
              <w:bottom w:val="thickThinSmallGap" w:color="auto" w:sz="12" w:space="0"/>
              <w:right w:val="single" w:color="auto" w:sz="4" w:space="0"/>
            </w:tcBorders>
            <w:shd w:val="clear"/>
            <w:vAlign w:val="center"/>
          </w:tcPr>
          <w:p>
            <w:pPr>
              <w:pStyle w:val="138"/>
              <w:widowControl/>
              <w:spacing w:before="0" w:beforeAutospacing="0" w:after="0" w:afterAutospacing="0"/>
              <w:ind w:left="0" w:right="0"/>
              <w:rPr>
                <w:rFonts w:hint="default" w:ascii="Times New Roman" w:hAnsi="Times New Roman" w:cs="Times New Roman"/>
                <w:kern w:val="2"/>
                <w:szCs w:val="21"/>
                <w:bdr w:val="none" w:color="auto" w:sz="0" w:space="0"/>
                <w:lang w:eastAsia="zh-CN"/>
              </w:rPr>
            </w:pPr>
            <w:r>
              <w:rPr>
                <w:rFonts w:hint="default" w:ascii="Times New Roman" w:hAnsi="Times New Roman" w:cs="Times New Roman"/>
                <w:kern w:val="2"/>
                <w:szCs w:val="21"/>
                <w:bdr w:val="none" w:color="auto" w:sz="0" w:space="0"/>
                <w:lang w:eastAsia="zh-CN"/>
              </w:rPr>
              <w:t>5</w:t>
            </w:r>
          </w:p>
        </w:tc>
        <w:tc>
          <w:tcPr>
            <w:tcW w:w="1382" w:type="pct"/>
            <w:tcBorders>
              <w:top w:val="single" w:color="auto" w:sz="4" w:space="0"/>
              <w:left w:val="single" w:color="auto" w:sz="4" w:space="0"/>
              <w:bottom w:val="thickThinSmallGap" w:color="auto" w:sz="12" w:space="0"/>
              <w:right w:val="single" w:color="auto" w:sz="4" w:space="0"/>
            </w:tcBorders>
            <w:shd w:val="clear"/>
            <w:vAlign w:val="center"/>
          </w:tcPr>
          <w:p>
            <w:pPr>
              <w:pStyle w:val="138"/>
              <w:widowControl/>
              <w:spacing w:before="0" w:beforeAutospacing="0" w:after="0" w:afterAutospacing="0"/>
              <w:ind w:left="0" w:right="0"/>
              <w:rPr>
                <w:rFonts w:hint="default" w:ascii="Times New Roman" w:hAnsi="Times New Roman" w:cs="Times New Roman"/>
                <w:kern w:val="0"/>
                <w:szCs w:val="21"/>
                <w:bdr w:val="none" w:color="auto" w:sz="0" w:space="0"/>
                <w:lang w:eastAsia="zh-CN"/>
              </w:rPr>
            </w:pPr>
            <w:r>
              <w:rPr>
                <w:rFonts w:ascii="Times New Roman" w:hAnsi="Times New Roman" w:cs="Times New Roman"/>
                <w:kern w:val="0"/>
                <w:szCs w:val="21"/>
                <w:bdr w:val="none" w:color="auto" w:sz="0" w:space="0"/>
                <w:lang w:eastAsia="zh-CN"/>
              </w:rPr>
              <w:t>供料仓</w:t>
            </w:r>
          </w:p>
        </w:tc>
        <w:tc>
          <w:tcPr>
            <w:tcW w:w="3150" w:type="pct"/>
            <w:tcBorders>
              <w:top w:val="single" w:color="auto" w:sz="4" w:space="0"/>
              <w:left w:val="single" w:color="auto" w:sz="4" w:space="0"/>
              <w:bottom w:val="thickThinSmallGap" w:color="auto" w:sz="12" w:space="0"/>
              <w:right w:val="nil"/>
            </w:tcBorders>
            <w:shd w:val="clear"/>
            <w:vAlign w:val="center"/>
          </w:tcPr>
          <w:p>
            <w:pPr>
              <w:pStyle w:val="138"/>
              <w:widowControl/>
              <w:spacing w:before="0" w:beforeAutospacing="0" w:after="0" w:afterAutospacing="0"/>
              <w:ind w:left="0" w:right="0"/>
              <w:rPr>
                <w:rFonts w:hint="default" w:ascii="Times New Roman" w:hAnsi="Times New Roman" w:cs="Times New Roman"/>
                <w:kern w:val="0"/>
                <w:szCs w:val="21"/>
                <w:bdr w:val="none" w:color="auto" w:sz="0" w:space="0"/>
                <w:lang/>
              </w:rPr>
            </w:pPr>
            <w:r>
              <w:rPr>
                <w:rFonts w:ascii="Times New Roman" w:hAnsi="Times New Roman" w:cs="Times New Roman"/>
                <w:bdr w:val="none" w:color="auto" w:sz="0" w:space="0"/>
                <w:lang/>
              </w:rPr>
              <w:t>球磨供料仓仓顶</w:t>
            </w:r>
            <w:r>
              <w:rPr>
                <w:rFonts w:ascii="Times New Roman" w:hAnsi="Times New Roman" w:cs="Times New Roman"/>
                <w:kern w:val="0"/>
                <w:szCs w:val="21"/>
                <w:bdr w:val="none" w:color="auto" w:sz="0" w:space="0"/>
                <w:lang/>
              </w:rPr>
              <w:t>设</w:t>
            </w:r>
            <w:r>
              <w:rPr>
                <w:rFonts w:ascii="Times New Roman" w:hAnsi="Times New Roman" w:cs="Times New Roman"/>
                <w:kern w:val="0"/>
                <w:szCs w:val="21"/>
                <w:bdr w:val="none" w:color="auto" w:sz="0" w:space="0"/>
                <w:lang w:eastAsia="zh-CN"/>
              </w:rPr>
              <w:t>置</w:t>
            </w:r>
            <w:r>
              <w:rPr>
                <w:rFonts w:ascii="Times New Roman" w:hAnsi="Times New Roman" w:cs="Times New Roman"/>
                <w:kern w:val="0"/>
                <w:szCs w:val="21"/>
                <w:bdr w:val="none" w:color="auto" w:sz="0" w:space="0"/>
                <w:lang/>
              </w:rPr>
              <w:t>捕集罩</w:t>
            </w:r>
          </w:p>
        </w:tc>
      </w:tr>
    </w:tbl>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类比同类工程在采取上述同样捕集措施的情况下，捕集效率较好。经分析可知，上述各个产尘点采用的捕集罩捕集效率可</w:t>
      </w:r>
      <w:r>
        <w:rPr>
          <w:rFonts w:hint="default" w:ascii="Times New Roman" w:hAnsi="Times New Roman" w:eastAsia="宋体" w:cs="Times New Roman"/>
          <w:color w:val="000000"/>
          <w:kern w:val="0"/>
          <w:sz w:val="24"/>
          <w:szCs w:val="24"/>
          <w:lang w:val="en-US" w:eastAsia="zh-CN" w:bidi="ar"/>
        </w:rPr>
        <w:t>≥95%</w:t>
      </w:r>
      <w:r>
        <w:rPr>
          <w:rFonts w:hint="eastAsia" w:ascii="Times New Roman" w:hAnsi="Times New Roman" w:eastAsia="宋体" w:cs="Times New Roman"/>
          <w:color w:val="000000"/>
          <w:kern w:val="0"/>
          <w:sz w:val="24"/>
          <w:szCs w:val="24"/>
          <w:lang w:val="en-US" w:eastAsia="zh-CN" w:bidi="ar"/>
        </w:rPr>
        <w:t>，因此本项目采取的捕集措施可行。</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6</w:t>
      </w:r>
      <w:r>
        <w:rPr>
          <w:rFonts w:hint="default" w:ascii="Times New Roman" w:hAnsi="Times New Roman" w:cs="Times New Roman"/>
          <w:color w:val="000000"/>
          <w:lang/>
        </w:rPr>
        <w:t>.2.1.</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 </w:t>
      </w:r>
      <w:r>
        <w:rPr>
          <w:rFonts w:ascii="Times New Roman" w:hAnsi="Times New Roman" w:cs="Times New Roman"/>
          <w:color w:val="000000"/>
          <w:lang w:eastAsia="zh-CN"/>
        </w:rPr>
        <w:t>有组织废气净化措施</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本项目破碎、筛分工序及球磨供料仓产生的粉尘通过捕集罩收集后通过引风机抽至布袋除尘器除尘。</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袋式除尘技术是利用纤维织物的过滤作用对含尘气体进行过滤分离。袋式除尘器的工作原理是：含尘气体进入挂有一定数量滤袋的袋室后，被滤袋纤维过滤。随着阻留的粉尘不断增加，一部分粉尘嵌入滤料内部；一部分覆盖在滤袋表面形成一层粉尘层。此时，含尘气体的过滤主要依靠粉尘层进行。含尘气体通过粉尘层与滤料时产生的筛分、惯性、粘附、扩散与静电等作用，使粉尘得到捕集，除尘效率≥</w:t>
      </w:r>
      <w:r>
        <w:rPr>
          <w:rFonts w:hint="default" w:ascii="Times New Roman" w:hAnsi="Times New Roman" w:eastAsia="宋体" w:cs="Times New Roman"/>
          <w:color w:val="000000"/>
          <w:kern w:val="0"/>
          <w:sz w:val="24"/>
          <w:szCs w:val="24"/>
          <w:lang w:val="en-US" w:eastAsia="zh-CN" w:bidi="ar"/>
        </w:rPr>
        <w:t>99.5%</w:t>
      </w:r>
      <w:r>
        <w:rPr>
          <w:rFonts w:hint="eastAsia" w:ascii="Times New Roman" w:hAnsi="Times New Roman" w:eastAsia="宋体" w:cs="Times New Roman"/>
          <w:color w:val="000000"/>
          <w:kern w:val="0"/>
          <w:sz w:val="24"/>
          <w:szCs w:val="24"/>
          <w:lang w:val="en-US" w:eastAsia="zh-CN" w:bidi="ar"/>
        </w:rPr>
        <w:t>。袋式除尘器的工作过程是：正常工作时含尘气体从除尘器的底部进入，均匀的进入各室的每个滤袋，此时由于气体速度迅速降低，气体中较大颗粒的颗粒物首先沉降下来，含尘气体经滤袋时颗粒物被阻挡在滤袋的外表面，净化后的气体从袋内的内腔进入上部的净气室，然后经提升阀排出。当某个室要进行清灰时，首先要关闭这个室的气力提升阀，待切断通过这个室的含尘气流后，随即脉冲阀开启，向滤袋内喷入压缩空气，以清除滤袋外表面的颗粒物，每个除尘室的脉冲喷吹宽度和清灰周期均由专门的清灰程序控制器控制，自动连续进行。</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袋式除尘器对</w:t>
      </w:r>
      <w:r>
        <w:rPr>
          <w:rFonts w:hint="default" w:ascii="Times New Roman" w:hAnsi="Times New Roman" w:eastAsia="宋体" w:cs="Times New Roman"/>
          <w:color w:val="000000"/>
          <w:kern w:val="0"/>
          <w:sz w:val="24"/>
          <w:szCs w:val="24"/>
          <w:lang w:val="en-US" w:eastAsia="zh-CN" w:bidi="ar"/>
        </w:rPr>
        <w:t>10μm</w:t>
      </w:r>
      <w:r>
        <w:rPr>
          <w:rFonts w:hint="eastAsia" w:ascii="Times New Roman" w:hAnsi="Times New Roman" w:eastAsia="宋体" w:cs="Times New Roman"/>
          <w:color w:val="000000"/>
          <w:kern w:val="0"/>
          <w:sz w:val="24"/>
          <w:szCs w:val="24"/>
          <w:lang w:val="en-US" w:eastAsia="zh-CN" w:bidi="ar"/>
        </w:rPr>
        <w:t>以下尤其</w:t>
      </w:r>
      <w:r>
        <w:rPr>
          <w:rFonts w:hint="default" w:ascii="Times New Roman" w:hAnsi="Times New Roman" w:eastAsia="宋体" w:cs="Times New Roman"/>
          <w:color w:val="000000"/>
          <w:kern w:val="0"/>
          <w:sz w:val="24"/>
          <w:szCs w:val="24"/>
          <w:lang w:val="en-US" w:eastAsia="zh-CN" w:bidi="ar"/>
        </w:rPr>
        <w:t>1μm</w:t>
      </w:r>
      <w:r>
        <w:rPr>
          <w:rFonts w:hint="eastAsia" w:ascii="Times New Roman" w:hAnsi="Times New Roman" w:eastAsia="宋体" w:cs="Times New Roman"/>
          <w:color w:val="000000"/>
          <w:kern w:val="0"/>
          <w:sz w:val="24"/>
          <w:szCs w:val="24"/>
          <w:lang w:val="en-US" w:eastAsia="zh-CN" w:bidi="ar"/>
        </w:rPr>
        <w:t>以下的亚微颗粒物有较好的捕集效果，是捕集</w:t>
      </w:r>
      <w:r>
        <w:rPr>
          <w:rFonts w:hint="default" w:ascii="Times New Roman" w:hAnsi="Times New Roman" w:eastAsia="宋体" w:cs="Times New Roman"/>
          <w:color w:val="000000"/>
          <w:kern w:val="0"/>
          <w:sz w:val="24"/>
          <w:szCs w:val="24"/>
          <w:lang w:val="en-US" w:eastAsia="zh-CN" w:bidi="ar"/>
        </w:rPr>
        <w:t>PM</w:t>
      </w:r>
      <w:r>
        <w:rPr>
          <w:rFonts w:hint="default" w:ascii="Times New Roman" w:hAnsi="Times New Roman" w:eastAsia="宋体" w:cs="Times New Roman"/>
          <w:color w:val="000000"/>
          <w:kern w:val="0"/>
          <w:sz w:val="24"/>
          <w:szCs w:val="24"/>
          <w:vertAlign w:val="subscript"/>
          <w:lang w:val="en-US" w:eastAsia="zh-CN" w:bidi="ar"/>
        </w:rPr>
        <w:t>2.5</w:t>
      </w:r>
      <w:r>
        <w:rPr>
          <w:rFonts w:hint="eastAsia" w:ascii="Times New Roman" w:hAnsi="Times New Roman" w:eastAsia="宋体" w:cs="Times New Roman"/>
          <w:color w:val="000000"/>
          <w:kern w:val="0"/>
          <w:sz w:val="24"/>
          <w:szCs w:val="24"/>
          <w:lang w:val="en-US" w:eastAsia="zh-CN" w:bidi="ar"/>
        </w:rPr>
        <w:t>的重要手段。袋式除尘在净化效率、运行能耗、设备造价、占地面积等方面都优于电除尘，特别对电除尘器不易捕集的高比电阻尘粒亦很有效；适应的质量浓度范围大，对废气流速的变化也具有一定的稳定性；结构简单，内部无复杂结构，所收干尘便于回收利用。主要具有以下优点：</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1 \* GB3</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Times New Roman" w:hAnsi="Times New Roman" w:eastAsia="宋体" w:cs="Times New Roman"/>
          <w:color w:val="000000"/>
          <w:kern w:val="0"/>
          <w:sz w:val="24"/>
          <w:szCs w:val="24"/>
          <w:lang w:val="en-US" w:eastAsia="zh-CN" w:bidi="ar"/>
        </w:rPr>
        <w:t>①</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脉冲布袋除尘采用分室停风脉冲喷吹清灰技术，克服了常规脉冲除尘器和分室反吹除尘器的缺点，清灰能力强，除尘效率高，排放浓度低，漏风率小，能耗少，钢耗少，占地面积少，运行稳定可靠，经济效益好。适用于冶金、建材、水泥、机械、化工、电力、轻工行业的含尘气体的净化与物料的回收。</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2 \* GB3</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Times New Roman" w:hAnsi="Times New Roman" w:eastAsia="宋体" w:cs="Times New Roman"/>
          <w:color w:val="000000"/>
          <w:kern w:val="0"/>
          <w:sz w:val="24"/>
          <w:szCs w:val="24"/>
          <w:lang w:val="en-US" w:eastAsia="zh-CN" w:bidi="ar"/>
        </w:rPr>
        <w:t>②</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由于采用分室停风脉冲喷吹清灰，喷吹一次就可达到彻底清灰的目的，所以清灰周期延长，降低了清灰能耗，压气耗量可大为降低。同时，滤袋与脉冲阀的疲劳程度也相应减低，从而成倍地提高滤袋与阀片的寿命。</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3 \* GB3</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Times New Roman" w:hAnsi="Times New Roman" w:eastAsia="宋体" w:cs="Times New Roman"/>
          <w:color w:val="000000"/>
          <w:kern w:val="0"/>
          <w:sz w:val="24"/>
          <w:szCs w:val="24"/>
          <w:lang w:val="en-US" w:eastAsia="zh-CN" w:bidi="ar"/>
        </w:rPr>
        <w:t>③</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检修换袋可在不停系统风机，系统正常运行条件下分室进行。滤袋袋口采用弹性涨圈，密封性能好，牢固可靠。滤袋龙骨采用多角形，减少了袋与龙骨的磨擦，延长了袋的寿命，又便于卸袋。</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4 \* GB3</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Times New Roman" w:hAnsi="Times New Roman" w:eastAsia="宋体" w:cs="Times New Roman"/>
          <w:color w:val="000000"/>
          <w:kern w:val="0"/>
          <w:sz w:val="24"/>
          <w:szCs w:val="24"/>
          <w:lang w:val="en-US" w:eastAsia="zh-CN" w:bidi="ar"/>
        </w:rPr>
        <w:t>④</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采用上部抽袋方式，换袋时抽出骨架后，脏袋投入箱体下部灰斗，由人孔处取出，改善了换袋操作条件。</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5 \* GB3</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Times New Roman" w:hAnsi="Times New Roman" w:eastAsia="宋体" w:cs="Times New Roman"/>
          <w:color w:val="000000"/>
          <w:kern w:val="0"/>
          <w:sz w:val="24"/>
          <w:szCs w:val="24"/>
          <w:lang w:val="en-US" w:eastAsia="zh-CN" w:bidi="ar"/>
        </w:rPr>
        <w:t>⑤</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箱体采用气密性设计，密封性好，检查门用优良的密封材料，制作过程中以煤油检漏，漏风率很低。</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布袋除尘器的特点是除尘效率高，不产生二次水污染问题，设备运行稳定、可靠，已在镁砂行业得到广泛的应用和取得较好的使用效果。拟建工程选用的袋式除尘器严格按照《袋式除尘工程通用技术规范》</w:t>
      </w:r>
      <w:r>
        <w:rPr>
          <w:rFonts w:hint="default" w:ascii="Times New Roman" w:hAnsi="Times New Roman" w:eastAsia="宋体" w:cs="Times New Roman"/>
          <w:color w:val="000000"/>
          <w:kern w:val="0"/>
          <w:sz w:val="24"/>
          <w:szCs w:val="24"/>
          <w:lang w:val="en-US" w:eastAsia="zh-CN" w:bidi="ar"/>
        </w:rPr>
        <w:t>(HJ2020-2012)</w:t>
      </w:r>
      <w:r>
        <w:rPr>
          <w:rFonts w:hint="eastAsia" w:ascii="Times New Roman" w:hAnsi="Times New Roman" w:eastAsia="宋体" w:cs="Times New Roman"/>
          <w:color w:val="000000"/>
          <w:kern w:val="0"/>
          <w:sz w:val="24"/>
          <w:szCs w:val="24"/>
          <w:lang w:val="en-US" w:eastAsia="zh-CN" w:bidi="ar"/>
        </w:rPr>
        <w:t>的要求进行设计、建设、运营维护。</w:t>
      </w:r>
    </w:p>
    <w:p>
      <w:pPr>
        <w:pStyle w:val="309"/>
        <w:widowControl/>
        <w:spacing w:line="500" w:lineRule="exact"/>
        <w:ind w:left="0" w:firstLine="480"/>
        <w:jc w:val="both"/>
        <w:rPr>
          <w:rFonts w:hint="default" w:ascii="Times New Roman" w:hAnsi="Times New Roman" w:cs="Times New Roman"/>
          <w:color w:val="000000"/>
          <w:lang w:val="en-US"/>
        </w:rPr>
      </w:pPr>
      <w:r>
        <w:rPr>
          <w:rFonts w:ascii="Times New Roman" w:hAnsi="Times New Roman" w:cs="Times New Roman"/>
          <w:color w:val="000000"/>
          <w:sz w:val="24"/>
          <w:szCs w:val="24"/>
          <w:lang w:eastAsia="zh-CN"/>
        </w:rPr>
        <w:t>根据工程分析，本项目破碎、筛分工序及球磨供料仓产生的粉尘经布袋除尘器除尘后，颗粒物排放浓度均＜</w:t>
      </w:r>
      <w:r>
        <w:rPr>
          <w:rFonts w:hint="default" w:ascii="Times New Roman" w:hAnsi="Times New Roman" w:cs="Times New Roman"/>
          <w:color w:val="000000"/>
          <w:sz w:val="24"/>
          <w:szCs w:val="24"/>
          <w:lang w:val="en-US"/>
        </w:rPr>
        <w:t>10mg/m</w:t>
      </w:r>
      <w:r>
        <w:rPr>
          <w:rFonts w:hint="default" w:ascii="Times New Roman" w:hAnsi="Times New Roman" w:cs="Times New Roman"/>
          <w:color w:val="000000"/>
          <w:sz w:val="24"/>
          <w:szCs w:val="24"/>
          <w:vertAlign w:val="superscript"/>
          <w:lang w:val="en-US"/>
        </w:rPr>
        <w:t>3</w:t>
      </w:r>
      <w:r>
        <w:rPr>
          <w:rFonts w:ascii="Times New Roman" w:hAnsi="Times New Roman" w:cs="Times New Roman"/>
          <w:color w:val="000000"/>
          <w:sz w:val="24"/>
          <w:szCs w:val="24"/>
          <w:lang w:eastAsia="zh-CN"/>
        </w:rPr>
        <w:t>，可以满足《镁质耐火材料工业大气污染物排放标准》（</w:t>
      </w:r>
      <w:r>
        <w:rPr>
          <w:rFonts w:hint="default" w:ascii="Times New Roman" w:hAnsi="Times New Roman" w:cs="Times New Roman"/>
          <w:color w:val="000000"/>
          <w:sz w:val="24"/>
          <w:szCs w:val="24"/>
          <w:lang/>
        </w:rPr>
        <w:t>DB21/3011-2018</w:t>
      </w:r>
      <w:r>
        <w:rPr>
          <w:rFonts w:ascii="Times New Roman" w:hAnsi="Times New Roman" w:cs="Times New Roman"/>
          <w:color w:val="000000"/>
          <w:sz w:val="24"/>
          <w:szCs w:val="24"/>
          <w:lang w:eastAsia="zh-CN"/>
        </w:rPr>
        <w:t>）</w:t>
      </w:r>
      <w:r>
        <w:rPr>
          <w:rFonts w:ascii="Times New Roman" w:hAnsi="Times New Roman" w:cs="Times New Roman"/>
          <w:bCs/>
          <w:color w:val="000000"/>
          <w:sz w:val="24"/>
          <w:szCs w:val="24"/>
          <w:lang w:eastAsia="zh-CN"/>
        </w:rPr>
        <w:t>中的超低排放限值</w:t>
      </w:r>
      <w:r>
        <w:rPr>
          <w:rFonts w:ascii="Times New Roman" w:hAnsi="Times New Roman" w:cs="Times New Roman"/>
          <w:color w:val="000000"/>
          <w:sz w:val="24"/>
          <w:szCs w:val="40"/>
          <w:lang w:eastAsia="zh-CN"/>
        </w:rPr>
        <w:t>（颗粒物≤</w:t>
      </w:r>
      <w:r>
        <w:rPr>
          <w:rFonts w:hint="default" w:ascii="Times New Roman" w:hAnsi="Times New Roman" w:cs="Times New Roman"/>
          <w:color w:val="000000"/>
          <w:sz w:val="24"/>
          <w:szCs w:val="40"/>
          <w:lang w:val="en-US"/>
        </w:rPr>
        <w:t>30mg/m</w:t>
      </w:r>
      <w:r>
        <w:rPr>
          <w:rFonts w:hint="default" w:ascii="Times New Roman" w:hAnsi="Times New Roman" w:cs="Times New Roman"/>
          <w:color w:val="000000"/>
          <w:sz w:val="24"/>
          <w:szCs w:val="40"/>
          <w:vertAlign w:val="superscript"/>
          <w:lang w:val="en-US"/>
        </w:rPr>
        <w:t>3</w:t>
      </w:r>
      <w:r>
        <w:rPr>
          <w:rFonts w:ascii="Times New Roman" w:hAnsi="Times New Roman" w:cs="Times New Roman"/>
          <w:color w:val="000000"/>
          <w:sz w:val="24"/>
          <w:szCs w:val="40"/>
          <w:lang w:eastAsia="zh-CN"/>
        </w:rPr>
        <w:t>）</w:t>
      </w:r>
      <w:r>
        <w:rPr>
          <w:rFonts w:ascii="Times New Roman" w:hAnsi="Times New Roman" w:cs="Times New Roman"/>
          <w:color w:val="000000"/>
          <w:sz w:val="24"/>
          <w:szCs w:val="24"/>
          <w:lang w:eastAsia="zh-CN"/>
        </w:rPr>
        <w:t>，能够达标排放。</w:t>
      </w:r>
    </w:p>
    <w:p>
      <w:pPr>
        <w:pStyle w:val="113"/>
        <w:widowControl/>
        <w:rPr>
          <w:rFonts w:hint="default" w:ascii="Times New Roman" w:hAnsi="Times New Roman" w:cs="Times New Roman"/>
          <w:color w:val="000000"/>
          <w:lang/>
        </w:rPr>
      </w:pPr>
      <w:r>
        <w:rPr>
          <w:rFonts w:hint="default" w:ascii="Times New Roman" w:hAnsi="Times New Roman" w:cs="Times New Roman"/>
          <w:color w:val="000000"/>
          <w:lang w:eastAsia="zh-CN"/>
        </w:rPr>
        <w:t>6</w:t>
      </w:r>
      <w:r>
        <w:rPr>
          <w:rFonts w:hint="default" w:ascii="Times New Roman" w:hAnsi="Times New Roman" w:cs="Times New Roman"/>
          <w:color w:val="000000"/>
          <w:lang/>
        </w:rPr>
        <w:t>.2.1.</w:t>
      </w:r>
      <w:r>
        <w:rPr>
          <w:rFonts w:hint="default" w:ascii="Times New Roman" w:hAnsi="Times New Roman" w:cs="Times New Roman"/>
          <w:color w:val="000000"/>
          <w:lang w:eastAsia="zh-CN"/>
        </w:rPr>
        <w:t>3</w:t>
      </w:r>
      <w:r>
        <w:rPr>
          <w:rFonts w:hint="default" w:ascii="Times New Roman" w:hAnsi="Times New Roman" w:cs="Times New Roman"/>
          <w:color w:val="000000"/>
          <w:lang/>
        </w:rPr>
        <w:t xml:space="preserve"> </w:t>
      </w:r>
      <w:r>
        <w:rPr>
          <w:rFonts w:ascii="Times New Roman" w:hAnsi="Times New Roman" w:cs="Times New Roman"/>
          <w:color w:val="000000"/>
          <w:lang/>
        </w:rPr>
        <w:t>无组织排放控制措施</w:t>
      </w:r>
    </w:p>
    <w:p>
      <w:pPr>
        <w:pStyle w:val="309"/>
        <w:widowControl/>
        <w:spacing w:line="500" w:lineRule="exact"/>
        <w:ind w:left="0" w:firstLine="480"/>
        <w:jc w:val="both"/>
        <w:rPr>
          <w:rFonts w:hint="default" w:ascii="Times New Roman" w:hAnsi="Times New Roman" w:cs="Times New Roman"/>
          <w:color w:val="000000"/>
          <w:sz w:val="24"/>
          <w:szCs w:val="24"/>
          <w:lang/>
        </w:rPr>
      </w:pPr>
      <w:r>
        <w:rPr>
          <w:rFonts w:ascii="Times New Roman" w:hAnsi="Times New Roman" w:cs="Times New Roman"/>
          <w:color w:val="000000"/>
          <w:sz w:val="24"/>
          <w:szCs w:val="24"/>
          <w:lang w:eastAsia="zh-CN"/>
        </w:rPr>
        <w:t>本项目无组织粉尘治理措施根据《镁质耐火材料大气污染物排放标准》以及《海城市镁制品项目建设指导意见》相关要求进行。</w:t>
      </w:r>
    </w:p>
    <w:p>
      <w:pPr>
        <w:pStyle w:val="309"/>
        <w:widowControl/>
        <w:spacing w:line="500" w:lineRule="exact"/>
        <w:ind w:left="0" w:firstLine="480"/>
        <w:jc w:val="both"/>
        <w:rPr>
          <w:rFonts w:hint="default" w:ascii="Times New Roman" w:hAnsi="Times New Roman" w:cs="Times New Roman"/>
          <w:color w:val="000000"/>
          <w:sz w:val="24"/>
          <w:szCs w:val="24"/>
          <w:lang/>
        </w:rPr>
      </w:pPr>
      <w:r>
        <w:rPr>
          <w:rFonts w:ascii="Times New Roman" w:hAnsi="Times New Roman" w:cs="Times New Roman"/>
          <w:color w:val="000000"/>
          <w:sz w:val="24"/>
          <w:szCs w:val="24"/>
          <w:lang w:eastAsia="zh-CN"/>
        </w:rPr>
        <w:t>（</w:t>
      </w:r>
      <w:r>
        <w:rPr>
          <w:rFonts w:hint="default" w:ascii="Times New Roman" w:hAnsi="Times New Roman" w:cs="Times New Roman"/>
          <w:color w:val="000000"/>
          <w:sz w:val="24"/>
          <w:szCs w:val="24"/>
          <w:lang/>
        </w:rPr>
        <w:t>1</w:t>
      </w:r>
      <w:r>
        <w:rPr>
          <w:rFonts w:ascii="Times New Roman" w:hAnsi="Times New Roman" w:cs="Times New Roman"/>
          <w:color w:val="000000"/>
          <w:sz w:val="24"/>
          <w:szCs w:val="24"/>
          <w:lang w:eastAsia="zh-CN"/>
        </w:rPr>
        <w:t>）物料的储存、装卸及转运</w:t>
      </w:r>
    </w:p>
    <w:p>
      <w:pPr>
        <w:pStyle w:val="309"/>
        <w:widowControl/>
        <w:spacing w:line="500" w:lineRule="exact"/>
        <w:ind w:left="0" w:firstLine="480"/>
        <w:jc w:val="both"/>
        <w:rPr>
          <w:rFonts w:hint="default" w:ascii="Times New Roman" w:hAnsi="Times New Roman" w:cs="Times New Roman"/>
          <w:color w:val="000000"/>
          <w:sz w:val="24"/>
          <w:szCs w:val="24"/>
          <w:lang/>
        </w:rPr>
      </w:pPr>
      <w:r>
        <w:rPr>
          <w:rFonts w:ascii="Times New Roman" w:hAnsi="Times New Roman" w:cs="Times New Roman"/>
          <w:color w:val="000000"/>
          <w:sz w:val="24"/>
          <w:szCs w:val="24"/>
          <w:lang w:eastAsia="zh-CN"/>
        </w:rPr>
        <w:t>项目原矿、精矿、尾矿在封闭厂房内装卸，置于封闭的库房内储存，并定期洒水抑尘。</w:t>
      </w:r>
    </w:p>
    <w:p>
      <w:pPr>
        <w:pStyle w:val="309"/>
        <w:widowControl/>
        <w:spacing w:line="500" w:lineRule="exact"/>
        <w:ind w:left="0" w:firstLine="480"/>
        <w:jc w:val="both"/>
        <w:rPr>
          <w:rFonts w:hint="default" w:ascii="Times New Roman" w:hAnsi="Times New Roman" w:cs="Times New Roman"/>
          <w:color w:val="000000"/>
          <w:sz w:val="24"/>
          <w:szCs w:val="24"/>
          <w:lang/>
        </w:rPr>
      </w:pPr>
      <w:r>
        <w:rPr>
          <w:rFonts w:ascii="Times New Roman" w:hAnsi="Times New Roman" w:cs="Times New Roman"/>
          <w:color w:val="000000"/>
          <w:sz w:val="24"/>
          <w:szCs w:val="24"/>
          <w:lang w:eastAsia="zh-CN"/>
        </w:rPr>
        <w:t>破碎车间、球磨车间均为封闭厂房，干物料在封闭厂房内利用皮带输送，产尘点设置捕集罩，未捕集粉尘经厂房遮挡和沉降后（削减</w:t>
      </w:r>
      <w:r>
        <w:rPr>
          <w:rFonts w:hint="default" w:ascii="Times New Roman" w:hAnsi="Times New Roman" w:cs="Times New Roman"/>
          <w:color w:val="000000"/>
          <w:sz w:val="24"/>
          <w:szCs w:val="24"/>
          <w:lang/>
        </w:rPr>
        <w:t>80%</w:t>
      </w:r>
      <w:r>
        <w:rPr>
          <w:rFonts w:ascii="Times New Roman" w:hAnsi="Times New Roman" w:cs="Times New Roman"/>
          <w:color w:val="000000"/>
          <w:sz w:val="24"/>
          <w:szCs w:val="24"/>
          <w:lang w:eastAsia="zh-CN"/>
        </w:rPr>
        <w:t>），其余约</w:t>
      </w:r>
      <w:r>
        <w:rPr>
          <w:rFonts w:hint="default" w:ascii="Times New Roman" w:hAnsi="Times New Roman" w:cs="Times New Roman"/>
          <w:color w:val="000000"/>
          <w:sz w:val="24"/>
          <w:szCs w:val="24"/>
          <w:lang/>
        </w:rPr>
        <w:t>20%</w:t>
      </w:r>
      <w:r>
        <w:rPr>
          <w:rFonts w:ascii="Times New Roman" w:hAnsi="Times New Roman" w:cs="Times New Roman"/>
          <w:color w:val="000000"/>
          <w:sz w:val="24"/>
          <w:szCs w:val="24"/>
          <w:lang w:eastAsia="zh-CN"/>
        </w:rPr>
        <w:t>经门、窗以无组织形式逸出。</w:t>
      </w:r>
    </w:p>
    <w:p>
      <w:pPr>
        <w:pStyle w:val="309"/>
        <w:widowControl/>
        <w:spacing w:line="500" w:lineRule="exact"/>
        <w:ind w:left="0" w:firstLine="480"/>
        <w:jc w:val="both"/>
        <w:rPr>
          <w:rFonts w:hint="default" w:ascii="Times New Roman" w:hAnsi="Times New Roman" w:cs="Times New Roman"/>
          <w:color w:val="000000"/>
          <w:sz w:val="24"/>
          <w:szCs w:val="24"/>
          <w:lang/>
        </w:rPr>
      </w:pPr>
      <w:r>
        <w:rPr>
          <w:rFonts w:ascii="Times New Roman" w:hAnsi="Times New Roman" w:cs="Times New Roman"/>
          <w:color w:val="000000"/>
          <w:sz w:val="24"/>
          <w:szCs w:val="24"/>
          <w:lang w:eastAsia="zh-CN"/>
        </w:rPr>
        <w:t>（</w:t>
      </w:r>
      <w:r>
        <w:rPr>
          <w:rFonts w:hint="default" w:ascii="Times New Roman" w:hAnsi="Times New Roman" w:cs="Times New Roman"/>
          <w:color w:val="000000"/>
          <w:sz w:val="24"/>
          <w:szCs w:val="24"/>
          <w:lang/>
        </w:rPr>
        <w:t>2</w:t>
      </w:r>
      <w:r>
        <w:rPr>
          <w:rFonts w:ascii="Times New Roman" w:hAnsi="Times New Roman" w:cs="Times New Roman"/>
          <w:color w:val="000000"/>
          <w:sz w:val="24"/>
          <w:szCs w:val="24"/>
          <w:lang w:eastAsia="zh-CN"/>
        </w:rPr>
        <w:t>）道路运输</w:t>
      </w:r>
    </w:p>
    <w:p>
      <w:pPr>
        <w:pStyle w:val="309"/>
        <w:widowControl/>
        <w:spacing w:line="500" w:lineRule="exact"/>
        <w:ind w:left="0" w:firstLine="480"/>
        <w:jc w:val="both"/>
        <w:rPr>
          <w:rFonts w:hint="default" w:ascii="Times New Roman" w:hAnsi="Times New Roman" w:cs="Times New Roman"/>
          <w:color w:val="000000"/>
          <w:sz w:val="24"/>
          <w:szCs w:val="24"/>
          <w:lang/>
        </w:rPr>
      </w:pPr>
      <w:r>
        <w:rPr>
          <w:rFonts w:ascii="Times New Roman" w:hAnsi="Times New Roman" w:cs="Times New Roman"/>
          <w:color w:val="000000"/>
          <w:sz w:val="24"/>
          <w:szCs w:val="24"/>
          <w:lang w:eastAsia="zh-CN"/>
        </w:rPr>
        <w:t>本项目原料及产品均采用汽车道路运输，对场区地面进行硬化处理，并采取洒水车和吸尘车进行清扫。</w:t>
      </w:r>
    </w:p>
    <w:p>
      <w:pPr>
        <w:pStyle w:val="309"/>
        <w:widowControl/>
        <w:spacing w:line="500" w:lineRule="exact"/>
        <w:ind w:left="0" w:firstLine="480"/>
        <w:jc w:val="both"/>
        <w:rPr>
          <w:rFonts w:hint="default" w:ascii="Times New Roman" w:hAnsi="Times New Roman" w:cs="Times New Roman"/>
          <w:color w:val="000000"/>
          <w:sz w:val="24"/>
          <w:szCs w:val="24"/>
          <w:lang/>
        </w:rPr>
      </w:pPr>
      <w:r>
        <w:rPr>
          <w:rFonts w:ascii="Times New Roman" w:hAnsi="Times New Roman" w:cs="Times New Roman"/>
          <w:color w:val="000000"/>
          <w:sz w:val="24"/>
          <w:szCs w:val="24"/>
          <w:lang w:eastAsia="zh-CN"/>
        </w:rPr>
        <w:t>限制车速，可有效抑制粉尘的产生。</w:t>
      </w:r>
    </w:p>
    <w:p>
      <w:pPr>
        <w:pStyle w:val="309"/>
        <w:widowControl/>
        <w:spacing w:line="500" w:lineRule="exact"/>
        <w:ind w:left="0" w:firstLine="480"/>
        <w:jc w:val="both"/>
        <w:rPr>
          <w:rFonts w:hint="default" w:ascii="Times New Roman" w:hAnsi="Times New Roman" w:cs="Times New Roman"/>
          <w:color w:val="000000"/>
          <w:sz w:val="24"/>
          <w:szCs w:val="24"/>
          <w:lang/>
        </w:rPr>
      </w:pPr>
      <w:r>
        <w:rPr>
          <w:rFonts w:ascii="Times New Roman" w:hAnsi="Times New Roman" w:cs="Times New Roman"/>
          <w:color w:val="000000"/>
          <w:sz w:val="24"/>
          <w:szCs w:val="24"/>
          <w:lang w:eastAsia="zh-CN"/>
        </w:rPr>
        <w:t>加强对运输车辆装载量的管理，严禁超载，避免物料沿途抛洒。</w:t>
      </w:r>
    </w:p>
    <w:p>
      <w:pPr>
        <w:pStyle w:val="309"/>
        <w:widowControl/>
        <w:spacing w:line="500" w:lineRule="exact"/>
        <w:ind w:left="0" w:firstLine="480"/>
        <w:jc w:val="both"/>
        <w:rPr>
          <w:rFonts w:hint="default" w:ascii="Times New Roman" w:hAnsi="Times New Roman" w:cs="Times New Roman"/>
          <w:color w:val="000000"/>
          <w:sz w:val="24"/>
          <w:szCs w:val="24"/>
          <w:lang/>
        </w:rPr>
      </w:pPr>
      <w:r>
        <w:rPr>
          <w:rFonts w:ascii="Times New Roman" w:hAnsi="Times New Roman" w:cs="Times New Roman"/>
          <w:color w:val="000000"/>
          <w:sz w:val="24"/>
          <w:szCs w:val="24"/>
          <w:lang w:eastAsia="zh-CN"/>
        </w:rPr>
        <w:t>要求运输车辆加盖篷布或使用带盖箱体密封车，既有利与环境保护，同时也可保证企业的经济效益。</w:t>
      </w:r>
    </w:p>
    <w:p>
      <w:pPr>
        <w:pStyle w:val="309"/>
        <w:widowControl/>
        <w:spacing w:line="500" w:lineRule="exact"/>
        <w:ind w:left="0" w:firstLine="480"/>
        <w:jc w:val="both"/>
        <w:rPr>
          <w:rFonts w:hint="default" w:ascii="Times New Roman" w:hAnsi="Times New Roman" w:cs="Times New Roman"/>
          <w:b/>
          <w:color w:val="000000"/>
          <w:lang w:val="en-US"/>
        </w:rPr>
      </w:pPr>
      <w:r>
        <w:rPr>
          <w:rFonts w:ascii="Times New Roman" w:hAnsi="Times New Roman" w:cs="Times New Roman"/>
          <w:color w:val="000000"/>
          <w:sz w:val="24"/>
          <w:szCs w:val="24"/>
          <w:lang w:eastAsia="zh-CN"/>
        </w:rPr>
        <w:t>本项目运矿运输路线尽量避开村庄，同时在采取车辆加盖篷布、洒水、限制车速、严禁超载等综合降尘和管理措施后，可有效控制扬尘的产生。采取上述措施后，本项目厂界无组织颗粒物排放限值满足《镁质耐火材料工业大气污染物排放标准》（</w:t>
      </w:r>
      <w:r>
        <w:rPr>
          <w:rFonts w:hint="default" w:ascii="Times New Roman" w:hAnsi="Times New Roman" w:cs="Times New Roman"/>
          <w:color w:val="000000"/>
          <w:sz w:val="24"/>
          <w:szCs w:val="24"/>
          <w:lang/>
        </w:rPr>
        <w:t>DB21/3011-2018</w:t>
      </w:r>
      <w:r>
        <w:rPr>
          <w:rFonts w:ascii="Times New Roman" w:hAnsi="Times New Roman" w:cs="Times New Roman"/>
          <w:color w:val="000000"/>
          <w:sz w:val="24"/>
          <w:szCs w:val="24"/>
          <w:lang w:eastAsia="zh-CN"/>
        </w:rPr>
        <w:t>）中的表</w:t>
      </w:r>
      <w:r>
        <w:rPr>
          <w:rFonts w:hint="default" w:ascii="Times New Roman" w:hAnsi="Times New Roman" w:cs="Times New Roman"/>
          <w:color w:val="000000"/>
          <w:sz w:val="24"/>
          <w:szCs w:val="24"/>
          <w:lang/>
        </w:rPr>
        <w:t>3</w:t>
      </w:r>
      <w:r>
        <w:rPr>
          <w:rFonts w:ascii="Times New Roman" w:hAnsi="Times New Roman" w:cs="Times New Roman"/>
          <w:color w:val="000000"/>
          <w:sz w:val="24"/>
          <w:szCs w:val="24"/>
          <w:lang w:eastAsia="zh-CN"/>
        </w:rPr>
        <w:t>对应的无组织排放限值（颗粒物≤</w:t>
      </w:r>
      <w:r>
        <w:rPr>
          <w:rFonts w:hint="default" w:ascii="Times New Roman" w:hAnsi="Times New Roman" w:cs="Times New Roman"/>
          <w:color w:val="000000"/>
          <w:sz w:val="24"/>
          <w:szCs w:val="24"/>
          <w:lang/>
        </w:rPr>
        <w:t>0.8mg/m</w:t>
      </w:r>
      <w:r>
        <w:rPr>
          <w:rFonts w:hint="default" w:ascii="Times New Roman" w:hAnsi="Times New Roman" w:cs="Times New Roman"/>
          <w:color w:val="000000"/>
          <w:sz w:val="24"/>
          <w:szCs w:val="24"/>
          <w:vertAlign w:val="superscript"/>
          <w:lang/>
        </w:rPr>
        <w:t>3</w:t>
      </w:r>
      <w:r>
        <w:rPr>
          <w:rFonts w:ascii="Times New Roman" w:hAnsi="Times New Roman" w:cs="Times New Roman"/>
          <w:color w:val="000000"/>
          <w:sz w:val="24"/>
          <w:szCs w:val="24"/>
          <w:lang w:eastAsia="zh-CN"/>
        </w:rPr>
        <w:t>）。</w:t>
      </w:r>
      <w:bookmarkEnd w:id="211"/>
      <w:bookmarkEnd w:id="212"/>
      <w:bookmarkEnd w:id="213"/>
      <w:bookmarkEnd w:id="214"/>
      <w:bookmarkEnd w:id="215"/>
      <w:bookmarkEnd w:id="216"/>
      <w:bookmarkEnd w:id="217"/>
      <w:bookmarkEnd w:id="218"/>
      <w:bookmarkEnd w:id="219"/>
      <w:bookmarkEnd w:id="220"/>
      <w:bookmarkEnd w:id="221"/>
      <w:bookmarkEnd w:id="222"/>
      <w:bookmarkStart w:id="224" w:name="_Toc151200156"/>
      <w:bookmarkStart w:id="225" w:name="_Toc151200316"/>
      <w:bookmarkStart w:id="226" w:name="_Toc151258790"/>
      <w:bookmarkStart w:id="227" w:name="_Toc151276209"/>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6.2.2</w:t>
      </w:r>
      <w:r>
        <w:rPr>
          <w:rFonts w:hint="default" w:ascii="Times New Roman" w:hAnsi="Times New Roman" w:cs="Times New Roman"/>
          <w:color w:val="000000"/>
          <w:lang/>
        </w:rPr>
        <w:t xml:space="preserve"> </w:t>
      </w:r>
      <w:r>
        <w:rPr>
          <w:rFonts w:ascii="Times New Roman" w:hAnsi="Times New Roman" w:cs="Times New Roman"/>
          <w:color w:val="000000"/>
          <w:lang w:eastAsia="zh-CN"/>
        </w:rPr>
        <w:t>废水治理</w:t>
      </w:r>
      <w:r>
        <w:rPr>
          <w:rFonts w:ascii="Times New Roman" w:hAnsi="Times New Roman" w:cs="Times New Roman"/>
          <w:color w:val="000000"/>
          <w:lang/>
        </w:rPr>
        <w:t>措施及</w:t>
      </w:r>
      <w:r>
        <w:rPr>
          <w:rFonts w:ascii="Times New Roman" w:hAnsi="Times New Roman" w:cs="Times New Roman"/>
          <w:color w:val="000000"/>
          <w:lang w:eastAsia="zh-CN"/>
        </w:rPr>
        <w:t>其</w:t>
      </w:r>
      <w:r>
        <w:rPr>
          <w:rFonts w:ascii="Times New Roman" w:hAnsi="Times New Roman" w:cs="Times New Roman"/>
          <w:color w:val="000000"/>
          <w:lang/>
        </w:rPr>
        <w:t>可行性</w:t>
      </w:r>
      <w:r>
        <w:rPr>
          <w:rFonts w:ascii="Times New Roman" w:hAnsi="Times New Roman" w:cs="Times New Roman"/>
          <w:color w:val="000000"/>
          <w:lang w:eastAsia="zh-CN"/>
        </w:rPr>
        <w:t>论证</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本项目最大限度地实现水循环利用，减少外排水量。</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bCs/>
          <w:color w:val="000000"/>
          <w:kern w:val="0"/>
          <w:sz w:val="24"/>
          <w:szCs w:val="24"/>
          <w:lang w:val="en-US" w:eastAsia="zh-CN" w:bidi="ar"/>
        </w:rPr>
        <w:t>根据工程分析，</w:t>
      </w:r>
      <w:r>
        <w:rPr>
          <w:rFonts w:hint="eastAsia" w:ascii="宋体" w:hAnsi="宋体" w:eastAsia="宋体" w:cs="宋体"/>
          <w:color w:val="000000"/>
          <w:kern w:val="0"/>
          <w:sz w:val="24"/>
          <w:szCs w:val="24"/>
          <w:lang w:val="en-US" w:eastAsia="zh-CN" w:bidi="ar"/>
        </w:rPr>
        <w:t>本项目生产废水主要为浮选生产工艺废水。生产废水在浓缩、过滤、</w:t>
      </w:r>
      <w:r>
        <w:rPr>
          <w:rFonts w:hint="eastAsia" w:ascii="Times New Roman" w:hAnsi="Times New Roman" w:eastAsia="宋体" w:cs="Times New Roman"/>
          <w:color w:val="000000"/>
          <w:kern w:val="0"/>
          <w:sz w:val="24"/>
          <w:szCs w:val="24"/>
          <w:lang w:val="en-US" w:eastAsia="zh-CN" w:bidi="ar"/>
        </w:rPr>
        <w:t>设备和地坪冲洗等</w:t>
      </w:r>
      <w:r>
        <w:rPr>
          <w:rFonts w:hint="eastAsia" w:ascii="宋体" w:hAnsi="宋体" w:eastAsia="宋体" w:cs="宋体"/>
          <w:color w:val="000000"/>
          <w:kern w:val="0"/>
          <w:sz w:val="24"/>
          <w:szCs w:val="24"/>
          <w:lang w:val="en-US" w:eastAsia="zh-CN" w:bidi="ar"/>
        </w:rPr>
        <w:t>环节中产生，主要含悬浮物为非金属矿泥，不含任何重金属物质，</w:t>
      </w:r>
      <w:r>
        <w:rPr>
          <w:rFonts w:hint="eastAsia" w:ascii="Times New Roman" w:hAnsi="Times New Roman" w:eastAsia="宋体" w:cs="Times New Roman"/>
          <w:color w:val="000000"/>
          <w:kern w:val="0"/>
          <w:sz w:val="24"/>
          <w:szCs w:val="24"/>
          <w:lang w:val="en-US" w:eastAsia="zh-CN" w:bidi="ar"/>
        </w:rPr>
        <w:t>全部进入循环水池沉淀。由于浮选生产对水质要求不高，浮选工艺排水经循环水池沉淀后，悬浮物浓度＜</w:t>
      </w:r>
      <w:r>
        <w:rPr>
          <w:rFonts w:hint="default" w:ascii="Times New Roman" w:hAnsi="Times New Roman" w:eastAsia="宋体" w:cs="Times New Roman"/>
          <w:color w:val="000000"/>
          <w:kern w:val="0"/>
          <w:sz w:val="24"/>
          <w:szCs w:val="24"/>
          <w:lang w:val="en-US" w:eastAsia="zh-CN" w:bidi="ar"/>
        </w:rPr>
        <w:t>30mg/l</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COD</w:t>
      </w:r>
      <w:r>
        <w:rPr>
          <w:rFonts w:hint="eastAsia" w:ascii="Times New Roman" w:hAnsi="Times New Roman" w:eastAsia="宋体" w:cs="Times New Roman"/>
          <w:color w:val="000000"/>
          <w:kern w:val="0"/>
          <w:sz w:val="24"/>
          <w:szCs w:val="24"/>
          <w:lang w:val="en-US" w:eastAsia="zh-CN" w:bidi="ar"/>
        </w:rPr>
        <w:t>浓度＜</w:t>
      </w:r>
      <w:r>
        <w:rPr>
          <w:rFonts w:hint="default" w:ascii="Times New Roman" w:hAnsi="Times New Roman" w:eastAsia="宋体" w:cs="Times New Roman"/>
          <w:color w:val="000000"/>
          <w:kern w:val="0"/>
          <w:sz w:val="24"/>
          <w:szCs w:val="24"/>
          <w:lang w:val="en-US" w:eastAsia="zh-CN" w:bidi="ar"/>
        </w:rPr>
        <w:t>100mg/l</w:t>
      </w:r>
      <w:r>
        <w:rPr>
          <w:rFonts w:hint="eastAsia" w:ascii="Times New Roman" w:hAnsi="Times New Roman" w:eastAsia="宋体" w:cs="Times New Roman"/>
          <w:color w:val="000000"/>
          <w:kern w:val="0"/>
          <w:sz w:val="24"/>
          <w:szCs w:val="24"/>
          <w:lang w:val="en-US" w:eastAsia="zh-CN" w:bidi="ar"/>
        </w:rPr>
        <w:t>，石油类浓度＜</w:t>
      </w:r>
      <w:r>
        <w:rPr>
          <w:rFonts w:hint="default" w:ascii="Times New Roman" w:hAnsi="Times New Roman" w:eastAsia="宋体" w:cs="Times New Roman"/>
          <w:color w:val="000000"/>
          <w:kern w:val="0"/>
          <w:sz w:val="24"/>
          <w:szCs w:val="24"/>
          <w:lang w:val="en-US" w:eastAsia="zh-CN" w:bidi="ar"/>
        </w:rPr>
        <w:t>1mg/l</w:t>
      </w:r>
      <w:r>
        <w:rPr>
          <w:rFonts w:hint="eastAsia" w:ascii="Times New Roman" w:hAnsi="Times New Roman" w:eastAsia="宋体" w:cs="Times New Roman"/>
          <w:color w:val="000000"/>
          <w:kern w:val="0"/>
          <w:sz w:val="24"/>
          <w:szCs w:val="24"/>
          <w:lang w:val="en-US" w:eastAsia="zh-CN" w:bidi="ar"/>
        </w:rPr>
        <w:t>，其水质满足浮选工艺补水要求，可全部</w:t>
      </w:r>
      <w:r>
        <w:rPr>
          <w:rFonts w:hint="eastAsia" w:ascii="宋体" w:hAnsi="宋体" w:eastAsia="宋体" w:cs="宋体"/>
          <w:color w:val="000000"/>
          <w:kern w:val="0"/>
          <w:sz w:val="24"/>
          <w:szCs w:val="24"/>
          <w:lang w:val="en-US" w:eastAsia="zh-CN" w:bidi="ar"/>
        </w:rPr>
        <w:t>返回生产系统循环使用，不外排。</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生活污水</w:t>
      </w:r>
      <w:r>
        <w:rPr>
          <w:rFonts w:hint="eastAsia" w:ascii="宋体" w:hAnsi="宋体" w:eastAsia="宋体" w:cs="宋体"/>
          <w:color w:val="000000"/>
          <w:kern w:val="0"/>
          <w:sz w:val="24"/>
          <w:szCs w:val="24"/>
          <w:lang w:val="en-US" w:eastAsia="zh-CN" w:bidi="ar"/>
        </w:rPr>
        <w:t>主要是职工饮用、卫生等用水，</w:t>
      </w:r>
      <w:r>
        <w:rPr>
          <w:rFonts w:hint="eastAsia" w:ascii="Times New Roman" w:hAnsi="Times New Roman" w:eastAsia="宋体" w:cs="Times New Roman"/>
          <w:snapToGrid w:val="0"/>
          <w:color w:val="000000"/>
          <w:kern w:val="0"/>
          <w:sz w:val="24"/>
          <w:szCs w:val="24"/>
          <w:lang w:val="en-US" w:eastAsia="zh-CN" w:bidi="ar"/>
        </w:rPr>
        <w:t>生活污水的产生量约为</w:t>
      </w:r>
      <w:r>
        <w:rPr>
          <w:rFonts w:hint="default" w:ascii="Times New Roman" w:hAnsi="Times New Roman" w:eastAsia="宋体" w:cs="Times New Roman"/>
          <w:snapToGrid w:val="0"/>
          <w:color w:val="000000"/>
          <w:kern w:val="0"/>
          <w:sz w:val="24"/>
          <w:szCs w:val="24"/>
          <w:lang w:val="en-US" w:eastAsia="zh-CN" w:bidi="ar"/>
        </w:rPr>
        <w:t>2.72m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/d</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816m</w:t>
      </w:r>
      <w:r>
        <w:rPr>
          <w:rFonts w:hint="default" w:ascii="Times New Roman" w:hAnsi="Times New Roman" w:eastAsia="宋体" w:cs="Times New Roman"/>
          <w:snapToGrid w:val="0"/>
          <w:color w:val="000000"/>
          <w:kern w:val="0"/>
          <w:sz w:val="24"/>
          <w:szCs w:val="24"/>
          <w:vertAlign w:val="superscript"/>
          <w:lang w:val="en-US" w:eastAsia="zh-CN" w:bidi="ar"/>
        </w:rPr>
        <w:t>3</w:t>
      </w:r>
      <w:r>
        <w:rPr>
          <w:rFonts w:hint="default" w:ascii="Times New Roman" w:hAnsi="Times New Roman" w:eastAsia="宋体" w:cs="Times New Roman"/>
          <w:snapToGrid w:val="0"/>
          <w:color w:val="000000"/>
          <w:kern w:val="0"/>
          <w:sz w:val="24"/>
          <w:szCs w:val="24"/>
          <w:lang w:val="en-US" w:eastAsia="zh-CN" w:bidi="ar"/>
        </w:rPr>
        <w:t>/a</w:t>
      </w:r>
      <w:r>
        <w:rPr>
          <w:rFonts w:hint="eastAsia" w:ascii="Times New Roman" w:hAnsi="Times New Roman" w:eastAsia="宋体" w:cs="Times New Roman"/>
          <w:snapToGrid w:val="0"/>
          <w:color w:val="000000"/>
          <w:kern w:val="0"/>
          <w:sz w:val="24"/>
          <w:szCs w:val="24"/>
          <w:lang w:val="en-US" w:eastAsia="zh-CN" w:bidi="ar"/>
        </w:rPr>
        <w:t>，生活污水水质为</w:t>
      </w:r>
      <w:r>
        <w:rPr>
          <w:rFonts w:hint="default" w:ascii="Times New Roman" w:hAnsi="Times New Roman" w:eastAsia="宋体" w:cs="Times New Roman"/>
          <w:color w:val="000000"/>
          <w:kern w:val="0"/>
          <w:sz w:val="24"/>
          <w:szCs w:val="24"/>
          <w:lang w:val="en-US" w:eastAsia="zh-CN" w:bidi="ar"/>
        </w:rPr>
        <w:t>CODcr</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300mg/L</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SS</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300mg/L</w:t>
      </w:r>
      <w:r>
        <w:rPr>
          <w:rFonts w:hint="eastAsia" w:ascii="Times New Roman" w:hAnsi="Times New Roman" w:eastAsia="宋体" w:cs="Times New Roman"/>
          <w:snapToGrid w:val="0"/>
          <w:color w:val="000000"/>
          <w:kern w:val="0"/>
          <w:sz w:val="24"/>
          <w:szCs w:val="24"/>
          <w:lang w:val="en-US" w:eastAsia="zh-CN" w:bidi="ar"/>
        </w:rPr>
        <w:t>、氨氮</w:t>
      </w:r>
      <w:r>
        <w:rPr>
          <w:rFonts w:hint="default" w:ascii="Times New Roman" w:hAnsi="Times New Roman" w:eastAsia="宋体" w:cs="Times New Roman"/>
          <w:snapToGrid w:val="0"/>
          <w:color w:val="000000"/>
          <w:kern w:val="0"/>
          <w:sz w:val="24"/>
          <w:szCs w:val="24"/>
          <w:lang w:val="en-US" w:eastAsia="zh-CN" w:bidi="ar"/>
        </w:rPr>
        <w:t>25 mg/L</w:t>
      </w:r>
      <w:r>
        <w:rPr>
          <w:rFonts w:hint="eastAsia" w:ascii="Times New Roman" w:hAnsi="Times New Roman" w:eastAsia="宋体" w:cs="Times New Roman"/>
          <w:snapToGrid w:val="0"/>
          <w:color w:val="000000"/>
          <w:kern w:val="0"/>
          <w:sz w:val="24"/>
          <w:szCs w:val="24"/>
          <w:lang w:val="en-US" w:eastAsia="zh-CN" w:bidi="ar"/>
        </w:rPr>
        <w:t>，则污染物量为</w:t>
      </w:r>
      <w:r>
        <w:rPr>
          <w:rFonts w:hint="default" w:ascii="Times New Roman" w:hAnsi="Times New Roman" w:eastAsia="宋体" w:cs="Times New Roman"/>
          <w:color w:val="000000"/>
          <w:kern w:val="0"/>
          <w:sz w:val="24"/>
          <w:szCs w:val="24"/>
          <w:lang w:val="en-US" w:eastAsia="zh-CN" w:bidi="ar"/>
        </w:rPr>
        <w:t>CODcr</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0.245 t/a</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SS</w:t>
      </w:r>
      <w:r>
        <w:rPr>
          <w:rFonts w:hint="eastAsia" w:ascii="Times New Roman" w:hAnsi="Times New Roman" w:eastAsia="宋体" w:cs="Times New Roman"/>
          <w:snapToGrid w:val="0"/>
          <w:color w:val="000000"/>
          <w:kern w:val="0"/>
          <w:sz w:val="24"/>
          <w:szCs w:val="24"/>
          <w:lang w:val="en-US" w:eastAsia="zh-CN" w:bidi="ar"/>
        </w:rPr>
        <w:t>：</w:t>
      </w:r>
      <w:r>
        <w:rPr>
          <w:rFonts w:hint="default" w:ascii="Times New Roman" w:hAnsi="Times New Roman" w:eastAsia="宋体" w:cs="Times New Roman"/>
          <w:snapToGrid w:val="0"/>
          <w:color w:val="000000"/>
          <w:kern w:val="0"/>
          <w:sz w:val="24"/>
          <w:szCs w:val="24"/>
          <w:lang w:val="en-US" w:eastAsia="zh-CN" w:bidi="ar"/>
        </w:rPr>
        <w:t>0.245 t/a</w:t>
      </w:r>
      <w:r>
        <w:rPr>
          <w:rFonts w:hint="eastAsia" w:ascii="Times New Roman" w:hAnsi="Times New Roman" w:eastAsia="宋体" w:cs="Times New Roman"/>
          <w:snapToGrid w:val="0"/>
          <w:color w:val="000000"/>
          <w:kern w:val="0"/>
          <w:sz w:val="24"/>
          <w:szCs w:val="24"/>
          <w:lang w:val="en-US" w:eastAsia="zh-CN" w:bidi="ar"/>
        </w:rPr>
        <w:t>、氨氮</w:t>
      </w:r>
      <w:r>
        <w:rPr>
          <w:rFonts w:hint="default" w:ascii="Times New Roman" w:hAnsi="Times New Roman" w:eastAsia="宋体" w:cs="Times New Roman"/>
          <w:snapToGrid w:val="0"/>
          <w:color w:val="000000"/>
          <w:kern w:val="0"/>
          <w:sz w:val="24"/>
          <w:szCs w:val="24"/>
          <w:lang w:val="en-US" w:eastAsia="zh-CN" w:bidi="ar"/>
        </w:rPr>
        <w:t>0.02 t/a</w:t>
      </w:r>
      <w:r>
        <w:rPr>
          <w:rFonts w:hint="eastAsia" w:ascii="Times New Roman" w:hAnsi="Times New Roman" w:eastAsia="宋体" w:cs="Times New Roman"/>
          <w:snapToGrid w:val="0"/>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排入化粪池（容积约</w:t>
      </w:r>
      <w:r>
        <w:rPr>
          <w:rFonts w:hint="default" w:ascii="Times New Roman" w:hAnsi="Times New Roman" w:eastAsia="宋体" w:cs="Times New Roman"/>
          <w:color w:val="000000"/>
          <w:kern w:val="0"/>
          <w:sz w:val="24"/>
          <w:szCs w:val="24"/>
          <w:lang w:val="en-US" w:eastAsia="zh-CN" w:bidi="ar"/>
        </w:rPr>
        <w:t>40m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宋体" w:hAnsi="宋体" w:eastAsia="宋体" w:cs="宋体"/>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定期清掏，堆沤腐熟、就地就近就农利用</w:t>
      </w:r>
      <w:r>
        <w:rPr>
          <w:rFonts w:hint="eastAsia" w:ascii="Times New Roman" w:hAnsi="Times New Roman" w:eastAsia="宋体" w:cs="Times New Roman"/>
          <w:color w:val="000000"/>
          <w:kern w:val="0"/>
          <w:sz w:val="24"/>
          <w:szCs w:val="24"/>
          <w:lang w:val="en-US" w:eastAsia="zh-CN" w:bidi="ar"/>
        </w:rPr>
        <w:t>。满足《农业农村部办公厅</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国家卫生健康委办公厅</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生态环境部办公厅关于印发</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农村厕所粪污无害化处理与资源化利用指南</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和</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农村厕所粪污处理及资源化利用典型模式</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的通知》（农办社</w:t>
      </w:r>
      <w:r>
        <w:rPr>
          <w:rFonts w:hint="default" w:ascii="Times New Roman" w:hAnsi="Times New Roman" w:eastAsia="宋体" w:cs="Times New Roman"/>
          <w:color w:val="000000"/>
          <w:kern w:val="0"/>
          <w:sz w:val="24"/>
          <w:szCs w:val="24"/>
          <w:lang w:val="en-US" w:eastAsia="zh-CN" w:bidi="ar"/>
        </w:rPr>
        <w:t>[2020]7</w:t>
      </w:r>
      <w:r>
        <w:rPr>
          <w:rFonts w:hint="eastAsia" w:ascii="Times New Roman" w:hAnsi="Times New Roman" w:eastAsia="宋体" w:cs="Times New Roman"/>
          <w:color w:val="000000"/>
          <w:kern w:val="0"/>
          <w:sz w:val="24"/>
          <w:szCs w:val="24"/>
          <w:lang w:val="en-US" w:eastAsia="zh-CN" w:bidi="ar"/>
        </w:rPr>
        <w:t>号）中关于水冲式厕所粪污分散处理利用的要求。</w:t>
      </w:r>
    </w:p>
    <w:p>
      <w:pPr>
        <w:keepNext w:val="0"/>
        <w:keepLines w:val="0"/>
        <w:widowControl/>
        <w:suppressLineNumbers w:val="0"/>
        <w:adjustRightInd w:val="0"/>
        <w:snapToGrid w:val="0"/>
        <w:spacing w:before="0" w:beforeAutospacing="0" w:after="0" w:afterAutospacing="0" w:line="500" w:lineRule="exact"/>
        <w:ind w:left="0" w:right="0"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color w:val="000000"/>
          <w:kern w:val="0"/>
          <w:sz w:val="24"/>
          <w:szCs w:val="24"/>
          <w:lang w:val="en-US" w:eastAsia="zh-CN" w:bidi="ar"/>
        </w:rPr>
        <w:t>因此，本项目</w:t>
      </w:r>
      <w:r>
        <w:rPr>
          <w:rFonts w:hint="eastAsia" w:ascii="Times New Roman" w:hAnsi="Times New Roman" w:eastAsia="宋体" w:cs="Times New Roman"/>
          <w:bCs/>
          <w:color w:val="000000"/>
          <w:kern w:val="0"/>
          <w:sz w:val="24"/>
          <w:szCs w:val="24"/>
          <w:lang w:val="en-US" w:eastAsia="zh-CN" w:bidi="ar"/>
        </w:rPr>
        <w:t>废水污染防治措施可行。</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6</w:t>
      </w:r>
      <w:r>
        <w:rPr>
          <w:rFonts w:hint="default" w:ascii="Times New Roman" w:hAnsi="Times New Roman" w:cs="Times New Roman"/>
          <w:color w:val="000000"/>
          <w:lang/>
        </w:rPr>
        <w:t xml:space="preserve">.2.3 </w:t>
      </w:r>
      <w:r>
        <w:rPr>
          <w:rFonts w:ascii="Times New Roman" w:hAnsi="Times New Roman" w:cs="Times New Roman"/>
          <w:color w:val="000000"/>
          <w:lang/>
        </w:rPr>
        <w:t>地下水污染防治措施</w:t>
      </w:r>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）防治原则</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本项目对地下水影响主要为</w:t>
      </w:r>
      <w:r>
        <w:rPr>
          <w:rFonts w:hint="eastAsia" w:ascii="宋体" w:hAnsi="宋体" w:eastAsia="宋体" w:cs="宋体"/>
          <w:color w:val="000000"/>
          <w:kern w:val="0"/>
          <w:sz w:val="24"/>
          <w:szCs w:val="24"/>
          <w:lang w:val="en-US" w:eastAsia="zh-CN" w:bidi="ar"/>
        </w:rPr>
        <w:t>尾矿浓缩池、循环水池、化粪池</w:t>
      </w:r>
      <w:r>
        <w:rPr>
          <w:rFonts w:hint="eastAsia" w:ascii="Times New Roman" w:hAnsi="Times New Roman" w:eastAsia="宋体" w:cs="Times New Roman"/>
          <w:color w:val="000000"/>
          <w:kern w:val="0"/>
          <w:sz w:val="24"/>
          <w:szCs w:val="24"/>
          <w:lang w:val="en-US" w:eastAsia="zh-CN" w:bidi="ar"/>
        </w:rPr>
        <w:t>发生渗漏时对附近地下水产生的污染影响。按地下水环境影响评价导则提出的</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源头控制、末端治理、污染监控、应急响应</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的地下水污染防治要求，结合本项目工程类型及污染源分布，提出以下防治原则：</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①</w:t>
      </w:r>
      <w:r>
        <w:rPr>
          <w:rFonts w:hint="eastAsia" w:ascii="Times New Roman" w:hAnsi="Times New Roman" w:eastAsia="宋体" w:cs="Times New Roman"/>
          <w:color w:val="000000"/>
          <w:kern w:val="0"/>
          <w:sz w:val="24"/>
          <w:szCs w:val="24"/>
          <w:lang w:val="en-US" w:eastAsia="zh-CN" w:bidi="ar"/>
        </w:rPr>
        <w:t>主动控制原则</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主动控制，即从源头控制措施，主要包括在管道、集排水设施采取相应防渗措施，降低和防止污染物跑、冒、滴、漏，将污染物泄漏的环境风险事故降到最低程度。</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②</w:t>
      </w:r>
      <w:r>
        <w:rPr>
          <w:rFonts w:hint="eastAsia" w:ascii="Times New Roman" w:hAnsi="Times New Roman" w:eastAsia="宋体" w:cs="Times New Roman"/>
          <w:color w:val="000000"/>
          <w:kern w:val="0"/>
          <w:sz w:val="24"/>
          <w:szCs w:val="24"/>
          <w:lang w:val="en-US" w:eastAsia="zh-CN" w:bidi="ar"/>
        </w:rPr>
        <w:t>被动控制原则</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被动控制，即末端控制措施，主要包括项目区内污染区地面的防渗措施和泄漏、渗漏污染物收集措施，即在污染区地面进行防渗处理，防止洒落地面的污染物渗入地下，并把滞留在地面的污染物收集起来。</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③</w:t>
      </w:r>
      <w:r>
        <w:rPr>
          <w:rFonts w:hint="eastAsia" w:ascii="Times New Roman" w:hAnsi="Times New Roman" w:eastAsia="宋体" w:cs="Times New Roman"/>
          <w:color w:val="000000"/>
          <w:kern w:val="0"/>
          <w:sz w:val="24"/>
          <w:szCs w:val="24"/>
          <w:lang w:val="en-US" w:eastAsia="zh-CN" w:bidi="ar"/>
        </w:rPr>
        <w:t>坚持</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可视化</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原则</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坚持</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可视化</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原则，在满足工程和防渗层结构标准要求的前提下，尽量在地表实施防渗措施，便于泄漏物质就地收集和及时发现破损的防渗层。</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④</w:t>
      </w:r>
      <w:r>
        <w:rPr>
          <w:rFonts w:hint="eastAsia" w:ascii="Times New Roman" w:hAnsi="Times New Roman" w:eastAsia="宋体" w:cs="Times New Roman"/>
          <w:color w:val="000000"/>
          <w:kern w:val="0"/>
          <w:sz w:val="24"/>
          <w:szCs w:val="24"/>
          <w:lang w:val="en-US" w:eastAsia="zh-CN" w:bidi="ar"/>
        </w:rPr>
        <w:t>工程措施与污染监控相结合的原则</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采用先进的防渗材料、技术和实施手段，最大限度的强化防渗防污能力；同时对厂区实施定期的地下水污染监控措施，及时发现污染，及时采取措施，及早消除不良影响。</w:t>
      </w:r>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）本项目拟采取的地下水防治措施</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b/>
          <w:bCs w:val="0"/>
          <w:color w:val="000000"/>
          <w:lang w:val="en-US"/>
        </w:rPr>
      </w:pP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b/>
          <w:bCs w:val="0"/>
          <w:color w:val="000000"/>
          <w:kern w:val="0"/>
          <w:sz w:val="24"/>
          <w:szCs w:val="24"/>
          <w:lang w:val="en-US" w:eastAsia="zh-CN" w:bidi="ar"/>
        </w:rPr>
        <w:instrText xml:space="preserve"> = 1 \* GB3 \* MERGEFORMAT </w:instrText>
      </w:r>
      <w:r>
        <w:rPr>
          <w:rFonts w:hint="default" w:ascii="Times New Roman" w:hAnsi="Times New Roman" w:eastAsia="宋体" w:cs="Times New Roman"/>
          <w:b/>
          <w:bCs w:val="0"/>
          <w:color w:val="000000"/>
          <w:kern w:val="0"/>
          <w:sz w:val="24"/>
          <w:szCs w:val="24"/>
          <w:lang w:val="en-US" w:eastAsia="zh-CN" w:bidi="ar"/>
        </w:rPr>
        <w:fldChar w:fldCharType="separate"/>
      </w:r>
      <w:r>
        <w:rPr>
          <w:rFonts w:hint="eastAsia" w:ascii="宋体" w:hAnsi="宋体" w:eastAsia="宋体" w:cs="宋体"/>
          <w:b/>
          <w:bCs w:val="0"/>
          <w:color w:val="000000"/>
          <w:kern w:val="0"/>
          <w:sz w:val="24"/>
          <w:szCs w:val="24"/>
          <w:lang w:val="en-US" w:eastAsia="zh-CN" w:bidi="ar"/>
        </w:rPr>
        <w:t>①</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b/>
          <w:bCs w:val="0"/>
          <w:color w:val="000000"/>
          <w:kern w:val="0"/>
          <w:sz w:val="24"/>
          <w:szCs w:val="24"/>
          <w:lang w:val="en-US" w:eastAsia="zh-CN" w:bidi="ar"/>
        </w:rPr>
        <w:t>分区防治</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参照《石油化工工程防渗技术规范（</w:t>
      </w:r>
      <w:r>
        <w:rPr>
          <w:rFonts w:hint="default" w:ascii="Times New Roman" w:hAnsi="Times New Roman" w:eastAsia="宋体" w:cs="Times New Roman"/>
          <w:color w:val="000000"/>
          <w:kern w:val="0"/>
          <w:sz w:val="24"/>
          <w:szCs w:val="24"/>
          <w:lang w:val="en-US" w:eastAsia="zh-CN" w:bidi="ar"/>
        </w:rPr>
        <w:t>GB/T50934-2013</w:t>
      </w:r>
      <w:r>
        <w:rPr>
          <w:rFonts w:hint="eastAsia" w:ascii="Times New Roman" w:hAnsi="Times New Roman" w:eastAsia="宋体" w:cs="Times New Roman"/>
          <w:color w:val="000000"/>
          <w:kern w:val="0"/>
          <w:sz w:val="24"/>
          <w:szCs w:val="24"/>
          <w:lang w:val="en-US" w:eastAsia="zh-CN" w:bidi="ar"/>
        </w:rPr>
        <w:t>）》，将本项目区分为一般污染防治区和简单防渗区进行地面硬化。</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重点污染防治区防渗层的防渗功能应不低于</w:t>
      </w:r>
      <w:r>
        <w:rPr>
          <w:rFonts w:hint="default" w:ascii="Times New Roman" w:hAnsi="Times New Roman" w:eastAsia="宋体" w:cs="Times New Roman"/>
          <w:color w:val="000000"/>
          <w:kern w:val="0"/>
          <w:sz w:val="24"/>
          <w:szCs w:val="24"/>
          <w:lang w:val="en-US" w:eastAsia="zh-CN" w:bidi="ar"/>
        </w:rPr>
        <w:t>6.0m</w:t>
      </w:r>
      <w:r>
        <w:rPr>
          <w:rFonts w:hint="eastAsia" w:ascii="Times New Roman" w:hAnsi="Times New Roman" w:eastAsia="宋体" w:cs="Times New Roman"/>
          <w:color w:val="000000"/>
          <w:kern w:val="0"/>
          <w:sz w:val="24"/>
          <w:szCs w:val="24"/>
          <w:lang w:val="en-US" w:eastAsia="zh-CN" w:bidi="ar"/>
        </w:rPr>
        <w:t>厚渗透系数为</w:t>
      </w:r>
      <w:r>
        <w:rPr>
          <w:rFonts w:hint="default" w:ascii="Times New Roman" w:hAnsi="Times New Roman" w:eastAsia="宋体" w:cs="Times New Roman"/>
          <w:color w:val="000000"/>
          <w:kern w:val="0"/>
          <w:sz w:val="24"/>
          <w:szCs w:val="24"/>
          <w:lang w:val="en-US" w:eastAsia="zh-CN" w:bidi="ar"/>
        </w:rPr>
        <w:t>1.0×10</w:t>
      </w:r>
      <w:r>
        <w:rPr>
          <w:rFonts w:hint="default" w:ascii="Times New Roman" w:hAnsi="Times New Roman" w:eastAsia="宋体" w:cs="Times New Roman"/>
          <w:color w:val="000000"/>
          <w:kern w:val="0"/>
          <w:sz w:val="24"/>
          <w:szCs w:val="24"/>
          <w:vertAlign w:val="superscript"/>
          <w:lang w:val="en-US" w:eastAsia="zh-CN" w:bidi="ar"/>
        </w:rPr>
        <w:t>-7</w:t>
      </w:r>
      <w:r>
        <w:rPr>
          <w:rFonts w:hint="default" w:ascii="Times New Roman" w:hAnsi="Times New Roman" w:eastAsia="宋体" w:cs="Times New Roman"/>
          <w:color w:val="000000"/>
          <w:kern w:val="0"/>
          <w:sz w:val="24"/>
          <w:szCs w:val="24"/>
          <w:lang w:val="en-US" w:eastAsia="zh-CN" w:bidi="ar"/>
        </w:rPr>
        <w:t>cm/s</w:t>
      </w:r>
      <w:r>
        <w:rPr>
          <w:rFonts w:hint="eastAsia" w:ascii="Times New Roman" w:hAnsi="Times New Roman" w:eastAsia="宋体" w:cs="Times New Roman"/>
          <w:color w:val="000000"/>
          <w:kern w:val="0"/>
          <w:sz w:val="24"/>
          <w:szCs w:val="24"/>
          <w:lang w:val="en-US" w:eastAsia="zh-CN" w:bidi="ar"/>
        </w:rPr>
        <w:t>的粘土层或不低于</w:t>
      </w:r>
      <w:r>
        <w:rPr>
          <w:rFonts w:hint="default" w:ascii="Times New Roman" w:hAnsi="Times New Roman" w:eastAsia="宋体" w:cs="Times New Roman"/>
          <w:color w:val="000000"/>
          <w:kern w:val="0"/>
          <w:sz w:val="24"/>
          <w:szCs w:val="24"/>
          <w:lang w:val="en-US" w:eastAsia="zh-CN" w:bidi="ar"/>
        </w:rPr>
        <w:t>250mm</w:t>
      </w:r>
      <w:r>
        <w:rPr>
          <w:rFonts w:hint="eastAsia" w:ascii="Times New Roman" w:hAnsi="Times New Roman" w:eastAsia="宋体" w:cs="Times New Roman"/>
          <w:color w:val="000000"/>
          <w:kern w:val="0"/>
          <w:sz w:val="24"/>
          <w:szCs w:val="24"/>
          <w:lang w:val="en-US" w:eastAsia="zh-CN" w:bidi="ar"/>
        </w:rPr>
        <w:t>渗透系数为</w:t>
      </w:r>
      <w:r>
        <w:rPr>
          <w:rFonts w:hint="default" w:ascii="Times New Roman" w:hAnsi="Times New Roman" w:eastAsia="宋体" w:cs="Times New Roman"/>
          <w:color w:val="000000"/>
          <w:kern w:val="0"/>
          <w:sz w:val="24"/>
          <w:szCs w:val="24"/>
          <w:lang w:val="en-US" w:eastAsia="zh-CN" w:bidi="ar"/>
        </w:rPr>
        <w:t>1.0×10</w:t>
      </w:r>
      <w:r>
        <w:rPr>
          <w:rFonts w:hint="default" w:ascii="Times New Roman" w:hAnsi="Times New Roman" w:eastAsia="宋体" w:cs="Times New Roman"/>
          <w:color w:val="000000"/>
          <w:kern w:val="0"/>
          <w:sz w:val="24"/>
          <w:szCs w:val="24"/>
          <w:vertAlign w:val="superscript"/>
          <w:lang w:val="en-US" w:eastAsia="zh-CN" w:bidi="ar"/>
        </w:rPr>
        <w:t>-10</w:t>
      </w:r>
      <w:r>
        <w:rPr>
          <w:rFonts w:hint="default" w:ascii="Times New Roman" w:hAnsi="Times New Roman" w:eastAsia="宋体" w:cs="Times New Roman"/>
          <w:color w:val="000000"/>
          <w:kern w:val="0"/>
          <w:sz w:val="24"/>
          <w:szCs w:val="24"/>
          <w:lang w:val="en-US" w:eastAsia="zh-CN" w:bidi="ar"/>
        </w:rPr>
        <w:t>cm/s</w:t>
      </w:r>
      <w:r>
        <w:rPr>
          <w:rFonts w:hint="eastAsia" w:ascii="Times New Roman" w:hAnsi="Times New Roman" w:eastAsia="宋体" w:cs="Times New Roman"/>
          <w:color w:val="000000"/>
          <w:kern w:val="0"/>
          <w:sz w:val="24"/>
          <w:szCs w:val="24"/>
          <w:lang w:val="en-US" w:eastAsia="zh-CN" w:bidi="ar"/>
        </w:rPr>
        <w:t>防渗材料的防渗功能。一般污染防治区防渗层不应低于</w:t>
      </w:r>
      <w:r>
        <w:rPr>
          <w:rFonts w:hint="default" w:ascii="Times New Roman" w:hAnsi="Times New Roman" w:eastAsia="宋体" w:cs="Times New Roman"/>
          <w:color w:val="000000"/>
          <w:kern w:val="0"/>
          <w:sz w:val="24"/>
          <w:szCs w:val="24"/>
          <w:lang w:val="en-US" w:eastAsia="zh-CN" w:bidi="ar"/>
        </w:rPr>
        <w:t>1.5m</w:t>
      </w:r>
      <w:r>
        <w:rPr>
          <w:rFonts w:hint="eastAsia" w:ascii="Times New Roman" w:hAnsi="Times New Roman" w:eastAsia="宋体" w:cs="Times New Roman"/>
          <w:color w:val="000000"/>
          <w:kern w:val="0"/>
          <w:sz w:val="24"/>
          <w:szCs w:val="24"/>
          <w:lang w:val="en-US" w:eastAsia="zh-CN" w:bidi="ar"/>
        </w:rPr>
        <w:t>厚渗透系数为</w:t>
      </w:r>
      <w:r>
        <w:rPr>
          <w:rFonts w:hint="default" w:ascii="Times New Roman" w:hAnsi="Times New Roman" w:eastAsia="宋体" w:cs="Times New Roman"/>
          <w:color w:val="000000"/>
          <w:kern w:val="0"/>
          <w:sz w:val="24"/>
          <w:szCs w:val="24"/>
          <w:lang w:val="en-US" w:eastAsia="zh-CN" w:bidi="ar"/>
        </w:rPr>
        <w:t>1.0×10</w:t>
      </w:r>
      <w:r>
        <w:rPr>
          <w:rFonts w:hint="default" w:ascii="Times New Roman" w:hAnsi="Times New Roman" w:eastAsia="宋体" w:cs="Times New Roman"/>
          <w:color w:val="000000"/>
          <w:kern w:val="0"/>
          <w:sz w:val="24"/>
          <w:szCs w:val="24"/>
          <w:vertAlign w:val="superscript"/>
          <w:lang w:val="en-US" w:eastAsia="zh-CN" w:bidi="ar"/>
        </w:rPr>
        <w:t>-7</w:t>
      </w:r>
      <w:r>
        <w:rPr>
          <w:rFonts w:hint="default" w:ascii="Times New Roman" w:hAnsi="Times New Roman" w:eastAsia="宋体" w:cs="Times New Roman"/>
          <w:color w:val="000000"/>
          <w:kern w:val="0"/>
          <w:sz w:val="24"/>
          <w:szCs w:val="24"/>
          <w:lang w:val="en-US" w:eastAsia="zh-CN" w:bidi="ar"/>
        </w:rPr>
        <w:t>cm/s</w:t>
      </w:r>
      <w:r>
        <w:rPr>
          <w:rFonts w:hint="eastAsia" w:ascii="Times New Roman" w:hAnsi="Times New Roman" w:eastAsia="宋体" w:cs="Times New Roman"/>
          <w:color w:val="000000"/>
          <w:kern w:val="0"/>
          <w:sz w:val="24"/>
          <w:szCs w:val="24"/>
          <w:lang w:val="en-US" w:eastAsia="zh-CN" w:bidi="ar"/>
        </w:rPr>
        <w:t>的粘土层的防渗性能，采用混凝土防渗层时混凝土的强度等级不应低于</w:t>
      </w:r>
      <w:r>
        <w:rPr>
          <w:rFonts w:hint="default" w:ascii="Times New Roman" w:hAnsi="Times New Roman" w:eastAsia="宋体" w:cs="Times New Roman"/>
          <w:color w:val="000000"/>
          <w:kern w:val="0"/>
          <w:sz w:val="24"/>
          <w:szCs w:val="24"/>
          <w:lang w:val="en-US" w:eastAsia="zh-CN" w:bidi="ar"/>
        </w:rPr>
        <w:t>C25</w:t>
      </w:r>
      <w:r>
        <w:rPr>
          <w:rFonts w:hint="eastAsia" w:ascii="Times New Roman" w:hAnsi="Times New Roman" w:eastAsia="宋体" w:cs="Times New Roman"/>
          <w:color w:val="000000"/>
          <w:kern w:val="0"/>
          <w:sz w:val="24"/>
          <w:szCs w:val="24"/>
          <w:lang w:val="en-US" w:eastAsia="zh-CN" w:bidi="ar"/>
        </w:rPr>
        <w:t>，抗渗等级不应低于</w:t>
      </w:r>
      <w:r>
        <w:rPr>
          <w:rFonts w:hint="default" w:ascii="Times New Roman" w:hAnsi="Times New Roman" w:eastAsia="宋体" w:cs="Times New Roman"/>
          <w:color w:val="000000"/>
          <w:kern w:val="0"/>
          <w:sz w:val="24"/>
          <w:szCs w:val="24"/>
          <w:lang w:val="en-US" w:eastAsia="zh-CN" w:bidi="ar"/>
        </w:rPr>
        <w:t>P6</w:t>
      </w:r>
      <w:r>
        <w:rPr>
          <w:rFonts w:hint="eastAsia" w:ascii="Times New Roman" w:hAnsi="Times New Roman" w:eastAsia="宋体" w:cs="Times New Roman"/>
          <w:color w:val="000000"/>
          <w:kern w:val="0"/>
          <w:sz w:val="24"/>
          <w:szCs w:val="24"/>
          <w:lang w:val="en-US" w:eastAsia="zh-CN" w:bidi="ar"/>
        </w:rPr>
        <w:t>，厚度不应小于</w:t>
      </w:r>
      <w:r>
        <w:rPr>
          <w:rFonts w:hint="default" w:ascii="Times New Roman" w:hAnsi="Times New Roman" w:eastAsia="宋体" w:cs="Times New Roman"/>
          <w:color w:val="000000"/>
          <w:kern w:val="0"/>
          <w:sz w:val="24"/>
          <w:szCs w:val="24"/>
          <w:lang w:val="en-US" w:eastAsia="zh-CN" w:bidi="ar"/>
        </w:rPr>
        <w:t>100mm</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autoSpaceDE w:val="0"/>
        <w:autoSpaceDN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除重点污染防治区和一般污染防治区之外的区域确定为简单防渗区，可采取非铺砌地坪或普通混凝土地坪，不设置专门的防渗层。</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本项目厂区各防渗分区设施的具体防渗措施见表</w:t>
      </w:r>
      <w:r>
        <w:rPr>
          <w:rFonts w:hint="default" w:ascii="Times New Roman" w:hAnsi="Times New Roman" w:eastAsia="宋体" w:cs="Times New Roman"/>
          <w:color w:val="000000"/>
          <w:kern w:val="0"/>
          <w:sz w:val="24"/>
          <w:szCs w:val="24"/>
          <w:lang w:val="en-US" w:eastAsia="zh-CN" w:bidi="ar"/>
        </w:rPr>
        <w:t>6.2-2</w:t>
      </w:r>
      <w:r>
        <w:rPr>
          <w:rFonts w:hint="eastAsia" w:ascii="Times New Roman" w:hAnsi="Times New Roman" w:eastAsia="宋体" w:cs="Times New Roman"/>
          <w:color w:val="000000"/>
          <w:kern w:val="0"/>
          <w:sz w:val="24"/>
          <w:szCs w:val="24"/>
          <w:lang w:val="en-US" w:eastAsia="zh-CN" w:bidi="ar"/>
        </w:rPr>
        <w:t>。本项目分区防渗示意图见图</w:t>
      </w:r>
      <w:r>
        <w:rPr>
          <w:rFonts w:hint="default" w:ascii="Times New Roman" w:hAnsi="Times New Roman" w:eastAsia="宋体" w:cs="Times New Roman"/>
          <w:color w:val="000000"/>
          <w:kern w:val="0"/>
          <w:sz w:val="24"/>
          <w:szCs w:val="24"/>
          <w:lang w:val="en-US" w:eastAsia="zh-CN" w:bidi="ar"/>
        </w:rPr>
        <w:t>6-1</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360" w:lineRule="auto"/>
        <w:ind w:left="0" w:right="6"/>
        <w:jc w:val="center"/>
        <w:rPr>
          <w:rFonts w:hint="default" w:ascii="Times New Roman" w:hAnsi="Times New Roman" w:eastAsia="黑体" w:cs="Times New Roman"/>
          <w:color w:val="000000"/>
          <w:lang w:val="en-US"/>
        </w:rPr>
      </w:pPr>
      <w:r>
        <w:rPr>
          <w:rFonts w:hint="default" w:ascii="Times New Roman" w:hAnsi="Times New Roman" w:eastAsia="宋体" w:cs="Times New Roman"/>
          <w:color w:val="000000"/>
          <w:sz w:val="24"/>
          <w:szCs w:val="24"/>
          <w:lang w:val="en-US" w:eastAsia="zh-CN" w:bidi="ar"/>
        </w:rPr>
        <w:br w:type="page"/>
      </w:r>
      <w:r>
        <w:rPr>
          <w:rFonts w:hint="eastAsia" w:ascii="宋体" w:hAnsi="宋体" w:eastAsia="宋体" w:cs="宋体"/>
          <w:kern w:val="0"/>
          <w:sz w:val="24"/>
          <w:szCs w:val="24"/>
          <w:lang w:val="en-US" w:eastAsia="zh-CN" w:bidi="ar"/>
        </w:rPr>
        <w:drawing>
          <wp:anchor distT="0" distB="0" distL="114300" distR="114300" simplePos="0" relativeHeight="251734016" behindDoc="0" locked="0" layoutInCell="1" allowOverlap="1">
            <wp:simplePos x="0" y="0"/>
            <wp:positionH relativeFrom="column">
              <wp:posOffset>-346710</wp:posOffset>
            </wp:positionH>
            <wp:positionV relativeFrom="paragraph">
              <wp:posOffset>-60325</wp:posOffset>
            </wp:positionV>
            <wp:extent cx="6115050" cy="8196580"/>
            <wp:effectExtent l="0" t="0" r="0" b="13970"/>
            <wp:wrapTopAndBottom/>
            <wp:docPr id="2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8"/>
                    <pic:cNvPicPr>
                      <a:picLocks noChangeAspect="1"/>
                    </pic:cNvPicPr>
                  </pic:nvPicPr>
                  <pic:blipFill>
                    <a:blip r:embed="rId81"/>
                    <a:stretch>
                      <a:fillRect/>
                    </a:stretch>
                  </pic:blipFill>
                  <pic:spPr>
                    <a:xfrm>
                      <a:off x="0" y="0"/>
                      <a:ext cx="6115050" cy="8196580"/>
                    </a:xfrm>
                    <a:prstGeom prst="rect">
                      <a:avLst/>
                    </a:prstGeom>
                    <a:noFill/>
                    <a:ln>
                      <a:noFill/>
                    </a:ln>
                  </pic:spPr>
                </pic:pic>
              </a:graphicData>
            </a:graphic>
          </wp:anchor>
        </w:drawing>
      </w: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6-1  </w:t>
      </w:r>
      <w:r>
        <w:rPr>
          <w:rFonts w:hint="eastAsia" w:ascii="Times New Roman" w:hAnsi="Times New Roman" w:eastAsia="黑体" w:cs="Times New Roman"/>
          <w:color w:val="000000"/>
          <w:kern w:val="0"/>
          <w:sz w:val="24"/>
          <w:szCs w:val="24"/>
          <w:lang w:val="en-US" w:eastAsia="zh-CN" w:bidi="ar"/>
        </w:rPr>
        <w:t>本项目分区防渗示意图</w:t>
      </w:r>
    </w:p>
    <w:p>
      <w:pPr>
        <w:keepNext w:val="0"/>
        <w:keepLines w:val="0"/>
        <w:widowControl/>
        <w:suppressLineNumbers w:val="0"/>
        <w:spacing w:before="0" w:beforeAutospacing="0" w:after="0" w:afterAutospacing="0" w:line="500" w:lineRule="exact"/>
        <w:ind w:left="0" w:right="6"/>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6.2-2  </w:t>
      </w:r>
      <w:r>
        <w:rPr>
          <w:rFonts w:hint="eastAsia" w:ascii="Times New Roman" w:hAnsi="Times New Roman" w:eastAsia="黑体" w:cs="Times New Roman"/>
          <w:color w:val="000000"/>
          <w:kern w:val="0"/>
          <w:sz w:val="24"/>
          <w:szCs w:val="24"/>
          <w:lang w:val="en-US" w:eastAsia="zh-CN" w:bidi="ar"/>
        </w:rPr>
        <w:t>本项目场地防渗措施表</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007"/>
        <w:gridCol w:w="1292"/>
        <w:gridCol w:w="1496"/>
        <w:gridCol w:w="1278"/>
        <w:gridCol w:w="3654"/>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7" w:hRule="atLeast"/>
        </w:trPr>
        <w:tc>
          <w:tcPr>
            <w:tcW w:w="577" w:type="pct"/>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序号</w:t>
            </w:r>
          </w:p>
        </w:tc>
        <w:tc>
          <w:tcPr>
            <w:tcW w:w="740"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防渗分区</w:t>
            </w:r>
          </w:p>
        </w:tc>
        <w:tc>
          <w:tcPr>
            <w:tcW w:w="857"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设施名称</w:t>
            </w:r>
          </w:p>
        </w:tc>
        <w:tc>
          <w:tcPr>
            <w:tcW w:w="732"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防渗区域及部位</w:t>
            </w:r>
          </w:p>
        </w:tc>
        <w:tc>
          <w:tcPr>
            <w:tcW w:w="2093" w:type="pct"/>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防渗措施</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740" w:type="pct"/>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重点防渗区</w:t>
            </w:r>
          </w:p>
        </w:tc>
        <w:tc>
          <w:tcPr>
            <w:tcW w:w="85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尾矿浓缩池</w:t>
            </w:r>
          </w:p>
        </w:tc>
        <w:tc>
          <w:tcPr>
            <w:tcW w:w="73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池底及池壁</w:t>
            </w:r>
          </w:p>
        </w:tc>
        <w:tc>
          <w:tcPr>
            <w:tcW w:w="2093" w:type="pct"/>
            <w:vMerge w:val="restar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4"/>
                <w:bdr w:val="none" w:color="auto" w:sz="0" w:space="0"/>
              </w:rPr>
              <w:t>采用抗渗混凝土，结构厚度不应小于</w:t>
            </w:r>
            <w:r>
              <w:rPr>
                <w:rFonts w:hint="default" w:ascii="Times New Roman" w:hAnsi="Times New Roman" w:cs="Times New Roman"/>
                <w:color w:val="000000"/>
                <w:sz w:val="21"/>
                <w:szCs w:val="24"/>
                <w:bdr w:val="none" w:color="auto" w:sz="0" w:space="0"/>
                <w:lang w:val="en-US"/>
              </w:rPr>
              <w:t>250mm</w:t>
            </w:r>
            <w:r>
              <w:rPr>
                <w:rFonts w:ascii="Times New Roman" w:hAnsi="Times New Roman" w:cs="Times New Roman"/>
                <w:color w:val="000000"/>
                <w:sz w:val="21"/>
                <w:szCs w:val="24"/>
                <w:bdr w:val="none" w:color="auto" w:sz="0" w:space="0"/>
              </w:rPr>
              <w:t>，混凝土的抗渗等级不应低于</w:t>
            </w:r>
            <w:r>
              <w:rPr>
                <w:rFonts w:hint="default" w:ascii="Times New Roman" w:hAnsi="Times New Roman" w:cs="Times New Roman"/>
                <w:color w:val="000000"/>
                <w:sz w:val="21"/>
                <w:szCs w:val="24"/>
                <w:bdr w:val="none" w:color="auto" w:sz="0" w:space="0"/>
                <w:lang w:val="en-US"/>
              </w:rPr>
              <w:t>P8</w:t>
            </w:r>
            <w:r>
              <w:rPr>
                <w:rFonts w:ascii="Times New Roman" w:hAnsi="Times New Roman" w:cs="Times New Roman"/>
                <w:color w:val="000000"/>
                <w:sz w:val="21"/>
                <w:szCs w:val="24"/>
                <w:bdr w:val="none" w:color="auto" w:sz="0" w:space="0"/>
              </w:rPr>
              <w:t>，防渗性能不低于</w:t>
            </w:r>
            <w:r>
              <w:rPr>
                <w:rFonts w:hint="default" w:ascii="Times New Roman" w:hAnsi="Times New Roman" w:cs="Times New Roman"/>
                <w:color w:val="000000"/>
                <w:sz w:val="21"/>
                <w:szCs w:val="24"/>
                <w:bdr w:val="none" w:color="auto" w:sz="0" w:space="0"/>
                <w:lang w:val="en-US"/>
              </w:rPr>
              <w:t>6m</w:t>
            </w:r>
            <w:r>
              <w:rPr>
                <w:rFonts w:ascii="Times New Roman" w:hAnsi="Times New Roman" w:cs="Times New Roman"/>
                <w:color w:val="000000"/>
                <w:sz w:val="21"/>
                <w:szCs w:val="24"/>
                <w:bdr w:val="none" w:color="auto" w:sz="0" w:space="0"/>
              </w:rPr>
              <w:t>厚渗透系数为</w:t>
            </w:r>
            <w:r>
              <w:rPr>
                <w:rFonts w:hint="default" w:ascii="Times New Roman" w:hAnsi="Times New Roman" w:cs="Times New Roman"/>
                <w:color w:val="000000"/>
                <w:sz w:val="21"/>
                <w:szCs w:val="24"/>
                <w:bdr w:val="none" w:color="auto" w:sz="0" w:space="0"/>
                <w:lang w:val="en-US"/>
              </w:rPr>
              <w:t>1.0×10</w:t>
            </w:r>
            <w:r>
              <w:rPr>
                <w:rFonts w:hint="default" w:ascii="Times New Roman" w:hAnsi="Times New Roman" w:cs="Times New Roman"/>
                <w:color w:val="000000"/>
                <w:sz w:val="21"/>
                <w:szCs w:val="24"/>
                <w:bdr w:val="none" w:color="auto" w:sz="0" w:space="0"/>
                <w:vertAlign w:val="superscript"/>
                <w:lang w:val="en-US"/>
              </w:rPr>
              <w:t>-7</w:t>
            </w:r>
            <w:r>
              <w:rPr>
                <w:rFonts w:hint="default" w:ascii="Times New Roman" w:hAnsi="Times New Roman" w:cs="Times New Roman"/>
                <w:color w:val="000000"/>
                <w:sz w:val="21"/>
                <w:szCs w:val="24"/>
                <w:bdr w:val="none" w:color="auto" w:sz="0" w:space="0"/>
                <w:lang w:val="en-US"/>
              </w:rPr>
              <w:t>cm/s</w:t>
            </w:r>
            <w:r>
              <w:rPr>
                <w:rFonts w:ascii="Times New Roman" w:hAnsi="Times New Roman" w:cs="Times New Roman"/>
                <w:color w:val="000000"/>
                <w:sz w:val="21"/>
                <w:szCs w:val="24"/>
                <w:bdr w:val="none" w:color="auto" w:sz="0" w:space="0"/>
              </w:rPr>
              <w:t>的粘土层。并设缓坡或围堰。</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p>
        </w:tc>
        <w:tc>
          <w:tcPr>
            <w:tcW w:w="74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85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循环水池</w:t>
            </w:r>
          </w:p>
        </w:tc>
        <w:tc>
          <w:tcPr>
            <w:tcW w:w="73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池底及池壁</w:t>
            </w:r>
          </w:p>
        </w:tc>
        <w:tc>
          <w:tcPr>
            <w:tcW w:w="2093"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w:t>
            </w:r>
          </w:p>
        </w:tc>
        <w:tc>
          <w:tcPr>
            <w:tcW w:w="74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85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化粪池</w:t>
            </w:r>
          </w:p>
        </w:tc>
        <w:tc>
          <w:tcPr>
            <w:tcW w:w="73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池底及池壁</w:t>
            </w:r>
          </w:p>
        </w:tc>
        <w:tc>
          <w:tcPr>
            <w:tcW w:w="2093"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w:t>
            </w:r>
          </w:p>
        </w:tc>
        <w:tc>
          <w:tcPr>
            <w:tcW w:w="74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85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事故池</w:t>
            </w:r>
          </w:p>
        </w:tc>
        <w:tc>
          <w:tcPr>
            <w:tcW w:w="73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池底及池壁</w:t>
            </w:r>
          </w:p>
        </w:tc>
        <w:tc>
          <w:tcPr>
            <w:tcW w:w="2093"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w:t>
            </w:r>
          </w:p>
        </w:tc>
        <w:tc>
          <w:tcPr>
            <w:tcW w:w="74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85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磨矿车间</w:t>
            </w:r>
          </w:p>
        </w:tc>
        <w:tc>
          <w:tcPr>
            <w:tcW w:w="73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地面</w:t>
            </w:r>
          </w:p>
        </w:tc>
        <w:tc>
          <w:tcPr>
            <w:tcW w:w="2093"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w:t>
            </w:r>
          </w:p>
        </w:tc>
        <w:tc>
          <w:tcPr>
            <w:tcW w:w="74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85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浮选车间</w:t>
            </w:r>
          </w:p>
        </w:tc>
        <w:tc>
          <w:tcPr>
            <w:tcW w:w="73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地面</w:t>
            </w:r>
          </w:p>
        </w:tc>
        <w:tc>
          <w:tcPr>
            <w:tcW w:w="2093"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w:t>
            </w:r>
          </w:p>
        </w:tc>
        <w:tc>
          <w:tcPr>
            <w:tcW w:w="74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85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过滤车间</w:t>
            </w:r>
          </w:p>
        </w:tc>
        <w:tc>
          <w:tcPr>
            <w:tcW w:w="73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地面</w:t>
            </w:r>
          </w:p>
        </w:tc>
        <w:tc>
          <w:tcPr>
            <w:tcW w:w="2093"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w:t>
            </w:r>
          </w:p>
        </w:tc>
        <w:tc>
          <w:tcPr>
            <w:tcW w:w="74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85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危废暂存间</w:t>
            </w:r>
          </w:p>
        </w:tc>
        <w:tc>
          <w:tcPr>
            <w:tcW w:w="73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地面</w:t>
            </w:r>
          </w:p>
        </w:tc>
        <w:tc>
          <w:tcPr>
            <w:tcW w:w="2093"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9</w:t>
            </w:r>
          </w:p>
        </w:tc>
        <w:tc>
          <w:tcPr>
            <w:tcW w:w="740" w:type="pct"/>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85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药剂车间</w:t>
            </w:r>
          </w:p>
        </w:tc>
        <w:tc>
          <w:tcPr>
            <w:tcW w:w="73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地面</w:t>
            </w:r>
          </w:p>
        </w:tc>
        <w:tc>
          <w:tcPr>
            <w:tcW w:w="2093" w:type="pct"/>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10</w:t>
            </w:r>
          </w:p>
        </w:tc>
        <w:tc>
          <w:tcPr>
            <w:tcW w:w="74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一般防渗区</w:t>
            </w:r>
          </w:p>
        </w:tc>
        <w:tc>
          <w:tcPr>
            <w:tcW w:w="857"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材料库</w:t>
            </w:r>
          </w:p>
        </w:tc>
        <w:tc>
          <w:tcPr>
            <w:tcW w:w="732"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地面</w:t>
            </w:r>
          </w:p>
        </w:tc>
        <w:tc>
          <w:tcPr>
            <w:tcW w:w="2093"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铺设抗渗混凝土，抗渗等级不应低于</w:t>
            </w:r>
            <w:r>
              <w:rPr>
                <w:rFonts w:hint="default" w:ascii="Times New Roman" w:hAnsi="Times New Roman" w:cs="Times New Roman"/>
                <w:color w:val="000000"/>
                <w:sz w:val="21"/>
                <w:szCs w:val="21"/>
                <w:bdr w:val="none" w:color="auto" w:sz="0" w:space="0"/>
                <w:lang w:val="en-US"/>
              </w:rPr>
              <w:t>P6</w:t>
            </w:r>
            <w:r>
              <w:rPr>
                <w:rFonts w:ascii="Times New Roman" w:hAnsi="Times New Roman" w:cs="Times New Roman"/>
                <w:color w:val="000000"/>
                <w:sz w:val="21"/>
                <w:szCs w:val="21"/>
                <w:bdr w:val="none" w:color="auto" w:sz="0" w:space="0"/>
              </w:rPr>
              <w:t>，防渗性能不低于</w:t>
            </w:r>
            <w:r>
              <w:rPr>
                <w:rFonts w:hint="default" w:ascii="Times New Roman" w:hAnsi="Times New Roman" w:cs="Times New Roman"/>
                <w:color w:val="000000"/>
                <w:sz w:val="21"/>
                <w:szCs w:val="21"/>
                <w:bdr w:val="none" w:color="auto" w:sz="0" w:space="0"/>
                <w:lang w:val="en-US"/>
              </w:rPr>
              <w:t>1.5m</w:t>
            </w:r>
            <w:r>
              <w:rPr>
                <w:rFonts w:ascii="Times New Roman" w:hAnsi="Times New Roman" w:cs="Times New Roman"/>
                <w:color w:val="000000"/>
                <w:sz w:val="21"/>
                <w:szCs w:val="21"/>
                <w:bdr w:val="none" w:color="auto" w:sz="0" w:space="0"/>
              </w:rPr>
              <w:t>厚渗透系数为</w:t>
            </w:r>
            <w:r>
              <w:rPr>
                <w:rFonts w:hint="default" w:ascii="Times New Roman" w:hAnsi="Times New Roman" w:cs="Times New Roman"/>
                <w:color w:val="000000"/>
                <w:sz w:val="21"/>
                <w:szCs w:val="21"/>
                <w:bdr w:val="none" w:color="auto" w:sz="0" w:space="0"/>
                <w:lang w:val="en-US"/>
              </w:rPr>
              <w:t>1.0×10</w:t>
            </w:r>
            <w:r>
              <w:rPr>
                <w:rFonts w:hint="default" w:ascii="Times New Roman" w:hAnsi="Times New Roman" w:cs="Times New Roman"/>
                <w:color w:val="000000"/>
                <w:sz w:val="21"/>
                <w:szCs w:val="21"/>
                <w:bdr w:val="none" w:color="auto" w:sz="0" w:space="0"/>
                <w:vertAlign w:val="superscript"/>
                <w:lang w:val="en-US"/>
              </w:rPr>
              <w:t>-7</w:t>
            </w:r>
            <w:r>
              <w:rPr>
                <w:rFonts w:hint="default" w:ascii="Times New Roman" w:hAnsi="Times New Roman" w:cs="Times New Roman"/>
                <w:color w:val="000000"/>
                <w:sz w:val="21"/>
                <w:szCs w:val="21"/>
                <w:bdr w:val="none" w:color="auto" w:sz="0" w:space="0"/>
                <w:lang w:val="en-US"/>
              </w:rPr>
              <w:t>cm/s</w:t>
            </w:r>
            <w:r>
              <w:rPr>
                <w:rFonts w:ascii="Times New Roman" w:hAnsi="Times New Roman" w:cs="Times New Roman"/>
                <w:color w:val="000000"/>
                <w:sz w:val="21"/>
                <w:szCs w:val="21"/>
                <w:bdr w:val="none" w:color="auto" w:sz="0" w:space="0"/>
              </w:rPr>
              <w:t>的粘土层。</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7" w:type="pc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11</w:t>
            </w:r>
          </w:p>
        </w:tc>
        <w:tc>
          <w:tcPr>
            <w:tcW w:w="740"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简单防渗区</w:t>
            </w:r>
          </w:p>
        </w:tc>
        <w:tc>
          <w:tcPr>
            <w:tcW w:w="857"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其它</w:t>
            </w:r>
          </w:p>
        </w:tc>
        <w:tc>
          <w:tcPr>
            <w:tcW w:w="732"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地面</w:t>
            </w:r>
          </w:p>
        </w:tc>
        <w:tc>
          <w:tcPr>
            <w:tcW w:w="2093"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500mm</w:t>
            </w:r>
            <w:r>
              <w:rPr>
                <w:rFonts w:hint="eastAsia" w:ascii="Times New Roman" w:hAnsi="Times New Roman" w:eastAsia="宋体" w:cs="Times New Roman"/>
                <w:color w:val="000000"/>
                <w:kern w:val="0"/>
                <w:sz w:val="21"/>
                <w:szCs w:val="21"/>
                <w:bdr w:val="none" w:color="auto" w:sz="0" w:space="0"/>
                <w:lang w:val="en-US" w:eastAsia="zh-CN" w:bidi="ar"/>
              </w:rPr>
              <w:t>的</w:t>
            </w:r>
            <w:r>
              <w:rPr>
                <w:rFonts w:hint="default" w:ascii="Times New Roman" w:hAnsi="Times New Roman" w:eastAsia="宋体" w:cs="Times New Roman"/>
                <w:color w:val="000000"/>
                <w:kern w:val="0"/>
                <w:sz w:val="21"/>
                <w:szCs w:val="21"/>
                <w:bdr w:val="none" w:color="auto" w:sz="0" w:space="0"/>
                <w:lang w:val="en-US" w:eastAsia="zh-CN" w:bidi="ar"/>
              </w:rPr>
              <w:t>3:7</w:t>
            </w:r>
            <w:r>
              <w:rPr>
                <w:rFonts w:hint="eastAsia" w:ascii="Times New Roman" w:hAnsi="Times New Roman" w:eastAsia="宋体" w:cs="Times New Roman"/>
                <w:color w:val="000000"/>
                <w:kern w:val="0"/>
                <w:sz w:val="21"/>
                <w:szCs w:val="21"/>
                <w:bdr w:val="none" w:color="auto" w:sz="0" w:space="0"/>
                <w:lang w:val="en-US" w:eastAsia="zh-CN" w:bidi="ar"/>
              </w:rPr>
              <w:t>灰土</w:t>
            </w: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150mm</w:t>
            </w:r>
            <w:r>
              <w:rPr>
                <w:rFonts w:ascii="Times New Roman" w:hAnsi="Times New Roman" w:cs="Times New Roman"/>
                <w:color w:val="000000"/>
                <w:sz w:val="21"/>
                <w:szCs w:val="21"/>
                <w:bdr w:val="none" w:color="auto" w:sz="0" w:space="0"/>
              </w:rPr>
              <w:t>的</w:t>
            </w:r>
            <w:r>
              <w:rPr>
                <w:rFonts w:hint="default" w:ascii="Times New Roman" w:hAnsi="Times New Roman" w:cs="Times New Roman"/>
                <w:color w:val="000000"/>
                <w:sz w:val="21"/>
                <w:szCs w:val="21"/>
                <w:bdr w:val="none" w:color="auto" w:sz="0" w:space="0"/>
                <w:lang w:val="en-US"/>
              </w:rPr>
              <w:t>C25</w:t>
            </w:r>
            <w:r>
              <w:rPr>
                <w:rFonts w:ascii="Times New Roman" w:hAnsi="Times New Roman" w:cs="Times New Roman"/>
                <w:color w:val="000000"/>
                <w:sz w:val="21"/>
                <w:szCs w:val="21"/>
                <w:bdr w:val="none" w:color="auto" w:sz="0" w:space="0"/>
              </w:rPr>
              <w:t>混凝土。</w:t>
            </w:r>
          </w:p>
        </w:tc>
      </w:tr>
    </w:tbl>
    <w:p>
      <w:pPr>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本项目通过采取严格的分区防渗措施，可有效阻止泄漏废水入渗进入含水层中。因此，本项目建设对地下水环境的影响是可接受的。</w:t>
      </w:r>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宋体" w:hAnsi="宋体" w:eastAsia="宋体" w:cs="宋体"/>
          <w:b/>
          <w:bCs w:val="0"/>
          <w:color w:val="000000"/>
          <w:kern w:val="0"/>
          <w:sz w:val="24"/>
          <w:szCs w:val="24"/>
          <w:lang w:val="en-US" w:eastAsia="zh-CN" w:bidi="ar"/>
        </w:rPr>
        <w:t>②</w:t>
      </w:r>
      <w:r>
        <w:rPr>
          <w:rFonts w:hint="eastAsia" w:ascii="Times New Roman" w:hAnsi="Times New Roman" w:eastAsia="宋体" w:cs="Times New Roman"/>
          <w:b/>
          <w:bCs w:val="0"/>
          <w:color w:val="000000"/>
          <w:kern w:val="0"/>
          <w:sz w:val="24"/>
          <w:szCs w:val="24"/>
          <w:lang w:val="en-US" w:eastAsia="zh-CN" w:bidi="ar"/>
        </w:rPr>
        <w:t>污染监控</w:t>
      </w:r>
    </w:p>
    <w:p>
      <w:pPr>
        <w:keepNext w:val="0"/>
        <w:keepLines w:val="0"/>
        <w:widowControl/>
        <w:suppressLineNumbers w:val="0"/>
        <w:spacing w:before="0" w:beforeAutospacing="0" w:after="0" w:afterAutospacing="0"/>
        <w:ind w:left="0" w:right="0" w:firstLine="48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因地下水污染具有隐秘性，为及时发现地下水污染情况，应在厂内设置监控井，定期对厂区自备井和下游监控井进行污染监控，以便及时发现污染，及时采取措施，及早消除不良影响。</w:t>
      </w:r>
    </w:p>
    <w:p>
      <w:pPr>
        <w:keepNext w:val="0"/>
        <w:keepLines w:val="0"/>
        <w:widowControl/>
        <w:suppressLineNumbers w:val="0"/>
        <w:spacing w:before="0" w:beforeAutospacing="0" w:after="0" w:afterAutospacing="0"/>
        <w:ind w:left="0" w:right="0" w:firstLine="48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本项目的地下水环境监测主要参考《地下水环境监测技术规范（</w:t>
      </w:r>
      <w:r>
        <w:rPr>
          <w:rFonts w:hint="default" w:ascii="Times New Roman" w:hAnsi="Times New Roman" w:eastAsia="宋体" w:cs="Times New Roman"/>
          <w:color w:val="000000"/>
          <w:kern w:val="0"/>
          <w:sz w:val="24"/>
          <w:szCs w:val="24"/>
          <w:lang w:val="en-US" w:eastAsia="zh-CN" w:bidi="ar"/>
        </w:rPr>
        <w:t>HJ/T164-2004</w:t>
      </w:r>
      <w:r>
        <w:rPr>
          <w:rFonts w:hint="eastAsia" w:ascii="Times New Roman" w:hAnsi="Times New Roman" w:eastAsia="宋体" w:cs="Times New Roman"/>
          <w:color w:val="000000"/>
          <w:kern w:val="0"/>
          <w:sz w:val="24"/>
          <w:szCs w:val="24"/>
          <w:lang w:val="en-US" w:eastAsia="zh-CN" w:bidi="ar"/>
        </w:rPr>
        <w:t>）》，考虑污染源的分布和污染物在地下水中扩散因素，布置地下水监测点。</w:t>
      </w:r>
    </w:p>
    <w:p>
      <w:pPr>
        <w:keepNext w:val="0"/>
        <w:keepLines w:val="0"/>
        <w:widowControl/>
        <w:suppressLineNumbers w:val="0"/>
        <w:spacing w:before="0" w:beforeAutospacing="0" w:after="0" w:afterAutospacing="0"/>
        <w:ind w:left="0" w:right="0" w:firstLine="480"/>
        <w:jc w:val="both"/>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1 \* GB3</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宋体" w:hAnsi="宋体" w:eastAsia="宋体" w:cs="宋体"/>
          <w:color w:val="000000"/>
          <w:kern w:val="0"/>
          <w:sz w:val="24"/>
          <w:szCs w:val="24"/>
          <w:lang w:val="en-US" w:eastAsia="zh-CN" w:bidi="ar"/>
        </w:rPr>
        <w:t>①</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监测点布设位置</w:t>
      </w:r>
    </w:p>
    <w:p>
      <w:pPr>
        <w:keepNext w:val="0"/>
        <w:keepLines w:val="0"/>
        <w:widowControl/>
        <w:suppressLineNumbers w:val="0"/>
        <w:spacing w:before="0" w:beforeAutospacing="0" w:after="0" w:afterAutospacing="0"/>
        <w:ind w:left="0" w:right="0" w:firstLine="48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本项目共布设</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个监测井，浮选生产区西北侧布设一个监测井做为背景监测井，浮选生产区东南侧监测井做为污染扩散监测井。以浅层孔隙水为主要监测对象，用以监测地下水质变化。</w:t>
      </w:r>
    </w:p>
    <w:p>
      <w:pPr>
        <w:keepNext w:val="0"/>
        <w:keepLines w:val="0"/>
        <w:widowControl/>
        <w:suppressLineNumbers w:val="0"/>
        <w:spacing w:before="0" w:beforeAutospacing="0" w:after="0" w:afterAutospacing="0"/>
        <w:ind w:left="0" w:right="0" w:firstLine="480"/>
        <w:jc w:val="both"/>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2 \* GB3</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宋体" w:hAnsi="宋体" w:eastAsia="宋体" w:cs="宋体"/>
          <w:color w:val="000000"/>
          <w:kern w:val="0"/>
          <w:sz w:val="24"/>
          <w:szCs w:val="24"/>
          <w:lang w:val="en-US" w:eastAsia="zh-CN" w:bidi="ar"/>
        </w:rPr>
        <w:t>②</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监测项目及监测频率</w:t>
      </w:r>
    </w:p>
    <w:p>
      <w:pPr>
        <w:keepNext w:val="0"/>
        <w:keepLines w:val="0"/>
        <w:widowControl/>
        <w:suppressLineNumbers w:val="0"/>
        <w:spacing w:before="0" w:beforeAutospacing="0" w:after="0" w:afterAutospacing="0"/>
        <w:ind w:left="0" w:right="0" w:firstLine="48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地下水污染预测结果，监测井功能布置及监测频率如下：项目上游监测井为背景监测点，每年枯水期采样一次；下游监测井为污染扩散监测井，逢单月采样一次，全年六次。在场内发生污染事故、污染单元防渗结构出现破坏的情况下，要加密监测点，同时增加监测频率。</w:t>
      </w:r>
    </w:p>
    <w:p>
      <w:pPr>
        <w:keepNext w:val="0"/>
        <w:keepLines w:val="0"/>
        <w:widowControl/>
        <w:suppressLineNumbers w:val="0"/>
        <w:spacing w:before="0" w:beforeAutospacing="0" w:after="0" w:afterAutospacing="0"/>
        <w:ind w:left="0" w:right="0" w:firstLine="48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水质监测项目：</w:t>
      </w:r>
      <w:r>
        <w:rPr>
          <w:rFonts w:hint="default" w:ascii="Times New Roman" w:hAnsi="Times New Roman" w:eastAsia="宋体" w:cs="Times New Roman"/>
          <w:color w:val="000000"/>
          <w:kern w:val="0"/>
          <w:sz w:val="24"/>
          <w:szCs w:val="24"/>
          <w:lang w:val="en-US" w:eastAsia="zh-CN" w:bidi="ar"/>
        </w:rPr>
        <w:t>pH</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CODcr</w:t>
      </w:r>
      <w:r>
        <w:rPr>
          <w:rFonts w:hint="eastAsia" w:ascii="Times New Roman" w:hAnsi="Times New Roman" w:eastAsia="宋体" w:cs="Times New Roman"/>
          <w:color w:val="000000"/>
          <w:kern w:val="0"/>
          <w:sz w:val="24"/>
          <w:szCs w:val="24"/>
          <w:lang w:val="en-US" w:eastAsia="zh-CN" w:bidi="ar"/>
        </w:rPr>
        <w:t>、氨氮，共</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项。</w:t>
      </w:r>
    </w:p>
    <w:p>
      <w:pPr>
        <w:keepNext w:val="0"/>
        <w:keepLines w:val="0"/>
        <w:widowControl/>
        <w:suppressLineNumbers w:val="0"/>
        <w:tabs>
          <w:tab w:val="left" w:pos="851"/>
          <w:tab w:val="left" w:pos="1141"/>
          <w:tab w:val="left" w:pos="4335"/>
        </w:tabs>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6.2-3  </w:t>
      </w:r>
      <w:r>
        <w:rPr>
          <w:rFonts w:hint="eastAsia" w:ascii="Times New Roman" w:hAnsi="Times New Roman" w:eastAsia="黑体" w:cs="Times New Roman"/>
          <w:color w:val="000000"/>
          <w:kern w:val="0"/>
          <w:sz w:val="24"/>
          <w:szCs w:val="24"/>
          <w:lang w:val="en-US" w:eastAsia="zh-CN" w:bidi="ar"/>
        </w:rPr>
        <w:t>地下水监测井基本信息一栏表</w:t>
      </w:r>
    </w:p>
    <w:tbl>
      <w:tblPr>
        <w:tblStyle w:val="32"/>
        <w:tblW w:w="0" w:type="auto"/>
        <w:tblInd w:w="0" w:type="dxa"/>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1520"/>
        <w:gridCol w:w="2938"/>
        <w:gridCol w:w="2072"/>
        <w:gridCol w:w="2076"/>
      </w:tblGrid>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40" w:hRule="atLeast"/>
        </w:trPr>
        <w:tc>
          <w:tcPr>
            <w:tcW w:w="1520" w:type="dxa"/>
            <w:tcBorders>
              <w:top w:val="thinThickSmallGap" w:color="auto" w:sz="12" w:space="0"/>
              <w:left w:val="nil"/>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b/>
                <w:bCs w:val="0"/>
                <w:color w:val="000000"/>
                <w:sz w:val="21"/>
                <w:szCs w:val="24"/>
                <w:bdr w:val="none" w:color="auto" w:sz="0" w:space="0"/>
                <w:vertAlign w:val="baseline"/>
                <w:lang w:val="en-US"/>
              </w:rPr>
            </w:pPr>
            <w:bookmarkStart w:id="228" w:name="_Toc414373144"/>
            <w:bookmarkStart w:id="229" w:name="_Toc414365641"/>
            <w:bookmarkStart w:id="230" w:name="_Toc414363919"/>
            <w:bookmarkStart w:id="231" w:name="_Toc419272999"/>
            <w:bookmarkStart w:id="232" w:name="_Toc415554227"/>
            <w:bookmarkStart w:id="233" w:name="_Toc414373759"/>
            <w:r>
              <w:rPr>
                <w:rFonts w:ascii="Times New Roman" w:hAnsi="Times New Roman" w:cs="Times New Roman"/>
                <w:b/>
                <w:bCs w:val="0"/>
                <w:color w:val="000000"/>
                <w:sz w:val="21"/>
                <w:szCs w:val="24"/>
                <w:bdr w:val="none" w:color="auto" w:sz="0" w:space="0"/>
                <w:vertAlign w:val="baseline"/>
              </w:rPr>
              <w:t>孔号</w:t>
            </w:r>
          </w:p>
        </w:tc>
        <w:tc>
          <w:tcPr>
            <w:tcW w:w="2938" w:type="dxa"/>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b/>
                <w:bCs w:val="0"/>
                <w:color w:val="000000"/>
                <w:sz w:val="21"/>
                <w:szCs w:val="24"/>
                <w:bdr w:val="none" w:color="auto" w:sz="0" w:space="0"/>
                <w:vertAlign w:val="baseline"/>
                <w:lang w:val="en-US"/>
              </w:rPr>
            </w:pPr>
            <w:r>
              <w:rPr>
                <w:rFonts w:ascii="Times New Roman" w:hAnsi="Times New Roman" w:cs="Times New Roman"/>
                <w:b/>
                <w:bCs w:val="0"/>
                <w:color w:val="000000"/>
                <w:sz w:val="21"/>
                <w:szCs w:val="24"/>
                <w:bdr w:val="none" w:color="auto" w:sz="0" w:space="0"/>
                <w:vertAlign w:val="baseline"/>
              </w:rPr>
              <w:t>监测点位</w:t>
            </w:r>
          </w:p>
        </w:tc>
        <w:tc>
          <w:tcPr>
            <w:tcW w:w="2072" w:type="dxa"/>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b/>
                <w:bCs w:val="0"/>
                <w:color w:val="000000"/>
                <w:sz w:val="21"/>
                <w:szCs w:val="24"/>
                <w:bdr w:val="none" w:color="auto" w:sz="0" w:space="0"/>
                <w:vertAlign w:val="baseline"/>
                <w:lang w:val="en-US"/>
              </w:rPr>
            </w:pPr>
            <w:r>
              <w:rPr>
                <w:rFonts w:ascii="Times New Roman" w:hAnsi="Times New Roman" w:cs="Times New Roman"/>
                <w:b/>
                <w:bCs w:val="0"/>
                <w:color w:val="000000"/>
                <w:sz w:val="21"/>
                <w:szCs w:val="24"/>
                <w:bdr w:val="none" w:color="auto" w:sz="0" w:space="0"/>
                <w:vertAlign w:val="baseline"/>
              </w:rPr>
              <w:t>监测项目</w:t>
            </w:r>
          </w:p>
        </w:tc>
        <w:tc>
          <w:tcPr>
            <w:tcW w:w="2076" w:type="dxa"/>
            <w:tcBorders>
              <w:top w:val="thinThickSmallGap" w:color="auto" w:sz="12" w:space="0"/>
              <w:left w:val="single" w:color="auto" w:sz="4" w:space="0"/>
              <w:bottom w:val="single" w:color="auto" w:sz="4" w:space="0"/>
              <w:right w:val="nil"/>
            </w:tcBorders>
            <w:shd w:val="clear" w:color="auto" w:fill="D9D9D9"/>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b/>
                <w:bCs w:val="0"/>
                <w:color w:val="000000"/>
                <w:sz w:val="21"/>
                <w:szCs w:val="24"/>
                <w:bdr w:val="none" w:color="auto" w:sz="0" w:space="0"/>
                <w:vertAlign w:val="baseline"/>
                <w:lang w:val="en-US"/>
              </w:rPr>
            </w:pPr>
            <w:r>
              <w:rPr>
                <w:rFonts w:ascii="Times New Roman" w:hAnsi="Times New Roman" w:cs="Times New Roman"/>
                <w:b/>
                <w:bCs w:val="0"/>
                <w:color w:val="000000"/>
                <w:sz w:val="21"/>
                <w:szCs w:val="24"/>
                <w:bdr w:val="none" w:color="auto" w:sz="0" w:space="0"/>
                <w:vertAlign w:val="baseline"/>
              </w:rPr>
              <w:t>监测频率</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0" w:type="dxa"/>
            <w:tcBorders>
              <w:top w:val="single" w:color="auto" w:sz="4" w:space="0"/>
              <w:left w:val="nil"/>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cs="Times New Roman"/>
                <w:color w:val="000000"/>
                <w:sz w:val="21"/>
                <w:szCs w:val="24"/>
                <w:bdr w:val="none" w:color="auto" w:sz="0" w:space="0"/>
                <w:vertAlign w:val="baseline"/>
                <w:lang w:val="en-US"/>
              </w:rPr>
              <w:t>1#</w:t>
            </w:r>
          </w:p>
        </w:tc>
        <w:tc>
          <w:tcPr>
            <w:tcW w:w="29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ascii="Times New Roman" w:hAnsi="Times New Roman" w:cs="Times New Roman"/>
                <w:color w:val="000000"/>
                <w:sz w:val="21"/>
                <w:szCs w:val="24"/>
                <w:bdr w:val="none" w:color="auto" w:sz="0" w:space="0"/>
                <w:vertAlign w:val="baseline"/>
              </w:rPr>
              <w:t>浮选生产区西北侧</w:t>
            </w:r>
          </w:p>
        </w:tc>
        <w:tc>
          <w:tcPr>
            <w:tcW w:w="2072" w:type="dxa"/>
            <w:vMerge w:val="restart"/>
            <w:tcBorders>
              <w:top w:val="single" w:color="auto" w:sz="4" w:space="0"/>
              <w:left w:val="single" w:color="auto" w:sz="4" w:space="0"/>
              <w:bottom w:val="thinThick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cs="Times New Roman"/>
                <w:color w:val="000000"/>
                <w:sz w:val="21"/>
                <w:szCs w:val="24"/>
                <w:bdr w:val="none" w:color="auto" w:sz="0" w:space="0"/>
                <w:vertAlign w:val="baseline"/>
                <w:lang w:val="en-US"/>
              </w:rPr>
              <w:t>pH</w:t>
            </w:r>
            <w:r>
              <w:rPr>
                <w:rFonts w:ascii="Times New Roman" w:hAnsi="Times New Roman" w:cs="Times New Roman"/>
                <w:color w:val="000000"/>
                <w:sz w:val="21"/>
                <w:szCs w:val="24"/>
                <w:bdr w:val="none" w:color="auto" w:sz="0" w:space="0"/>
                <w:vertAlign w:val="baseline"/>
              </w:rPr>
              <w:t>、</w:t>
            </w:r>
            <w:r>
              <w:rPr>
                <w:rFonts w:hint="default" w:ascii="Times New Roman" w:hAnsi="Times New Roman" w:cs="Times New Roman"/>
                <w:color w:val="000000"/>
                <w:sz w:val="21"/>
                <w:szCs w:val="24"/>
                <w:bdr w:val="none" w:color="auto" w:sz="0" w:space="0"/>
                <w:vertAlign w:val="baseline"/>
                <w:lang w:val="en-US"/>
              </w:rPr>
              <w:t>CODcr</w:t>
            </w:r>
            <w:r>
              <w:rPr>
                <w:rFonts w:ascii="Times New Roman" w:hAnsi="Times New Roman" w:cs="Times New Roman"/>
                <w:color w:val="000000"/>
                <w:sz w:val="21"/>
                <w:szCs w:val="24"/>
                <w:bdr w:val="none" w:color="auto" w:sz="0" w:space="0"/>
                <w:vertAlign w:val="baseline"/>
              </w:rPr>
              <w:t>、氨氮</w:t>
            </w:r>
          </w:p>
        </w:tc>
        <w:tc>
          <w:tcPr>
            <w:tcW w:w="2076" w:type="dxa"/>
            <w:vMerge w:val="restart"/>
            <w:tcBorders>
              <w:top w:val="single" w:color="auto" w:sz="4" w:space="0"/>
              <w:left w:val="single" w:color="auto" w:sz="4" w:space="0"/>
              <w:bottom w:val="thinThickSmallGap" w:color="auto" w:sz="12" w:space="0"/>
              <w:right w:val="nil"/>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ascii="Times New Roman" w:hAnsi="Times New Roman" w:cs="Times New Roman"/>
                <w:color w:val="000000"/>
                <w:sz w:val="21"/>
                <w:szCs w:val="24"/>
                <w:bdr w:val="none" w:color="auto" w:sz="0" w:space="0"/>
                <w:vertAlign w:val="baseline"/>
              </w:rPr>
              <w:t>每年枯水期采样一次；逢单月采样一次，全年六次</w:t>
            </w:r>
          </w:p>
        </w:tc>
      </w:tr>
      <w:tr>
        <w:tblPrEx>
          <w:tblBorders>
            <w:top w:val="thinThickSmallGap" w:color="auto" w:sz="12" w:space="0"/>
            <w:left w:val="none" w:color="auto" w:sz="6" w:space="0"/>
            <w:bottom w:val="thinThick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24" w:hRule="atLeast"/>
        </w:trPr>
        <w:tc>
          <w:tcPr>
            <w:tcW w:w="1520" w:type="dxa"/>
            <w:tcBorders>
              <w:top w:val="single" w:color="auto" w:sz="4" w:space="0"/>
              <w:left w:val="nil"/>
              <w:bottom w:val="thinThick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hint="default" w:ascii="Times New Roman" w:hAnsi="Times New Roman" w:cs="Times New Roman"/>
                <w:color w:val="000000"/>
                <w:sz w:val="21"/>
                <w:szCs w:val="24"/>
                <w:bdr w:val="none" w:color="auto" w:sz="0" w:space="0"/>
                <w:vertAlign w:val="baseline"/>
                <w:lang w:val="en-US"/>
              </w:rPr>
              <w:t>2#</w:t>
            </w:r>
          </w:p>
        </w:tc>
        <w:tc>
          <w:tcPr>
            <w:tcW w:w="2938" w:type="dxa"/>
            <w:tcBorders>
              <w:top w:val="single" w:color="auto" w:sz="4" w:space="0"/>
              <w:left w:val="single" w:color="auto" w:sz="4" w:space="0"/>
              <w:bottom w:val="thinThickSmallGap" w:color="auto" w:sz="12" w:space="0"/>
              <w:right w:val="single" w:color="auto" w:sz="4" w:space="0"/>
            </w:tcBorders>
            <w:shd w:val="clear"/>
            <w:vAlign w:val="center"/>
          </w:tcPr>
          <w:p>
            <w:pPr>
              <w:keepNext w:val="0"/>
              <w:keepLines w:val="0"/>
              <w:widowControl w:val="0"/>
              <w:suppressLineNumbers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4"/>
                <w:bdr w:val="none" w:color="auto" w:sz="0" w:space="0"/>
                <w:vertAlign w:val="baseline"/>
                <w:lang w:val="en-US"/>
              </w:rPr>
            </w:pPr>
            <w:r>
              <w:rPr>
                <w:rFonts w:ascii="Times New Roman" w:hAnsi="Times New Roman" w:cs="Times New Roman"/>
                <w:color w:val="000000"/>
                <w:sz w:val="21"/>
                <w:szCs w:val="24"/>
                <w:bdr w:val="none" w:color="auto" w:sz="0" w:space="0"/>
                <w:vertAlign w:val="baseline"/>
              </w:rPr>
              <w:t>浮选生产区东南侧</w:t>
            </w:r>
            <w:bookmarkEnd w:id="228"/>
            <w:bookmarkEnd w:id="229"/>
            <w:bookmarkEnd w:id="230"/>
            <w:bookmarkEnd w:id="231"/>
            <w:bookmarkEnd w:id="232"/>
            <w:bookmarkEnd w:id="233"/>
          </w:p>
        </w:tc>
        <w:tc>
          <w:tcPr>
            <w:tcW w:w="2072" w:type="dxa"/>
            <w:vMerge w:val="continue"/>
            <w:tcBorders>
              <w:top w:val="single" w:color="auto" w:sz="4" w:space="0"/>
              <w:left w:val="single" w:color="auto" w:sz="4" w:space="0"/>
              <w:bottom w:val="thinThick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2076" w:type="dxa"/>
            <w:vMerge w:val="continue"/>
            <w:tcBorders>
              <w:top w:val="single" w:color="auto" w:sz="4" w:space="0"/>
              <w:left w:val="single" w:color="auto" w:sz="4" w:space="0"/>
              <w:bottom w:val="thinThickSmallGap" w:color="auto" w:sz="12" w:space="0"/>
              <w:right w:val="nil"/>
            </w:tcBorders>
            <w:shd w:val="clear"/>
            <w:vAlign w:val="center"/>
          </w:tcPr>
          <w:p>
            <w:pPr>
              <w:rPr>
                <w:rFonts w:hint="default" w:ascii="Times New Roman" w:hAnsi="Times New Roman" w:cs="Times New Roman"/>
                <w:sz w:val="20"/>
                <w:szCs w:val="20"/>
              </w:rPr>
            </w:pPr>
          </w:p>
        </w:tc>
      </w:tr>
    </w:tbl>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）污染防治措施技术可行性与经济合理性分析</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对地下水环境的影响主要来自无防渗措施条件下的泄漏，在采取合理有效防渗措施的条件下，项目对地下水体基本不会产生明显影响。建设项目采取的防渗、监测等措施，均为成熟技术。该措施实施后，在降低或防止地下水污染所带来的环境效益及社会效益要远远大于本部分工程投资。因此本次环评提出的措施经济合理，技术可行。</w:t>
      </w:r>
    </w:p>
    <w:p>
      <w:pPr>
        <w:pStyle w:val="9"/>
        <w:widowControl/>
        <w:rPr>
          <w:rFonts w:hint="default" w:ascii="Times New Roman" w:hAnsi="Times New Roman" w:cs="Times New Roman"/>
          <w:color w:val="000000"/>
          <w:lang w:eastAsia="zh-CN"/>
        </w:rPr>
      </w:pPr>
      <w:r>
        <w:rPr>
          <w:rFonts w:hint="default" w:ascii="Times New Roman" w:hAnsi="Times New Roman" w:cs="Times New Roman"/>
          <w:color w:val="000000"/>
          <w:lang w:eastAsia="zh-CN"/>
        </w:rPr>
        <w:t>6</w:t>
      </w:r>
      <w:r>
        <w:rPr>
          <w:rFonts w:hint="default" w:ascii="Times New Roman" w:hAnsi="Times New Roman" w:cs="Times New Roman"/>
          <w:color w:val="000000"/>
          <w:lang/>
        </w:rPr>
        <w:t>.2.</w:t>
      </w: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 </w:t>
      </w:r>
      <w:r>
        <w:rPr>
          <w:rFonts w:ascii="Times New Roman" w:hAnsi="Times New Roman" w:cs="Times New Roman"/>
          <w:color w:val="000000"/>
          <w:lang/>
        </w:rPr>
        <w:t>固体废物</w:t>
      </w:r>
      <w:r>
        <w:rPr>
          <w:rFonts w:ascii="Times New Roman" w:hAnsi="Times New Roman" w:cs="Times New Roman"/>
          <w:color w:val="000000"/>
          <w:lang w:eastAsia="zh-CN"/>
        </w:rPr>
        <w:t>治理措施可行性论证</w:t>
      </w:r>
    </w:p>
    <w:p>
      <w:pPr>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本项目生产过程产生的固体废物主要包括一般性固废和危险性固废。</w:t>
      </w:r>
    </w:p>
    <w:p>
      <w:pPr>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）一般固体废物</w:t>
      </w:r>
    </w:p>
    <w:p>
      <w:pPr>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产生的一般固废生活垃圾由环卫部门定期清运到指定地点统一处理；布袋除尘器产生的除尘灰、厂房遮挡粉尘、循环水池矿泥收集后回用于生产，不外排；振动筛产生的废筛网、球磨机产生废钢球、浮选药机包装桶定期由厂家回收，不外排。</w:t>
      </w:r>
    </w:p>
    <w:p>
      <w:pPr>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）危险废物</w:t>
      </w:r>
    </w:p>
    <w:p>
      <w:pPr>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根据《国家危险废物名录（</w:t>
      </w:r>
      <w:r>
        <w:rPr>
          <w:rFonts w:hint="default" w:ascii="Times New Roman" w:hAnsi="Times New Roman" w:eastAsia="宋体" w:cs="Times New Roman"/>
          <w:color w:val="000000"/>
          <w:kern w:val="0"/>
          <w:sz w:val="24"/>
          <w:szCs w:val="24"/>
          <w:lang w:val="en-US" w:eastAsia="zh-CN" w:bidi="ar"/>
        </w:rPr>
        <w:t>2016</w:t>
      </w:r>
      <w:r>
        <w:rPr>
          <w:rFonts w:hint="eastAsia" w:ascii="Times New Roman" w:hAnsi="Times New Roman" w:eastAsia="宋体" w:cs="Times New Roman"/>
          <w:color w:val="000000"/>
          <w:kern w:val="0"/>
          <w:sz w:val="24"/>
          <w:szCs w:val="24"/>
          <w:lang w:val="en-US" w:eastAsia="zh-CN" w:bidi="ar"/>
        </w:rPr>
        <w:t>年）》，废润滑油桶属于危险废物，暂存于厂区内危废暂存间，定期送有资质单位进行无害化处理。禁止危险固废直接排至外环境中。建设单位在厂区设置专用危险废物暂存间，占地面积</w:t>
      </w:r>
      <w:r>
        <w:rPr>
          <w:rFonts w:hint="default" w:ascii="Times New Roman" w:hAnsi="Times New Roman" w:eastAsia="宋体" w:cs="Times New Roman"/>
          <w:color w:val="000000"/>
          <w:kern w:val="0"/>
          <w:sz w:val="24"/>
          <w:szCs w:val="24"/>
          <w:lang w:val="en-US" w:eastAsia="zh-CN" w:bidi="ar"/>
        </w:rPr>
        <w:t>30m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。危废间内危险废物贮存周期不超过一年。</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环保部办公厅</w:t>
      </w:r>
      <w:r>
        <w:rPr>
          <w:rFonts w:hint="default" w:ascii="Times New Roman" w:hAnsi="Times New Roman" w:eastAsia="宋体" w:cs="Times New Roman"/>
          <w:color w:val="000000"/>
          <w:kern w:val="0"/>
          <w:sz w:val="24"/>
          <w:szCs w:val="24"/>
          <w:lang w:val="en-US" w:eastAsia="zh-CN" w:bidi="ar"/>
        </w:rPr>
        <w:t>2017</w:t>
      </w:r>
      <w:r>
        <w:rPr>
          <w:rFonts w:hint="eastAsia" w:ascii="Times New Roman" w:hAnsi="Times New Roman" w:eastAsia="宋体" w:cs="Times New Roman"/>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9</w:t>
      </w:r>
      <w:r>
        <w:rPr>
          <w:rFonts w:hint="eastAsia" w:ascii="Times New Roman" w:hAnsi="Times New Roman" w:eastAsia="宋体" w:cs="Times New Roman"/>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日发布《关于发布</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建设项目危险废物环境影响评价指南</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的公告》（环保部公告</w:t>
      </w:r>
      <w:r>
        <w:rPr>
          <w:rFonts w:hint="default" w:ascii="Times New Roman" w:hAnsi="Times New Roman" w:eastAsia="宋体" w:cs="Times New Roman"/>
          <w:color w:val="000000"/>
          <w:kern w:val="0"/>
          <w:sz w:val="24"/>
          <w:szCs w:val="24"/>
          <w:lang w:val="en-US" w:eastAsia="zh-CN" w:bidi="ar"/>
        </w:rPr>
        <w:t>2017</w:t>
      </w:r>
      <w:r>
        <w:rPr>
          <w:rFonts w:hint="eastAsia" w:ascii="Times New Roman" w:hAnsi="Times New Roman" w:eastAsia="宋体" w:cs="Times New Roman"/>
          <w:color w:val="000000"/>
          <w:kern w:val="0"/>
          <w:sz w:val="24"/>
          <w:szCs w:val="24"/>
          <w:lang w:val="en-US" w:eastAsia="zh-CN" w:bidi="ar"/>
        </w:rPr>
        <w:t>年第</w:t>
      </w:r>
      <w:r>
        <w:rPr>
          <w:rFonts w:hint="default" w:ascii="Times New Roman" w:hAnsi="Times New Roman" w:eastAsia="宋体" w:cs="Times New Roman"/>
          <w:color w:val="000000"/>
          <w:kern w:val="0"/>
          <w:sz w:val="24"/>
          <w:szCs w:val="24"/>
          <w:lang w:val="en-US" w:eastAsia="zh-CN" w:bidi="ar"/>
        </w:rPr>
        <w:t>43</w:t>
      </w:r>
      <w:r>
        <w:rPr>
          <w:rFonts w:hint="eastAsia" w:ascii="Times New Roman" w:hAnsi="Times New Roman" w:eastAsia="宋体" w:cs="Times New Roman"/>
          <w:color w:val="000000"/>
          <w:kern w:val="0"/>
          <w:sz w:val="24"/>
          <w:szCs w:val="24"/>
          <w:lang w:val="en-US" w:eastAsia="zh-CN" w:bidi="ar"/>
        </w:rPr>
        <w:t>号），根据工程分析，对本项目危险废物的产生及处置情况进行梳理，具体见表</w:t>
      </w:r>
      <w:r>
        <w:rPr>
          <w:rFonts w:hint="default" w:ascii="Times New Roman" w:hAnsi="Times New Roman" w:eastAsia="宋体" w:cs="Times New Roman"/>
          <w:color w:val="000000"/>
          <w:kern w:val="0"/>
          <w:sz w:val="24"/>
          <w:szCs w:val="24"/>
          <w:lang w:val="en-US" w:eastAsia="zh-CN" w:bidi="ar"/>
        </w:rPr>
        <w:t>6.2-4</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851"/>
          <w:tab w:val="left" w:pos="1141"/>
          <w:tab w:val="left" w:pos="4335"/>
        </w:tabs>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6.2-4  </w:t>
      </w:r>
      <w:r>
        <w:rPr>
          <w:rFonts w:hint="eastAsia" w:ascii="Times New Roman" w:hAnsi="Times New Roman" w:eastAsia="黑体" w:cs="Times New Roman"/>
          <w:color w:val="000000"/>
          <w:kern w:val="0"/>
          <w:sz w:val="24"/>
          <w:szCs w:val="24"/>
          <w:lang w:val="en-US" w:eastAsia="zh-CN" w:bidi="ar"/>
        </w:rPr>
        <w:t>危险废物贮存场所基本情况统计表</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fixed"/>
        <w:tblCellMar>
          <w:top w:w="0" w:type="dxa"/>
          <w:left w:w="108" w:type="dxa"/>
          <w:bottom w:w="0" w:type="dxa"/>
          <w:right w:w="108" w:type="dxa"/>
        </w:tblCellMar>
      </w:tblPr>
      <w:tblGrid>
        <w:gridCol w:w="548"/>
        <w:gridCol w:w="978"/>
        <w:gridCol w:w="1135"/>
        <w:gridCol w:w="992"/>
        <w:gridCol w:w="1276"/>
        <w:gridCol w:w="709"/>
        <w:gridCol w:w="850"/>
        <w:gridCol w:w="851"/>
        <w:gridCol w:w="708"/>
        <w:gridCol w:w="851"/>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7" w:hRule="atLeast"/>
          <w:tblHeader/>
        </w:trPr>
        <w:tc>
          <w:tcPr>
            <w:tcW w:w="548" w:type="dxa"/>
            <w:tcBorders>
              <w:top w:val="thinThickSmallGap" w:color="auto" w:sz="12" w:space="0"/>
              <w:left w:val="nil"/>
              <w:bottom w:val="single" w:color="auto" w:sz="4" w:space="0"/>
              <w:right w:val="single" w:color="auto" w:sz="4" w:space="0"/>
            </w:tcBorders>
            <w:shd w:val="clear" w:color="auto" w:fill="E0E0E0"/>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序号</w:t>
            </w:r>
          </w:p>
        </w:tc>
        <w:tc>
          <w:tcPr>
            <w:tcW w:w="97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贮存场所名称</w:t>
            </w:r>
          </w:p>
        </w:tc>
        <w:tc>
          <w:tcPr>
            <w:tcW w:w="1135"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危险废物名称</w:t>
            </w:r>
          </w:p>
        </w:tc>
        <w:tc>
          <w:tcPr>
            <w:tcW w:w="992"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危险废物类别</w:t>
            </w:r>
          </w:p>
        </w:tc>
        <w:tc>
          <w:tcPr>
            <w:tcW w:w="1276"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危险废物</w:t>
            </w:r>
          </w:p>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代码</w:t>
            </w:r>
          </w:p>
        </w:tc>
        <w:tc>
          <w:tcPr>
            <w:tcW w:w="709"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去向</w:t>
            </w:r>
          </w:p>
        </w:tc>
        <w:tc>
          <w:tcPr>
            <w:tcW w:w="850" w:type="dxa"/>
            <w:tcBorders>
              <w:top w:val="thinThickSmallGap" w:color="auto" w:sz="12" w:space="0"/>
              <w:left w:val="single" w:color="auto" w:sz="4" w:space="0"/>
              <w:bottom w:val="single" w:color="auto" w:sz="4" w:space="0"/>
              <w:right w:val="single" w:color="auto" w:sz="4" w:space="0"/>
            </w:tcBorders>
            <w:shd w:val="clear" w:color="auto" w:fill="D9D9D9"/>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产废</w:t>
            </w:r>
          </w:p>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周期</w:t>
            </w:r>
          </w:p>
        </w:tc>
        <w:tc>
          <w:tcPr>
            <w:tcW w:w="851"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产生量（</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70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贮存</w:t>
            </w:r>
          </w:p>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方式</w:t>
            </w:r>
          </w:p>
        </w:tc>
        <w:tc>
          <w:tcPr>
            <w:tcW w:w="851" w:type="dxa"/>
            <w:tcBorders>
              <w:top w:val="thinThickSmallGap" w:color="auto" w:sz="12" w:space="0"/>
              <w:left w:val="single" w:color="auto" w:sz="4" w:space="0"/>
              <w:bottom w:val="single" w:color="auto" w:sz="4" w:space="0"/>
              <w:right w:val="nil"/>
            </w:tcBorders>
            <w:shd w:val="clear" w:color="auto" w:fill="E0E0E0"/>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贮存</w:t>
            </w:r>
          </w:p>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周期</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8"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978" w:type="dxa"/>
            <w:vMerge w:val="restar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危废</w:t>
            </w:r>
          </w:p>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暂存间</w:t>
            </w:r>
          </w:p>
        </w:tc>
        <w:tc>
          <w:tcPr>
            <w:tcW w:w="113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废润滑油桶</w:t>
            </w:r>
          </w:p>
        </w:tc>
        <w:tc>
          <w:tcPr>
            <w:tcW w:w="992"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HW08</w:t>
            </w:r>
          </w:p>
        </w:tc>
        <w:tc>
          <w:tcPr>
            <w:tcW w:w="127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900-214-08</w:t>
            </w:r>
          </w:p>
        </w:tc>
        <w:tc>
          <w:tcPr>
            <w:tcW w:w="709" w:type="dxa"/>
            <w:vMerge w:val="restar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外委</w:t>
            </w:r>
          </w:p>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处置</w:t>
            </w:r>
          </w:p>
        </w:tc>
        <w:tc>
          <w:tcPr>
            <w:tcW w:w="850"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w:t>
            </w:r>
            <w:r>
              <w:rPr>
                <w:rFonts w:ascii="Times New Roman" w:hAnsi="Times New Roman" w:cs="Times New Roman"/>
                <w:color w:val="000000"/>
                <w:sz w:val="21"/>
                <w:szCs w:val="21"/>
                <w:bdr w:val="none" w:color="auto" w:sz="0" w:space="0"/>
              </w:rPr>
              <w:t>个月</w:t>
            </w:r>
          </w:p>
        </w:tc>
        <w:tc>
          <w:tcPr>
            <w:tcW w:w="85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0.1</w:t>
            </w:r>
          </w:p>
        </w:tc>
        <w:tc>
          <w:tcPr>
            <w:tcW w:w="70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桶</w:t>
            </w:r>
          </w:p>
        </w:tc>
        <w:tc>
          <w:tcPr>
            <w:tcW w:w="851"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w:t>
            </w:r>
            <w:r>
              <w:rPr>
                <w:rFonts w:ascii="Times New Roman" w:hAnsi="Times New Roman" w:cs="Times New Roman"/>
                <w:color w:val="000000"/>
                <w:sz w:val="21"/>
                <w:szCs w:val="21"/>
                <w:bdr w:val="none" w:color="auto" w:sz="0" w:space="0"/>
              </w:rPr>
              <w:t>个月</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PrEx>
        <w:trPr>
          <w:trHeight w:val="397" w:hRule="atLeast"/>
        </w:trPr>
        <w:tc>
          <w:tcPr>
            <w:tcW w:w="548" w:type="dxa"/>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p>
        </w:tc>
        <w:tc>
          <w:tcPr>
            <w:tcW w:w="978" w:type="dxa"/>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1135"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color w:val="000000"/>
                <w:sz w:val="21"/>
                <w:szCs w:val="24"/>
                <w:bdr w:val="none" w:color="auto" w:sz="0" w:space="0"/>
              </w:rPr>
              <w:t>浮选药剂包装桶</w:t>
            </w:r>
          </w:p>
        </w:tc>
        <w:tc>
          <w:tcPr>
            <w:tcW w:w="992"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4"/>
                <w:bdr w:val="none" w:color="auto" w:sz="0" w:space="0"/>
                <w:lang w:val="en-US"/>
              </w:rPr>
              <w:t>HW49</w:t>
            </w:r>
          </w:p>
        </w:tc>
        <w:tc>
          <w:tcPr>
            <w:tcW w:w="1276"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4"/>
                <w:bdr w:val="none" w:color="auto" w:sz="0" w:space="0"/>
                <w:lang w:val="en-US"/>
              </w:rPr>
              <w:t>900-041-49</w:t>
            </w:r>
          </w:p>
        </w:tc>
        <w:tc>
          <w:tcPr>
            <w:tcW w:w="709" w:type="dxa"/>
            <w:vMerge w:val="continue"/>
            <w:tcBorders>
              <w:top w:val="single" w:color="auto" w:sz="4" w:space="0"/>
              <w:left w:val="single" w:color="auto" w:sz="4" w:space="0"/>
              <w:bottom w:val="thickThinSmallGap" w:color="auto" w:sz="12" w:space="0"/>
              <w:right w:val="single" w:color="auto" w:sz="4" w:space="0"/>
            </w:tcBorders>
            <w:shd w:val="clear"/>
            <w:vAlign w:val="center"/>
          </w:tcPr>
          <w:p>
            <w:pPr>
              <w:rPr>
                <w:rFonts w:hint="default" w:ascii="Times New Roman" w:hAnsi="Times New Roman" w:cs="Times New Roman"/>
                <w:sz w:val="20"/>
                <w:szCs w:val="20"/>
              </w:rPr>
            </w:pPr>
          </w:p>
        </w:tc>
        <w:tc>
          <w:tcPr>
            <w:tcW w:w="850"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4"/>
                <w:bdr w:val="none" w:color="auto" w:sz="0" w:space="0"/>
                <w:lang w:val="en-US"/>
              </w:rPr>
              <w:t>1</w:t>
            </w:r>
            <w:r>
              <w:rPr>
                <w:rFonts w:ascii="Times New Roman" w:hAnsi="Times New Roman" w:cs="Times New Roman"/>
                <w:color w:val="000000"/>
                <w:sz w:val="21"/>
                <w:szCs w:val="24"/>
                <w:bdr w:val="none" w:color="auto" w:sz="0" w:space="0"/>
              </w:rPr>
              <w:t>个月</w:t>
            </w:r>
          </w:p>
        </w:tc>
        <w:tc>
          <w:tcPr>
            <w:tcW w:w="851"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0.8</w:t>
            </w:r>
          </w:p>
        </w:tc>
        <w:tc>
          <w:tcPr>
            <w:tcW w:w="70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桶</w:t>
            </w:r>
          </w:p>
        </w:tc>
        <w:tc>
          <w:tcPr>
            <w:tcW w:w="851" w:type="dxa"/>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w:t>
            </w:r>
            <w:r>
              <w:rPr>
                <w:rFonts w:ascii="Times New Roman" w:hAnsi="Times New Roman" w:cs="Times New Roman"/>
                <w:color w:val="000000"/>
                <w:sz w:val="21"/>
                <w:szCs w:val="21"/>
                <w:bdr w:val="none" w:color="auto" w:sz="0" w:space="0"/>
              </w:rPr>
              <w:t>个月</w:t>
            </w:r>
          </w:p>
        </w:tc>
      </w:tr>
    </w:tbl>
    <w:p>
      <w:pPr>
        <w:pStyle w:val="27"/>
        <w:keepNext w:val="0"/>
        <w:keepLines w:val="0"/>
        <w:widowControl/>
        <w:suppressLineNumbers w:val="0"/>
        <w:adjustRightInd/>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val="en-US" w:eastAsia="zh-CN"/>
        </w:rPr>
      </w:pPr>
    </w:p>
    <w:p>
      <w:pPr>
        <w:pStyle w:val="27"/>
        <w:keepNext w:val="0"/>
        <w:keepLines w:val="0"/>
        <w:widowControl/>
        <w:suppressLineNumbers w:val="0"/>
        <w:adjustRightInd/>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对于危废暂存间，</w:t>
      </w:r>
      <w:r>
        <w:rPr>
          <w:rFonts w:hint="eastAsia" w:ascii="Times New Roman" w:hAnsi="Times New Roman" w:eastAsia="宋体" w:cs="Times New Roman"/>
          <w:color w:val="000000"/>
          <w:kern w:val="0"/>
          <w:sz w:val="24"/>
          <w:szCs w:val="24"/>
          <w:lang w:eastAsia="zh-CN" w:bidi="ar"/>
        </w:rPr>
        <w:t>建设单位</w:t>
      </w:r>
      <w:r>
        <w:rPr>
          <w:rFonts w:hint="eastAsia" w:ascii="Times New Roman" w:hAnsi="Times New Roman" w:eastAsia="宋体" w:cs="Times New Roman"/>
          <w:color w:val="000000"/>
          <w:kern w:val="0"/>
          <w:sz w:val="24"/>
          <w:szCs w:val="24"/>
          <w:lang w:val="en-US" w:eastAsia="zh-CN" w:bidi="ar"/>
        </w:rPr>
        <w:t>应对照</w:t>
      </w:r>
      <w:r>
        <w:rPr>
          <w:rFonts w:hint="eastAsia" w:ascii="Times New Roman" w:hAnsi="Times New Roman" w:eastAsia="宋体" w:cs="Times New Roman"/>
          <w:color w:val="000000"/>
          <w:kern w:val="0"/>
          <w:sz w:val="24"/>
          <w:szCs w:val="24"/>
          <w:lang w:eastAsia="zh-CN" w:bidi="ar"/>
        </w:rPr>
        <w:t>《危险废物贮存污染控制标准》（</w:t>
      </w:r>
      <w:r>
        <w:rPr>
          <w:rFonts w:hint="default" w:ascii="Times New Roman" w:hAnsi="Times New Roman" w:eastAsia="宋体" w:cs="Times New Roman"/>
          <w:color w:val="000000"/>
          <w:kern w:val="0"/>
          <w:sz w:val="24"/>
          <w:szCs w:val="24"/>
          <w:lang w:eastAsia="zh-CN" w:bidi="ar"/>
        </w:rPr>
        <w:t>GB18597-2001</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2013</w:t>
      </w:r>
      <w:r>
        <w:rPr>
          <w:rFonts w:hint="eastAsia" w:ascii="Times New Roman" w:hAnsi="Times New Roman" w:eastAsia="宋体" w:cs="Times New Roman"/>
          <w:color w:val="000000"/>
          <w:kern w:val="0"/>
          <w:sz w:val="24"/>
          <w:szCs w:val="24"/>
          <w:lang w:eastAsia="zh-CN" w:bidi="ar"/>
        </w:rPr>
        <w:t>年修改单）的要求</w:t>
      </w:r>
      <w:r>
        <w:rPr>
          <w:rFonts w:hint="eastAsia" w:ascii="Times New Roman" w:hAnsi="Times New Roman" w:eastAsia="宋体" w:cs="Times New Roman"/>
          <w:color w:val="000000"/>
          <w:kern w:val="0"/>
          <w:sz w:val="24"/>
          <w:szCs w:val="24"/>
          <w:lang w:val="en-US" w:eastAsia="zh-CN" w:bidi="ar"/>
        </w:rPr>
        <w:t>做到</w:t>
      </w:r>
      <w:r>
        <w:rPr>
          <w:rFonts w:hint="default" w:ascii="Times New Roman" w:hAnsi="Times New Roman" w:eastAsia="宋体" w:cs="Times New Roman"/>
          <w:color w:val="000000"/>
          <w:kern w:val="0"/>
          <w:sz w:val="24"/>
          <w:szCs w:val="24"/>
          <w:lang w:eastAsia="zh-CN" w:bidi="ar"/>
        </w:rPr>
        <w:t>“</w:t>
      </w:r>
      <w:r>
        <w:rPr>
          <w:rFonts w:hint="eastAsia" w:ascii="Times New Roman" w:hAnsi="Times New Roman" w:eastAsia="宋体" w:cs="Times New Roman"/>
          <w:color w:val="000000"/>
          <w:kern w:val="0"/>
          <w:sz w:val="24"/>
          <w:szCs w:val="24"/>
          <w:lang w:val="en-US" w:eastAsia="zh-CN" w:bidi="ar"/>
        </w:rPr>
        <w:t>四防</w:t>
      </w:r>
      <w:r>
        <w:rPr>
          <w:rFonts w:hint="default" w:ascii="Times New Roman" w:hAnsi="Times New Roman" w:eastAsia="宋体" w:cs="Times New Roman"/>
          <w:color w:val="000000"/>
          <w:kern w:val="0"/>
          <w:sz w:val="24"/>
          <w:szCs w:val="24"/>
          <w:lang w:eastAsia="zh-CN" w:bidi="ar"/>
        </w:rPr>
        <w:t>”</w:t>
      </w:r>
      <w:r>
        <w:rPr>
          <w:rFonts w:hint="eastAsia" w:ascii="Times New Roman" w:hAnsi="Times New Roman" w:eastAsia="宋体" w:cs="Times New Roman"/>
          <w:color w:val="000000"/>
          <w:kern w:val="0"/>
          <w:sz w:val="24"/>
          <w:szCs w:val="24"/>
          <w:lang w:val="en-US" w:eastAsia="zh-CN" w:bidi="ar"/>
        </w:rPr>
        <w:t>（防风、防雨、防晒、防渗漏）</w:t>
      </w:r>
      <w:r>
        <w:rPr>
          <w:rFonts w:hint="eastAsia" w:ascii="Times New Roman" w:hAnsi="Times New Roman" w:eastAsia="宋体" w:cs="Times New Roman"/>
          <w:color w:val="000000"/>
          <w:kern w:val="0"/>
          <w:sz w:val="24"/>
          <w:szCs w:val="24"/>
          <w:lang w:eastAsia="zh-CN" w:bidi="ar"/>
        </w:rPr>
        <w:t>：</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）危险废物暂存地点地面及裙角应做耐腐蚀硬化、防渗漏处理，且表面无裂隙，所使用的材料要与危险废物相容，要防扬尘、防雨淋、防渗漏。</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危险废物应储存于防腐、防漏、防磕碰、密封严密的容器中，并在容器外表设置环境保护图形标志和警示标志，内容包括危险类别、主要成分、危险情况以及安全措施等；储存库房应阴凉、通风良好，远离火种、热源。</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）基础必须防渗，防渗层至少</w:t>
      </w:r>
      <w:r>
        <w:rPr>
          <w:rFonts w:hint="default" w:ascii="Times New Roman" w:hAnsi="Times New Roman" w:eastAsia="宋体" w:cs="Times New Roman"/>
          <w:color w:val="000000"/>
          <w:kern w:val="0"/>
          <w:sz w:val="24"/>
          <w:szCs w:val="24"/>
          <w:lang w:val="en-US" w:eastAsia="zh-CN" w:bidi="ar"/>
        </w:rPr>
        <w:t>1m</w:t>
      </w:r>
      <w:r>
        <w:rPr>
          <w:rFonts w:hint="eastAsia" w:ascii="Times New Roman" w:hAnsi="Times New Roman" w:eastAsia="宋体" w:cs="Times New Roman"/>
          <w:color w:val="000000"/>
          <w:kern w:val="0"/>
          <w:sz w:val="24"/>
          <w:szCs w:val="24"/>
          <w:lang w:val="en-US" w:eastAsia="zh-CN" w:bidi="ar"/>
        </w:rPr>
        <w:t>厚粘土层（渗透系数</w:t>
      </w:r>
      <w:r>
        <w:rPr>
          <w:rFonts w:hint="default" w:ascii="Times New Roman" w:hAnsi="Times New Roman" w:eastAsia="宋体" w:cs="Times New Roman"/>
          <w:color w:val="000000"/>
          <w:kern w:val="0"/>
          <w:sz w:val="24"/>
          <w:szCs w:val="24"/>
          <w:lang w:val="en-US" w:eastAsia="zh-CN" w:bidi="ar"/>
        </w:rPr>
        <w:t>≤10</w:t>
      </w:r>
      <w:r>
        <w:rPr>
          <w:rFonts w:hint="default" w:ascii="Times New Roman" w:hAnsi="Times New Roman" w:eastAsia="宋体" w:cs="Times New Roman"/>
          <w:color w:val="000000"/>
          <w:kern w:val="0"/>
          <w:sz w:val="24"/>
          <w:szCs w:val="24"/>
          <w:vertAlign w:val="superscript"/>
          <w:lang w:val="en-US" w:eastAsia="zh-CN" w:bidi="ar"/>
        </w:rPr>
        <w:t>-7</w:t>
      </w:r>
      <w:r>
        <w:rPr>
          <w:rFonts w:hint="default" w:ascii="Times New Roman" w:hAnsi="Times New Roman" w:eastAsia="宋体" w:cs="Times New Roman"/>
          <w:color w:val="000000"/>
          <w:kern w:val="0"/>
          <w:sz w:val="24"/>
          <w:szCs w:val="24"/>
          <w:lang w:val="en-US" w:eastAsia="zh-CN" w:bidi="ar"/>
        </w:rPr>
        <w:t>cm/s</w:t>
      </w:r>
      <w:r>
        <w:rPr>
          <w:rFonts w:hint="eastAsia" w:ascii="Times New Roman" w:hAnsi="Times New Roman" w:eastAsia="宋体" w:cs="Times New Roman"/>
          <w:color w:val="000000"/>
          <w:kern w:val="0"/>
          <w:sz w:val="24"/>
          <w:szCs w:val="24"/>
          <w:lang w:val="en-US" w:eastAsia="zh-CN" w:bidi="ar"/>
        </w:rPr>
        <w:t>），或</w:t>
      </w:r>
      <w:r>
        <w:rPr>
          <w:rFonts w:hint="default" w:ascii="Times New Roman" w:hAnsi="Times New Roman" w:eastAsia="宋体" w:cs="Times New Roman"/>
          <w:color w:val="000000"/>
          <w:kern w:val="0"/>
          <w:sz w:val="24"/>
          <w:szCs w:val="24"/>
          <w:lang w:val="en-US" w:eastAsia="zh-CN" w:bidi="ar"/>
        </w:rPr>
        <w:t>2mm</w:t>
      </w:r>
      <w:r>
        <w:rPr>
          <w:rFonts w:hint="eastAsia" w:ascii="Times New Roman" w:hAnsi="Times New Roman" w:eastAsia="宋体" w:cs="Times New Roman"/>
          <w:color w:val="000000"/>
          <w:kern w:val="0"/>
          <w:sz w:val="24"/>
          <w:szCs w:val="24"/>
          <w:lang w:val="en-US" w:eastAsia="zh-CN" w:bidi="ar"/>
        </w:rPr>
        <w:t>厚高密度聚乙烯，或至少</w:t>
      </w:r>
      <w:r>
        <w:rPr>
          <w:rFonts w:hint="default" w:ascii="Times New Roman" w:hAnsi="Times New Roman" w:eastAsia="宋体" w:cs="Times New Roman"/>
          <w:color w:val="000000"/>
          <w:kern w:val="0"/>
          <w:sz w:val="24"/>
          <w:szCs w:val="24"/>
          <w:lang w:val="en-US" w:eastAsia="zh-CN" w:bidi="ar"/>
        </w:rPr>
        <w:t>2mm</w:t>
      </w:r>
      <w:r>
        <w:rPr>
          <w:rFonts w:hint="eastAsia" w:ascii="Times New Roman" w:hAnsi="Times New Roman" w:eastAsia="宋体" w:cs="Times New Roman"/>
          <w:color w:val="000000"/>
          <w:kern w:val="0"/>
          <w:sz w:val="24"/>
          <w:szCs w:val="24"/>
          <w:lang w:val="en-US" w:eastAsia="zh-CN" w:bidi="ar"/>
        </w:rPr>
        <w:t>厚的其它人工材料，渗透系数</w:t>
      </w:r>
      <w:r>
        <w:rPr>
          <w:rFonts w:hint="default" w:ascii="Times New Roman" w:hAnsi="Times New Roman" w:eastAsia="宋体" w:cs="Times New Roman"/>
          <w:color w:val="000000"/>
          <w:kern w:val="0"/>
          <w:sz w:val="24"/>
          <w:szCs w:val="24"/>
          <w:lang w:val="en-US" w:eastAsia="zh-CN" w:bidi="ar"/>
        </w:rPr>
        <w:t>≤10</w:t>
      </w:r>
      <w:r>
        <w:rPr>
          <w:rFonts w:hint="default" w:ascii="Times New Roman" w:hAnsi="Times New Roman" w:eastAsia="宋体" w:cs="Times New Roman"/>
          <w:color w:val="000000"/>
          <w:kern w:val="0"/>
          <w:sz w:val="24"/>
          <w:szCs w:val="24"/>
          <w:vertAlign w:val="superscript"/>
          <w:lang w:val="en-US" w:eastAsia="zh-CN" w:bidi="ar"/>
        </w:rPr>
        <w:t>-10</w:t>
      </w:r>
      <w:r>
        <w:rPr>
          <w:rFonts w:hint="default" w:ascii="Times New Roman" w:hAnsi="Times New Roman" w:eastAsia="宋体" w:cs="Times New Roman"/>
          <w:color w:val="000000"/>
          <w:kern w:val="0"/>
          <w:sz w:val="24"/>
          <w:szCs w:val="24"/>
          <w:lang w:val="en-US" w:eastAsia="zh-CN" w:bidi="ar"/>
        </w:rPr>
        <w:t>cm/s</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）堆放高度应根据地面承载能力确定。</w:t>
      </w:r>
    </w:p>
    <w:p>
      <w:pPr>
        <w:pStyle w:val="27"/>
        <w:keepNext w:val="0"/>
        <w:keepLines w:val="0"/>
        <w:widowControl/>
        <w:suppressLineNumbers w:val="0"/>
        <w:adjustRightInd/>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eastAsia="zh-CN"/>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eastAsia="zh-CN" w:bidi="ar"/>
        </w:rPr>
        <w:t>5</w:t>
      </w:r>
      <w:r>
        <w:rPr>
          <w:rFonts w:hint="eastAsia"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eastAsia="zh-CN" w:bidi="ar"/>
        </w:rPr>
        <w:t>危险废物贮存设施应配备通讯设备、照明设施、安全防护服装及工具，并设有应急防护设施</w:t>
      </w:r>
      <w:r>
        <w:rPr>
          <w:rFonts w:hint="eastAsia" w:ascii="Times New Roman" w:hAnsi="Times New Roman" w:eastAsia="宋体" w:cs="Times New Roman"/>
          <w:color w:val="000000"/>
          <w:kern w:val="0"/>
          <w:sz w:val="24"/>
          <w:szCs w:val="24"/>
          <w:lang w:val="en-US" w:eastAsia="zh-CN" w:bidi="ar"/>
        </w:rPr>
        <w:t>。</w:t>
      </w: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eastAsia="zh-CN"/>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6</w:t>
      </w:r>
      <w:r>
        <w:rPr>
          <w:rFonts w:hint="eastAsia" w:ascii="Times New Roman" w:hAnsi="Times New Roman" w:eastAsia="宋体" w:cs="Times New Roman"/>
          <w:color w:val="000000"/>
          <w:kern w:val="0"/>
          <w:sz w:val="24"/>
          <w:szCs w:val="24"/>
          <w:lang w:val="en-US" w:eastAsia="zh-CN" w:bidi="ar"/>
        </w:rPr>
        <w:t>）建立档案制度，对暂存的废物种类、数量、特性、包装容器类别、存放库位、存入日期、运出日期等详细记录在案并长期保存；建立定期巡查、维护制度。</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建设单位应与有处理资质的专业处理厂家签订安全处理协议，委托处置转移时填写《危险废物转移联单》，并向环保主管部门报告、备案等，确保产生的危险废物处于受控状态。同时应根据危险废物的产生情况，适时通知有资质的危废处理厂家派车过来拉取。危险废物应采用有资质的车辆进行外运，运输过程注意采取密闭、防渗漏措施，严防运输途中泄漏或散发异味对沿途环境产生污染影响。</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对产生的工程危废应严格按照危险废物的贮存和转移的相关规定进行管理，要求企业在日常务必设置专人加强对临时堆存废物的管理，对于出现的问题应及时解决，避免形成二次污染。同时对企业人员应进行专业培训，提高其认识能力，避免随意转移处置。</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Style w:val="176"/>
          <w:color w:val="000000"/>
          <w:lang w:eastAsia="zh-CN"/>
        </w:rPr>
        <w:t>在采取以上措施后，固废污染防治措施基本符合环保要求。</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6</w:t>
      </w:r>
      <w:r>
        <w:rPr>
          <w:rFonts w:hint="default" w:ascii="Times New Roman" w:hAnsi="Times New Roman" w:cs="Times New Roman"/>
          <w:color w:val="000000"/>
          <w:lang/>
        </w:rPr>
        <w:t xml:space="preserve">.2.5 </w:t>
      </w:r>
      <w:r>
        <w:rPr>
          <w:rFonts w:ascii="Times New Roman" w:hAnsi="Times New Roman" w:cs="Times New Roman"/>
          <w:color w:val="000000"/>
          <w:lang/>
        </w:rPr>
        <w:t>噪声污染防治措施</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项目营运过程中，影响较大的噪声源包括破碎机、筛分机、球磨机、搅拌槽、泵类、风机</w:t>
      </w:r>
      <w:r>
        <w:rPr>
          <w:rFonts w:hint="eastAsia" w:ascii="Times New Roman" w:hAnsi="Times New Roman" w:eastAsia="宋体" w:cs="Times New Roman"/>
          <w:color w:val="000000"/>
          <w:kern w:val="0"/>
          <w:sz w:val="24"/>
          <w:szCs w:val="24"/>
          <w:lang w:eastAsia="zh-CN" w:bidi="ar"/>
        </w:rPr>
        <w:t>等，噪声值为</w:t>
      </w:r>
      <w:r>
        <w:rPr>
          <w:rFonts w:hint="default" w:ascii="Times New Roman" w:hAnsi="Times New Roman" w:eastAsia="宋体" w:cs="Times New Roman"/>
          <w:color w:val="000000"/>
          <w:kern w:val="0"/>
          <w:sz w:val="24"/>
          <w:szCs w:val="24"/>
          <w:lang w:val="en-US" w:eastAsia="zh-CN" w:bidi="ar"/>
        </w:rPr>
        <w:t>75</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val="en-US" w:eastAsia="zh-CN" w:bidi="ar"/>
        </w:rPr>
        <w:t>105dB</w:t>
      </w:r>
      <w:r>
        <w:rPr>
          <w:rFonts w:hint="eastAsia" w:ascii="Times New Roman" w:hAnsi="Times New Roman" w:eastAsia="宋体" w:cs="Times New Roman"/>
          <w:color w:val="000000"/>
          <w:kern w:val="0"/>
          <w:sz w:val="24"/>
          <w:szCs w:val="24"/>
          <w:lang w:val="en-US" w:eastAsia="zh-CN" w:bidi="ar"/>
        </w:rPr>
        <w:t>。对于各种设备噪声控制可分二步进行：第一、降低声源噪声，尽量选用低噪声设备；第二、在传播途径上采取隔绝和吸收措施以减低噪声影响。</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）声源控制</w:t>
      </w:r>
    </w:p>
    <w:p>
      <w:pPr>
        <w:keepNext w:val="0"/>
        <w:keepLines w:val="0"/>
        <w:widowControl/>
        <w:suppressLineNumbers w:val="0"/>
        <w:spacing w:before="0" w:beforeAutospacing="0" w:after="0" w:afterAutospacing="0" w:line="500" w:lineRule="exact"/>
        <w:ind w:left="0" w:right="0" w:firstLine="480" w:firstLineChars="200"/>
        <w:jc w:val="both"/>
        <w:rPr>
          <w:rFonts w:hint="default" w:ascii="Segoe UI Symbol" w:hAnsi="Segoe UI Symbol" w:eastAsia="Segoe UI Symbol" w:cs="Segoe UI Symbol"/>
          <w:color w:val="000000"/>
          <w:lang w:val="en-US"/>
        </w:rPr>
      </w:pPr>
      <w:r>
        <w:rPr>
          <w:rFonts w:hint="eastAsia" w:ascii="Times New Roman" w:hAnsi="Times New Roman" w:eastAsia="宋体" w:cs="Times New Roman"/>
          <w:color w:val="000000"/>
          <w:kern w:val="0"/>
          <w:sz w:val="24"/>
          <w:szCs w:val="24"/>
          <w:lang w:val="en-US" w:eastAsia="zh-CN" w:bidi="ar"/>
        </w:rPr>
        <w:t>噪声是由物体振动产生的，物体运动或振动时产生的作用力会搅动临近的空气，使空气受力运动而激起声波。因此，噪声振动首先要减少各设备的振动，缓解物体之间的碰撞、摩擦，尽量减少噪声源。</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default" w:ascii="Segoe UI Symbol" w:hAnsi="Segoe UI Symbol" w:eastAsia="Segoe UI Symbol" w:cs="Segoe UI Symbol"/>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对于风机噪声治理，</w:t>
      </w:r>
      <w:r>
        <w:rPr>
          <w:rFonts w:hint="eastAsia" w:ascii="宋体" w:hAnsi="宋体" w:eastAsia="宋体" w:cs="宋体"/>
          <w:color w:val="000000"/>
          <w:kern w:val="0"/>
          <w:sz w:val="24"/>
          <w:szCs w:val="24"/>
          <w:lang w:val="en-US" w:eastAsia="zh-CN" w:bidi="ar"/>
        </w:rPr>
        <w:t>在满足工艺设计的前提下，选用低噪声型号的设备及小功率的设备，</w:t>
      </w:r>
      <w:r>
        <w:rPr>
          <w:rFonts w:hint="eastAsia" w:ascii="Times New Roman" w:hAnsi="Times New Roman" w:eastAsia="宋体" w:cs="Times New Roman"/>
          <w:color w:val="000000"/>
          <w:kern w:val="0"/>
          <w:sz w:val="24"/>
          <w:szCs w:val="24"/>
          <w:lang w:val="en-US" w:eastAsia="zh-CN" w:bidi="ar"/>
        </w:rPr>
        <w:t>可在风机的进出口管道上安装消音器，风管进出口处可用柔性接头；风机的基础安装采用橡胶减振垫或减振台座，加隔声罩。采用上述降噪声措施可降低噪声</w:t>
      </w:r>
      <w:r>
        <w:rPr>
          <w:rFonts w:hint="default" w:ascii="Times New Roman" w:hAnsi="Times New Roman" w:eastAsia="宋体" w:cs="Times New Roman"/>
          <w:color w:val="000000"/>
          <w:kern w:val="0"/>
          <w:sz w:val="24"/>
          <w:szCs w:val="24"/>
          <w:lang w:val="en-US" w:eastAsia="zh-CN" w:bidi="ar"/>
        </w:rPr>
        <w:t>30dB(A)</w:t>
      </w:r>
      <w:r>
        <w:rPr>
          <w:rFonts w:hint="eastAsia" w:ascii="Times New Roman" w:hAnsi="Times New Roman" w:eastAsia="宋体" w:cs="Times New Roman"/>
          <w:color w:val="000000"/>
          <w:kern w:val="0"/>
          <w:sz w:val="24"/>
          <w:szCs w:val="24"/>
          <w:lang w:val="en-US" w:eastAsia="zh-CN" w:bidi="ar"/>
        </w:rPr>
        <w:t>左右，将风机噪声由</w:t>
      </w:r>
      <w:r>
        <w:rPr>
          <w:rFonts w:hint="default" w:ascii="Times New Roman" w:hAnsi="Times New Roman" w:eastAsia="宋体" w:cs="Times New Roman"/>
          <w:color w:val="000000"/>
          <w:kern w:val="0"/>
          <w:sz w:val="24"/>
          <w:szCs w:val="24"/>
          <w:lang w:val="en-US" w:eastAsia="zh-CN" w:bidi="ar"/>
        </w:rPr>
        <w:t>80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90dB(A)</w:t>
      </w:r>
      <w:r>
        <w:rPr>
          <w:rFonts w:hint="eastAsia" w:ascii="Times New Roman" w:hAnsi="Times New Roman" w:eastAsia="宋体" w:cs="Times New Roman"/>
          <w:color w:val="000000"/>
          <w:kern w:val="0"/>
          <w:sz w:val="24"/>
          <w:szCs w:val="24"/>
          <w:lang w:val="en-US" w:eastAsia="zh-CN" w:bidi="ar"/>
        </w:rPr>
        <w:t>降至</w:t>
      </w:r>
      <w:r>
        <w:rPr>
          <w:rFonts w:hint="default" w:ascii="Times New Roman" w:hAnsi="Times New Roman" w:eastAsia="宋体" w:cs="Times New Roman"/>
          <w:color w:val="000000"/>
          <w:kern w:val="0"/>
          <w:sz w:val="24"/>
          <w:szCs w:val="24"/>
          <w:lang w:val="en-US" w:eastAsia="zh-CN" w:bidi="ar"/>
        </w:rPr>
        <w:t>50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60dB(A)</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default" w:ascii="Segoe UI Symbol" w:hAnsi="Segoe UI Symbol" w:eastAsia="Segoe UI Symbol" w:cs="Segoe UI Symbol"/>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对于泵类噪声治理，</w:t>
      </w:r>
      <w:r>
        <w:rPr>
          <w:rFonts w:hint="eastAsia" w:ascii="宋体" w:hAnsi="宋体" w:eastAsia="宋体" w:cs="宋体"/>
          <w:color w:val="000000"/>
          <w:kern w:val="0"/>
          <w:sz w:val="24"/>
          <w:szCs w:val="24"/>
          <w:lang w:val="en-US" w:eastAsia="zh-CN" w:bidi="ar"/>
        </w:rPr>
        <w:t>在满足工艺设计的前提下，选用低噪声型号的设备及小功率的设备，</w:t>
      </w:r>
      <w:r>
        <w:rPr>
          <w:rFonts w:hint="eastAsia" w:ascii="Times New Roman" w:hAnsi="Times New Roman" w:eastAsia="宋体" w:cs="Times New Roman"/>
          <w:color w:val="000000"/>
          <w:kern w:val="0"/>
          <w:sz w:val="24"/>
          <w:szCs w:val="24"/>
          <w:lang w:val="en-US" w:eastAsia="zh-CN" w:bidi="ar"/>
        </w:rPr>
        <w:t>各种泵类的噪声主要是电动机运转噪声、泵抽吸水或物料而产生的噪声以及泵内水或物料的波动激发泵体辐射噪声。其主要控制办法有：</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①</w:t>
      </w:r>
      <w:r>
        <w:rPr>
          <w:rFonts w:hint="eastAsia" w:ascii="Times New Roman" w:hAnsi="Times New Roman" w:eastAsia="宋体" w:cs="Times New Roman"/>
          <w:color w:val="000000"/>
          <w:kern w:val="0"/>
          <w:sz w:val="24"/>
          <w:szCs w:val="24"/>
          <w:lang w:val="en-US" w:eastAsia="zh-CN" w:bidi="ar"/>
        </w:rPr>
        <w:t>泵机组和电机处可设隔声罩或局部隔声罩、罩内衬吸声材料；</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②</w:t>
      </w:r>
      <w:r>
        <w:rPr>
          <w:rFonts w:hint="eastAsia" w:ascii="Times New Roman" w:hAnsi="Times New Roman" w:eastAsia="宋体" w:cs="Times New Roman"/>
          <w:color w:val="000000"/>
          <w:kern w:val="0"/>
          <w:sz w:val="24"/>
          <w:szCs w:val="24"/>
          <w:lang w:val="en-US" w:eastAsia="zh-CN" w:bidi="ar"/>
        </w:rPr>
        <w:t>电机部分可根据型号配消声器；</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③</w:t>
      </w:r>
      <w:r>
        <w:rPr>
          <w:rFonts w:hint="eastAsia" w:ascii="Times New Roman" w:hAnsi="Times New Roman" w:eastAsia="宋体" w:cs="Times New Roman"/>
          <w:color w:val="000000"/>
          <w:kern w:val="0"/>
          <w:sz w:val="24"/>
          <w:szCs w:val="24"/>
          <w:lang w:val="en-US" w:eastAsia="zh-CN" w:bidi="ar"/>
        </w:rPr>
        <w:t>泵的进出口接管可做挠性连接和弹性连接；</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④</w:t>
      </w:r>
      <w:r>
        <w:rPr>
          <w:rFonts w:hint="eastAsia" w:ascii="Times New Roman" w:hAnsi="Times New Roman" w:eastAsia="宋体" w:cs="Times New Roman"/>
          <w:color w:val="000000"/>
          <w:kern w:val="0"/>
          <w:sz w:val="24"/>
          <w:szCs w:val="24"/>
          <w:lang w:val="en-US" w:eastAsia="zh-CN" w:bidi="ar"/>
        </w:rPr>
        <w:t>泵的机组可做金属弹簧、橡胶减振器等隔振、减振处理；</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⑤</w:t>
      </w:r>
      <w:r>
        <w:rPr>
          <w:rFonts w:hint="eastAsia" w:ascii="Times New Roman" w:hAnsi="Times New Roman" w:eastAsia="宋体" w:cs="Times New Roman"/>
          <w:color w:val="000000"/>
          <w:kern w:val="0"/>
          <w:sz w:val="24"/>
          <w:szCs w:val="24"/>
          <w:lang w:val="en-US" w:eastAsia="zh-CN" w:bidi="ar"/>
        </w:rPr>
        <w:t>泵的管道支架可做弹性支承；</w:t>
      </w:r>
    </w:p>
    <w:p>
      <w:pPr>
        <w:keepNext w:val="0"/>
        <w:keepLines w:val="0"/>
        <w:widowControl/>
        <w:suppressLineNumbers w:val="0"/>
        <w:spacing w:before="0" w:beforeAutospacing="0" w:after="0" w:afterAutospacing="0" w:line="500" w:lineRule="exact"/>
        <w:ind w:left="0" w:right="0" w:firstLine="480" w:firstLineChars="200"/>
        <w:jc w:val="both"/>
        <w:rPr>
          <w:rFonts w:hint="default" w:ascii="Segoe UI Symbol" w:hAnsi="Segoe UI Symbol" w:eastAsia="Segoe UI Symbol" w:cs="Segoe UI Symbol"/>
          <w:color w:val="000000"/>
          <w:lang w:val="en-US"/>
        </w:rPr>
      </w:pPr>
      <w:r>
        <w:rPr>
          <w:rFonts w:hint="eastAsia" w:ascii="宋体" w:hAnsi="宋体" w:eastAsia="宋体" w:cs="宋体"/>
          <w:color w:val="000000"/>
          <w:kern w:val="0"/>
          <w:sz w:val="24"/>
          <w:szCs w:val="24"/>
          <w:lang w:val="en-US" w:eastAsia="zh-CN" w:bidi="ar"/>
        </w:rPr>
        <w:t>⑥</w:t>
      </w:r>
      <w:r>
        <w:rPr>
          <w:rFonts w:hint="eastAsia" w:ascii="Times New Roman" w:hAnsi="Times New Roman" w:eastAsia="宋体" w:cs="Times New Roman"/>
          <w:color w:val="000000"/>
          <w:kern w:val="0"/>
          <w:sz w:val="24"/>
          <w:szCs w:val="24"/>
          <w:lang w:val="en-US" w:eastAsia="zh-CN" w:bidi="ar"/>
        </w:rPr>
        <w:t>泵的进出管尺寸要合适、匹配，若尺寸太小，流速过高，会产生气蚀现象而引起强烈噪声。</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default" w:ascii="Segoe UI Symbol" w:hAnsi="Segoe UI Symbol" w:eastAsia="Segoe UI Symbol" w:cs="Segoe UI Symbol"/>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对于各类破碎机、球磨机、电机的噪声控制，建议在设计阶段针对配备各类电机的功率、运转方式等，选择和安装适宜的避震装置、隔声罩和消音器等设施。基础安装采用橡胶减振垫或减振台座。</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）传播途径控制</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对从声源上无法控制的噪声，应考虑从传播途径上对噪声进行控制。将产生噪声的设备均置于封闭的厂房内，厂房采用隔声、吸声材料制作门窗、砌体等。本工程生产主厂房为钢混结构，内夹</w:t>
      </w:r>
      <w:r>
        <w:rPr>
          <w:rFonts w:hint="default" w:ascii="Times New Roman" w:hAnsi="Times New Roman" w:eastAsia="宋体" w:cs="Times New Roman"/>
          <w:color w:val="000000"/>
          <w:kern w:val="0"/>
          <w:sz w:val="24"/>
          <w:szCs w:val="24"/>
          <w:lang w:val="en-US" w:eastAsia="zh-CN" w:bidi="ar"/>
        </w:rPr>
        <w:t>100mm</w:t>
      </w:r>
      <w:r>
        <w:rPr>
          <w:rFonts w:hint="eastAsia" w:ascii="Times New Roman" w:hAnsi="Times New Roman" w:eastAsia="宋体" w:cs="Times New Roman"/>
          <w:color w:val="000000"/>
          <w:kern w:val="0"/>
          <w:sz w:val="24"/>
          <w:szCs w:val="24"/>
          <w:lang w:val="en-US" w:eastAsia="zh-CN" w:bidi="ar"/>
        </w:rPr>
        <w:t>厚岩棉层进行保温及隔音，厂房窗户为双层密闭隔声窗，可有效防止噪声的扩散与传播。各除尘风机、各破碎机、振动筛、各种泵及产生高噪声的设备设置单独基础，其与管道连接采用柔性连接方式，以防止振动产生噪音向外传播。</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综合考虑墙的隔声作用和门窗的透声作用，厂房的综合隔声效果可达</w:t>
      </w:r>
      <w:r>
        <w:rPr>
          <w:rFonts w:hint="default" w:ascii="Times New Roman" w:hAnsi="Times New Roman" w:eastAsia="宋体" w:cs="Times New Roman"/>
          <w:color w:val="000000"/>
          <w:kern w:val="0"/>
          <w:sz w:val="24"/>
          <w:szCs w:val="24"/>
          <w:lang w:val="en-US" w:eastAsia="zh-CN" w:bidi="ar"/>
        </w:rPr>
        <w:t>35dB</w:t>
      </w:r>
      <w:r>
        <w:rPr>
          <w:rFonts w:hint="eastAsia" w:ascii="Times New Roman" w:hAnsi="Times New Roman" w:eastAsia="宋体" w:cs="Times New Roman"/>
          <w:color w:val="000000"/>
          <w:kern w:val="0"/>
          <w:sz w:val="24"/>
          <w:szCs w:val="24"/>
          <w:lang w:val="en-US" w:eastAsia="zh-CN" w:bidi="ar"/>
        </w:rPr>
        <w:t>以上。</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spacing w:val="-2"/>
          <w:lang w:val="en-US"/>
        </w:rPr>
      </w:pPr>
      <w:r>
        <w:rPr>
          <w:rFonts w:hint="eastAsia" w:ascii="Times New Roman" w:hAnsi="Times New Roman" w:eastAsia="宋体" w:cs="Times New Roman"/>
          <w:bCs/>
          <w:color w:val="000000"/>
          <w:kern w:val="0"/>
          <w:sz w:val="24"/>
          <w:szCs w:val="24"/>
          <w:lang w:val="en-US" w:eastAsia="zh-CN" w:bidi="ar"/>
        </w:rPr>
        <w:t>采取上述控制措施后，再经空气吸收、车间墙体遮挡、物体反射折射以及其它因素造成的衰减，根据噪声影响预测分析结果，本项目运行时四周厂界噪声昼、夜间均能够达到《工业企业厂界环境噪声排放标准》（</w:t>
      </w:r>
      <w:r>
        <w:rPr>
          <w:rFonts w:hint="default" w:ascii="Times New Roman" w:hAnsi="Times New Roman" w:eastAsia="宋体" w:cs="Times New Roman"/>
          <w:bCs/>
          <w:color w:val="000000"/>
          <w:kern w:val="0"/>
          <w:sz w:val="24"/>
          <w:szCs w:val="24"/>
          <w:lang w:eastAsia="zh-CN" w:bidi="ar"/>
        </w:rPr>
        <w:t>GB12348-2008</w:t>
      </w:r>
      <w:r>
        <w:rPr>
          <w:rFonts w:hint="eastAsia" w:ascii="Times New Roman" w:hAnsi="Times New Roman" w:eastAsia="宋体" w:cs="Times New Roman"/>
          <w:bCs/>
          <w:color w:val="000000"/>
          <w:kern w:val="0"/>
          <w:sz w:val="24"/>
          <w:szCs w:val="24"/>
          <w:lang w:val="en-US" w:eastAsia="zh-CN" w:bidi="ar"/>
        </w:rPr>
        <w:t>）中</w:t>
      </w:r>
      <w:r>
        <w:rPr>
          <w:rFonts w:hint="default" w:ascii="Times New Roman" w:hAnsi="Times New Roman" w:eastAsia="宋体" w:cs="Times New Roman"/>
          <w:bCs/>
          <w:color w:val="000000"/>
          <w:kern w:val="0"/>
          <w:sz w:val="24"/>
          <w:szCs w:val="24"/>
          <w:lang w:eastAsia="zh-CN" w:bidi="ar"/>
        </w:rPr>
        <w:t>2</w:t>
      </w:r>
      <w:r>
        <w:rPr>
          <w:rFonts w:hint="eastAsia" w:ascii="Times New Roman" w:hAnsi="Times New Roman" w:eastAsia="宋体" w:cs="Times New Roman"/>
          <w:bCs/>
          <w:color w:val="000000"/>
          <w:kern w:val="0"/>
          <w:sz w:val="24"/>
          <w:szCs w:val="24"/>
          <w:lang w:val="en-US" w:eastAsia="zh-CN" w:bidi="ar"/>
        </w:rPr>
        <w:t>类标准，</w:t>
      </w:r>
      <w:r>
        <w:rPr>
          <w:rFonts w:hint="eastAsia" w:ascii="Times New Roman" w:hAnsi="Times New Roman" w:eastAsia="宋体" w:cs="Times New Roman"/>
          <w:color w:val="000000"/>
          <w:spacing w:val="-2"/>
          <w:kern w:val="0"/>
          <w:sz w:val="24"/>
          <w:szCs w:val="24"/>
          <w:lang w:val="en-US" w:eastAsia="zh-CN" w:bidi="ar"/>
        </w:rPr>
        <w:t>即昼间</w:t>
      </w:r>
      <w:r>
        <w:rPr>
          <w:rFonts w:hint="default" w:ascii="Times New Roman" w:hAnsi="Times New Roman" w:eastAsia="宋体" w:cs="Times New Roman"/>
          <w:color w:val="000000"/>
          <w:spacing w:val="-2"/>
          <w:kern w:val="0"/>
          <w:sz w:val="24"/>
          <w:szCs w:val="24"/>
          <w:lang w:val="en-US" w:eastAsia="zh-CN" w:bidi="ar"/>
        </w:rPr>
        <w:t>60dB(A)</w:t>
      </w:r>
      <w:r>
        <w:rPr>
          <w:rFonts w:hint="eastAsia" w:ascii="Times New Roman" w:hAnsi="Times New Roman" w:eastAsia="宋体" w:cs="Times New Roman"/>
          <w:color w:val="000000"/>
          <w:spacing w:val="-2"/>
          <w:kern w:val="0"/>
          <w:sz w:val="24"/>
          <w:szCs w:val="24"/>
          <w:lang w:val="en-US" w:eastAsia="zh-CN" w:bidi="ar"/>
        </w:rPr>
        <w:t>、夜间</w:t>
      </w:r>
      <w:r>
        <w:rPr>
          <w:rFonts w:hint="default" w:ascii="Times New Roman" w:hAnsi="Times New Roman" w:eastAsia="宋体" w:cs="Times New Roman"/>
          <w:color w:val="000000"/>
          <w:spacing w:val="-2"/>
          <w:kern w:val="0"/>
          <w:sz w:val="24"/>
          <w:szCs w:val="24"/>
          <w:lang w:val="en-US" w:eastAsia="zh-CN" w:bidi="ar"/>
        </w:rPr>
        <w:t>50dB(A)</w:t>
      </w:r>
      <w:r>
        <w:rPr>
          <w:rFonts w:hint="eastAsia" w:ascii="Times New Roman" w:hAnsi="Times New Roman" w:eastAsia="宋体" w:cs="Times New Roman"/>
          <w:color w:val="000000"/>
          <w:kern w:val="0"/>
          <w:sz w:val="24"/>
          <w:szCs w:val="24"/>
          <w:lang w:val="en-US" w:eastAsia="zh-CN" w:bidi="ar"/>
        </w:rPr>
        <w:t>。</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6</w:t>
      </w:r>
      <w:r>
        <w:rPr>
          <w:rFonts w:hint="default" w:ascii="Times New Roman" w:hAnsi="Times New Roman" w:cs="Times New Roman"/>
          <w:color w:val="000000"/>
          <w:lang/>
        </w:rPr>
        <w:t>.2.</w:t>
      </w:r>
      <w:r>
        <w:rPr>
          <w:rFonts w:hint="default" w:ascii="Times New Roman" w:hAnsi="Times New Roman" w:cs="Times New Roman"/>
          <w:color w:val="000000"/>
          <w:lang w:eastAsia="zh-CN"/>
        </w:rPr>
        <w:t>6</w:t>
      </w:r>
      <w:r>
        <w:rPr>
          <w:rFonts w:hint="default" w:ascii="Times New Roman" w:hAnsi="Times New Roman" w:cs="Times New Roman"/>
          <w:color w:val="000000"/>
          <w:lang/>
        </w:rPr>
        <w:t xml:space="preserve"> </w:t>
      </w:r>
      <w:r>
        <w:rPr>
          <w:rFonts w:ascii="Times New Roman" w:hAnsi="Times New Roman" w:cs="Times New Roman"/>
          <w:color w:val="000000"/>
          <w:lang w:eastAsia="zh-CN"/>
        </w:rPr>
        <w:t>土壤环境保护</w:t>
      </w:r>
      <w:r>
        <w:rPr>
          <w:rFonts w:ascii="Times New Roman" w:hAnsi="Times New Roman" w:cs="Times New Roman"/>
          <w:color w:val="000000"/>
          <w:lang/>
        </w:rPr>
        <w:t>措施</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本项目对土壤的污染主要是颗粒物的大气沉降影响，土壤污染防治措施按照</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源头控制、过程防控、跟踪监测、应急响应</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相结合的原则进行控制，生产过程中产生的粉尘利用密闭罩和捕集罩捕集后，经布袋除尘器净化后排放。此外，加强厂区绿化措施，种植吸附能力强的植物，进一步减少沉降影响。</w:t>
      </w:r>
    </w:p>
    <w:p>
      <w:pPr>
        <w:pStyle w:val="8"/>
        <w:widowControl/>
        <w:rPr>
          <w:color w:val="000000"/>
          <w:lang/>
        </w:rPr>
      </w:pPr>
      <w:bookmarkStart w:id="234" w:name="_Toc41656151"/>
      <w:r>
        <w:rPr>
          <w:color w:val="000000"/>
          <w:lang/>
        </w:rPr>
        <w:t>6.3 “</w:t>
      </w:r>
      <w:r>
        <w:rPr>
          <w:rFonts w:hint="eastAsia" w:ascii="Times New Roman" w:hAnsi="Times New Roman" w:eastAsia="宋体" w:cs="宋体"/>
          <w:color w:val="000000"/>
          <w:lang w:eastAsia="zh-CN"/>
        </w:rPr>
        <w:t>三同时</w:t>
      </w:r>
      <w:r>
        <w:rPr>
          <w:color w:val="000000"/>
          <w:lang/>
        </w:rPr>
        <w:t>”</w:t>
      </w:r>
      <w:r>
        <w:rPr>
          <w:rFonts w:hint="eastAsia" w:ascii="Times New Roman" w:hAnsi="Times New Roman" w:eastAsia="宋体" w:cs="宋体"/>
          <w:color w:val="000000"/>
          <w:lang w:eastAsia="zh-CN"/>
        </w:rPr>
        <w:t>验收要求</w:t>
      </w:r>
      <w:bookmarkEnd w:id="234"/>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本项目采取的各项环境保护措施应由项目建设单位负责落实，并应严格执行与主体工程</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同时设计、同时施工、同时投入运行</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的三同时原则。</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三同时</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验收的主要内容见表</w:t>
      </w:r>
      <w:r>
        <w:rPr>
          <w:rFonts w:hint="default" w:ascii="Times New Roman" w:hAnsi="Times New Roman" w:eastAsia="宋体" w:cs="Times New Roman"/>
          <w:color w:val="000000"/>
          <w:kern w:val="0"/>
          <w:sz w:val="24"/>
          <w:szCs w:val="24"/>
          <w:lang w:val="en-US" w:eastAsia="zh-CN" w:bidi="ar"/>
        </w:rPr>
        <w:t>6.3-1</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851"/>
          <w:tab w:val="left" w:pos="1141"/>
          <w:tab w:val="left" w:pos="4335"/>
        </w:tabs>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6.3-1  </w:t>
      </w:r>
      <w:r>
        <w:rPr>
          <w:rFonts w:hint="eastAsia" w:ascii="Times New Roman" w:hAnsi="Times New Roman" w:eastAsia="黑体" w:cs="Times New Roman"/>
          <w:color w:val="000000"/>
          <w:kern w:val="0"/>
          <w:sz w:val="24"/>
          <w:szCs w:val="24"/>
          <w:lang w:val="en-US" w:eastAsia="zh-CN" w:bidi="ar"/>
        </w:rPr>
        <w:t>建设项目</w:t>
      </w:r>
      <w:r>
        <w:rPr>
          <w:rFonts w:hint="default" w:ascii="Times New Roman" w:hAnsi="Times New Roman" w:eastAsia="黑体" w:cs="Times New Roman"/>
          <w:color w:val="000000"/>
          <w:kern w:val="0"/>
          <w:sz w:val="24"/>
          <w:szCs w:val="24"/>
          <w:lang w:val="en-US" w:eastAsia="zh-CN" w:bidi="ar"/>
        </w:rPr>
        <w:t>“</w:t>
      </w:r>
      <w:r>
        <w:rPr>
          <w:rFonts w:hint="eastAsia" w:ascii="Times New Roman" w:hAnsi="Times New Roman" w:eastAsia="黑体" w:cs="Times New Roman"/>
          <w:color w:val="000000"/>
          <w:kern w:val="0"/>
          <w:sz w:val="24"/>
          <w:szCs w:val="24"/>
          <w:lang w:val="en-US" w:eastAsia="zh-CN" w:bidi="ar"/>
        </w:rPr>
        <w:t>三同时</w:t>
      </w:r>
      <w:r>
        <w:rPr>
          <w:rFonts w:hint="default" w:ascii="Times New Roman" w:hAnsi="Times New Roman" w:eastAsia="黑体" w:cs="Times New Roman"/>
          <w:color w:val="000000"/>
          <w:kern w:val="0"/>
          <w:sz w:val="24"/>
          <w:szCs w:val="24"/>
          <w:lang w:val="en-US" w:eastAsia="zh-CN" w:bidi="ar"/>
        </w:rPr>
        <w:t>”</w:t>
      </w:r>
      <w:r>
        <w:rPr>
          <w:rFonts w:hint="eastAsia" w:ascii="Times New Roman" w:hAnsi="Times New Roman" w:eastAsia="黑体" w:cs="Times New Roman"/>
          <w:color w:val="000000"/>
          <w:kern w:val="0"/>
          <w:sz w:val="24"/>
          <w:szCs w:val="24"/>
          <w:lang w:val="en-US" w:eastAsia="zh-CN" w:bidi="ar"/>
        </w:rPr>
        <w:t>一览表</w:t>
      </w:r>
    </w:p>
    <w:tbl>
      <w:tblPr>
        <w:tblStyle w:val="32"/>
        <w:tblW w:w="8786" w:type="dxa"/>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742"/>
        <w:gridCol w:w="1345"/>
        <w:gridCol w:w="48"/>
        <w:gridCol w:w="1393"/>
        <w:gridCol w:w="1542"/>
        <w:gridCol w:w="1275"/>
        <w:gridCol w:w="2441"/>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97" w:hRule="atLeast"/>
          <w:tblHeader/>
        </w:trPr>
        <w:tc>
          <w:tcPr>
            <w:tcW w:w="742" w:type="dxa"/>
            <w:tcBorders>
              <w:top w:val="thinThickSmallGap" w:color="auto" w:sz="12" w:space="0"/>
              <w:left w:val="nil"/>
              <w:bottom w:val="single" w:color="auto" w:sz="6" w:space="0"/>
              <w:right w:val="single" w:color="auto" w:sz="6" w:space="0"/>
            </w:tcBorders>
            <w:shd w:val="clear" w:color="auto" w:fill="E0E0E0"/>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项目</w:t>
            </w:r>
          </w:p>
        </w:tc>
        <w:tc>
          <w:tcPr>
            <w:tcW w:w="1345" w:type="dxa"/>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具体位置</w:t>
            </w:r>
          </w:p>
        </w:tc>
        <w:tc>
          <w:tcPr>
            <w:tcW w:w="1441" w:type="dxa"/>
            <w:gridSpan w:val="2"/>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污染因子</w:t>
            </w:r>
          </w:p>
        </w:tc>
        <w:tc>
          <w:tcPr>
            <w:tcW w:w="1542" w:type="dxa"/>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防治措施</w:t>
            </w:r>
          </w:p>
        </w:tc>
        <w:tc>
          <w:tcPr>
            <w:tcW w:w="1275" w:type="dxa"/>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验收内容</w:t>
            </w:r>
          </w:p>
        </w:tc>
        <w:tc>
          <w:tcPr>
            <w:tcW w:w="2441" w:type="dxa"/>
            <w:tcBorders>
              <w:top w:val="thinThickSmallGap" w:color="auto" w:sz="12" w:space="0"/>
              <w:left w:val="single" w:color="auto" w:sz="6" w:space="0"/>
              <w:bottom w:val="single" w:color="auto" w:sz="6" w:space="0"/>
              <w:right w:val="nil"/>
            </w:tcBorders>
            <w:shd w:val="clear" w:color="auto" w:fill="E0E0E0"/>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预期治理效果</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42" w:type="dxa"/>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废气</w:t>
            </w:r>
          </w:p>
        </w:tc>
        <w:tc>
          <w:tcPr>
            <w:tcW w:w="134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破碎、筛分、供料仓配套排气筒</w:t>
            </w:r>
            <w:r>
              <w:rPr>
                <w:rFonts w:hint="default" w:ascii="Times New Roman" w:hAnsi="Times New Roman" w:cs="Times New Roman"/>
                <w:color w:val="000000"/>
                <w:sz w:val="21"/>
                <w:szCs w:val="21"/>
                <w:bdr w:val="none" w:color="auto" w:sz="0" w:space="0"/>
                <w:lang w:val="en-US"/>
              </w:rPr>
              <w:t>P1</w:t>
            </w:r>
          </w:p>
        </w:tc>
        <w:tc>
          <w:tcPr>
            <w:tcW w:w="1441" w:type="dxa"/>
            <w:gridSpan w:val="2"/>
            <w:tcBorders>
              <w:top w:val="single" w:color="auto" w:sz="6" w:space="0"/>
              <w:left w:val="single" w:color="auto" w:sz="6" w:space="0"/>
              <w:bottom w:val="single" w:color="auto" w:sz="6" w:space="0"/>
              <w:right w:val="single" w:color="auto" w:sz="6" w:space="0"/>
            </w:tcBorders>
            <w:shd w:val="clear"/>
            <w:vAlign w:val="center"/>
          </w:tcPr>
          <w:p>
            <w:pPr>
              <w:pStyle w:val="111"/>
              <w:widowControl/>
              <w:rPr>
                <w:rFonts w:hint="default" w:ascii="Times New Roman" w:hAnsi="Times New Roman" w:cs="Times New Roman"/>
                <w:color w:val="000000"/>
                <w:szCs w:val="21"/>
                <w:bdr w:val="none" w:color="auto" w:sz="0" w:space="0"/>
                <w:lang w:val="en-US"/>
              </w:rPr>
            </w:pPr>
            <w:r>
              <w:rPr>
                <w:rFonts w:ascii="Times New Roman" w:hAnsi="Times New Roman" w:cs="Times New Roman"/>
                <w:color w:val="000000"/>
                <w:szCs w:val="21"/>
                <w:bdr w:val="none" w:color="auto" w:sz="0" w:space="0"/>
              </w:rPr>
              <w:t>颗粒物</w:t>
            </w:r>
          </w:p>
        </w:tc>
        <w:tc>
          <w:tcPr>
            <w:tcW w:w="15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捕集罩、密闭罩、袋式除尘器、</w:t>
            </w:r>
            <w:r>
              <w:rPr>
                <w:rFonts w:hint="default" w:ascii="Times New Roman" w:hAnsi="Times New Roman" w:cs="Times New Roman"/>
                <w:bCs/>
                <w:color w:val="000000"/>
                <w:sz w:val="21"/>
                <w:szCs w:val="21"/>
                <w:bdr w:val="none" w:color="auto" w:sz="0" w:space="0"/>
                <w:lang w:val="en-US"/>
              </w:rPr>
              <w:t>15m</w:t>
            </w:r>
            <w:r>
              <w:rPr>
                <w:rFonts w:ascii="Times New Roman" w:hAnsi="Times New Roman" w:cs="Times New Roman"/>
                <w:bCs/>
                <w:color w:val="000000"/>
                <w:sz w:val="21"/>
                <w:szCs w:val="21"/>
                <w:bdr w:val="none" w:color="auto" w:sz="0" w:space="0"/>
              </w:rPr>
              <w:t>高排气筒</w:t>
            </w:r>
          </w:p>
        </w:tc>
        <w:tc>
          <w:tcPr>
            <w:tcW w:w="12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color w:val="000000"/>
                <w:sz w:val="21"/>
                <w:szCs w:val="21"/>
                <w:bdr w:val="none" w:color="auto" w:sz="0" w:space="0"/>
              </w:rPr>
              <w:t>废气量、颗粒物浓度</w:t>
            </w:r>
          </w:p>
        </w:tc>
        <w:tc>
          <w:tcPr>
            <w:tcW w:w="2441"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pacing w:before="0" w:beforeAutospacing="0" w:after="0" w:afterAutospacing="0"/>
              <w:ind w:left="0" w:right="0"/>
              <w:jc w:val="left"/>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《镁质耐火材料工业大气污染物排放标准》（</w:t>
            </w:r>
            <w:r>
              <w:rPr>
                <w:rFonts w:hint="default" w:ascii="Times New Roman" w:hAnsi="Times New Roman" w:cs="Times New Roman"/>
                <w:color w:val="000000"/>
                <w:sz w:val="21"/>
                <w:szCs w:val="21"/>
                <w:bdr w:val="none" w:color="auto" w:sz="0" w:space="0"/>
                <w:lang w:val="en-US"/>
              </w:rPr>
              <w:t>DB21/3011-2018</w:t>
            </w:r>
            <w:r>
              <w:rPr>
                <w:rFonts w:ascii="Times New Roman" w:hAnsi="Times New Roman" w:cs="Times New Roman"/>
                <w:color w:val="000000"/>
                <w:sz w:val="21"/>
                <w:szCs w:val="21"/>
                <w:bdr w:val="none" w:color="auto" w:sz="0" w:space="0"/>
              </w:rPr>
              <w:t>）表</w:t>
            </w:r>
            <w:r>
              <w:rPr>
                <w:rFonts w:hint="default" w:ascii="Times New Roman" w:hAnsi="Times New Roman" w:cs="Times New Roman"/>
                <w:color w:val="000000"/>
                <w:sz w:val="21"/>
                <w:szCs w:val="21"/>
                <w:bdr w:val="none" w:color="auto" w:sz="0" w:space="0"/>
                <w:lang w:val="en-US"/>
              </w:rPr>
              <w:t>2</w:t>
            </w:r>
            <w:r>
              <w:rPr>
                <w:rFonts w:ascii="Times New Roman" w:hAnsi="Times New Roman" w:cs="Times New Roman"/>
                <w:color w:val="000000"/>
                <w:sz w:val="21"/>
                <w:szCs w:val="21"/>
                <w:bdr w:val="none" w:color="auto" w:sz="0" w:space="0"/>
              </w:rPr>
              <w:t>，即颗粒物</w:t>
            </w:r>
            <w:r>
              <w:rPr>
                <w:rFonts w:hint="default" w:ascii="Times New Roman" w:hAnsi="Times New Roman" w:cs="Times New Roman"/>
                <w:color w:val="000000"/>
                <w:sz w:val="21"/>
                <w:szCs w:val="21"/>
                <w:bdr w:val="none" w:color="auto" w:sz="0" w:space="0"/>
                <w:lang w:val="en-US"/>
              </w:rPr>
              <w:t>30mg/m</w:t>
            </w:r>
            <w:r>
              <w:rPr>
                <w:rFonts w:hint="default" w:ascii="Times New Roman" w:hAnsi="Times New Roman" w:cs="Times New Roman"/>
                <w:color w:val="000000"/>
                <w:sz w:val="21"/>
                <w:szCs w:val="21"/>
                <w:bdr w:val="none" w:color="auto" w:sz="0" w:space="0"/>
                <w:vertAlign w:val="superscript"/>
                <w:lang w:val="en-US"/>
              </w:rPr>
              <w:t>3</w:t>
            </w:r>
            <w:r>
              <w:rPr>
                <w:rFonts w:ascii="Times New Roman" w:hAnsi="Times New Roman" w:cs="Times New Roman"/>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42"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34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厂界</w:t>
            </w:r>
            <w:r>
              <w:rPr>
                <w:color w:val="000000"/>
                <w:sz w:val="21"/>
                <w:szCs w:val="24"/>
                <w:bdr w:val="none" w:color="auto" w:sz="0" w:space="0"/>
              </w:rPr>
              <w:t>上、下风向</w:t>
            </w:r>
          </w:p>
        </w:tc>
        <w:tc>
          <w:tcPr>
            <w:tcW w:w="1441" w:type="dxa"/>
            <w:gridSpan w:val="2"/>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ascii="Times New Roman" w:hAnsi="Times New Roman" w:cs="Times New Roman"/>
                <w:bCs/>
                <w:color w:val="000000"/>
                <w:sz w:val="21"/>
                <w:szCs w:val="24"/>
                <w:bdr w:val="none" w:color="auto" w:sz="0" w:space="0"/>
              </w:rPr>
              <w:t>颗粒物</w:t>
            </w:r>
          </w:p>
        </w:tc>
        <w:tc>
          <w:tcPr>
            <w:tcW w:w="1542"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封闭厂房、封闭库房、</w:t>
            </w:r>
            <w:r>
              <w:rPr>
                <w:color w:val="000000"/>
                <w:sz w:val="21"/>
                <w:szCs w:val="24"/>
                <w:bdr w:val="none" w:color="auto" w:sz="0" w:space="0"/>
              </w:rPr>
              <w:t>设置吸尘车及洒水车、厂区地面硬化</w:t>
            </w:r>
          </w:p>
        </w:tc>
        <w:tc>
          <w:tcPr>
            <w:tcW w:w="12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废气量、颗粒物浓度</w:t>
            </w:r>
          </w:p>
        </w:tc>
        <w:tc>
          <w:tcPr>
            <w:tcW w:w="2441"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pacing w:before="0" w:beforeAutospacing="0" w:after="0" w:afterAutospacing="0"/>
              <w:ind w:left="0" w:right="0"/>
              <w:jc w:val="left"/>
              <w:rPr>
                <w:rFonts w:hint="default" w:ascii="Times New Roman" w:hAnsi="Times New Roman" w:cs="Times New Roman"/>
                <w:color w:val="000000"/>
                <w:sz w:val="21"/>
                <w:szCs w:val="21"/>
                <w:bdr w:val="none" w:color="auto" w:sz="0" w:space="0"/>
                <w:lang w:val="en-US"/>
              </w:rPr>
            </w:pPr>
            <w:r>
              <w:rPr>
                <w:color w:val="000000"/>
                <w:sz w:val="21"/>
                <w:szCs w:val="24"/>
                <w:bdr w:val="none" w:color="auto" w:sz="0" w:space="0"/>
              </w:rPr>
              <w:t>《镁质耐火材料工业大气</w:t>
            </w:r>
            <w:r>
              <w:rPr>
                <w:rFonts w:ascii="Times New Roman" w:hAnsi="Times New Roman" w:cs="Times New Roman"/>
                <w:color w:val="000000"/>
                <w:sz w:val="21"/>
                <w:szCs w:val="24"/>
                <w:bdr w:val="none" w:color="auto" w:sz="0" w:space="0"/>
              </w:rPr>
              <w:t>污染物排放标准》（</w:t>
            </w:r>
            <w:r>
              <w:rPr>
                <w:rFonts w:hint="default" w:ascii="Times New Roman" w:hAnsi="Times New Roman" w:cs="Times New Roman"/>
                <w:color w:val="000000"/>
                <w:sz w:val="21"/>
                <w:szCs w:val="24"/>
                <w:bdr w:val="none" w:color="auto" w:sz="0" w:space="0"/>
                <w:lang w:val="en-US"/>
              </w:rPr>
              <w:t>DB21/3011-2018</w:t>
            </w:r>
            <w:r>
              <w:rPr>
                <w:rFonts w:ascii="Times New Roman" w:hAnsi="Times New Roman" w:cs="Times New Roman"/>
                <w:color w:val="000000"/>
                <w:sz w:val="21"/>
                <w:szCs w:val="24"/>
                <w:bdr w:val="none" w:color="auto" w:sz="0" w:space="0"/>
              </w:rPr>
              <w:t>）表</w:t>
            </w:r>
            <w:r>
              <w:rPr>
                <w:rFonts w:hint="default" w:ascii="Times New Roman" w:hAnsi="Times New Roman" w:cs="Times New Roman"/>
                <w:color w:val="000000"/>
                <w:sz w:val="21"/>
                <w:szCs w:val="24"/>
                <w:bdr w:val="none" w:color="auto" w:sz="0" w:space="0"/>
                <w:lang w:val="en-US"/>
              </w:rPr>
              <w:t>3</w:t>
            </w:r>
            <w:r>
              <w:rPr>
                <w:rFonts w:ascii="Times New Roman" w:hAnsi="Times New Roman" w:cs="Times New Roman"/>
                <w:color w:val="000000"/>
                <w:sz w:val="21"/>
                <w:szCs w:val="24"/>
                <w:bdr w:val="none" w:color="auto" w:sz="0" w:space="0"/>
              </w:rPr>
              <w:t>无组织排放限值</w:t>
            </w:r>
            <w:r>
              <w:rPr>
                <w:rFonts w:ascii="Times New Roman" w:hAnsi="Times New Roman" w:cs="Times New Roman"/>
                <w:color w:val="000000"/>
                <w:sz w:val="21"/>
                <w:szCs w:val="21"/>
                <w:bdr w:val="none" w:color="auto" w:sz="0" w:space="0"/>
              </w:rPr>
              <w:t>，即颗粒物</w:t>
            </w:r>
            <w:r>
              <w:rPr>
                <w:rFonts w:hint="default" w:ascii="Times New Roman" w:hAnsi="Times New Roman" w:cs="Times New Roman"/>
                <w:color w:val="000000"/>
                <w:sz w:val="21"/>
                <w:szCs w:val="21"/>
                <w:bdr w:val="none" w:color="auto" w:sz="0" w:space="0"/>
                <w:lang w:val="en-US"/>
              </w:rPr>
              <w:t>≤0.8mg/m</w:t>
            </w:r>
            <w:r>
              <w:rPr>
                <w:rFonts w:hint="default" w:ascii="Times New Roman" w:hAnsi="Times New Roman" w:cs="Times New Roman"/>
                <w:color w:val="000000"/>
                <w:sz w:val="21"/>
                <w:szCs w:val="21"/>
                <w:bdr w:val="none" w:color="auto" w:sz="0" w:space="0"/>
                <w:vertAlign w:val="superscript"/>
                <w:lang w:val="en-US"/>
              </w:rPr>
              <w:t>3</w:t>
            </w:r>
            <w:r>
              <w:rPr>
                <w:rFonts w:ascii="Times New Roman" w:hAnsi="Times New Roman" w:cs="Times New Roman"/>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42" w:type="dxa"/>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废水</w:t>
            </w:r>
          </w:p>
        </w:tc>
        <w:tc>
          <w:tcPr>
            <w:tcW w:w="2786" w:type="dxa"/>
            <w:gridSpan w:val="3"/>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4"/>
                <w:bdr w:val="none" w:color="auto" w:sz="0" w:space="0"/>
                <w:lang w:val="en-US"/>
              </w:rPr>
            </w:pPr>
            <w:r>
              <w:rPr>
                <w:rFonts w:ascii="Times New Roman" w:hAnsi="Times New Roman" w:cs="Times New Roman"/>
                <w:bCs/>
                <w:color w:val="000000"/>
                <w:sz w:val="21"/>
                <w:szCs w:val="24"/>
                <w:bdr w:val="none" w:color="auto" w:sz="0" w:space="0"/>
              </w:rPr>
              <w:t>生活污水</w:t>
            </w:r>
          </w:p>
        </w:tc>
        <w:tc>
          <w:tcPr>
            <w:tcW w:w="2817" w:type="dxa"/>
            <w:gridSpan w:val="2"/>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化粪池</w:t>
            </w:r>
            <w:r>
              <w:rPr>
                <w:rFonts w:hint="default" w:ascii="Times New Roman" w:hAnsi="Times New Roman" w:cs="Times New Roman"/>
                <w:bCs/>
                <w:color w:val="000000"/>
                <w:sz w:val="21"/>
                <w:szCs w:val="21"/>
                <w:bdr w:val="none" w:color="auto" w:sz="0" w:space="0"/>
                <w:lang w:val="en-US"/>
              </w:rPr>
              <w:t>40</w:t>
            </w:r>
            <w:r>
              <w:rPr>
                <w:rFonts w:hint="default" w:ascii="Times New Roman" w:hAnsi="Times New Roman" w:cs="Times New Roman"/>
                <w:color w:val="000000"/>
                <w:sz w:val="21"/>
                <w:szCs w:val="21"/>
                <w:bdr w:val="none" w:color="auto" w:sz="0" w:space="0"/>
                <w:lang w:val="en-US"/>
              </w:rPr>
              <w:t xml:space="preserve"> m</w:t>
            </w:r>
            <w:r>
              <w:rPr>
                <w:rFonts w:hint="default" w:ascii="Times New Roman" w:hAnsi="Times New Roman" w:cs="Times New Roman"/>
                <w:color w:val="000000"/>
                <w:sz w:val="21"/>
                <w:szCs w:val="21"/>
                <w:bdr w:val="none" w:color="auto" w:sz="0" w:space="0"/>
                <w:vertAlign w:val="superscript"/>
                <w:lang w:val="en-US"/>
              </w:rPr>
              <w:t>3</w:t>
            </w:r>
          </w:p>
        </w:tc>
        <w:tc>
          <w:tcPr>
            <w:tcW w:w="2441"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42"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2786" w:type="dxa"/>
            <w:gridSpan w:val="3"/>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生产废水</w:t>
            </w:r>
          </w:p>
        </w:tc>
        <w:tc>
          <w:tcPr>
            <w:tcW w:w="2817" w:type="dxa"/>
            <w:gridSpan w:val="2"/>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color w:val="000000"/>
                <w:spacing w:val="-4"/>
                <w:sz w:val="21"/>
                <w:szCs w:val="21"/>
                <w:bdr w:val="none" w:color="auto" w:sz="0" w:space="0"/>
              </w:rPr>
              <w:t>循环水池</w:t>
            </w:r>
            <w:r>
              <w:rPr>
                <w:rFonts w:hint="default" w:ascii="Times New Roman" w:hAnsi="Times New Roman" w:cs="Times New Roman"/>
                <w:color w:val="000000"/>
                <w:sz w:val="21"/>
                <w:szCs w:val="21"/>
                <w:bdr w:val="none" w:color="auto" w:sz="0" w:space="0"/>
                <w:lang w:val="en-US"/>
              </w:rPr>
              <w:t>6000m</w:t>
            </w:r>
            <w:r>
              <w:rPr>
                <w:rFonts w:hint="default" w:ascii="Times New Roman" w:hAnsi="Times New Roman" w:cs="Times New Roman"/>
                <w:color w:val="000000"/>
                <w:sz w:val="21"/>
                <w:szCs w:val="21"/>
                <w:bdr w:val="none" w:color="auto" w:sz="0" w:space="0"/>
                <w:vertAlign w:val="superscript"/>
                <w:lang w:val="en-US"/>
              </w:rPr>
              <w:t>3</w:t>
            </w:r>
          </w:p>
        </w:tc>
        <w:tc>
          <w:tcPr>
            <w:tcW w:w="2441"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42"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5603" w:type="dxa"/>
            <w:gridSpan w:val="5"/>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分区防渗</w:t>
            </w:r>
          </w:p>
        </w:tc>
        <w:tc>
          <w:tcPr>
            <w:tcW w:w="2441"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《石油化工工程防渗技术规范（</w:t>
            </w:r>
            <w:r>
              <w:rPr>
                <w:rFonts w:hint="default" w:ascii="Times New Roman" w:hAnsi="Times New Roman" w:cs="Times New Roman"/>
                <w:bCs/>
                <w:color w:val="000000"/>
                <w:sz w:val="21"/>
                <w:szCs w:val="21"/>
                <w:bdr w:val="none" w:color="auto" w:sz="0" w:space="0"/>
                <w:lang w:val="en-US"/>
              </w:rPr>
              <w:t>GB/T50934-2013</w:t>
            </w:r>
            <w:r>
              <w:rPr>
                <w:rFonts w:ascii="Times New Roman" w:hAnsi="Times New Roman" w:cs="Times New Roman"/>
                <w:bCs/>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42"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噪声</w:t>
            </w:r>
          </w:p>
        </w:tc>
        <w:tc>
          <w:tcPr>
            <w:tcW w:w="1393" w:type="dxa"/>
            <w:gridSpan w:val="2"/>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东、西、南、北四个厂界</w:t>
            </w:r>
          </w:p>
        </w:tc>
        <w:tc>
          <w:tcPr>
            <w:tcW w:w="2935" w:type="dxa"/>
            <w:gridSpan w:val="2"/>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color w:val="000000"/>
                <w:sz w:val="21"/>
                <w:szCs w:val="24"/>
                <w:bdr w:val="none" w:color="auto" w:sz="0" w:space="0"/>
              </w:rPr>
              <w:t>大型设备设减振垫及减振基础。在各风机出口等处设消声器消声，为防止振动产生噪音，设计将破碎机、球磨机、风机及泵类等产生较大振动的设备设置单独基础，在强振设备与管道间采取柔性连接方式。噪声源均设置在封闭厂房内，</w:t>
            </w:r>
            <w:r>
              <w:rPr>
                <w:rFonts w:ascii="Times New Roman" w:hAnsi="Times New Roman" w:cs="Times New Roman"/>
                <w:color w:val="000000"/>
                <w:sz w:val="21"/>
                <w:szCs w:val="24"/>
                <w:bdr w:val="none" w:color="auto" w:sz="0" w:space="0"/>
              </w:rPr>
              <w:t>内夹</w:t>
            </w:r>
            <w:r>
              <w:rPr>
                <w:rFonts w:hint="default" w:ascii="Times New Roman" w:hAnsi="Times New Roman" w:cs="Times New Roman"/>
                <w:color w:val="000000"/>
                <w:sz w:val="21"/>
                <w:szCs w:val="24"/>
                <w:bdr w:val="none" w:color="auto" w:sz="0" w:space="0"/>
                <w:lang w:val="en-US"/>
              </w:rPr>
              <w:t>100mm</w:t>
            </w:r>
            <w:r>
              <w:rPr>
                <w:rFonts w:ascii="Times New Roman" w:hAnsi="Times New Roman" w:cs="Times New Roman"/>
                <w:color w:val="000000"/>
                <w:sz w:val="21"/>
                <w:szCs w:val="24"/>
                <w:bdr w:val="none" w:color="auto" w:sz="0" w:space="0"/>
              </w:rPr>
              <w:t>厚岩棉层进</w:t>
            </w:r>
            <w:r>
              <w:rPr>
                <w:color w:val="000000"/>
                <w:sz w:val="21"/>
                <w:szCs w:val="24"/>
                <w:bdr w:val="none" w:color="auto" w:sz="0" w:space="0"/>
              </w:rPr>
              <w:t>行保温及隔音，厂房窗户为双层密闭隔声窗，利用围护结构隔声。</w:t>
            </w:r>
          </w:p>
        </w:tc>
        <w:tc>
          <w:tcPr>
            <w:tcW w:w="127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Leq</w:t>
            </w:r>
          </w:p>
        </w:tc>
        <w:tc>
          <w:tcPr>
            <w:tcW w:w="2441"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pacing w:before="0" w:beforeAutospacing="0" w:after="0" w:afterAutospacing="0"/>
              <w:ind w:left="0" w:right="0"/>
              <w:jc w:val="left"/>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《工业企业厂界环境噪声排放标准》（</w:t>
            </w:r>
            <w:r>
              <w:rPr>
                <w:rFonts w:hint="default" w:ascii="Times New Roman" w:hAnsi="Times New Roman" w:eastAsia="宋体" w:cs="Times New Roman"/>
                <w:bCs/>
                <w:color w:val="000000"/>
                <w:kern w:val="0"/>
                <w:sz w:val="21"/>
                <w:szCs w:val="21"/>
                <w:bdr w:val="none" w:color="auto" w:sz="0" w:space="0"/>
                <w:lang w:val="en-US" w:eastAsia="zh-CN" w:bidi="ar"/>
              </w:rPr>
              <w:t>GB12348</w:t>
            </w:r>
          </w:p>
          <w:p>
            <w:pPr>
              <w:keepNext w:val="0"/>
              <w:keepLines w:val="0"/>
              <w:widowControl/>
              <w:suppressLineNumbers w:val="0"/>
              <w:adjustRightInd w:val="0"/>
              <w:spacing w:before="0" w:beforeAutospacing="0" w:after="0" w:afterAutospacing="0"/>
              <w:ind w:left="0" w:right="0"/>
              <w:jc w:val="left"/>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-2008</w:t>
            </w:r>
            <w:r>
              <w:rPr>
                <w:rFonts w:ascii="Times New Roman" w:hAnsi="Times New Roman" w:cs="Times New Roman"/>
                <w:bCs/>
                <w:color w:val="000000"/>
                <w:sz w:val="21"/>
                <w:szCs w:val="21"/>
                <w:bdr w:val="none" w:color="auto" w:sz="0" w:space="0"/>
              </w:rPr>
              <w:t>）</w:t>
            </w:r>
            <w:r>
              <w:rPr>
                <w:rFonts w:hint="default" w:ascii="Times New Roman" w:hAnsi="Times New Roman" w:cs="Times New Roman"/>
                <w:bCs/>
                <w:color w:val="000000"/>
                <w:sz w:val="21"/>
                <w:szCs w:val="21"/>
                <w:bdr w:val="none" w:color="auto" w:sz="0" w:space="0"/>
                <w:lang w:val="en-US"/>
              </w:rPr>
              <w:t>2</w:t>
            </w:r>
            <w:r>
              <w:rPr>
                <w:rFonts w:ascii="Times New Roman" w:hAnsi="Times New Roman" w:cs="Times New Roman"/>
                <w:bCs/>
                <w:color w:val="000000"/>
                <w:sz w:val="21"/>
                <w:szCs w:val="21"/>
                <w:bdr w:val="none" w:color="auto" w:sz="0" w:space="0"/>
              </w:rPr>
              <w:t>类区标准，即昼间</w:t>
            </w:r>
            <w:r>
              <w:rPr>
                <w:rFonts w:hint="default" w:ascii="Times New Roman" w:hAnsi="Times New Roman" w:cs="Times New Roman"/>
                <w:bCs/>
                <w:color w:val="000000"/>
                <w:sz w:val="21"/>
                <w:szCs w:val="21"/>
                <w:bdr w:val="none" w:color="auto" w:sz="0" w:space="0"/>
                <w:lang w:val="en-US"/>
              </w:rPr>
              <w:t>≤60dB(A)</w:t>
            </w:r>
            <w:r>
              <w:rPr>
                <w:rFonts w:ascii="Times New Roman" w:hAnsi="Times New Roman" w:cs="Times New Roman"/>
                <w:bCs/>
                <w:color w:val="000000"/>
                <w:sz w:val="21"/>
                <w:szCs w:val="21"/>
                <w:bdr w:val="none" w:color="auto" w:sz="0" w:space="0"/>
              </w:rPr>
              <w:t>、夜间</w:t>
            </w:r>
            <w:r>
              <w:rPr>
                <w:rFonts w:hint="default" w:ascii="Times New Roman" w:hAnsi="Times New Roman" w:cs="Times New Roman"/>
                <w:bCs/>
                <w:color w:val="000000"/>
                <w:sz w:val="21"/>
                <w:szCs w:val="21"/>
                <w:bdr w:val="none" w:color="auto" w:sz="0" w:space="0"/>
                <w:lang w:val="en-US"/>
              </w:rPr>
              <w:t>≤50dB(A)</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42" w:type="dxa"/>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固体废物</w:t>
            </w:r>
          </w:p>
        </w:tc>
        <w:tc>
          <w:tcPr>
            <w:tcW w:w="134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一般固废</w:t>
            </w:r>
          </w:p>
        </w:tc>
        <w:tc>
          <w:tcPr>
            <w:tcW w:w="4258" w:type="dxa"/>
            <w:gridSpan w:val="4"/>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color w:val="000000"/>
                <w:sz w:val="21"/>
                <w:szCs w:val="24"/>
                <w:bdr w:val="none" w:color="auto" w:sz="0" w:space="0"/>
              </w:rPr>
              <w:t>布袋除尘器产生的除尘灰、厂房遮挡粉尘、循环水池矿泥收集后回用于生产，不外排；振动筛产生的废筛网、球磨机产生废钢球、浮选药机包装桶定期由厂家回收，不外排。</w:t>
            </w:r>
          </w:p>
        </w:tc>
        <w:tc>
          <w:tcPr>
            <w:tcW w:w="2441"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《一般工业固体废物贮存、处置场污染控制标准》（</w:t>
            </w:r>
            <w:r>
              <w:rPr>
                <w:rFonts w:hint="default" w:ascii="Times New Roman" w:hAnsi="Times New Roman" w:cs="Times New Roman"/>
                <w:bCs/>
                <w:color w:val="000000"/>
                <w:sz w:val="21"/>
                <w:szCs w:val="21"/>
                <w:bdr w:val="none" w:color="auto" w:sz="0" w:space="0"/>
                <w:lang w:val="en-US"/>
              </w:rPr>
              <w:t>GB18599-2001</w:t>
            </w:r>
            <w:r>
              <w:rPr>
                <w:rFonts w:ascii="Times New Roman" w:hAnsi="Times New Roman" w:cs="Times New Roman"/>
                <w:bCs/>
                <w:color w:val="000000"/>
                <w:sz w:val="21"/>
                <w:szCs w:val="21"/>
                <w:bdr w:val="none" w:color="auto" w:sz="0" w:space="0"/>
              </w:rPr>
              <w:t>，</w:t>
            </w:r>
            <w:r>
              <w:rPr>
                <w:rFonts w:hint="default" w:ascii="Times New Roman" w:hAnsi="Times New Roman" w:cs="Times New Roman"/>
                <w:bCs/>
                <w:color w:val="000000"/>
                <w:sz w:val="21"/>
                <w:szCs w:val="21"/>
                <w:bdr w:val="none" w:color="auto" w:sz="0" w:space="0"/>
                <w:lang w:val="en-US"/>
              </w:rPr>
              <w:t>2013</w:t>
            </w:r>
            <w:r>
              <w:rPr>
                <w:rFonts w:ascii="Times New Roman" w:hAnsi="Times New Roman" w:cs="Times New Roman"/>
                <w:bCs/>
                <w:color w:val="000000"/>
                <w:sz w:val="21"/>
                <w:szCs w:val="21"/>
                <w:bdr w:val="none" w:color="auto" w:sz="0" w:space="0"/>
              </w:rPr>
              <w:t>年修改单）</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42"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345"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危废暂存间</w:t>
            </w:r>
          </w:p>
        </w:tc>
        <w:tc>
          <w:tcPr>
            <w:tcW w:w="4258" w:type="dxa"/>
            <w:gridSpan w:val="4"/>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废润滑油桶暂存于</w:t>
            </w:r>
            <w:r>
              <w:rPr>
                <w:rFonts w:hint="default" w:ascii="Times New Roman" w:hAnsi="Times New Roman" w:cs="Times New Roman"/>
                <w:bCs/>
                <w:color w:val="000000"/>
                <w:sz w:val="21"/>
                <w:szCs w:val="21"/>
                <w:bdr w:val="none" w:color="auto" w:sz="0" w:space="0"/>
                <w:lang w:val="en-US"/>
              </w:rPr>
              <w:t>30m</w:t>
            </w:r>
            <w:r>
              <w:rPr>
                <w:rFonts w:hint="default" w:ascii="Times New Roman" w:hAnsi="Times New Roman" w:cs="Times New Roman"/>
                <w:bCs/>
                <w:color w:val="000000"/>
                <w:sz w:val="21"/>
                <w:szCs w:val="21"/>
                <w:bdr w:val="none" w:color="auto" w:sz="0" w:space="0"/>
                <w:vertAlign w:val="superscript"/>
                <w:lang w:val="en-US"/>
              </w:rPr>
              <w:t>2</w:t>
            </w:r>
            <w:r>
              <w:rPr>
                <w:rFonts w:ascii="Times New Roman" w:hAnsi="Times New Roman" w:cs="Times New Roman"/>
                <w:bCs/>
                <w:color w:val="000000"/>
                <w:sz w:val="21"/>
                <w:szCs w:val="21"/>
                <w:bdr w:val="none" w:color="auto" w:sz="0" w:space="0"/>
              </w:rPr>
              <w:t>危废暂存间内，定期委托有资质单位处置</w:t>
            </w:r>
          </w:p>
        </w:tc>
        <w:tc>
          <w:tcPr>
            <w:tcW w:w="2441"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《危险废物贮存污染控制标准》（</w:t>
            </w:r>
            <w:r>
              <w:rPr>
                <w:rFonts w:hint="default" w:ascii="Times New Roman" w:hAnsi="Times New Roman" w:cs="Times New Roman"/>
                <w:bCs/>
                <w:color w:val="000000"/>
                <w:sz w:val="21"/>
                <w:szCs w:val="21"/>
                <w:bdr w:val="none" w:color="auto" w:sz="0" w:space="0"/>
                <w:lang w:val="en-US"/>
              </w:rPr>
              <w:t>GB18597-2001</w:t>
            </w:r>
            <w:r>
              <w:rPr>
                <w:rFonts w:ascii="Times New Roman" w:hAnsi="Times New Roman" w:cs="Times New Roman"/>
                <w:bCs/>
                <w:color w:val="000000"/>
                <w:sz w:val="21"/>
                <w:szCs w:val="21"/>
                <w:bdr w:val="none" w:color="auto" w:sz="0" w:space="0"/>
              </w:rPr>
              <w:t>，</w:t>
            </w:r>
            <w:r>
              <w:rPr>
                <w:rFonts w:hint="default" w:ascii="Times New Roman" w:hAnsi="Times New Roman" w:cs="Times New Roman"/>
                <w:bCs/>
                <w:color w:val="000000"/>
                <w:sz w:val="21"/>
                <w:szCs w:val="21"/>
                <w:bdr w:val="none" w:color="auto" w:sz="0" w:space="0"/>
                <w:lang w:val="en-US"/>
              </w:rPr>
              <w:t>2013</w:t>
            </w:r>
            <w:r>
              <w:rPr>
                <w:rFonts w:ascii="Times New Roman" w:hAnsi="Times New Roman" w:cs="Times New Roman"/>
                <w:bCs/>
                <w:color w:val="000000"/>
                <w:sz w:val="21"/>
                <w:szCs w:val="21"/>
                <w:bdr w:val="none" w:color="auto" w:sz="0" w:space="0"/>
              </w:rPr>
              <w:t>年修改单）</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42"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事故防范</w:t>
            </w:r>
          </w:p>
        </w:tc>
        <w:tc>
          <w:tcPr>
            <w:tcW w:w="5603" w:type="dxa"/>
            <w:gridSpan w:val="5"/>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1000m</w:t>
            </w:r>
            <w:r>
              <w:rPr>
                <w:rFonts w:hint="default" w:ascii="Times New Roman" w:hAnsi="Times New Roman" w:cs="Times New Roman"/>
                <w:bCs/>
                <w:color w:val="000000"/>
                <w:sz w:val="21"/>
                <w:szCs w:val="21"/>
                <w:bdr w:val="none" w:color="auto" w:sz="0" w:space="0"/>
                <w:vertAlign w:val="superscript"/>
                <w:lang w:val="en-US"/>
              </w:rPr>
              <w:t>3</w:t>
            </w:r>
            <w:r>
              <w:rPr>
                <w:rFonts w:ascii="Times New Roman" w:hAnsi="Times New Roman" w:cs="Times New Roman"/>
                <w:bCs/>
                <w:color w:val="000000"/>
                <w:sz w:val="21"/>
                <w:szCs w:val="21"/>
                <w:bdr w:val="none" w:color="auto" w:sz="0" w:space="0"/>
              </w:rPr>
              <w:t>的事故池</w:t>
            </w:r>
          </w:p>
        </w:tc>
        <w:tc>
          <w:tcPr>
            <w:tcW w:w="2441"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42" w:type="dxa"/>
            <w:vMerge w:val="restar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其他</w:t>
            </w:r>
          </w:p>
        </w:tc>
        <w:tc>
          <w:tcPr>
            <w:tcW w:w="8044" w:type="dxa"/>
            <w:gridSpan w:val="6"/>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洒水车、清扫车</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42" w:type="dxa"/>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8044" w:type="dxa"/>
            <w:gridSpan w:val="6"/>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排污口规范化</w:t>
            </w:r>
          </w:p>
        </w:tc>
      </w:tr>
    </w:tbl>
    <w:p>
      <w:pPr>
        <w:pStyle w:val="8"/>
        <w:widowControl/>
        <w:rPr>
          <w:color w:val="000000"/>
          <w:lang/>
        </w:rPr>
      </w:pPr>
      <w:bookmarkStart w:id="235" w:name="_Toc41656152"/>
      <w:r>
        <w:rPr>
          <w:color w:val="000000"/>
          <w:lang/>
        </w:rPr>
        <w:t xml:space="preserve">6.4 </w:t>
      </w:r>
      <w:r>
        <w:rPr>
          <w:rFonts w:hint="eastAsia" w:ascii="Times New Roman" w:hAnsi="Times New Roman" w:eastAsia="宋体" w:cs="宋体"/>
          <w:color w:val="000000"/>
          <w:lang w:eastAsia="zh-CN"/>
        </w:rPr>
        <w:t>环保投资概算</w:t>
      </w:r>
      <w:bookmarkEnd w:id="235"/>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为了保证建设项目做到环保</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三同时</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的要求，建设单位要投入一定的资金进行环境污染治理，各项投资明细见表</w:t>
      </w:r>
      <w:r>
        <w:rPr>
          <w:rFonts w:hint="default" w:ascii="Times New Roman" w:hAnsi="Times New Roman" w:eastAsia="宋体" w:cs="Times New Roman"/>
          <w:color w:val="000000"/>
          <w:kern w:val="0"/>
          <w:sz w:val="24"/>
          <w:szCs w:val="24"/>
          <w:lang w:val="en-US" w:eastAsia="zh-CN" w:bidi="ar"/>
        </w:rPr>
        <w:t>6.4-1</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本项目环保设施投资</w:t>
      </w:r>
      <w:r>
        <w:rPr>
          <w:rFonts w:hint="default" w:ascii="Times New Roman" w:hAnsi="Times New Roman" w:eastAsia="宋体" w:cs="Times New Roman"/>
          <w:color w:val="000000"/>
          <w:kern w:val="0"/>
          <w:sz w:val="24"/>
          <w:szCs w:val="24"/>
          <w:lang w:val="en-US" w:eastAsia="zh-CN" w:bidi="ar"/>
        </w:rPr>
        <w:t>626</w:t>
      </w:r>
      <w:r>
        <w:rPr>
          <w:rFonts w:hint="eastAsia" w:ascii="Times New Roman" w:hAnsi="Times New Roman" w:eastAsia="宋体" w:cs="Times New Roman"/>
          <w:color w:val="000000"/>
          <w:kern w:val="0"/>
          <w:sz w:val="24"/>
          <w:szCs w:val="24"/>
          <w:lang w:val="en-US" w:eastAsia="zh-CN" w:bidi="ar"/>
        </w:rPr>
        <w:t>万元，占总投资额</w:t>
      </w:r>
      <w:r>
        <w:rPr>
          <w:rFonts w:hint="default" w:ascii="Times New Roman" w:hAnsi="Times New Roman" w:eastAsia="宋体" w:cs="Times New Roman"/>
          <w:color w:val="000000"/>
          <w:kern w:val="0"/>
          <w:sz w:val="24"/>
          <w:szCs w:val="24"/>
          <w:lang w:val="en-US" w:eastAsia="zh-CN" w:bidi="ar"/>
        </w:rPr>
        <w:t>6000</w:t>
      </w:r>
      <w:r>
        <w:rPr>
          <w:rFonts w:hint="eastAsia" w:ascii="Times New Roman" w:hAnsi="Times New Roman" w:eastAsia="宋体" w:cs="Times New Roman"/>
          <w:color w:val="000000"/>
          <w:kern w:val="0"/>
          <w:sz w:val="24"/>
          <w:szCs w:val="24"/>
          <w:lang w:val="en-US" w:eastAsia="zh-CN" w:bidi="ar"/>
        </w:rPr>
        <w:t>万元的</w:t>
      </w:r>
      <w:r>
        <w:rPr>
          <w:rFonts w:hint="default" w:ascii="Times New Roman" w:hAnsi="Times New Roman" w:eastAsia="宋体" w:cs="Times New Roman"/>
          <w:color w:val="000000"/>
          <w:kern w:val="0"/>
          <w:sz w:val="24"/>
          <w:szCs w:val="24"/>
          <w:lang w:val="en-US" w:eastAsia="zh-CN" w:bidi="ar"/>
        </w:rPr>
        <w:t>10.4%</w:t>
      </w:r>
      <w:r>
        <w:rPr>
          <w:rFonts w:hint="eastAsia" w:ascii="Times New Roman" w:hAnsi="Times New Roman" w:eastAsia="宋体" w:cs="Times New Roman"/>
          <w:color w:val="000000"/>
          <w:kern w:val="0"/>
          <w:sz w:val="24"/>
          <w:szCs w:val="24"/>
          <w:lang w:val="en-US" w:eastAsia="zh-CN" w:bidi="ar"/>
        </w:rPr>
        <w:t>。运行投资约</w:t>
      </w:r>
      <w:r>
        <w:rPr>
          <w:rFonts w:hint="default" w:ascii="Times New Roman" w:hAnsi="Times New Roman" w:eastAsia="宋体" w:cs="Times New Roman"/>
          <w:color w:val="000000"/>
          <w:kern w:val="0"/>
          <w:sz w:val="24"/>
          <w:szCs w:val="24"/>
          <w:lang w:val="en-US" w:eastAsia="zh-CN" w:bidi="ar"/>
        </w:rPr>
        <w:t>20</w:t>
      </w:r>
      <w:r>
        <w:rPr>
          <w:rFonts w:hint="eastAsia" w:ascii="Times New Roman" w:hAnsi="Times New Roman" w:eastAsia="宋体" w:cs="Times New Roman"/>
          <w:color w:val="000000"/>
          <w:kern w:val="0"/>
          <w:sz w:val="24"/>
          <w:szCs w:val="24"/>
          <w:lang w:val="en-US" w:eastAsia="zh-CN" w:bidi="ar"/>
        </w:rPr>
        <w:t>万元</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年，其中包括废润滑油桶的外委处理。</w:t>
      </w:r>
    </w:p>
    <w:p>
      <w:pPr>
        <w:keepNext w:val="0"/>
        <w:keepLines w:val="0"/>
        <w:widowControl/>
        <w:suppressLineNumbers w:val="0"/>
        <w:tabs>
          <w:tab w:val="left" w:pos="851"/>
          <w:tab w:val="left" w:pos="1141"/>
          <w:tab w:val="left" w:pos="4335"/>
        </w:tabs>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6.4-1  </w:t>
      </w:r>
      <w:r>
        <w:rPr>
          <w:rFonts w:hint="eastAsia" w:ascii="Times New Roman" w:hAnsi="Times New Roman" w:eastAsia="黑体" w:cs="Times New Roman"/>
          <w:color w:val="000000"/>
          <w:kern w:val="0"/>
          <w:sz w:val="24"/>
          <w:szCs w:val="24"/>
          <w:lang w:val="en-US" w:eastAsia="zh-CN" w:bidi="ar"/>
        </w:rPr>
        <w:t>环保投资明细表</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737"/>
        <w:gridCol w:w="364"/>
        <w:gridCol w:w="1596"/>
        <w:gridCol w:w="4886"/>
        <w:gridCol w:w="1219"/>
        <w:gridCol w:w="236"/>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gridAfter w:val="1"/>
          <w:wAfter w:w="236" w:type="dxa"/>
          <w:trHeight w:val="397" w:hRule="atLeast"/>
          <w:tblHeader/>
        </w:trPr>
        <w:tc>
          <w:tcPr>
            <w:tcW w:w="2697" w:type="dxa"/>
            <w:gridSpan w:val="3"/>
            <w:tcBorders>
              <w:top w:val="thinThickSmallGap" w:color="auto" w:sz="12" w:space="0"/>
              <w:left w:val="nil"/>
              <w:bottom w:val="single" w:color="auto" w:sz="6" w:space="0"/>
              <w:right w:val="single" w:color="auto" w:sz="6" w:space="0"/>
            </w:tcBorders>
            <w:shd w:val="clear" w:color="auto" w:fill="E0E0E0"/>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项目</w:t>
            </w:r>
          </w:p>
        </w:tc>
        <w:tc>
          <w:tcPr>
            <w:tcW w:w="4886" w:type="dxa"/>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治理措施</w:t>
            </w:r>
          </w:p>
        </w:tc>
        <w:tc>
          <w:tcPr>
            <w:tcW w:w="1219" w:type="dxa"/>
            <w:tcBorders>
              <w:top w:val="thinThickSmallGap" w:color="auto" w:sz="12" w:space="0"/>
              <w:left w:val="single" w:color="auto" w:sz="6" w:space="0"/>
              <w:bottom w:val="single" w:color="auto" w:sz="6" w:space="0"/>
              <w:right w:val="nil"/>
            </w:tcBorders>
            <w:shd w:val="clear" w:color="auto" w:fill="E0E0E0"/>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eastAsia" w:ascii="Times New Roman" w:hAnsi="Times New Roman" w:eastAsia="宋体" w:cs="Times New Roman"/>
                <w:color w:val="000000"/>
                <w:kern w:val="0"/>
                <w:sz w:val="21"/>
                <w:szCs w:val="24"/>
                <w:bdr w:val="none" w:color="auto" w:sz="0" w:space="0"/>
                <w:lang w:val="en-US" w:eastAsia="zh-CN" w:bidi="ar"/>
              </w:rPr>
              <w:t>投资额</w:t>
            </w:r>
          </w:p>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（万元）</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gridAfter w:val="1"/>
          <w:wAfter w:w="236" w:type="dxa"/>
          <w:trHeight w:val="397" w:hRule="atLeast"/>
        </w:trPr>
        <w:tc>
          <w:tcPr>
            <w:tcW w:w="737" w:type="dxa"/>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大气污染防治</w:t>
            </w:r>
          </w:p>
        </w:tc>
        <w:tc>
          <w:tcPr>
            <w:tcW w:w="1960" w:type="dxa"/>
            <w:gridSpan w:val="2"/>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施工期设施</w:t>
            </w:r>
          </w:p>
        </w:tc>
        <w:tc>
          <w:tcPr>
            <w:tcW w:w="4886"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施工场地围挡及苫盖材料、地面硬化、定期洒水等</w:t>
            </w:r>
          </w:p>
        </w:tc>
        <w:tc>
          <w:tcPr>
            <w:tcW w:w="1219"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gridAfter w:val="1"/>
          <w:wAfter w:w="236" w:type="dxa"/>
          <w:trHeight w:val="397" w:hRule="atLeast"/>
        </w:trPr>
        <w:tc>
          <w:tcPr>
            <w:tcW w:w="737"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960" w:type="dxa"/>
            <w:gridSpan w:val="2"/>
            <w:vMerge w:val="restar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运营期设施</w:t>
            </w:r>
          </w:p>
        </w:tc>
        <w:tc>
          <w:tcPr>
            <w:tcW w:w="4886"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袋式除尘器</w:t>
            </w:r>
            <w:r>
              <w:rPr>
                <w:rFonts w:hint="default" w:ascii="Times New Roman" w:hAnsi="Times New Roman" w:cs="Times New Roman"/>
                <w:color w:val="000000"/>
                <w:sz w:val="21"/>
                <w:szCs w:val="24"/>
                <w:bdr w:val="none" w:color="auto" w:sz="0" w:space="0"/>
                <w:lang w:val="en-US"/>
              </w:rPr>
              <w:t>1</w:t>
            </w:r>
            <w:r>
              <w:rPr>
                <w:rFonts w:ascii="Times New Roman" w:hAnsi="Times New Roman" w:cs="Times New Roman"/>
                <w:color w:val="000000"/>
                <w:sz w:val="21"/>
                <w:szCs w:val="24"/>
                <w:bdr w:val="none" w:color="auto" w:sz="0" w:space="0"/>
              </w:rPr>
              <w:t>套</w:t>
            </w:r>
          </w:p>
        </w:tc>
        <w:tc>
          <w:tcPr>
            <w:tcW w:w="1219"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40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gridAfter w:val="1"/>
          <w:wAfter w:w="236" w:type="dxa"/>
          <w:trHeight w:val="397" w:hRule="atLeast"/>
        </w:trPr>
        <w:tc>
          <w:tcPr>
            <w:tcW w:w="737"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960" w:type="dxa"/>
            <w:gridSpan w:val="2"/>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4886"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破碎设备、供料仓</w:t>
            </w:r>
            <w:r>
              <w:rPr>
                <w:rFonts w:ascii="Times New Roman" w:hAnsi="Times New Roman" w:cs="Times New Roman"/>
                <w:color w:val="000000"/>
                <w:sz w:val="21"/>
                <w:szCs w:val="21"/>
                <w:bdr w:val="none" w:color="auto" w:sz="0" w:space="0"/>
              </w:rPr>
              <w:t>捕集罩</w:t>
            </w:r>
          </w:p>
        </w:tc>
        <w:tc>
          <w:tcPr>
            <w:tcW w:w="1219"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gridAfter w:val="1"/>
          <w:wAfter w:w="236" w:type="dxa"/>
          <w:trHeight w:val="397" w:hRule="atLeast"/>
        </w:trPr>
        <w:tc>
          <w:tcPr>
            <w:tcW w:w="737"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960" w:type="dxa"/>
            <w:gridSpan w:val="2"/>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4886"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w:t>
            </w:r>
            <w:r>
              <w:rPr>
                <w:rFonts w:ascii="Times New Roman" w:hAnsi="Times New Roman" w:cs="Times New Roman"/>
                <w:color w:val="000000"/>
                <w:sz w:val="21"/>
                <w:szCs w:val="24"/>
                <w:bdr w:val="none" w:color="auto" w:sz="0" w:space="0"/>
              </w:rPr>
              <w:t>根</w:t>
            </w:r>
            <w:r>
              <w:rPr>
                <w:rFonts w:hint="default" w:ascii="Times New Roman" w:hAnsi="Times New Roman" w:cs="Times New Roman"/>
                <w:color w:val="000000"/>
                <w:sz w:val="21"/>
                <w:szCs w:val="24"/>
                <w:bdr w:val="none" w:color="auto" w:sz="0" w:space="0"/>
                <w:lang w:val="en-US"/>
              </w:rPr>
              <w:t>15m</w:t>
            </w:r>
            <w:r>
              <w:rPr>
                <w:rFonts w:ascii="Times New Roman" w:hAnsi="Times New Roman" w:cs="Times New Roman"/>
                <w:color w:val="000000"/>
                <w:sz w:val="21"/>
                <w:szCs w:val="24"/>
                <w:bdr w:val="none" w:color="auto" w:sz="0" w:space="0"/>
              </w:rPr>
              <w:t>高排气筒</w:t>
            </w:r>
          </w:p>
        </w:tc>
        <w:tc>
          <w:tcPr>
            <w:tcW w:w="1219"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gridAfter w:val="1"/>
          <w:wAfter w:w="236" w:type="dxa"/>
          <w:trHeight w:val="397" w:hRule="atLeast"/>
        </w:trPr>
        <w:tc>
          <w:tcPr>
            <w:tcW w:w="737" w:type="dxa"/>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960" w:type="dxa"/>
            <w:gridSpan w:val="2"/>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无组织控制</w:t>
            </w:r>
          </w:p>
        </w:tc>
        <w:tc>
          <w:tcPr>
            <w:tcW w:w="4886"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封闭原料库、封闭成品库、洒水车、清扫车</w:t>
            </w:r>
          </w:p>
        </w:tc>
        <w:tc>
          <w:tcPr>
            <w:tcW w:w="1219"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200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97" w:type="dxa"/>
            <w:gridSpan w:val="3"/>
            <w:vMerge w:val="restart"/>
            <w:tcBorders>
              <w:top w:val="single" w:color="auto" w:sz="6" w:space="0"/>
              <w:left w:val="nil"/>
              <w:bottom w:val="single" w:color="auto" w:sz="6" w:space="0"/>
              <w:right w:val="single" w:color="auto" w:sz="6" w:space="0"/>
            </w:tcBorders>
            <w:shd w:val="clear"/>
            <w:vAlign w:val="center"/>
          </w:tcPr>
          <w:p>
            <w:pPr>
              <w:pStyle w:val="14"/>
              <w:widowControl/>
              <w:jc w:val="center"/>
              <w:rPr>
                <w:rFonts w:hint="default" w:ascii="Times New Roman" w:hAnsi="Times New Roman" w:cs="Times New Roman"/>
                <w:color w:val="000000"/>
                <w:bdr w:val="none" w:color="auto" w:sz="0" w:space="0"/>
                <w:lang w:val="en-US"/>
              </w:rPr>
            </w:pPr>
            <w:r>
              <w:rPr>
                <w:rFonts w:ascii="Times New Roman" w:hAnsi="Times New Roman" w:cs="Times New Roman"/>
                <w:color w:val="000000"/>
                <w:bdr w:val="none" w:color="auto" w:sz="0" w:space="0"/>
              </w:rPr>
              <w:t>水污染防治</w:t>
            </w:r>
          </w:p>
        </w:tc>
        <w:tc>
          <w:tcPr>
            <w:tcW w:w="4886"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水工建筑物防渗措施</w:t>
            </w:r>
          </w:p>
        </w:tc>
        <w:tc>
          <w:tcPr>
            <w:tcW w:w="1230" w:type="dxa"/>
            <w:gridSpan w:val="2"/>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50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97" w:type="dxa"/>
            <w:gridSpan w:val="3"/>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4886"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1000 m</w:t>
            </w:r>
            <w:r>
              <w:rPr>
                <w:rFonts w:hint="default" w:ascii="Times New Roman" w:hAnsi="Times New Roman" w:cs="Times New Roman"/>
                <w:color w:val="000000"/>
                <w:sz w:val="21"/>
                <w:szCs w:val="24"/>
                <w:bdr w:val="none" w:color="auto" w:sz="0" w:space="0"/>
                <w:vertAlign w:val="superscript"/>
                <w:lang w:val="en-US"/>
              </w:rPr>
              <w:t>3</w:t>
            </w:r>
            <w:r>
              <w:rPr>
                <w:rFonts w:ascii="Times New Roman" w:hAnsi="Times New Roman" w:cs="Times New Roman"/>
                <w:color w:val="000000"/>
                <w:sz w:val="21"/>
                <w:szCs w:val="24"/>
                <w:bdr w:val="none" w:color="auto" w:sz="0" w:space="0"/>
              </w:rPr>
              <w:t>事故池</w:t>
            </w:r>
          </w:p>
        </w:tc>
        <w:tc>
          <w:tcPr>
            <w:tcW w:w="1230" w:type="dxa"/>
            <w:gridSpan w:val="2"/>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45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97" w:type="dxa"/>
            <w:gridSpan w:val="3"/>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4886"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40 m</w:t>
            </w:r>
            <w:r>
              <w:rPr>
                <w:rFonts w:hint="default" w:ascii="Times New Roman" w:hAnsi="Times New Roman" w:cs="Times New Roman"/>
                <w:color w:val="000000"/>
                <w:sz w:val="21"/>
                <w:szCs w:val="24"/>
                <w:bdr w:val="none" w:color="auto" w:sz="0" w:space="0"/>
                <w:vertAlign w:val="superscript"/>
                <w:lang w:val="en-US"/>
              </w:rPr>
              <w:t>3</w:t>
            </w:r>
            <w:r>
              <w:rPr>
                <w:rFonts w:ascii="Times New Roman" w:hAnsi="Times New Roman" w:cs="Times New Roman"/>
                <w:color w:val="000000"/>
                <w:sz w:val="21"/>
                <w:szCs w:val="24"/>
                <w:bdr w:val="none" w:color="auto" w:sz="0" w:space="0"/>
              </w:rPr>
              <w:t>化粪池</w:t>
            </w:r>
          </w:p>
        </w:tc>
        <w:tc>
          <w:tcPr>
            <w:tcW w:w="1230" w:type="dxa"/>
            <w:gridSpan w:val="2"/>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97" w:type="dxa"/>
            <w:gridSpan w:val="3"/>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4886"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1200 m</w:t>
            </w:r>
            <w:r>
              <w:rPr>
                <w:rFonts w:hint="default" w:ascii="Times New Roman" w:hAnsi="Times New Roman" w:cs="Times New Roman"/>
                <w:color w:val="000000"/>
                <w:sz w:val="21"/>
                <w:szCs w:val="24"/>
                <w:bdr w:val="none" w:color="auto" w:sz="0" w:space="0"/>
                <w:vertAlign w:val="superscript"/>
                <w:lang w:val="en-US"/>
              </w:rPr>
              <w:t>3</w:t>
            </w:r>
            <w:r>
              <w:rPr>
                <w:rFonts w:ascii="Times New Roman" w:hAnsi="Times New Roman" w:cs="Times New Roman"/>
                <w:color w:val="000000"/>
                <w:sz w:val="21"/>
                <w:szCs w:val="24"/>
                <w:bdr w:val="none" w:color="auto" w:sz="0" w:space="0"/>
              </w:rPr>
              <w:t>循环水池</w:t>
            </w:r>
          </w:p>
        </w:tc>
        <w:tc>
          <w:tcPr>
            <w:tcW w:w="1230" w:type="dxa"/>
            <w:gridSpan w:val="2"/>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200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97" w:type="dxa"/>
            <w:gridSpan w:val="3"/>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噪声污染防治</w:t>
            </w:r>
          </w:p>
        </w:tc>
        <w:tc>
          <w:tcPr>
            <w:tcW w:w="4886"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吸声、隔声、防振等措施</w:t>
            </w:r>
          </w:p>
        </w:tc>
        <w:tc>
          <w:tcPr>
            <w:tcW w:w="1230" w:type="dxa"/>
            <w:gridSpan w:val="2"/>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50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7"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固体废物</w:t>
            </w:r>
          </w:p>
        </w:tc>
        <w:tc>
          <w:tcPr>
            <w:tcW w:w="1960" w:type="dxa"/>
            <w:gridSpan w:val="2"/>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危险废物</w:t>
            </w:r>
          </w:p>
        </w:tc>
        <w:tc>
          <w:tcPr>
            <w:tcW w:w="4886"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30 m</w:t>
            </w:r>
            <w:r>
              <w:rPr>
                <w:rFonts w:hint="default" w:ascii="Times New Roman" w:hAnsi="Times New Roman" w:cs="Times New Roman"/>
                <w:color w:val="000000"/>
                <w:sz w:val="21"/>
                <w:szCs w:val="24"/>
                <w:bdr w:val="none" w:color="auto" w:sz="0" w:space="0"/>
                <w:vertAlign w:val="superscript"/>
                <w:lang w:val="en-US"/>
              </w:rPr>
              <w:t>2</w:t>
            </w:r>
            <w:r>
              <w:rPr>
                <w:rFonts w:ascii="Times New Roman" w:hAnsi="Times New Roman" w:cs="Times New Roman"/>
                <w:color w:val="000000"/>
                <w:sz w:val="21"/>
                <w:szCs w:val="24"/>
                <w:bdr w:val="none" w:color="auto" w:sz="0" w:space="0"/>
              </w:rPr>
              <w:t>危废暂存间</w:t>
            </w:r>
          </w:p>
        </w:tc>
        <w:tc>
          <w:tcPr>
            <w:tcW w:w="1230" w:type="dxa"/>
            <w:gridSpan w:val="2"/>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697" w:type="dxa"/>
            <w:gridSpan w:val="3"/>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排污口规范化设置</w:t>
            </w:r>
          </w:p>
        </w:tc>
        <w:tc>
          <w:tcPr>
            <w:tcW w:w="4886"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废气采样孔、标识牌等</w:t>
            </w:r>
          </w:p>
        </w:tc>
        <w:tc>
          <w:tcPr>
            <w:tcW w:w="1230" w:type="dxa"/>
            <w:gridSpan w:val="2"/>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583" w:type="dxa"/>
            <w:gridSpan w:val="4"/>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000000"/>
                <w:sz w:val="21"/>
                <w:szCs w:val="24"/>
                <w:bdr w:val="none" w:color="auto" w:sz="0" w:space="0"/>
                <w:lang w:val="en-US"/>
              </w:rPr>
            </w:pPr>
            <w:r>
              <w:rPr>
                <w:rFonts w:ascii="Times New Roman" w:hAnsi="Times New Roman" w:cs="Times New Roman"/>
                <w:b/>
                <w:color w:val="000000"/>
                <w:sz w:val="21"/>
                <w:szCs w:val="24"/>
                <w:bdr w:val="none" w:color="auto" w:sz="0" w:space="0"/>
              </w:rPr>
              <w:t>小计</w:t>
            </w:r>
          </w:p>
        </w:tc>
        <w:tc>
          <w:tcPr>
            <w:tcW w:w="1230" w:type="dxa"/>
            <w:gridSpan w:val="2"/>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b/>
                <w:color w:val="000000"/>
                <w:sz w:val="21"/>
                <w:szCs w:val="24"/>
                <w:bdr w:val="none" w:color="auto" w:sz="0" w:space="0"/>
                <w:lang w:val="en-US"/>
              </w:rPr>
              <w:t>626</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01" w:type="dxa"/>
            <w:gridSpan w:val="2"/>
            <w:vMerge w:val="restar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现有工程整改措施</w:t>
            </w:r>
          </w:p>
        </w:tc>
        <w:tc>
          <w:tcPr>
            <w:tcW w:w="1596"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固体废物防治</w:t>
            </w:r>
          </w:p>
        </w:tc>
        <w:tc>
          <w:tcPr>
            <w:tcW w:w="4886"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30 m</w:t>
            </w:r>
            <w:r>
              <w:rPr>
                <w:rFonts w:hint="default" w:ascii="Times New Roman" w:hAnsi="Times New Roman" w:cs="Times New Roman"/>
                <w:color w:val="000000"/>
                <w:sz w:val="21"/>
                <w:szCs w:val="24"/>
                <w:bdr w:val="none" w:color="auto" w:sz="0" w:space="0"/>
                <w:vertAlign w:val="superscript"/>
                <w:lang w:val="en-US"/>
              </w:rPr>
              <w:t>2</w:t>
            </w:r>
            <w:r>
              <w:rPr>
                <w:rFonts w:ascii="Times New Roman" w:hAnsi="Times New Roman" w:cs="Times New Roman"/>
                <w:color w:val="000000"/>
                <w:sz w:val="21"/>
                <w:szCs w:val="24"/>
                <w:bdr w:val="none" w:color="auto" w:sz="0" w:space="0"/>
              </w:rPr>
              <w:t>危废暂存间</w:t>
            </w:r>
          </w:p>
        </w:tc>
        <w:tc>
          <w:tcPr>
            <w:tcW w:w="1230" w:type="dxa"/>
            <w:gridSpan w:val="2"/>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10</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01" w:type="dxa"/>
            <w:gridSpan w:val="2"/>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596" w:type="dxa"/>
            <w:vMerge w:val="restar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水污染防治</w:t>
            </w:r>
          </w:p>
        </w:tc>
        <w:tc>
          <w:tcPr>
            <w:tcW w:w="4886"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200 m</w:t>
            </w:r>
            <w:r>
              <w:rPr>
                <w:rFonts w:hint="default" w:ascii="Times New Roman" w:hAnsi="Times New Roman" w:cs="Times New Roman"/>
                <w:color w:val="000000"/>
                <w:sz w:val="21"/>
                <w:szCs w:val="24"/>
                <w:bdr w:val="none" w:color="auto" w:sz="0" w:space="0"/>
                <w:vertAlign w:val="superscript"/>
                <w:lang w:val="en-US"/>
              </w:rPr>
              <w:t>3</w:t>
            </w:r>
            <w:r>
              <w:rPr>
                <w:rFonts w:ascii="Times New Roman" w:hAnsi="Times New Roman" w:cs="Times New Roman"/>
                <w:color w:val="000000"/>
                <w:sz w:val="21"/>
                <w:szCs w:val="24"/>
                <w:bdr w:val="none" w:color="auto" w:sz="0" w:space="0"/>
              </w:rPr>
              <w:t>事故池</w:t>
            </w:r>
          </w:p>
        </w:tc>
        <w:tc>
          <w:tcPr>
            <w:tcW w:w="1230" w:type="dxa"/>
            <w:gridSpan w:val="2"/>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9</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01" w:type="dxa"/>
            <w:gridSpan w:val="2"/>
            <w:vMerge w:val="continue"/>
            <w:tcBorders>
              <w:top w:val="single" w:color="auto" w:sz="6" w:space="0"/>
              <w:left w:val="nil"/>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1596" w:type="dxa"/>
            <w:vMerge w:val="continue"/>
            <w:tcBorders>
              <w:top w:val="single" w:color="auto" w:sz="6" w:space="0"/>
              <w:left w:val="single" w:color="auto" w:sz="6" w:space="0"/>
              <w:bottom w:val="single" w:color="auto" w:sz="6" w:space="0"/>
              <w:right w:val="single" w:color="auto" w:sz="6" w:space="0"/>
            </w:tcBorders>
            <w:shd w:val="clear"/>
            <w:vAlign w:val="center"/>
          </w:tcPr>
          <w:p>
            <w:pPr>
              <w:rPr>
                <w:rFonts w:hint="default" w:ascii="Times New Roman" w:hAnsi="Times New Roman" w:cs="Times New Roman"/>
                <w:sz w:val="20"/>
                <w:szCs w:val="20"/>
              </w:rPr>
            </w:pPr>
          </w:p>
        </w:tc>
        <w:tc>
          <w:tcPr>
            <w:tcW w:w="4886"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修补完善防渗措施</w:t>
            </w:r>
          </w:p>
        </w:tc>
        <w:tc>
          <w:tcPr>
            <w:tcW w:w="1230" w:type="dxa"/>
            <w:gridSpan w:val="2"/>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583" w:type="dxa"/>
            <w:gridSpan w:val="4"/>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小计</w:t>
            </w:r>
          </w:p>
        </w:tc>
        <w:tc>
          <w:tcPr>
            <w:tcW w:w="1230" w:type="dxa"/>
            <w:gridSpan w:val="2"/>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24</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583" w:type="dxa"/>
            <w:gridSpan w:val="4"/>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合计</w:t>
            </w:r>
          </w:p>
        </w:tc>
        <w:tc>
          <w:tcPr>
            <w:tcW w:w="1230" w:type="dxa"/>
            <w:gridSpan w:val="2"/>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650</w:t>
            </w:r>
          </w:p>
        </w:tc>
      </w:tr>
      <w:bookmarkEnd w:id="224"/>
      <w:bookmarkEnd w:id="225"/>
      <w:bookmarkEnd w:id="226"/>
      <w:bookmarkEnd w:id="227"/>
    </w:tbl>
    <w:p>
      <w:pPr>
        <w:keepNext w:val="0"/>
        <w:keepLines w:val="0"/>
        <w:widowControl/>
        <w:suppressLineNumbers w:val="0"/>
        <w:spacing w:before="0" w:beforeAutospacing="0" w:after="0" w:afterAutospacing="0" w:line="460" w:lineRule="exact"/>
        <w:ind w:left="0" w:right="0" w:firstLine="420" w:firstLineChars="200"/>
        <w:jc w:val="left"/>
        <w:rPr>
          <w:rFonts w:hint="default" w:ascii="Times New Roman" w:hAnsi="Times New Roman" w:cs="Times New Roman"/>
          <w:color w:val="000000"/>
          <w:lang w:val="en-US"/>
        </w:rPr>
      </w:pPr>
      <w:bookmarkStart w:id="236" w:name="_Toc175714285"/>
      <w:bookmarkStart w:id="237" w:name="_Toc175711452"/>
      <w:bookmarkStart w:id="238" w:name="_Toc166464753"/>
      <w:bookmarkStart w:id="239" w:name="_Toc158523438"/>
      <w:bookmarkStart w:id="240" w:name="_Toc154570276"/>
      <w:bookmarkStart w:id="241" w:name="_Toc154569889"/>
      <w:bookmarkStart w:id="242" w:name="_Toc153878485"/>
      <w:bookmarkStart w:id="243" w:name="_Toc153007149"/>
      <w:bookmarkStart w:id="244" w:name="_Toc151278950"/>
      <w:bookmarkStart w:id="245" w:name="_Toc151276237"/>
      <w:bookmarkStart w:id="246" w:name="_Toc151200344"/>
      <w:bookmarkStart w:id="247" w:name="_Toc151200184"/>
    </w:p>
    <w:p>
      <w:pPr>
        <w:rPr>
          <w:rFonts w:hint="default" w:ascii="Times New Roman" w:hAnsi="Times New Roman" w:eastAsia="宋体" w:cs="Times New Roman"/>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bookmarkEnd w:id="236"/>
    <w:bookmarkEnd w:id="237"/>
    <w:bookmarkEnd w:id="238"/>
    <w:bookmarkEnd w:id="239"/>
    <w:bookmarkEnd w:id="240"/>
    <w:bookmarkEnd w:id="241"/>
    <w:bookmarkEnd w:id="242"/>
    <w:bookmarkEnd w:id="243"/>
    <w:bookmarkEnd w:id="244"/>
    <w:bookmarkEnd w:id="245"/>
    <w:bookmarkEnd w:id="246"/>
    <w:bookmarkEnd w:id="247"/>
    <w:p>
      <w:pPr>
        <w:pStyle w:val="7"/>
        <w:widowControl/>
        <w:rPr>
          <w:rFonts w:hint="default" w:ascii="Times New Roman" w:hAnsi="Times New Roman" w:cs="Times New Roman"/>
          <w:color w:val="000000"/>
          <w:lang/>
        </w:rPr>
      </w:pPr>
      <w:bookmarkStart w:id="248" w:name="_Toc41656153"/>
      <w:bookmarkStart w:id="249" w:name="_Toc175714293"/>
      <w:bookmarkStart w:id="250" w:name="_Toc175711460"/>
      <w:bookmarkStart w:id="251" w:name="_Toc166464761"/>
      <w:r>
        <w:rPr>
          <w:rFonts w:hint="default" w:ascii="Times New Roman" w:hAnsi="Times New Roman" w:cs="Times New Roman"/>
          <w:color w:val="000000"/>
          <w:lang w:eastAsia="zh-CN"/>
        </w:rPr>
        <w:t>7</w:t>
      </w:r>
      <w:r>
        <w:rPr>
          <w:rFonts w:hint="default" w:ascii="Times New Roman" w:hAnsi="Times New Roman" w:cs="Times New Roman"/>
          <w:color w:val="000000"/>
          <w:lang/>
        </w:rPr>
        <w:t xml:space="preserve">. </w:t>
      </w:r>
      <w:r>
        <w:rPr>
          <w:rFonts w:ascii="Times New Roman" w:hAnsi="Times New Roman" w:cs="Times New Roman"/>
          <w:color w:val="000000"/>
          <w:lang/>
        </w:rPr>
        <w:t>环境影响经济损益分析</w:t>
      </w:r>
      <w:bookmarkEnd w:id="248"/>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环境影响经济损益分析是环境影响评价的重要环节之一，它的主要任务是衡量建设项目需要投入的环保投资所能得到的环保效果，以及建设项目对外界产生的环境影响、经济影响和社会影响。</w:t>
      </w: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宋体" w:hAnsi="宋体" w:eastAsia="宋体" w:cs="宋体"/>
          <w:kern w:val="0"/>
          <w:sz w:val="24"/>
          <w:szCs w:val="24"/>
          <w:lang w:val="en-US" w:eastAsia="zh-CN" w:bidi="ar"/>
        </w:rPr>
        <mc:AlternateContent>
          <mc:Choice Requires="wps">
            <w:drawing>
              <wp:anchor distT="0" distB="0" distL="114300" distR="114300" simplePos="0" relativeHeight="251663360" behindDoc="0" locked="0" layoutInCell="1" allowOverlap="1">
                <wp:simplePos x="0" y="0"/>
                <wp:positionH relativeFrom="column">
                  <wp:posOffset>3318510</wp:posOffset>
                </wp:positionH>
                <wp:positionV relativeFrom="paragraph">
                  <wp:posOffset>1501775</wp:posOffset>
                </wp:positionV>
                <wp:extent cx="1813560" cy="252095"/>
                <wp:effectExtent l="5080" t="5080" r="10160" b="9525"/>
                <wp:wrapNone/>
                <wp:docPr id="27" name="文本框 51"/>
                <wp:cNvGraphicFramePr/>
                <a:graphic xmlns:a="http://schemas.openxmlformats.org/drawingml/2006/main">
                  <a:graphicData uri="http://schemas.microsoft.com/office/word/2010/wordprocessingShape">
                    <wps:wsp>
                      <wps:cNvSpPr txBox="1"/>
                      <wps:spPr>
                        <a:xfrm>
                          <a:off x="0" y="0"/>
                          <a:ext cx="1813560" cy="2520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pacing w:before="0" w:beforeAutospacing="0" w:after="0" w:afterAutospacing="0" w:line="500" w:lineRule="exact"/>
                              <w:ind w:left="0" w:right="0"/>
                              <w:jc w:val="center"/>
                              <w:rPr>
                                <w:szCs w:val="21"/>
                                <w:bdr w:val="none" w:color="auto" w:sz="0" w:space="0"/>
                                <w:lang w:val="en-US"/>
                              </w:rPr>
                            </w:pPr>
                            <w:r>
                              <w:rPr>
                                <w:rFonts w:hint="eastAsia" w:ascii="宋体" w:hAnsi="宋体" w:eastAsia="宋体" w:cs="宋体"/>
                                <w:kern w:val="0"/>
                                <w:sz w:val="24"/>
                                <w:szCs w:val="21"/>
                                <w:bdr w:val="none" w:color="auto" w:sz="0" w:space="0"/>
                                <w:lang w:val="en-US" w:eastAsia="zh-CN" w:bidi="ar"/>
                              </w:rPr>
                              <w:t>投资费用</w:t>
                            </w:r>
                          </w:p>
                        </w:txbxContent>
                      </wps:txbx>
                      <wps:bodyPr lIns="0" tIns="0" rIns="0" bIns="0" upright="0"/>
                    </wps:wsp>
                  </a:graphicData>
                </a:graphic>
              </wp:anchor>
            </w:drawing>
          </mc:Choice>
          <mc:Fallback>
            <w:pict>
              <v:shape id="文本框 51" o:spid="_x0000_s1026" o:spt="202" type="#_x0000_t202" style="position:absolute;left:0pt;margin-left:261.3pt;margin-top:118.25pt;height:19.85pt;width:142.8pt;z-index:251663360;mso-width-relative:page;mso-height-relative:page;" fillcolor="#FFFFFF" filled="t" stroked="t" coordsize="21600,21600" o:gfxdata="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eycGzdoAAAALAQAADwAAAAAAAAABACAAAAAiAAAAZHJzL2Rv&#10;d25yZXYueG1sUEsBAhQAFAAAAAgAh07iQDhI2jD/AQAADgQAAA4AAAAAAAAAAQAgAAAAKQEAAGRy&#10;cy9lMm9Eb2MueG1sUEsFBgAAAAAGAAYAWQEAAJoFAAAAAA==&#10;">
                <v:fill on="t" focussize="0,0"/>
                <v:stroke color="#000000" joinstyle="miter"/>
                <v:imagedata o:title=""/>
                <o:lock v:ext="edit" aspectratio="f"/>
                <v:textbox inset="0mm,0mm,0mm,0mm" style="mso-rotate-with-shape:t;">
                  <w:txbxContent>
                    <w:p>
                      <w:pPr>
                        <w:keepNext w:val="0"/>
                        <w:keepLines w:val="0"/>
                        <w:widowControl/>
                        <w:suppressLineNumbers w:val="0"/>
                        <w:spacing w:before="0" w:beforeAutospacing="0" w:after="0" w:afterAutospacing="0" w:line="500" w:lineRule="exact"/>
                        <w:ind w:left="0" w:right="0"/>
                        <w:jc w:val="center"/>
                        <w:rPr>
                          <w:szCs w:val="21"/>
                          <w:bdr w:val="none" w:color="auto" w:sz="0" w:space="0"/>
                          <w:lang w:val="en-US"/>
                        </w:rPr>
                      </w:pPr>
                      <w:r>
                        <w:rPr>
                          <w:rFonts w:hint="eastAsia" w:ascii="宋体" w:hAnsi="宋体" w:eastAsia="宋体" w:cs="宋体"/>
                          <w:kern w:val="0"/>
                          <w:sz w:val="24"/>
                          <w:szCs w:val="21"/>
                          <w:bdr w:val="none" w:color="auto" w:sz="0" w:space="0"/>
                          <w:lang w:val="en-US" w:eastAsia="zh-CN" w:bidi="ar"/>
                        </w:rPr>
                        <w:t>投资费用</w:t>
                      </w:r>
                    </w:p>
                  </w:txbxContent>
                </v:textbox>
              </v:shape>
            </w:pict>
          </mc:Fallback>
        </mc:AlternateContent>
      </w:r>
      <w:r>
        <w:rPr>
          <w:rFonts w:ascii="Times New Roman" w:hAnsi="Times New Roman" w:cs="Times New Roman"/>
          <w:color w:val="000000"/>
          <w:lang/>
        </w:rPr>
        <w:t>本评价运用费用</w:t>
      </w:r>
      <w:r>
        <w:rPr>
          <w:rFonts w:hint="default" w:ascii="Times New Roman" w:hAnsi="Times New Roman" w:cs="Times New Roman"/>
          <w:color w:val="000000"/>
          <w:lang/>
        </w:rPr>
        <w:t>——</w:t>
      </w:r>
      <w:r>
        <w:rPr>
          <w:rFonts w:ascii="Times New Roman" w:hAnsi="Times New Roman" w:cs="Times New Roman"/>
          <w:color w:val="000000"/>
          <w:lang/>
        </w:rPr>
        <w:t>效益方法进行环境影响经济损益分析。由环保设施带来的经济效益易用货币形式计算出来，而污染影响带来的损失难于用货币直接估算，只能用间接反应污染损失的货币支出表示。由于基础数据不全，只能就直接可比部分利用指标计算法和相关类比法进行核算。对目前难以定量的内容，则予以定性描述。费用和效益分析图见图</w:t>
      </w:r>
      <w:r>
        <w:rPr>
          <w:rFonts w:hint="default" w:ascii="Times New Roman" w:hAnsi="Times New Roman" w:cs="Times New Roman"/>
          <w:color w:val="000000"/>
          <w:lang w:eastAsia="zh-CN"/>
        </w:rPr>
        <w:t>7</w:t>
      </w:r>
      <w:r>
        <w:rPr>
          <w:rFonts w:hint="default" w:ascii="Times New Roman" w:hAnsi="Times New Roman" w:cs="Times New Roman"/>
          <w:color w:val="000000"/>
          <w:lang/>
        </w:rPr>
        <w:t>-1</w:t>
      </w:r>
      <w:r>
        <w:rPr>
          <w:rFonts w:ascii="Times New Roman" w:hAnsi="Times New Roman" w:cs="Times New Roman"/>
          <w:color w:val="000000"/>
          <w:lang/>
        </w:rPr>
        <w:t>。</w:t>
      </w:r>
    </w:p>
    <w:p>
      <w:pPr>
        <w:pStyle w:val="27"/>
        <w:keepNext w:val="0"/>
        <w:keepLines w:val="0"/>
        <w:widowControl/>
        <w:suppressLineNumbers w:val="0"/>
        <w:adjustRightInd w:val="0"/>
        <w:snapToGrid w:val="0"/>
        <w:spacing w:before="0" w:beforeAutospacing="0" w:after="0" w:afterAutospacing="0" w:line="520" w:lineRule="exact"/>
        <w:ind w:left="0" w:right="0" w:firstLine="480" w:firstLineChars="200"/>
        <w:jc w:val="left"/>
        <w:rPr>
          <w:rFonts w:hint="default" w:ascii="Times New Roman" w:hAnsi="Times New Roman" w:cs="Times New Roman"/>
          <w:color w:val="000000"/>
          <w:lang/>
        </w:rPr>
      </w:pPr>
      <w:r>
        <w:rPr>
          <w:rFonts w:hint="eastAsia" w:ascii="宋体" w:hAnsi="宋体" w:eastAsia="宋体" w:cs="宋体"/>
          <w:kern w:val="0"/>
          <w:sz w:val="24"/>
          <w:szCs w:val="24"/>
          <w:lang w:val="en-US" w:eastAsia="zh-CN" w:bidi="ar"/>
        </w:rPr>
        <mc:AlternateContent>
          <mc:Choice Requires="wps">
            <w:drawing>
              <wp:anchor distT="0" distB="0" distL="114300" distR="114300" simplePos="0" relativeHeight="251664384" behindDoc="0" locked="0" layoutInCell="1" allowOverlap="1">
                <wp:simplePos x="0" y="0"/>
                <wp:positionH relativeFrom="column">
                  <wp:posOffset>3318510</wp:posOffset>
                </wp:positionH>
                <wp:positionV relativeFrom="paragraph">
                  <wp:posOffset>407670</wp:posOffset>
                </wp:positionV>
                <wp:extent cx="1813560" cy="252095"/>
                <wp:effectExtent l="5080" t="5080" r="10160" b="9525"/>
                <wp:wrapNone/>
                <wp:docPr id="28" name="文本框 42"/>
                <wp:cNvGraphicFramePr/>
                <a:graphic xmlns:a="http://schemas.openxmlformats.org/drawingml/2006/main">
                  <a:graphicData uri="http://schemas.microsoft.com/office/word/2010/wordprocessingShape">
                    <wps:wsp>
                      <wps:cNvSpPr txBox="1"/>
                      <wps:spPr>
                        <a:xfrm>
                          <a:off x="0" y="0"/>
                          <a:ext cx="1813560" cy="2520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操作管理费用</w:t>
                            </w:r>
                          </w:p>
                        </w:txbxContent>
                      </wps:txbx>
                      <wps:bodyPr lIns="0" tIns="0" rIns="0" bIns="0" upright="0"/>
                    </wps:wsp>
                  </a:graphicData>
                </a:graphic>
              </wp:anchor>
            </w:drawing>
          </mc:Choice>
          <mc:Fallback>
            <w:pict>
              <v:shape id="文本框 42" o:spid="_x0000_s1026" o:spt="202" type="#_x0000_t202" style="position:absolute;left:0pt;margin-left:261.3pt;margin-top:32.1pt;height:19.85pt;width:142.8pt;z-index:251664384;mso-width-relative:page;mso-height-relative:page;" fillcolor="#FFFFFF" filled="t" stroked="t" coordsize="21600,21600" o:gfxdata="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pv5oV2QAAAAoBAAAPAAAAAAAAAAEAIAAAACIAAABkcnMvZG93&#10;bnJldi54bWxQSwECFAAUAAAACACHTuJAVogflf8BAAAOBAAADgAAAAAAAAABACAAAAAoAQAAZHJz&#10;L2Uyb0RvYy54bWxQSwUGAAAAAAYABgBZAQAAmQUAAAAA&#10;">
                <v:fill on="t" focussize="0,0"/>
                <v:stroke color="#000000" joinstyle="miter"/>
                <v:imagedata o:title=""/>
                <o:lock v:ext="edit" aspectratio="f"/>
                <v:textbox inset="0mm,0mm,0mm,0mm" style="mso-rotate-with-shape:t;">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操作管理费用</w:t>
                      </w:r>
                    </w:p>
                  </w:txbxContent>
                </v:textbox>
              </v:shape>
            </w:pict>
          </mc:Fallback>
        </mc:AlternateContent>
      </w:r>
      <w:r>
        <w:rPr>
          <w:lang w:eastAsia="zh-CN"/>
        </w:rPr>
        <mc:AlternateContent>
          <mc:Choice Requires="wps">
            <w:drawing>
              <wp:anchor distT="0" distB="0" distL="114300" distR="114300" simplePos="0" relativeHeight="251665408" behindDoc="0" locked="0" layoutInCell="1" allowOverlap="1">
                <wp:simplePos x="0" y="0"/>
                <wp:positionH relativeFrom="column">
                  <wp:posOffset>3318510</wp:posOffset>
                </wp:positionH>
                <wp:positionV relativeFrom="paragraph">
                  <wp:posOffset>857250</wp:posOffset>
                </wp:positionV>
                <wp:extent cx="1813560" cy="252095"/>
                <wp:effectExtent l="5080" t="5080" r="10160" b="9525"/>
                <wp:wrapNone/>
                <wp:docPr id="29" name="文本框 38"/>
                <wp:cNvGraphicFramePr/>
                <a:graphic xmlns:a="http://schemas.openxmlformats.org/drawingml/2006/main">
                  <a:graphicData uri="http://schemas.microsoft.com/office/word/2010/wordprocessingShape">
                    <wps:wsp>
                      <wps:cNvSpPr txBox="1"/>
                      <wps:spPr>
                        <a:xfrm>
                          <a:off x="0" y="0"/>
                          <a:ext cx="1813560" cy="2520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不采取措施时损失</w:t>
                            </w:r>
                          </w:p>
                        </w:txbxContent>
                      </wps:txbx>
                      <wps:bodyPr lIns="0" tIns="0" rIns="0" bIns="0" upright="0"/>
                    </wps:wsp>
                  </a:graphicData>
                </a:graphic>
              </wp:anchor>
            </w:drawing>
          </mc:Choice>
          <mc:Fallback>
            <w:pict>
              <v:shape id="文本框 38" o:spid="_x0000_s1026" o:spt="202" type="#_x0000_t202" style="position:absolute;left:0pt;margin-left:261.3pt;margin-top:67.5pt;height:19.85pt;width:142.8pt;z-index:251665408;mso-width-relative:page;mso-height-relative:page;" fillcolor="#FFFFFF" filled="t" stroked="t" coordsize="21600,21600" o:gfxdata="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QoDNidoAAAALAQAADwAAAAAAAAABACAAAAAiAAAAZHJzL2Rv&#10;d25yZXYueG1sUEsBAhQAFAAAAAgAh07iQKLBy9b/AQAADgQAAA4AAAAAAAAAAQAgAAAAKQEAAGRy&#10;cy9lMm9Eb2MueG1sUEsFBgAAAAAGAAYAWQEAAJoFAAAAAA==&#10;">
                <v:fill on="t" focussize="0,0"/>
                <v:stroke color="#000000" joinstyle="miter"/>
                <v:imagedata o:title=""/>
                <o:lock v:ext="edit" aspectratio="f"/>
                <v:textbox inset="0mm,0mm,0mm,0mm" style="mso-rotate-with-shape:t;">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不采取措施时损失</w:t>
                      </w:r>
                    </w:p>
                  </w:txbxContent>
                </v:textbox>
              </v:shape>
            </w:pict>
          </mc:Fallback>
        </mc:AlternateContent>
      </w:r>
      <w:r>
        <w:rPr>
          <w:lang w:eastAsia="zh-CN"/>
        </w:rPr>
        <mc:AlternateContent>
          <mc:Choice Requires="wps">
            <w:drawing>
              <wp:anchor distT="0" distB="0" distL="114300" distR="114300" simplePos="0" relativeHeight="251666432" behindDoc="0" locked="0" layoutInCell="1" allowOverlap="1">
                <wp:simplePos x="0" y="0"/>
                <wp:positionH relativeFrom="column">
                  <wp:posOffset>3318510</wp:posOffset>
                </wp:positionH>
                <wp:positionV relativeFrom="paragraph">
                  <wp:posOffset>1303020</wp:posOffset>
                </wp:positionV>
                <wp:extent cx="1813560" cy="252095"/>
                <wp:effectExtent l="5080" t="5080" r="10160" b="9525"/>
                <wp:wrapNone/>
                <wp:docPr id="30" name="文本框 32"/>
                <wp:cNvGraphicFramePr/>
                <a:graphic xmlns:a="http://schemas.openxmlformats.org/drawingml/2006/main">
                  <a:graphicData uri="http://schemas.microsoft.com/office/word/2010/wordprocessingShape">
                    <wps:wsp>
                      <wps:cNvSpPr txBox="1"/>
                      <wps:spPr>
                        <a:xfrm>
                          <a:off x="0" y="0"/>
                          <a:ext cx="1813560" cy="2520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采取措施时损失</w:t>
                            </w:r>
                          </w:p>
                        </w:txbxContent>
                      </wps:txbx>
                      <wps:bodyPr lIns="0" tIns="0" rIns="0" bIns="0" upright="0"/>
                    </wps:wsp>
                  </a:graphicData>
                </a:graphic>
              </wp:anchor>
            </w:drawing>
          </mc:Choice>
          <mc:Fallback>
            <w:pict>
              <v:shape id="文本框 32" o:spid="_x0000_s1026" o:spt="202" type="#_x0000_t202" style="position:absolute;left:0pt;margin-left:261.3pt;margin-top:102.6pt;height:19.85pt;width:142.8pt;z-index:251666432;mso-width-relative:page;mso-height-relative:page;" fillcolor="#FFFFFF" filled="t" stroked="t" coordsize="21600,21600" o:gfxdata="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ez1gfNoAAAALAQAADwAAAAAAAAABACAAAAAiAAAAZHJzL2Rv&#10;d25yZXYueG1sUEsBAhQAFAAAAAgAh07iQMykz3P/AQAADgQAAA4AAAAAAAAAAQAgAAAAKQEAAGRy&#10;cy9lMm9Eb2MueG1sUEsFBgAAAAAGAAYAWQEAAJoFAAAAAA==&#10;">
                <v:fill on="t" focussize="0,0"/>
                <v:stroke color="#000000" joinstyle="miter"/>
                <v:imagedata o:title=""/>
                <o:lock v:ext="edit" aspectratio="f"/>
                <v:textbox inset="0mm,0mm,0mm,0mm" style="mso-rotate-with-shape:t;">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采取措施时损失</w:t>
                      </w:r>
                    </w:p>
                  </w:txbxContent>
                </v:textbox>
              </v:shape>
            </w:pict>
          </mc:Fallback>
        </mc:AlternateContent>
      </w:r>
      <w:r>
        <w:rPr>
          <w:lang w:eastAsia="zh-CN"/>
        </w:rPr>
        <mc:AlternateContent>
          <mc:Choice Requires="wps">
            <w:drawing>
              <wp:anchor distT="0" distB="0" distL="114300" distR="114300" simplePos="0" relativeHeight="251667456" behindDoc="0" locked="0" layoutInCell="1" allowOverlap="1">
                <wp:simplePos x="0" y="0"/>
                <wp:positionH relativeFrom="column">
                  <wp:posOffset>3318510</wp:posOffset>
                </wp:positionH>
                <wp:positionV relativeFrom="paragraph">
                  <wp:posOffset>1769745</wp:posOffset>
                </wp:positionV>
                <wp:extent cx="1813560" cy="252095"/>
                <wp:effectExtent l="5080" t="5080" r="10160" b="9525"/>
                <wp:wrapNone/>
                <wp:docPr id="31" name="文本框 26"/>
                <wp:cNvGraphicFramePr/>
                <a:graphic xmlns:a="http://schemas.openxmlformats.org/drawingml/2006/main">
                  <a:graphicData uri="http://schemas.microsoft.com/office/word/2010/wordprocessingShape">
                    <wps:wsp>
                      <wps:cNvSpPr txBox="1"/>
                      <wps:spPr>
                        <a:xfrm>
                          <a:off x="0" y="0"/>
                          <a:ext cx="1813560" cy="2520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工程本身的经济效益</w:t>
                            </w:r>
                          </w:p>
                        </w:txbxContent>
                      </wps:txbx>
                      <wps:bodyPr lIns="0" tIns="0" rIns="0" bIns="0" upright="0"/>
                    </wps:wsp>
                  </a:graphicData>
                </a:graphic>
              </wp:anchor>
            </w:drawing>
          </mc:Choice>
          <mc:Fallback>
            <w:pict>
              <v:shape id="文本框 26" o:spid="_x0000_s1026" o:spt="202" type="#_x0000_t202" style="position:absolute;left:0pt;margin-left:261.3pt;margin-top:139.35pt;height:19.85pt;width:142.8pt;z-index:251667456;mso-width-relative:page;mso-height-relative:page;" fillcolor="#FFFFFF" filled="t" stroked="t" coordsize="21600,21600" o:gfxdata="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v8Qr/aAAAACwEAAA8AAAAAAAAAAQAgAAAAIgAAAGRycy9k&#10;b3ducmV2LnhtbFBLAQIUABQAAAAIAIdO4kAMShjzAAIAAA4EAAAOAAAAAAAAAAEAIAAAACkBAABk&#10;cnMvZTJvRG9jLnhtbFBLBQYAAAAABgAGAFkBAACbBQAAAAA=&#10;">
                <v:fill on="t" focussize="0,0"/>
                <v:stroke color="#000000" joinstyle="miter"/>
                <v:imagedata o:title=""/>
                <o:lock v:ext="edit" aspectratio="f"/>
                <v:textbox inset="0mm,0mm,0mm,0mm" style="mso-rotate-with-shape:t;">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工程本身的经济效益</w:t>
                      </w:r>
                    </w:p>
                  </w:txbxContent>
                </v:textbox>
              </v:shape>
            </w:pict>
          </mc:Fallback>
        </mc:AlternateContent>
      </w:r>
      <w:r>
        <w:rPr>
          <w:lang w:eastAsia="zh-CN"/>
        </w:rPr>
        <mc:AlternateContent>
          <mc:Choice Requires="wps">
            <w:drawing>
              <wp:anchor distT="0" distB="0" distL="114300" distR="114300" simplePos="0" relativeHeight="251668480" behindDoc="0" locked="0" layoutInCell="1" allowOverlap="1">
                <wp:simplePos x="0" y="0"/>
                <wp:positionH relativeFrom="column">
                  <wp:posOffset>3318510</wp:posOffset>
                </wp:positionH>
                <wp:positionV relativeFrom="paragraph">
                  <wp:posOffset>2215515</wp:posOffset>
                </wp:positionV>
                <wp:extent cx="1813560" cy="252095"/>
                <wp:effectExtent l="5080" t="5080" r="10160" b="9525"/>
                <wp:wrapNone/>
                <wp:docPr id="32" name="文本框 24"/>
                <wp:cNvGraphicFramePr/>
                <a:graphic xmlns:a="http://schemas.openxmlformats.org/drawingml/2006/main">
                  <a:graphicData uri="http://schemas.microsoft.com/office/word/2010/wordprocessingShape">
                    <wps:wsp>
                      <wps:cNvSpPr txBox="1"/>
                      <wps:spPr>
                        <a:xfrm>
                          <a:off x="0" y="0"/>
                          <a:ext cx="1813560" cy="2520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采取环保措施后经济效益</w:t>
                            </w:r>
                          </w:p>
                        </w:txbxContent>
                      </wps:txbx>
                      <wps:bodyPr lIns="0" tIns="0" rIns="0" bIns="0" upright="0"/>
                    </wps:wsp>
                  </a:graphicData>
                </a:graphic>
              </wp:anchor>
            </w:drawing>
          </mc:Choice>
          <mc:Fallback>
            <w:pict>
              <v:shape id="文本框 24" o:spid="_x0000_s1026" o:spt="202" type="#_x0000_t202" style="position:absolute;left:0pt;margin-left:261.3pt;margin-top:174.45pt;height:19.85pt;width:142.8pt;z-index:251668480;mso-width-relative:page;mso-height-relative:page;" fillcolor="#FFFFFF" filled="t" stroked="t" coordsize="21600,21600" o:gfxdata="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0C1lZdoAAAALAQAADwAAAAAAAAABACAAAAAiAAAAZHJzL2Rv&#10;d25yZXYueG1sUEsBAhQAFAAAAAgAh07iQH78nFf/AQAADgQAAA4AAAAAAAAAAQAgAAAAKQEAAGRy&#10;cy9lMm9Eb2MueG1sUEsFBgAAAAAGAAYAWQEAAJoFAAAAAA==&#10;">
                <v:fill on="t" focussize="0,0"/>
                <v:stroke color="#000000" joinstyle="miter"/>
                <v:imagedata o:title=""/>
                <o:lock v:ext="edit" aspectratio="f"/>
                <v:textbox inset="0mm,0mm,0mm,0mm" style="mso-rotate-with-shape:t;">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采取环保措施后经济效益</w:t>
                      </w:r>
                    </w:p>
                  </w:txbxContent>
                </v:textbox>
              </v:shape>
            </w:pict>
          </mc:Fallback>
        </mc:AlternateContent>
      </w:r>
      <w:r>
        <w:rPr>
          <w:lang w:eastAsia="zh-CN"/>
        </w:rPr>
        <mc:AlternateContent>
          <mc:Choice Requires="wps">
            <w:drawing>
              <wp:anchor distT="0" distB="0" distL="114300" distR="114300" simplePos="0" relativeHeight="251669504" behindDoc="0" locked="0" layoutInCell="1" allowOverlap="1">
                <wp:simplePos x="0" y="0"/>
                <wp:positionH relativeFrom="column">
                  <wp:posOffset>3318510</wp:posOffset>
                </wp:positionH>
                <wp:positionV relativeFrom="paragraph">
                  <wp:posOffset>2668270</wp:posOffset>
                </wp:positionV>
                <wp:extent cx="1813560" cy="252095"/>
                <wp:effectExtent l="5080" t="5080" r="10160" b="9525"/>
                <wp:wrapNone/>
                <wp:docPr id="33" name="文本框 17"/>
                <wp:cNvGraphicFramePr/>
                <a:graphic xmlns:a="http://schemas.openxmlformats.org/drawingml/2006/main">
                  <a:graphicData uri="http://schemas.microsoft.com/office/word/2010/wordprocessingShape">
                    <wps:wsp>
                      <wps:cNvSpPr txBox="1"/>
                      <wps:spPr>
                        <a:xfrm>
                          <a:off x="0" y="0"/>
                          <a:ext cx="1813560" cy="2520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工程建设减轻的环境污染</w:t>
                            </w:r>
                          </w:p>
                        </w:txbxContent>
                      </wps:txbx>
                      <wps:bodyPr lIns="0" tIns="0" rIns="0" bIns="0" upright="0"/>
                    </wps:wsp>
                  </a:graphicData>
                </a:graphic>
              </wp:anchor>
            </w:drawing>
          </mc:Choice>
          <mc:Fallback>
            <w:pict>
              <v:shape id="文本框 17" o:spid="_x0000_s1026" o:spt="202" type="#_x0000_t202" style="position:absolute;left:0pt;margin-left:261.3pt;margin-top:210.1pt;height:19.85pt;width:142.8pt;z-index:251669504;mso-width-relative:page;mso-height-relative:page;" fillcolor="#FFFFFF" filled="t" stroked="t" coordsize="21600,21600" o:gfxdata="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I5RJOdoAAAALAQAADwAAAAAAAAABACAAAAAiAAAAZHJzL2Rv&#10;d25yZXYueG1sUEsBAhQAFAAAAAgAh07iQNo0Btf/AQAADgQAAA4AAAAAAAAAAQAgAAAAKQEAAGRy&#10;cy9lMm9Eb2MueG1sUEsFBgAAAAAGAAYAWQEAAJoFAAAAAA==&#10;">
                <v:fill on="t" focussize="0,0"/>
                <v:stroke color="#000000" joinstyle="miter"/>
                <v:imagedata o:title=""/>
                <o:lock v:ext="edit" aspectratio="f"/>
                <v:textbox inset="0mm,0mm,0mm,0mm" style="mso-rotate-with-shape:t;">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工程建设减轻的环境污染</w:t>
                      </w:r>
                    </w:p>
                  </w:txbxContent>
                </v:textbox>
              </v:shape>
            </w:pict>
          </mc:Fallback>
        </mc:AlternateContent>
      </w:r>
      <w:r>
        <w:rPr>
          <w:lang w:eastAsia="zh-CN"/>
        </w:rPr>
        <mc:AlternateContent>
          <mc:Choice Requires="wps">
            <w:drawing>
              <wp:anchor distT="0" distB="0" distL="114300" distR="114300" simplePos="0" relativeHeight="251670528" behindDoc="0" locked="0" layoutInCell="1" allowOverlap="1">
                <wp:simplePos x="0" y="0"/>
                <wp:positionH relativeFrom="column">
                  <wp:posOffset>3318510</wp:posOffset>
                </wp:positionH>
                <wp:positionV relativeFrom="paragraph">
                  <wp:posOffset>3114040</wp:posOffset>
                </wp:positionV>
                <wp:extent cx="1813560" cy="252095"/>
                <wp:effectExtent l="5080" t="5080" r="10160" b="9525"/>
                <wp:wrapNone/>
                <wp:docPr id="34" name="文本框 12"/>
                <wp:cNvGraphicFramePr/>
                <a:graphic xmlns:a="http://schemas.openxmlformats.org/drawingml/2006/main">
                  <a:graphicData uri="http://schemas.microsoft.com/office/word/2010/wordprocessingShape">
                    <wps:wsp>
                      <wps:cNvSpPr txBox="1"/>
                      <wps:spPr>
                        <a:xfrm>
                          <a:off x="0" y="0"/>
                          <a:ext cx="1813560" cy="2520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充分利用能源，节约能耗</w:t>
                            </w:r>
                          </w:p>
                        </w:txbxContent>
                      </wps:txbx>
                      <wps:bodyPr lIns="0" tIns="0" rIns="0" bIns="0" upright="0"/>
                    </wps:wsp>
                  </a:graphicData>
                </a:graphic>
              </wp:anchor>
            </w:drawing>
          </mc:Choice>
          <mc:Fallback>
            <w:pict>
              <v:shape id="文本框 12" o:spid="_x0000_s1026" o:spt="202" type="#_x0000_t202" style="position:absolute;left:0pt;margin-left:261.3pt;margin-top:245.2pt;height:19.85pt;width:142.8pt;z-index:251670528;mso-width-relative:page;mso-height-relative:page;" fillcolor="#FFFFFF" filled="t" stroked="t" coordsize="21600,21600" o:gfxdata="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5DDDV9oAAAALAQAADwAAAAAAAAABACAAAAAiAAAAZHJzL2Rv&#10;d25yZXYueG1sUEsBAhQAFAAAAAgAh07iQCTV1PL/AQAADgQAAA4AAAAAAAAAAQAgAAAAKQEAAGRy&#10;cy9lMm9Eb2MueG1sUEsFBgAAAAAGAAYAWQEAAJoFAAAAAA==&#10;">
                <v:fill on="t" focussize="0,0"/>
                <v:stroke color="#000000" joinstyle="miter"/>
                <v:imagedata o:title=""/>
                <o:lock v:ext="edit" aspectratio="f"/>
                <v:textbox inset="0mm,0mm,0mm,0mm" style="mso-rotate-with-shape:t;">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充分利用能源，节约能耗</w:t>
                      </w:r>
                    </w:p>
                  </w:txbxContent>
                </v:textbox>
              </v:shape>
            </w:pict>
          </mc:Fallback>
        </mc:AlternateContent>
      </w:r>
      <w:r>
        <w:rPr>
          <w:lang w:eastAsia="zh-CN"/>
        </w:rPr>
        <mc:AlternateContent>
          <mc:Choice Requires="wps">
            <w:drawing>
              <wp:anchor distT="0" distB="0" distL="114300" distR="114300" simplePos="0" relativeHeight="251671552" behindDoc="0" locked="0" layoutInCell="1" allowOverlap="1">
                <wp:simplePos x="0" y="0"/>
                <wp:positionH relativeFrom="column">
                  <wp:posOffset>3318510</wp:posOffset>
                </wp:positionH>
                <wp:positionV relativeFrom="paragraph">
                  <wp:posOffset>3551555</wp:posOffset>
                </wp:positionV>
                <wp:extent cx="1813560" cy="252095"/>
                <wp:effectExtent l="5080" t="5080" r="10160" b="9525"/>
                <wp:wrapNone/>
                <wp:docPr id="35" name="文本框 10"/>
                <wp:cNvGraphicFramePr/>
                <a:graphic xmlns:a="http://schemas.openxmlformats.org/drawingml/2006/main">
                  <a:graphicData uri="http://schemas.microsoft.com/office/word/2010/wordprocessingShape">
                    <wps:wsp>
                      <wps:cNvSpPr txBox="1"/>
                      <wps:spPr>
                        <a:xfrm>
                          <a:off x="0" y="0"/>
                          <a:ext cx="1813560" cy="2520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发展经济、带动相关产业发展</w:t>
                            </w:r>
                          </w:p>
                        </w:txbxContent>
                      </wps:txbx>
                      <wps:bodyPr lIns="0" tIns="0" rIns="0" bIns="0" upright="0"/>
                    </wps:wsp>
                  </a:graphicData>
                </a:graphic>
              </wp:anchor>
            </w:drawing>
          </mc:Choice>
          <mc:Fallback>
            <w:pict>
              <v:shape id="文本框 10" o:spid="_x0000_s1026" o:spt="202" type="#_x0000_t202" style="position:absolute;left:0pt;margin-left:261.3pt;margin-top:279.65pt;height:19.85pt;width:142.8pt;z-index:251671552;mso-width-relative:page;mso-height-relative:page;" fillcolor="#FFFFFF" filled="t" stroked="t" coordsize="21600,21600" o:gfxdata="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HWuuDZAAAACwEAAA8AAAAAAAAAAQAgAAAAIgAAAGRycy9kb3du&#10;cmV2LnhtbFBLAQIUABQAAAAIAIdO4kBcLhF3/gEAAA4EAAAOAAAAAAAAAAEAIAAAACgBAABkcnMv&#10;ZTJvRG9jLnhtbFBLBQYAAAAABgAGAFkBAACYBQAAAAA=&#10;">
                <v:fill on="t" focussize="0,0"/>
                <v:stroke color="#000000" joinstyle="miter"/>
                <v:imagedata o:title=""/>
                <o:lock v:ext="edit" aspectratio="f"/>
                <v:textbox inset="0mm,0mm,0mm,0mm" style="mso-rotate-with-shape:t;">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发展经济、带动相关产业发展</w:t>
                      </w:r>
                    </w:p>
                  </w:txbxContent>
                </v:textbox>
              </v:shape>
            </w:pict>
          </mc:Fallback>
        </mc:AlternateContent>
      </w:r>
      <w:r>
        <w:rPr>
          <w:lang w:eastAsia="zh-CN"/>
        </w:rPr>
        <mc:AlternateContent>
          <mc:Choice Requires="wps">
            <w:drawing>
              <wp:anchor distT="0" distB="0" distL="114300" distR="114300" simplePos="0" relativeHeight="251672576" behindDoc="0" locked="0" layoutInCell="1" allowOverlap="1">
                <wp:simplePos x="0" y="0"/>
                <wp:positionH relativeFrom="column">
                  <wp:posOffset>3318510</wp:posOffset>
                </wp:positionH>
                <wp:positionV relativeFrom="paragraph">
                  <wp:posOffset>3997325</wp:posOffset>
                </wp:positionV>
                <wp:extent cx="1813560" cy="252095"/>
                <wp:effectExtent l="5080" t="5080" r="10160" b="9525"/>
                <wp:wrapNone/>
                <wp:docPr id="36" name="文本框 5"/>
                <wp:cNvGraphicFramePr/>
                <a:graphic xmlns:a="http://schemas.openxmlformats.org/drawingml/2006/main">
                  <a:graphicData uri="http://schemas.microsoft.com/office/word/2010/wordprocessingShape">
                    <wps:wsp>
                      <wps:cNvSpPr txBox="1"/>
                      <wps:spPr>
                        <a:xfrm>
                          <a:off x="0" y="0"/>
                          <a:ext cx="1813560" cy="2520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提高居民就业机会</w:t>
                            </w:r>
                          </w:p>
                        </w:txbxContent>
                      </wps:txbx>
                      <wps:bodyPr lIns="0" tIns="0" rIns="0" bIns="0" upright="0"/>
                    </wps:wsp>
                  </a:graphicData>
                </a:graphic>
              </wp:anchor>
            </w:drawing>
          </mc:Choice>
          <mc:Fallback>
            <w:pict>
              <v:shape id="文本框 5" o:spid="_x0000_s1026" o:spt="202" type="#_x0000_t202" style="position:absolute;left:0pt;margin-left:261.3pt;margin-top:314.75pt;height:19.85pt;width:142.8pt;z-index:251672576;mso-width-relative:page;mso-height-relative:page;" fillcolor="#FFFFFF" filled="t" stroked="t" coordsize="21600,21600" o:gfxdata="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CAjTTdoAAAALAQAADwAAAAAAAAABACAAAAAiAAAAZHJzL2Rv&#10;d25yZXYueG1sUEsBAhQAFAAAAAgAh07iQB6SvvL/AQAADQQAAA4AAAAAAAAAAQAgAAAAKQEAAGRy&#10;cy9lMm9Eb2MueG1sUEsFBgAAAAAGAAYAWQEAAJoFAAAAAA==&#10;">
                <v:fill on="t" focussize="0,0"/>
                <v:stroke color="#000000" joinstyle="miter"/>
                <v:imagedata o:title=""/>
                <o:lock v:ext="edit" aspectratio="f"/>
                <v:textbox inset="0mm,0mm,0mm,0mm" style="mso-rotate-with-shape:t;">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提高居民就业机会</w:t>
                      </w:r>
                    </w:p>
                  </w:txbxContent>
                </v:textbox>
              </v:shape>
            </w:pict>
          </mc:Fallback>
        </mc:AlternateContent>
      </w:r>
      <w:r>
        <w:rPr>
          <w:lang w:eastAsia="zh-CN"/>
        </w:rPr>
        <mc:AlternateContent>
          <mc:Choice Requires="wps">
            <w:drawing>
              <wp:anchor distT="0" distB="0" distL="114300" distR="114300" simplePos="0" relativeHeight="251673600" behindDoc="0" locked="0" layoutInCell="1" allowOverlap="1">
                <wp:simplePos x="0" y="0"/>
                <wp:positionH relativeFrom="column">
                  <wp:posOffset>1584960</wp:posOffset>
                </wp:positionH>
                <wp:positionV relativeFrom="paragraph">
                  <wp:posOffset>166370</wp:posOffset>
                </wp:positionV>
                <wp:extent cx="1013460" cy="252095"/>
                <wp:effectExtent l="5080" t="4445" r="10160" b="10160"/>
                <wp:wrapNone/>
                <wp:docPr id="37" name="文本框 45"/>
                <wp:cNvGraphicFramePr/>
                <a:graphic xmlns:a="http://schemas.openxmlformats.org/drawingml/2006/main">
                  <a:graphicData uri="http://schemas.microsoft.com/office/word/2010/wordprocessingShape">
                    <wps:wsp>
                      <wps:cNvSpPr txBox="1"/>
                      <wps:spPr>
                        <a:xfrm>
                          <a:off x="0" y="0"/>
                          <a:ext cx="1013460" cy="2520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环保设施费用</w:t>
                            </w:r>
                          </w:p>
                        </w:txbxContent>
                      </wps:txbx>
                      <wps:bodyPr lIns="0" tIns="0" rIns="0" bIns="0" upright="0"/>
                    </wps:wsp>
                  </a:graphicData>
                </a:graphic>
              </wp:anchor>
            </w:drawing>
          </mc:Choice>
          <mc:Fallback>
            <w:pict>
              <v:shape id="文本框 45" o:spid="_x0000_s1026" o:spt="202" type="#_x0000_t202" style="position:absolute;left:0pt;margin-left:124.8pt;margin-top:13.1pt;height:19.85pt;width:79.8pt;z-index:251673600;mso-width-relative:page;mso-height-relative:page;" fillcolor="#FFFFFF" filled="t" stroked="t" coordsize="21600,21600" o:gfxdata="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8yhvYAAAACQEAAA8AAAAAAAAAAQAgAAAAIgAAAGRycy9k&#10;b3ducmV2LnhtbFBLAQIUABQAAAAIAIdO4kADOkhXAgIAAA4EAAAOAAAAAAAAAAEAIAAAACcBAABk&#10;cnMvZTJvRG9jLnhtbFBLBQYAAAAABgAGAFkBAACbBQAAAAA=&#10;">
                <v:fill on="t" focussize="0,0"/>
                <v:stroke color="#000000" joinstyle="miter"/>
                <v:imagedata o:title=""/>
                <o:lock v:ext="edit" aspectratio="f"/>
                <v:textbox inset="0mm,0mm,0mm,0mm" style="mso-rotate-with-shape:t;">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环保设施费用</w:t>
                      </w:r>
                    </w:p>
                  </w:txbxContent>
                </v:textbox>
              </v:shape>
            </w:pict>
          </mc:Fallback>
        </mc:AlternateContent>
      </w:r>
      <w:r>
        <w:rPr>
          <w:lang w:eastAsia="zh-CN"/>
        </w:rPr>
        <mc:AlternateContent>
          <mc:Choice Requires="wps">
            <w:drawing>
              <wp:anchor distT="0" distB="0" distL="114300" distR="114300" simplePos="0" relativeHeight="251674624" behindDoc="0" locked="0" layoutInCell="1" allowOverlap="1">
                <wp:simplePos x="0" y="0"/>
                <wp:positionH relativeFrom="column">
                  <wp:posOffset>1598295</wp:posOffset>
                </wp:positionH>
                <wp:positionV relativeFrom="paragraph">
                  <wp:posOffset>1001395</wp:posOffset>
                </wp:positionV>
                <wp:extent cx="1013460" cy="412750"/>
                <wp:effectExtent l="4445" t="4445" r="10795" b="20955"/>
                <wp:wrapNone/>
                <wp:docPr id="38" name="文本框 33"/>
                <wp:cNvGraphicFramePr/>
                <a:graphic xmlns:a="http://schemas.openxmlformats.org/drawingml/2006/main">
                  <a:graphicData uri="http://schemas.microsoft.com/office/word/2010/wordprocessingShape">
                    <wps:wsp>
                      <wps:cNvSpPr txBox="1"/>
                      <wps:spPr>
                        <a:xfrm>
                          <a:off x="0" y="0"/>
                          <a:ext cx="1013460" cy="412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napToGrid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环境污染造成的资源能源损失</w:t>
                            </w:r>
                          </w:p>
                        </w:txbxContent>
                      </wps:txbx>
                      <wps:bodyPr lIns="0" tIns="0" rIns="0" bIns="0" upright="0"/>
                    </wps:wsp>
                  </a:graphicData>
                </a:graphic>
              </wp:anchor>
            </w:drawing>
          </mc:Choice>
          <mc:Fallback>
            <w:pict>
              <v:shape id="文本框 33" o:spid="_x0000_s1026" o:spt="202" type="#_x0000_t202" style="position:absolute;left:0pt;margin-left:125.85pt;margin-top:78.85pt;height:32.5pt;width:79.8pt;z-index:251674624;mso-width-relative:page;mso-height-relative:page;" fillcolor="#FFFFFF" filled="t" stroked="t" coordsize="21600,21600" o:gfxdata="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k7oz49gAAAALAQAADwAAAAAAAAABACAAAAAiAAAAZHJzL2Rv&#10;d25yZXYueG1sUEsBAhQAFAAAAAgAh07iQFmVCKkBAgAADgQAAA4AAAAAAAAAAQAgAAAAJwEAAGRy&#10;cy9lMm9Eb2MueG1sUEsFBgAAAAAGAAYAWQEAAJoFAAAAAA==&#10;">
                <v:fill on="t" focussize="0,0"/>
                <v:stroke color="#000000" joinstyle="miter"/>
                <v:imagedata o:title=""/>
                <o:lock v:ext="edit" aspectratio="f"/>
                <v:textbox inset="0mm,0mm,0mm,0mm" style="mso-rotate-with-shape:t;">
                  <w:txbxContent>
                    <w:p>
                      <w:pPr>
                        <w:keepNext w:val="0"/>
                        <w:keepLines w:val="0"/>
                        <w:widowControl/>
                        <w:suppressLineNumbers w:val="0"/>
                        <w:snapToGrid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环境污染造成的资源能源损失</w:t>
                      </w:r>
                    </w:p>
                  </w:txbxContent>
                </v:textbox>
              </v:shape>
            </w:pict>
          </mc:Fallback>
        </mc:AlternateContent>
      </w:r>
      <w:r>
        <w:rPr>
          <w:lang w:eastAsia="zh-CN"/>
        </w:rPr>
        <mc:AlternateContent>
          <mc:Choice Requires="wps">
            <w:drawing>
              <wp:anchor distT="0" distB="0" distL="114300" distR="114300" simplePos="0" relativeHeight="251675648" behindDoc="0" locked="0" layoutInCell="1" allowOverlap="1">
                <wp:simplePos x="0" y="0"/>
                <wp:positionH relativeFrom="column">
                  <wp:posOffset>1598295</wp:posOffset>
                </wp:positionH>
                <wp:positionV relativeFrom="paragraph">
                  <wp:posOffset>2153920</wp:posOffset>
                </wp:positionV>
                <wp:extent cx="1066800" cy="412750"/>
                <wp:effectExtent l="5080" t="4445" r="13970" b="20955"/>
                <wp:wrapNone/>
                <wp:docPr id="39" name="文本框 25"/>
                <wp:cNvGraphicFramePr/>
                <a:graphic xmlns:a="http://schemas.openxmlformats.org/drawingml/2006/main">
                  <a:graphicData uri="http://schemas.microsoft.com/office/word/2010/wordprocessingShape">
                    <wps:wsp>
                      <wps:cNvSpPr txBox="1"/>
                      <wps:spPr>
                        <a:xfrm>
                          <a:off x="0" y="0"/>
                          <a:ext cx="1066800" cy="412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napToGrid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直接效益</w:t>
                            </w:r>
                          </w:p>
                          <w:p>
                            <w:pPr>
                              <w:keepNext w:val="0"/>
                              <w:keepLines w:val="0"/>
                              <w:widowControl/>
                              <w:suppressLineNumbers w:val="0"/>
                              <w:snapToGrid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（环境经济效益）</w:t>
                            </w:r>
                          </w:p>
                        </w:txbxContent>
                      </wps:txbx>
                      <wps:bodyPr lIns="0" tIns="0" rIns="0" bIns="0" upright="0"/>
                    </wps:wsp>
                  </a:graphicData>
                </a:graphic>
              </wp:anchor>
            </w:drawing>
          </mc:Choice>
          <mc:Fallback>
            <w:pict>
              <v:shape id="文本框 25" o:spid="_x0000_s1026" o:spt="202" type="#_x0000_t202" style="position:absolute;left:0pt;margin-left:125.85pt;margin-top:169.6pt;height:32.5pt;width:84pt;z-index:251675648;mso-width-relative:page;mso-height-relative:page;" fillcolor="#FFFFFF" filled="t" stroked="t" coordsize="21600,21600" o:gfxdata="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XZglc2gAAAAsBAAAPAAAAAAAAAAEAIAAAACIAAABkcnMv&#10;ZG93bnJldi54bWxQSwECFAAUAAAACACHTuJAe1RC6AECAAAOBAAADgAAAAAAAAABACAAAAApAQAA&#10;ZHJzL2Uyb0RvYy54bWxQSwUGAAAAAAYABgBZAQAAnAUAAAAA&#10;">
                <v:fill on="t" focussize="0,0"/>
                <v:stroke color="#000000" joinstyle="miter"/>
                <v:imagedata o:title=""/>
                <o:lock v:ext="edit" aspectratio="f"/>
                <v:textbox inset="0mm,0mm,0mm,0mm" style="mso-rotate-with-shape:t;">
                  <w:txbxContent>
                    <w:p>
                      <w:pPr>
                        <w:keepNext w:val="0"/>
                        <w:keepLines w:val="0"/>
                        <w:widowControl/>
                        <w:suppressLineNumbers w:val="0"/>
                        <w:snapToGrid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直接效益</w:t>
                      </w:r>
                    </w:p>
                    <w:p>
                      <w:pPr>
                        <w:keepNext w:val="0"/>
                        <w:keepLines w:val="0"/>
                        <w:widowControl/>
                        <w:suppressLineNumbers w:val="0"/>
                        <w:snapToGrid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（环境经济效益）</w:t>
                      </w:r>
                    </w:p>
                  </w:txbxContent>
                </v:textbox>
              </v:shape>
            </w:pict>
          </mc:Fallback>
        </mc:AlternateContent>
      </w:r>
      <w:r>
        <w:rPr>
          <w:lang w:eastAsia="zh-CN"/>
        </w:rPr>
        <mc:AlternateContent>
          <mc:Choice Requires="wps">
            <w:drawing>
              <wp:anchor distT="0" distB="0" distL="114300" distR="114300" simplePos="0" relativeHeight="251676672" behindDoc="0" locked="0" layoutInCell="1" allowOverlap="1">
                <wp:simplePos x="0" y="0"/>
                <wp:positionH relativeFrom="column">
                  <wp:posOffset>1624965</wp:posOffset>
                </wp:positionH>
                <wp:positionV relativeFrom="paragraph">
                  <wp:posOffset>3500120</wp:posOffset>
                </wp:positionV>
                <wp:extent cx="986790" cy="412750"/>
                <wp:effectExtent l="4445" t="4445" r="18415" b="20955"/>
                <wp:wrapNone/>
                <wp:docPr id="40" name="文本框 11"/>
                <wp:cNvGraphicFramePr/>
                <a:graphic xmlns:a="http://schemas.openxmlformats.org/drawingml/2006/main">
                  <a:graphicData uri="http://schemas.microsoft.com/office/word/2010/wordprocessingShape">
                    <wps:wsp>
                      <wps:cNvSpPr txBox="1"/>
                      <wps:spPr>
                        <a:xfrm>
                          <a:off x="0" y="0"/>
                          <a:ext cx="986790" cy="412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pacing w:before="0" w:beforeAutospacing="0" w:after="0" w:afterAutospacing="0" w:line="260" w:lineRule="exact"/>
                              <w:ind w:left="0" w:right="0"/>
                              <w:jc w:val="center"/>
                              <w:rPr>
                                <w:szCs w:val="21"/>
                                <w:lang w:val="en-US"/>
                              </w:rPr>
                            </w:pPr>
                            <w:r>
                              <w:rPr>
                                <w:rFonts w:hint="eastAsia" w:ascii="宋体" w:hAnsi="宋体" w:eastAsia="宋体" w:cs="宋体"/>
                                <w:kern w:val="0"/>
                                <w:sz w:val="24"/>
                                <w:szCs w:val="21"/>
                                <w:lang w:val="en-US" w:eastAsia="zh-CN" w:bidi="ar"/>
                              </w:rPr>
                              <w:t>间接效益</w:t>
                            </w:r>
                          </w:p>
                          <w:p>
                            <w:pPr>
                              <w:keepNext w:val="0"/>
                              <w:keepLines w:val="0"/>
                              <w:widowControl/>
                              <w:suppressLineNumbers w:val="0"/>
                              <w:snapToGrid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（社会效益）</w:t>
                            </w:r>
                          </w:p>
                        </w:txbxContent>
                      </wps:txbx>
                      <wps:bodyPr lIns="0" tIns="0" rIns="0" bIns="0" upright="0"/>
                    </wps:wsp>
                  </a:graphicData>
                </a:graphic>
              </wp:anchor>
            </w:drawing>
          </mc:Choice>
          <mc:Fallback>
            <w:pict>
              <v:shape id="文本框 11" o:spid="_x0000_s1026" o:spt="202" type="#_x0000_t202" style="position:absolute;left:0pt;margin-left:127.95pt;margin-top:275.6pt;height:32.5pt;width:77.7pt;z-index:251676672;mso-width-relative:page;mso-height-relative:page;" fillcolor="#FFFFFF" filled="t" stroked="t" coordsize="21600,21600" o:gfxdata="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mvm/NsAAAALAQAADwAAAAAAAAABACAAAAAiAAAAZHJz&#10;L2Rvd25yZXYueG1sUEsBAhQAFAAAAAgAh07iQIlq5vgBAgAADQQAAA4AAAAAAAAAAQAgAAAAKgEA&#10;AGRycy9lMm9Eb2MueG1sUEsFBgAAAAAGAAYAWQEAAJ0FAAAAAA==&#10;">
                <v:fill on="t" focussize="0,0"/>
                <v:stroke color="#000000" joinstyle="miter"/>
                <v:imagedata o:title=""/>
                <o:lock v:ext="edit" aspectratio="f"/>
                <v:textbox inset="0mm,0mm,0mm,0mm" style="mso-rotate-with-shape:t;">
                  <w:txbxContent>
                    <w:p>
                      <w:pPr>
                        <w:keepNext w:val="0"/>
                        <w:keepLines w:val="0"/>
                        <w:widowControl/>
                        <w:suppressLineNumbers w:val="0"/>
                        <w:spacing w:before="0" w:beforeAutospacing="0" w:after="0" w:afterAutospacing="0" w:line="260" w:lineRule="exact"/>
                        <w:ind w:left="0" w:right="0"/>
                        <w:jc w:val="center"/>
                        <w:rPr>
                          <w:szCs w:val="21"/>
                          <w:lang w:val="en-US"/>
                        </w:rPr>
                      </w:pPr>
                      <w:r>
                        <w:rPr>
                          <w:rFonts w:hint="eastAsia" w:ascii="宋体" w:hAnsi="宋体" w:eastAsia="宋体" w:cs="宋体"/>
                          <w:kern w:val="0"/>
                          <w:sz w:val="24"/>
                          <w:szCs w:val="21"/>
                          <w:lang w:val="en-US" w:eastAsia="zh-CN" w:bidi="ar"/>
                        </w:rPr>
                        <w:t>间接效益</w:t>
                      </w:r>
                    </w:p>
                    <w:p>
                      <w:pPr>
                        <w:keepNext w:val="0"/>
                        <w:keepLines w:val="0"/>
                        <w:widowControl/>
                        <w:suppressLineNumbers w:val="0"/>
                        <w:snapToGrid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（社会效益）</w:t>
                      </w:r>
                    </w:p>
                  </w:txbxContent>
                </v:textbox>
              </v:shape>
            </w:pict>
          </mc:Fallback>
        </mc:AlternateContent>
      </w:r>
      <w:r>
        <w:rPr>
          <w:lang w:eastAsia="zh-CN"/>
        </w:rPr>
        <mc:AlternateContent>
          <mc:Choice Requires="wps">
            <w:drawing>
              <wp:anchor distT="0" distB="0" distL="114300" distR="114300" simplePos="0" relativeHeight="251677696" behindDoc="0" locked="0" layoutInCell="1" allowOverlap="1">
                <wp:simplePos x="0" y="0"/>
                <wp:positionH relativeFrom="column">
                  <wp:posOffset>864870</wp:posOffset>
                </wp:positionH>
                <wp:positionV relativeFrom="paragraph">
                  <wp:posOffset>615950</wp:posOffset>
                </wp:positionV>
                <wp:extent cx="426720" cy="252095"/>
                <wp:effectExtent l="5080" t="4445" r="6350" b="10160"/>
                <wp:wrapNone/>
                <wp:docPr id="41" name="文本框 43"/>
                <wp:cNvGraphicFramePr/>
                <a:graphic xmlns:a="http://schemas.openxmlformats.org/drawingml/2006/main">
                  <a:graphicData uri="http://schemas.microsoft.com/office/word/2010/wordprocessingShape">
                    <wps:wsp>
                      <wps:cNvSpPr txBox="1"/>
                      <wps:spPr>
                        <a:xfrm>
                          <a:off x="0" y="0"/>
                          <a:ext cx="426720" cy="2520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费用</w:t>
                            </w:r>
                          </w:p>
                        </w:txbxContent>
                      </wps:txbx>
                      <wps:bodyPr lIns="0" tIns="0" rIns="0" bIns="0" upright="0"/>
                    </wps:wsp>
                  </a:graphicData>
                </a:graphic>
              </wp:anchor>
            </w:drawing>
          </mc:Choice>
          <mc:Fallback>
            <w:pict>
              <v:shape id="文本框 43" o:spid="_x0000_s1026" o:spt="202" type="#_x0000_t202" style="position:absolute;left:0pt;margin-left:68.1pt;margin-top:48.5pt;height:19.85pt;width:33.6pt;z-index:251677696;mso-width-relative:page;mso-height-relative:page;" fillcolor="#FFFFFF" filled="t" stroked="t" coordsize="21600,21600" o:gfxdata="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D/ylUdcAAAAKAQAADwAAAAAAAAABACAAAAAiAAAAZHJzL2Rvd25y&#10;ZXYueG1sUEsBAhQAFAAAAAgAh07iQKlhqEP/AQAADQQAAA4AAAAAAAAAAQAgAAAAJgEAAGRycy9l&#10;Mm9Eb2MueG1sUEsFBgAAAAAGAAYAWQEAAJcFAAAAAA==&#10;">
                <v:fill on="t" focussize="0,0"/>
                <v:stroke color="#000000" joinstyle="miter"/>
                <v:imagedata o:title=""/>
                <o:lock v:ext="edit" aspectratio="f"/>
                <v:textbox inset="0mm,0mm,0mm,0mm" style="mso-rotate-with-shape:t;">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费用</w:t>
                      </w:r>
                    </w:p>
                  </w:txbxContent>
                </v:textbox>
              </v:shape>
            </w:pict>
          </mc:Fallback>
        </mc:AlternateContent>
      </w:r>
      <w:r>
        <w:rPr>
          <w:lang w:eastAsia="zh-CN"/>
        </w:rPr>
        <mc:AlternateContent>
          <mc:Choice Requires="wps">
            <w:drawing>
              <wp:anchor distT="0" distB="0" distL="114300" distR="114300" simplePos="0" relativeHeight="251678720" behindDoc="0" locked="0" layoutInCell="1" allowOverlap="1">
                <wp:simplePos x="0" y="0"/>
                <wp:positionH relativeFrom="column">
                  <wp:posOffset>864870</wp:posOffset>
                </wp:positionH>
                <wp:positionV relativeFrom="paragraph">
                  <wp:posOffset>2924175</wp:posOffset>
                </wp:positionV>
                <wp:extent cx="426720" cy="252095"/>
                <wp:effectExtent l="5080" t="4445" r="6350" b="10160"/>
                <wp:wrapNone/>
                <wp:docPr id="42" name="文本框 18"/>
                <wp:cNvGraphicFramePr/>
                <a:graphic xmlns:a="http://schemas.openxmlformats.org/drawingml/2006/main">
                  <a:graphicData uri="http://schemas.microsoft.com/office/word/2010/wordprocessingShape">
                    <wps:wsp>
                      <wps:cNvSpPr txBox="1"/>
                      <wps:spPr>
                        <a:xfrm>
                          <a:off x="0" y="0"/>
                          <a:ext cx="426720" cy="2520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效益</w:t>
                            </w:r>
                          </w:p>
                        </w:txbxContent>
                      </wps:txbx>
                      <wps:bodyPr lIns="0" tIns="0" rIns="0" bIns="0" upright="0"/>
                    </wps:wsp>
                  </a:graphicData>
                </a:graphic>
              </wp:anchor>
            </w:drawing>
          </mc:Choice>
          <mc:Fallback>
            <w:pict>
              <v:shape id="文本框 18" o:spid="_x0000_s1026" o:spt="202" type="#_x0000_t202" style="position:absolute;left:0pt;margin-left:68.1pt;margin-top:230.25pt;height:19.85pt;width:33.6pt;z-index:251678720;mso-width-relative:page;mso-height-relative:page;" fillcolor="#FFFFFF" filled="t" stroked="t" coordsize="21600,21600" o:gfxdata="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BW52d9oAAAALAQAADwAAAAAAAAABACAAAAAiAAAAZHJzL2Rv&#10;d25yZXYueG1sUEsBAhQAFAAAAAgAh07iQOyi3/P/AQAADQQAAA4AAAAAAAAAAQAgAAAAKQEAAGRy&#10;cy9lMm9Eb2MueG1sUEsFBgAAAAAGAAYAWQEAAJoFAAAAAA==&#10;">
                <v:fill on="t" focussize="0,0"/>
                <v:stroke color="#000000" joinstyle="miter"/>
                <v:imagedata o:title=""/>
                <o:lock v:ext="edit" aspectratio="f"/>
                <v:textbox inset="0mm,0mm,0mm,0mm" style="mso-rotate-with-shape:t;">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效益</w:t>
                      </w:r>
                    </w:p>
                  </w:txbxContent>
                </v:textbox>
              </v:shape>
            </w:pict>
          </mc:Fallback>
        </mc:AlternateContent>
      </w:r>
      <w:r>
        <w:rPr>
          <w:lang w:eastAsia="zh-CN"/>
        </w:rPr>
        <mc:AlternateContent>
          <mc:Choice Requires="wps">
            <w:drawing>
              <wp:anchor distT="0" distB="0" distL="114300" distR="114300" simplePos="0" relativeHeight="251679744" behindDoc="0" locked="0" layoutInCell="1" allowOverlap="1">
                <wp:simplePos x="0" y="0"/>
                <wp:positionH relativeFrom="column">
                  <wp:posOffset>-95250</wp:posOffset>
                </wp:positionH>
                <wp:positionV relativeFrom="paragraph">
                  <wp:posOffset>1706245</wp:posOffset>
                </wp:positionV>
                <wp:extent cx="880110" cy="252095"/>
                <wp:effectExtent l="5080" t="4445" r="10160" b="10160"/>
                <wp:wrapNone/>
                <wp:docPr id="43" name="文本框 27"/>
                <wp:cNvGraphicFramePr/>
                <a:graphic xmlns:a="http://schemas.openxmlformats.org/drawingml/2006/main">
                  <a:graphicData uri="http://schemas.microsoft.com/office/word/2010/wordprocessingShape">
                    <wps:wsp>
                      <wps:cNvSpPr txBox="1"/>
                      <wps:spPr>
                        <a:xfrm>
                          <a:off x="0" y="0"/>
                          <a:ext cx="880110" cy="2520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损益分析</w:t>
                            </w:r>
                          </w:p>
                        </w:txbxContent>
                      </wps:txbx>
                      <wps:bodyPr lIns="0" tIns="0" rIns="0" bIns="0" upright="0"/>
                    </wps:wsp>
                  </a:graphicData>
                </a:graphic>
              </wp:anchor>
            </w:drawing>
          </mc:Choice>
          <mc:Fallback>
            <w:pict>
              <v:shape id="文本框 27" o:spid="_x0000_s1026" o:spt="202" type="#_x0000_t202" style="position:absolute;left:0pt;margin-left:-7.5pt;margin-top:134.35pt;height:19.85pt;width:69.3pt;z-index:251679744;mso-width-relative:page;mso-height-relative:page;" fillcolor="#FFFFFF" filled="t" stroked="t" coordsize="21600,21600" o:gfxdata="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WatbA9oAAAALAQAADwAAAAAAAAABACAAAAAiAAAAZHJzL2Rv&#10;d25yZXYueG1sUEsBAhQAFAAAAAgAh07iQD1PxZv/AQAADQQAAA4AAAAAAAAAAQAgAAAAKQEAAGRy&#10;cy9lMm9Eb2MueG1sUEsFBgAAAAAGAAYAWQEAAJoFAAAAAA==&#10;">
                <v:fill on="t" focussize="0,0"/>
                <v:stroke color="#000000" joinstyle="miter"/>
                <v:imagedata o:title=""/>
                <o:lock v:ext="edit" aspectratio="f"/>
                <v:textbox inset="0mm,0mm,0mm,0mm" style="mso-rotate-with-shape:t;">
                  <w:txbxContent>
                    <w:p>
                      <w:pPr>
                        <w:keepNext w:val="0"/>
                        <w:keepLines w:val="0"/>
                        <w:widowControl/>
                        <w:suppressLineNumbers w:val="0"/>
                        <w:spacing w:before="0" w:beforeAutospacing="0" w:after="0" w:afterAutospacing="0"/>
                        <w:ind w:left="0" w:right="0"/>
                        <w:jc w:val="center"/>
                        <w:rPr>
                          <w:szCs w:val="21"/>
                          <w:lang w:val="en-US"/>
                        </w:rPr>
                      </w:pPr>
                      <w:r>
                        <w:rPr>
                          <w:rFonts w:hint="eastAsia" w:ascii="宋体" w:hAnsi="宋体" w:eastAsia="宋体" w:cs="宋体"/>
                          <w:kern w:val="0"/>
                          <w:sz w:val="24"/>
                          <w:szCs w:val="21"/>
                          <w:lang w:val="en-US" w:eastAsia="zh-CN" w:bidi="ar"/>
                        </w:rPr>
                        <w:t>损益分析</w:t>
                      </w:r>
                    </w:p>
                  </w:txbxContent>
                </v:textbox>
              </v:shape>
            </w:pict>
          </mc:Fallback>
        </mc:AlternateContent>
      </w:r>
      <w:r>
        <w:rPr>
          <w:lang w:eastAsia="zh-CN"/>
        </w:rPr>
        <mc:AlternateContent>
          <mc:Choice Requires="wps">
            <w:drawing>
              <wp:anchor distT="0" distB="0" distL="114300" distR="114300" simplePos="0" relativeHeight="251680768" behindDoc="0" locked="0" layoutInCell="1" allowOverlap="1">
                <wp:simplePos x="0" y="0"/>
                <wp:positionH relativeFrom="column">
                  <wp:posOffset>2598420</wp:posOffset>
                </wp:positionH>
                <wp:positionV relativeFrom="paragraph">
                  <wp:posOffset>293370</wp:posOffset>
                </wp:positionV>
                <wp:extent cx="320040" cy="0"/>
                <wp:effectExtent l="0" t="25400" r="3810" b="31750"/>
                <wp:wrapNone/>
                <wp:docPr id="44" name="直接连接符 46"/>
                <wp:cNvGraphicFramePr/>
                <a:graphic xmlns:a="http://schemas.openxmlformats.org/drawingml/2006/main">
                  <a:graphicData uri="http://schemas.microsoft.com/office/word/2010/wordprocessingShape">
                    <wps:wsp>
                      <wps:cNvSpPr/>
                      <wps:spPr>
                        <a:xfrm>
                          <a:off x="0" y="0"/>
                          <a:ext cx="320040"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46" o:spid="_x0000_s1026" o:spt="20" style="position:absolute;left:0pt;margin-left:204.6pt;margin-top:23.1pt;height:0pt;width:25.2pt;z-index:251680768;mso-width-relative:page;mso-height-relative:page;" filled="f" stroked="t" coordsize="21600,21600" o:gfxdata="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irmHm1gAAAAkBAAAP&#10;AAAAAAAAAAEAIAAAACIAAABkcnMvZG93bnJldi54bWxQSwECFAAUAAAACACHTuJALU6s3eEBAACa&#10;AwAADgAAAAAAAAABACAAAAAlAQAAZHJzL2Uyb0RvYy54bWxQSwUGAAAAAAYABgBZAQAAeAUAAA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681792" behindDoc="0" locked="0" layoutInCell="1" allowOverlap="1">
                <wp:simplePos x="0" y="0"/>
                <wp:positionH relativeFrom="column">
                  <wp:posOffset>2918460</wp:posOffset>
                </wp:positionH>
                <wp:positionV relativeFrom="paragraph">
                  <wp:posOffset>86995</wp:posOffset>
                </wp:positionV>
                <wp:extent cx="400050" cy="0"/>
                <wp:effectExtent l="0" t="25400" r="0" b="31750"/>
                <wp:wrapNone/>
                <wp:docPr id="45" name="直接连接符 47"/>
                <wp:cNvGraphicFramePr/>
                <a:graphic xmlns:a="http://schemas.openxmlformats.org/drawingml/2006/main">
                  <a:graphicData uri="http://schemas.microsoft.com/office/word/2010/wordprocessingShape">
                    <wps:wsp>
                      <wps:cNvSpPr/>
                      <wps:spPr>
                        <a:xfrm>
                          <a:off x="0" y="0"/>
                          <a:ext cx="400050"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47" o:spid="_x0000_s1026" o:spt="20" style="position:absolute;left:0pt;margin-left:229.8pt;margin-top:6.85pt;height:0pt;width:31.5pt;z-index:251681792;mso-width-relative:page;mso-height-relative:page;" filled="f" stroked="t" coordsize="21600,21600" o:gfxdata="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Ra6w2dYAAAAJAQAA&#10;DwAAAAAAAAABACAAAAAiAAAAZHJzL2Rvd25yZXYueG1sUEsBAhQAFAAAAAgAh07iQGt7NPTiAQAA&#10;mgMAAA4AAAAAAAAAAQAgAAAAJQEAAGRycy9lMm9Eb2MueG1sUEsFBgAAAAAGAAYAWQEAAHkFAAAA&#10;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682816" behindDoc="0" locked="0" layoutInCell="1" allowOverlap="1">
                <wp:simplePos x="0" y="0"/>
                <wp:positionH relativeFrom="column">
                  <wp:posOffset>2918460</wp:posOffset>
                </wp:positionH>
                <wp:positionV relativeFrom="paragraph">
                  <wp:posOffset>534670</wp:posOffset>
                </wp:positionV>
                <wp:extent cx="400050" cy="0"/>
                <wp:effectExtent l="0" t="25400" r="0" b="31750"/>
                <wp:wrapNone/>
                <wp:docPr id="46" name="直接连接符 44"/>
                <wp:cNvGraphicFramePr/>
                <a:graphic xmlns:a="http://schemas.openxmlformats.org/drawingml/2006/main">
                  <a:graphicData uri="http://schemas.microsoft.com/office/word/2010/wordprocessingShape">
                    <wps:wsp>
                      <wps:cNvSpPr/>
                      <wps:spPr>
                        <a:xfrm>
                          <a:off x="0" y="0"/>
                          <a:ext cx="400050"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44" o:spid="_x0000_s1026" o:spt="20" style="position:absolute;left:0pt;margin-left:229.8pt;margin-top:42.1pt;height:0pt;width:31.5pt;z-index:251682816;mso-width-relative:page;mso-height-relative:page;" filled="f" stroked="t" coordsize="21600,21600" o:gfxdata="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Le2tH9YAAAAJAQAA&#10;DwAAAAAAAAABACAAAAAiAAAAZHJzL2Rvd25yZXYueG1sUEsBAhQAFAAAAAgAh07iQPeCorTiAQAA&#10;mgMAAA4AAAAAAAAAAQAgAAAAJQEAAGRycy9lMm9Eb2MueG1sUEsFBgAAAAAGAAYAWQEAAHkFAAAA&#10;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683840" behindDoc="0" locked="0" layoutInCell="1" allowOverlap="1">
                <wp:simplePos x="0" y="0"/>
                <wp:positionH relativeFrom="column">
                  <wp:posOffset>2918460</wp:posOffset>
                </wp:positionH>
                <wp:positionV relativeFrom="paragraph">
                  <wp:posOffset>86995</wp:posOffset>
                </wp:positionV>
                <wp:extent cx="0" cy="444500"/>
                <wp:effectExtent l="6350" t="0" r="12700" b="12700"/>
                <wp:wrapNone/>
                <wp:docPr id="47" name="直接连接符 48"/>
                <wp:cNvGraphicFramePr/>
                <a:graphic xmlns:a="http://schemas.openxmlformats.org/drawingml/2006/main">
                  <a:graphicData uri="http://schemas.microsoft.com/office/word/2010/wordprocessingShape">
                    <wps:wsp>
                      <wps:cNvSpPr/>
                      <wps:spPr>
                        <a:xfrm>
                          <a:off x="0" y="0"/>
                          <a:ext cx="0" cy="444500"/>
                        </a:xfrm>
                        <a:prstGeom prst="line">
                          <a:avLst/>
                        </a:prstGeom>
                        <a:ln w="12700" cap="flat" cmpd="sng">
                          <a:solidFill>
                            <a:srgbClr val="000000"/>
                          </a:solidFill>
                          <a:prstDash val="solid"/>
                          <a:headEnd type="none" w="med" len="med"/>
                          <a:tailEnd type="none" w="med" len="med"/>
                        </a:ln>
                      </wps:spPr>
                      <wps:bodyPr upright="1"/>
                    </wps:wsp>
                  </a:graphicData>
                </a:graphic>
              </wp:anchor>
            </w:drawing>
          </mc:Choice>
          <mc:Fallback>
            <w:pict>
              <v:line id="直接连接符 48" o:spid="_x0000_s1026" o:spt="20" style="position:absolute;left:0pt;margin-left:229.8pt;margin-top:6.85pt;height:35pt;width:0pt;z-index:251683840;mso-width-relative:page;mso-height-relative:page;" filled="f" stroked="t" coordsize="21600,21600" o:gfxdata="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BpK3QdcAAAAJAQAADwAAAAAA&#10;AAABACAAAAAiAAAAZHJzL2Rvd25yZXYueG1sUEsBAhQAFAAAAAgAh07iQC9oPWvbAQAAmAMAAA4A&#10;AAAAAAAAAQAgAAAAJgEAAGRycy9lMm9Eb2MueG1sUEsFBgAAAAAGAAYAWQEAAHMFAAAAAA==&#10;">
                <v:fill on="f" focussize="0,0"/>
                <v:stroke weight="1pt" color="#000000" joinstyle="round"/>
                <v:imagedata o:title=""/>
                <o:lock v:ext="edit" aspectratio="f"/>
              </v:line>
            </w:pict>
          </mc:Fallback>
        </mc:AlternateContent>
      </w:r>
      <w:r>
        <w:rPr>
          <w:lang w:eastAsia="zh-CN"/>
        </w:rPr>
        <mc:AlternateContent>
          <mc:Choice Requires="wps">
            <w:drawing>
              <wp:anchor distT="0" distB="0" distL="114300" distR="114300" simplePos="0" relativeHeight="251684864" behindDoc="0" locked="0" layoutInCell="1" allowOverlap="1">
                <wp:simplePos x="0" y="0"/>
                <wp:positionH relativeFrom="column">
                  <wp:posOffset>2611755</wp:posOffset>
                </wp:positionH>
                <wp:positionV relativeFrom="paragraph">
                  <wp:posOffset>1207770</wp:posOffset>
                </wp:positionV>
                <wp:extent cx="320040" cy="0"/>
                <wp:effectExtent l="0" t="25400" r="3810" b="31750"/>
                <wp:wrapNone/>
                <wp:docPr id="48" name="直接连接符 34"/>
                <wp:cNvGraphicFramePr/>
                <a:graphic xmlns:a="http://schemas.openxmlformats.org/drawingml/2006/main">
                  <a:graphicData uri="http://schemas.microsoft.com/office/word/2010/wordprocessingShape">
                    <wps:wsp>
                      <wps:cNvSpPr/>
                      <wps:spPr>
                        <a:xfrm>
                          <a:off x="0" y="0"/>
                          <a:ext cx="320040"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34" o:spid="_x0000_s1026" o:spt="20" style="position:absolute;left:0pt;margin-left:205.65pt;margin-top:95.1pt;height:0pt;width:25.2pt;z-index:251684864;mso-width-relative:page;mso-height-relative:page;" filled="f" stroked="t" coordsize="21600,21600" o:gfxdata="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CPFhJ1wAAAAsBAAAP&#10;AAAAAAAAAAEAIAAAACIAAABkcnMvZG93bnJldi54bWxQSwECFAAUAAAACACHTuJAAfHwZeABAACa&#10;AwAADgAAAAAAAAABACAAAAAmAQAAZHJzL2Uyb0RvYy54bWxQSwUGAAAAAAYABgBZAQAAeAUAAA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685888" behindDoc="0" locked="0" layoutInCell="1" allowOverlap="1">
                <wp:simplePos x="0" y="0"/>
                <wp:positionH relativeFrom="column">
                  <wp:posOffset>2931795</wp:posOffset>
                </wp:positionH>
                <wp:positionV relativeFrom="paragraph">
                  <wp:posOffset>1001395</wp:posOffset>
                </wp:positionV>
                <wp:extent cx="400050" cy="0"/>
                <wp:effectExtent l="0" t="25400" r="0" b="31750"/>
                <wp:wrapNone/>
                <wp:docPr id="49" name="直接连接符 35"/>
                <wp:cNvGraphicFramePr/>
                <a:graphic xmlns:a="http://schemas.openxmlformats.org/drawingml/2006/main">
                  <a:graphicData uri="http://schemas.microsoft.com/office/word/2010/wordprocessingShape">
                    <wps:wsp>
                      <wps:cNvSpPr/>
                      <wps:spPr>
                        <a:xfrm>
                          <a:off x="0" y="0"/>
                          <a:ext cx="400050"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35" o:spid="_x0000_s1026" o:spt="20" style="position:absolute;left:0pt;margin-left:230.85pt;margin-top:78.85pt;height:0pt;width:31.5pt;z-index:251685888;mso-width-relative:page;mso-height-relative:page;" filled="f" stroked="t" coordsize="21600,21600" o:gfxdata="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Z6Kf+1wAAAAsB&#10;AAAPAAAAAAAAAAEAIAAAACIAAABkcnMvZG93bnJldi54bWxQSwECFAAUAAAACACHTuJAR8RoTOMB&#10;AACaAwAADgAAAAAAAAABACAAAAAmAQAAZHJzL2Uyb0RvYy54bWxQSwUGAAAAAAYABgBZAQAAewUA&#10;AA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686912" behindDoc="0" locked="0" layoutInCell="1" allowOverlap="1">
                <wp:simplePos x="0" y="0"/>
                <wp:positionH relativeFrom="column">
                  <wp:posOffset>2931795</wp:posOffset>
                </wp:positionH>
                <wp:positionV relativeFrom="paragraph">
                  <wp:posOffset>1449070</wp:posOffset>
                </wp:positionV>
                <wp:extent cx="400050" cy="0"/>
                <wp:effectExtent l="0" t="25400" r="0" b="31750"/>
                <wp:wrapNone/>
                <wp:docPr id="50" name="直接连接符 31"/>
                <wp:cNvGraphicFramePr/>
                <a:graphic xmlns:a="http://schemas.openxmlformats.org/drawingml/2006/main">
                  <a:graphicData uri="http://schemas.microsoft.com/office/word/2010/wordprocessingShape">
                    <wps:wsp>
                      <wps:cNvSpPr/>
                      <wps:spPr>
                        <a:xfrm>
                          <a:off x="0" y="0"/>
                          <a:ext cx="400050"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31" o:spid="_x0000_s1026" o:spt="20" style="position:absolute;left:0pt;margin-left:230.85pt;margin-top:114.1pt;height:0pt;width:31.5pt;z-index:251686912;mso-width-relative:page;mso-height-relative:page;" filled="f" stroked="t" coordsize="21600,21600" o:gfxdata="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Bb8xbvXAAAACwEAAA8A&#10;AAAAAAAAAQAgAAAAIgAAAGRycy9kb3ducmV2LnhtbFBLAQIUABQAAAAIAIdO4kDzWnDC3wEAAJoD&#10;AAAOAAAAAAAAAAEAIAAAACYBAABkcnMvZTJvRG9jLnhtbFBLBQYAAAAABgAGAFkBAAB3BQAAA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687936" behindDoc="0" locked="0" layoutInCell="1" allowOverlap="1">
                <wp:simplePos x="0" y="0"/>
                <wp:positionH relativeFrom="column">
                  <wp:posOffset>2931795</wp:posOffset>
                </wp:positionH>
                <wp:positionV relativeFrom="paragraph">
                  <wp:posOffset>1001395</wp:posOffset>
                </wp:positionV>
                <wp:extent cx="0" cy="444500"/>
                <wp:effectExtent l="6350" t="0" r="12700" b="12700"/>
                <wp:wrapNone/>
                <wp:docPr id="12" name="直接连接符 36"/>
                <wp:cNvGraphicFramePr/>
                <a:graphic xmlns:a="http://schemas.openxmlformats.org/drawingml/2006/main">
                  <a:graphicData uri="http://schemas.microsoft.com/office/word/2010/wordprocessingShape">
                    <wps:wsp>
                      <wps:cNvSpPr/>
                      <wps:spPr>
                        <a:xfrm>
                          <a:off x="0" y="0"/>
                          <a:ext cx="0" cy="444500"/>
                        </a:xfrm>
                        <a:prstGeom prst="line">
                          <a:avLst/>
                        </a:prstGeom>
                        <a:ln w="12700" cap="flat" cmpd="sng">
                          <a:solidFill>
                            <a:srgbClr val="000000"/>
                          </a:solidFill>
                          <a:prstDash val="solid"/>
                          <a:headEnd type="none" w="med" len="med"/>
                          <a:tailEnd type="none" w="med" len="med"/>
                        </a:ln>
                      </wps:spPr>
                      <wps:bodyPr upright="1"/>
                    </wps:wsp>
                  </a:graphicData>
                </a:graphic>
              </wp:anchor>
            </w:drawing>
          </mc:Choice>
          <mc:Fallback>
            <w:pict>
              <v:line id="直接连接符 36" o:spid="_x0000_s1026" o:spt="20" style="position:absolute;left:0pt;margin-left:230.85pt;margin-top:78.85pt;height:35pt;width:0pt;z-index:251687936;mso-width-relative:page;mso-height-relative:page;" filled="f" stroked="t" coordsize="21600,21600" o:gfxdata="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Nel+r9gAAAALAQAADwAAAAAA&#10;AAABACAAAAAiAAAAZHJzL2Rvd25yZXYueG1sUEsBAhQAFAAAAAgAh07iQL2NLbzaAQAAmAMAAA4A&#10;AAAAAAAAAQAgAAAAJwEAAGRycy9lMm9Eb2MueG1sUEsFBgAAAAAGAAYAWQEAAHMFAAAAAA==&#10;">
                <v:fill on="f" focussize="0,0"/>
                <v:stroke weight="1pt" color="#000000" joinstyle="round"/>
                <v:imagedata o:title=""/>
                <o:lock v:ext="edit" aspectratio="f"/>
              </v:line>
            </w:pict>
          </mc:Fallback>
        </mc:AlternateContent>
      </w:r>
      <w:r>
        <w:rPr>
          <w:lang w:eastAsia="zh-CN"/>
        </w:rPr>
        <mc:AlternateContent>
          <mc:Choice Requires="wps">
            <w:drawing>
              <wp:anchor distT="0" distB="0" distL="114300" distR="114300" simplePos="0" relativeHeight="251688960" behindDoc="0" locked="0" layoutInCell="1" allowOverlap="1">
                <wp:simplePos x="0" y="0"/>
                <wp:positionH relativeFrom="column">
                  <wp:posOffset>2665095</wp:posOffset>
                </wp:positionH>
                <wp:positionV relativeFrom="paragraph">
                  <wp:posOffset>2363470</wp:posOffset>
                </wp:positionV>
                <wp:extent cx="253365" cy="635"/>
                <wp:effectExtent l="0" t="25400" r="13335" b="31115"/>
                <wp:wrapNone/>
                <wp:docPr id="73" name="直接连接符 20"/>
                <wp:cNvGraphicFramePr/>
                <a:graphic xmlns:a="http://schemas.openxmlformats.org/drawingml/2006/main">
                  <a:graphicData uri="http://schemas.microsoft.com/office/word/2010/wordprocessingShape">
                    <wps:wsp>
                      <wps:cNvSpPr/>
                      <wps:spPr>
                        <a:xfrm flipV="1">
                          <a:off x="0" y="0"/>
                          <a:ext cx="253365" cy="635"/>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20" o:spid="_x0000_s1026" o:spt="20" style="position:absolute;left:0pt;flip:y;margin-left:209.85pt;margin-top:186.1pt;height:0.05pt;width:19.95pt;z-index:251688960;mso-width-relative:page;mso-height-relative:page;" filled="f" stroked="t" coordsize="21600,21600" o:gfxdata="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PzrHPfaAAAACwEAAA8AAAAAAAAAAQAgAAAAIgAAAGRycy9kb3ducmV2LnhtbFBLAQIUABQAAAAI&#10;AIdO4kCE9Tgh6wEAAKYDAAAOAAAAAAAAAAEAIAAAACkBAABkcnMvZTJvRG9jLnhtbFBLBQYAAAAA&#10;BgAGAFkBAACGBQAAA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689984" behindDoc="0" locked="0" layoutInCell="1" allowOverlap="1">
                <wp:simplePos x="0" y="0"/>
                <wp:positionH relativeFrom="column">
                  <wp:posOffset>2918460</wp:posOffset>
                </wp:positionH>
                <wp:positionV relativeFrom="paragraph">
                  <wp:posOffset>1896745</wp:posOffset>
                </wp:positionV>
                <wp:extent cx="400050" cy="0"/>
                <wp:effectExtent l="0" t="25400" r="0" b="31750"/>
                <wp:wrapNone/>
                <wp:docPr id="74" name="直接连接符 28"/>
                <wp:cNvGraphicFramePr/>
                <a:graphic xmlns:a="http://schemas.openxmlformats.org/drawingml/2006/main">
                  <a:graphicData uri="http://schemas.microsoft.com/office/word/2010/wordprocessingShape">
                    <wps:wsp>
                      <wps:cNvSpPr/>
                      <wps:spPr>
                        <a:xfrm>
                          <a:off x="0" y="0"/>
                          <a:ext cx="400050"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28" o:spid="_x0000_s1026" o:spt="20" style="position:absolute;left:0pt;margin-left:229.8pt;margin-top:149.35pt;height:0pt;width:31.5pt;z-index:251689984;mso-width-relative:page;mso-height-relative:page;" filled="f" stroked="t" coordsize="21600,21600" o:gfxdata="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wJKWr1wAAAAsB&#10;AAAPAAAAAAAAAAEAIAAAACIAAABkcnMvZG93bnJldi54bWxQSwECFAAUAAAACACHTuJA/FiG7uMB&#10;AACaAwAADgAAAAAAAAABACAAAAAmAQAAZHJzL2Uyb0RvYy54bWxQSwUGAAAAAAYABgBZAQAAewUA&#10;AA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691008" behindDoc="0" locked="0" layoutInCell="1" allowOverlap="1">
                <wp:simplePos x="0" y="0"/>
                <wp:positionH relativeFrom="column">
                  <wp:posOffset>2918460</wp:posOffset>
                </wp:positionH>
                <wp:positionV relativeFrom="paragraph">
                  <wp:posOffset>2827020</wp:posOffset>
                </wp:positionV>
                <wp:extent cx="400050" cy="0"/>
                <wp:effectExtent l="0" t="25400" r="0" b="31750"/>
                <wp:wrapNone/>
                <wp:docPr id="75" name="直接连接符 19"/>
                <wp:cNvGraphicFramePr/>
                <a:graphic xmlns:a="http://schemas.openxmlformats.org/drawingml/2006/main">
                  <a:graphicData uri="http://schemas.microsoft.com/office/word/2010/wordprocessingShape">
                    <wps:wsp>
                      <wps:cNvSpPr/>
                      <wps:spPr>
                        <a:xfrm>
                          <a:off x="0" y="0"/>
                          <a:ext cx="400050"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19" o:spid="_x0000_s1026" o:spt="20" style="position:absolute;left:0pt;margin-left:229.8pt;margin-top:222.6pt;height:0pt;width:31.5pt;z-index:251691008;mso-width-relative:page;mso-height-relative:page;" filled="f" stroked="t" coordsize="21600,21600" o:gfxdata="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81dqV1wAAAAsB&#10;AAAPAAAAAAAAAAEAIAAAACIAAABkcnMvZG93bnJldi54bWxQSwECFAAUAAAACACHTuJA696zhOMB&#10;AACaAwAADgAAAAAAAAABACAAAAAmAQAAZHJzL2Uyb0RvYy54bWxQSwUGAAAAAAYABgBZAQAAewUA&#10;AA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692032" behindDoc="0" locked="0" layoutInCell="1" allowOverlap="1">
                <wp:simplePos x="0" y="0"/>
                <wp:positionH relativeFrom="column">
                  <wp:posOffset>2918460</wp:posOffset>
                </wp:positionH>
                <wp:positionV relativeFrom="paragraph">
                  <wp:posOffset>1896745</wp:posOffset>
                </wp:positionV>
                <wp:extent cx="0" cy="920750"/>
                <wp:effectExtent l="6350" t="0" r="12700" b="12700"/>
                <wp:wrapNone/>
                <wp:docPr id="76" name="直接连接符 29"/>
                <wp:cNvGraphicFramePr/>
                <a:graphic xmlns:a="http://schemas.openxmlformats.org/drawingml/2006/main">
                  <a:graphicData uri="http://schemas.microsoft.com/office/word/2010/wordprocessingShape">
                    <wps:wsp>
                      <wps:cNvSpPr/>
                      <wps:spPr>
                        <a:xfrm>
                          <a:off x="0" y="0"/>
                          <a:ext cx="0" cy="920750"/>
                        </a:xfrm>
                        <a:prstGeom prst="line">
                          <a:avLst/>
                        </a:prstGeom>
                        <a:ln w="12700" cap="flat" cmpd="sng">
                          <a:solidFill>
                            <a:srgbClr val="000000"/>
                          </a:solidFill>
                          <a:prstDash val="solid"/>
                          <a:headEnd type="none" w="med" len="med"/>
                          <a:tailEnd type="none" w="med" len="med"/>
                        </a:ln>
                      </wps:spPr>
                      <wps:bodyPr upright="1"/>
                    </wps:wsp>
                  </a:graphicData>
                </a:graphic>
              </wp:anchor>
            </w:drawing>
          </mc:Choice>
          <mc:Fallback>
            <w:pict>
              <v:line id="直接连接符 29" o:spid="_x0000_s1026" o:spt="20" style="position:absolute;left:0pt;margin-left:229.8pt;margin-top:149.35pt;height:72.5pt;width:0pt;z-index:251692032;mso-width-relative:page;mso-height-relative:page;" filled="f" stroked="t" coordsize="21600,21600" o:gfxdata="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jHGtOdkAAAALAQAADwAA&#10;AAAAAAABACAAAAAiAAAAZHJzL2Rvd25yZXYueG1sUEsBAhQAFAAAAAgAh07iQDaL/cbcAQAAmAMA&#10;AA4AAAAAAAAAAQAgAAAAKAEAAGRycy9lMm9Eb2MueG1sUEsFBgAAAAAGAAYAWQEAAHYFAAAAAA==&#10;">
                <v:fill on="f" focussize="0,0"/>
                <v:stroke weight="1pt" color="#000000" joinstyle="round"/>
                <v:imagedata o:title=""/>
                <o:lock v:ext="edit" aspectratio="f"/>
              </v:line>
            </w:pict>
          </mc:Fallback>
        </mc:AlternateContent>
      </w:r>
      <w:r>
        <w:rPr>
          <w:lang w:eastAsia="zh-CN"/>
        </w:rPr>
        <mc:AlternateContent>
          <mc:Choice Requires="wps">
            <w:drawing>
              <wp:anchor distT="0" distB="0" distL="114300" distR="114300" simplePos="0" relativeHeight="251693056" behindDoc="0" locked="0" layoutInCell="1" allowOverlap="1">
                <wp:simplePos x="0" y="0"/>
                <wp:positionH relativeFrom="column">
                  <wp:posOffset>2918460</wp:posOffset>
                </wp:positionH>
                <wp:positionV relativeFrom="paragraph">
                  <wp:posOffset>2363470</wp:posOffset>
                </wp:positionV>
                <wp:extent cx="400050" cy="0"/>
                <wp:effectExtent l="0" t="25400" r="0" b="31750"/>
                <wp:wrapNone/>
                <wp:docPr id="77" name="直接连接符 21"/>
                <wp:cNvGraphicFramePr/>
                <a:graphic xmlns:a="http://schemas.openxmlformats.org/drawingml/2006/main">
                  <a:graphicData uri="http://schemas.microsoft.com/office/word/2010/wordprocessingShape">
                    <wps:wsp>
                      <wps:cNvSpPr/>
                      <wps:spPr>
                        <a:xfrm>
                          <a:off x="0" y="0"/>
                          <a:ext cx="400050"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21" o:spid="_x0000_s1026" o:spt="20" style="position:absolute;left:0pt;margin-left:229.8pt;margin-top:186.1pt;height:0pt;width:31.5pt;z-index:251693056;mso-width-relative:page;mso-height-relative:page;" filled="f" stroked="t" coordsize="21600,21600" o:gfxdata="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DN2nVdcAAAALAQAA&#10;DwAAAAAAAAABACAAAAAiAAAAZHJzL2Rvd25yZXYueG1sUEsBAhQAFAAAAAgAh07iQFAGwZbhAQAA&#10;mgMAAA4AAAAAAAAAAQAgAAAAJgEAAGRycy9lMm9Eb2MueG1sUEsFBgAAAAAGAAYAWQEAAHkFAAAA&#10;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694080" behindDoc="0" locked="0" layoutInCell="1" allowOverlap="1">
                <wp:simplePos x="0" y="0"/>
                <wp:positionH relativeFrom="column">
                  <wp:posOffset>2611755</wp:posOffset>
                </wp:positionH>
                <wp:positionV relativeFrom="paragraph">
                  <wp:posOffset>3709670</wp:posOffset>
                </wp:positionV>
                <wp:extent cx="320040" cy="0"/>
                <wp:effectExtent l="0" t="25400" r="3810" b="31750"/>
                <wp:wrapNone/>
                <wp:docPr id="78" name="直接连接符 6"/>
                <wp:cNvGraphicFramePr/>
                <a:graphic xmlns:a="http://schemas.openxmlformats.org/drawingml/2006/main">
                  <a:graphicData uri="http://schemas.microsoft.com/office/word/2010/wordprocessingShape">
                    <wps:wsp>
                      <wps:cNvSpPr/>
                      <wps:spPr>
                        <a:xfrm>
                          <a:off x="0" y="0"/>
                          <a:ext cx="320040"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6" o:spid="_x0000_s1026" o:spt="20" style="position:absolute;left:0pt;margin-left:205.65pt;margin-top:292.1pt;height:0pt;width:25.2pt;z-index:251694080;mso-width-relative:page;mso-height-relative:page;" filled="f" stroked="t" coordsize="21600,21600" o:gfxdata="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HJ2AdgAAAALAQAA&#10;DwAAAAAAAAABACAAAAAiAAAAZHJzL2Rvd25yZXYueG1sUEsBAhQAFAAAAAgAh07iQO21oFfgAQAA&#10;mQMAAA4AAAAAAAAAAQAgAAAAJwEAAGRycy9lMm9Eb2MueG1sUEsFBgAAAAAGAAYAWQEAAHkFAAAA&#10;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695104" behindDoc="0" locked="0" layoutInCell="1" allowOverlap="1">
                <wp:simplePos x="0" y="0"/>
                <wp:positionH relativeFrom="column">
                  <wp:posOffset>2931795</wp:posOffset>
                </wp:positionH>
                <wp:positionV relativeFrom="paragraph">
                  <wp:posOffset>3242945</wp:posOffset>
                </wp:positionV>
                <wp:extent cx="400050" cy="0"/>
                <wp:effectExtent l="0" t="25400" r="0" b="31750"/>
                <wp:wrapNone/>
                <wp:docPr id="79" name="直接连接符 13"/>
                <wp:cNvGraphicFramePr/>
                <a:graphic xmlns:a="http://schemas.openxmlformats.org/drawingml/2006/main">
                  <a:graphicData uri="http://schemas.microsoft.com/office/word/2010/wordprocessingShape">
                    <wps:wsp>
                      <wps:cNvSpPr/>
                      <wps:spPr>
                        <a:xfrm>
                          <a:off x="0" y="0"/>
                          <a:ext cx="400050"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13" o:spid="_x0000_s1026" o:spt="20" style="position:absolute;left:0pt;margin-left:230.85pt;margin-top:255.35pt;height:0pt;width:31.5pt;z-index:251695104;mso-width-relative:page;mso-height-relative:page;" filled="f" stroked="t" coordsize="21600,21600" o:gfxdata="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nTzd21wAAAAsB&#10;AAAPAAAAAAAAAAEAIAAAACIAAABkcnMvZG93bnJldi54bWxQSwECFAAUAAAACACHTuJAyqMpSuMB&#10;AACaAwAADgAAAAAAAAABACAAAAAmAQAAZHJzL2Uyb0RvYy54bWxQSwUGAAAAAAYABgBZAQAAewUA&#10;AA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696128" behindDoc="0" locked="0" layoutInCell="1" allowOverlap="1">
                <wp:simplePos x="0" y="0"/>
                <wp:positionH relativeFrom="column">
                  <wp:posOffset>2931795</wp:posOffset>
                </wp:positionH>
                <wp:positionV relativeFrom="paragraph">
                  <wp:posOffset>4170045</wp:posOffset>
                </wp:positionV>
                <wp:extent cx="400050" cy="0"/>
                <wp:effectExtent l="0" t="25400" r="0" b="31750"/>
                <wp:wrapNone/>
                <wp:docPr id="80" name="直接连接符 7"/>
                <wp:cNvGraphicFramePr/>
                <a:graphic xmlns:a="http://schemas.openxmlformats.org/drawingml/2006/main">
                  <a:graphicData uri="http://schemas.microsoft.com/office/word/2010/wordprocessingShape">
                    <wps:wsp>
                      <wps:cNvSpPr/>
                      <wps:spPr>
                        <a:xfrm>
                          <a:off x="0" y="0"/>
                          <a:ext cx="400050"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7" o:spid="_x0000_s1026" o:spt="20" style="position:absolute;left:0pt;margin-left:230.85pt;margin-top:328.35pt;height:0pt;width:31.5pt;z-index:251696128;mso-width-relative:page;mso-height-relative:page;" filled="f" stroked="t" coordsize="21600,21600" o:gfxdata="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q46yJ1wAAAAsBAAAP&#10;AAAAAAAAAAEAIAAAACIAAABkcnMvZG93bnJldi54bWxQSwECFAAUAAAACACHTuJA+/GA7+ABAACZ&#10;AwAADgAAAAAAAAABACAAAAAmAQAAZHJzL2Uyb0RvYy54bWxQSwUGAAAAAAYABgBZAQAAeAUAAA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697152" behindDoc="0" locked="0" layoutInCell="1" allowOverlap="1">
                <wp:simplePos x="0" y="0"/>
                <wp:positionH relativeFrom="column">
                  <wp:posOffset>2931795</wp:posOffset>
                </wp:positionH>
                <wp:positionV relativeFrom="paragraph">
                  <wp:posOffset>3242945</wp:posOffset>
                </wp:positionV>
                <wp:extent cx="0" cy="920750"/>
                <wp:effectExtent l="6350" t="0" r="12700" b="12700"/>
                <wp:wrapNone/>
                <wp:docPr id="81" name="直接连接符 14"/>
                <wp:cNvGraphicFramePr/>
                <a:graphic xmlns:a="http://schemas.openxmlformats.org/drawingml/2006/main">
                  <a:graphicData uri="http://schemas.microsoft.com/office/word/2010/wordprocessingShape">
                    <wps:wsp>
                      <wps:cNvSpPr/>
                      <wps:spPr>
                        <a:xfrm>
                          <a:off x="0" y="0"/>
                          <a:ext cx="0" cy="920750"/>
                        </a:xfrm>
                        <a:prstGeom prst="line">
                          <a:avLst/>
                        </a:prstGeom>
                        <a:ln w="12700" cap="flat" cmpd="sng">
                          <a:solidFill>
                            <a:srgbClr val="000000"/>
                          </a:solidFill>
                          <a:prstDash val="solid"/>
                          <a:headEnd type="none" w="med" len="med"/>
                          <a:tailEnd type="none" w="med" len="med"/>
                        </a:ln>
                      </wps:spPr>
                      <wps:bodyPr upright="1"/>
                    </wps:wsp>
                  </a:graphicData>
                </a:graphic>
              </wp:anchor>
            </w:drawing>
          </mc:Choice>
          <mc:Fallback>
            <w:pict>
              <v:line id="直接连接符 14" o:spid="_x0000_s1026" o:spt="20" style="position:absolute;left:0pt;margin-left:230.85pt;margin-top:255.35pt;height:72.5pt;width:0pt;z-index:251697152;mso-width-relative:page;mso-height-relative:page;" filled="f" stroked="t" coordsize="21600,21600" o:gfxdata="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PccenfYAAAACwEAAA8AAAAA&#10;AAAAAQAgAAAAIgAAAGRycy9kb3ducmV2LnhtbFBLAQIUABQAAAAIAIdO4kAVmwWC2wEAAJgDAAAO&#10;AAAAAAAAAAEAIAAAACcBAABkcnMvZTJvRG9jLnhtbFBLBQYAAAAABgAGAFkBAAB0BQAAAAA=&#10;">
                <v:fill on="f" focussize="0,0"/>
                <v:stroke weight="1pt" color="#000000" joinstyle="round"/>
                <v:imagedata o:title=""/>
                <o:lock v:ext="edit" aspectratio="f"/>
              </v:line>
            </w:pict>
          </mc:Fallback>
        </mc:AlternateContent>
      </w:r>
      <w:r>
        <w:rPr>
          <w:lang w:eastAsia="zh-CN"/>
        </w:rPr>
        <mc:AlternateContent>
          <mc:Choice Requires="wps">
            <w:drawing>
              <wp:anchor distT="0" distB="0" distL="114300" distR="114300" simplePos="0" relativeHeight="251698176" behindDoc="0" locked="0" layoutInCell="1" allowOverlap="1">
                <wp:simplePos x="0" y="0"/>
                <wp:positionH relativeFrom="column">
                  <wp:posOffset>2931795</wp:posOffset>
                </wp:positionH>
                <wp:positionV relativeFrom="paragraph">
                  <wp:posOffset>3709670</wp:posOffset>
                </wp:positionV>
                <wp:extent cx="400050" cy="0"/>
                <wp:effectExtent l="0" t="25400" r="0" b="31750"/>
                <wp:wrapNone/>
                <wp:docPr id="82" name="直接连接符 8"/>
                <wp:cNvGraphicFramePr/>
                <a:graphic xmlns:a="http://schemas.openxmlformats.org/drawingml/2006/main">
                  <a:graphicData uri="http://schemas.microsoft.com/office/word/2010/wordprocessingShape">
                    <wps:wsp>
                      <wps:cNvSpPr/>
                      <wps:spPr>
                        <a:xfrm>
                          <a:off x="0" y="0"/>
                          <a:ext cx="400050"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8" o:spid="_x0000_s1026" o:spt="20" style="position:absolute;left:0pt;margin-left:230.85pt;margin-top:292.1pt;height:0pt;width:31.5pt;z-index:251698176;mso-width-relative:page;mso-height-relative:page;" filled="f" stroked="t" coordsize="21600,21600" o:gfxdata="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OVDOV7YAAAACwEA&#10;AA8AAAAAAAAAAQAgAAAAIgAAAGRycy9kb3ducmV2LnhtbFBLAQIUABQAAAAIAIdO4kCVGIS44QEA&#10;AJkDAAAOAAAAAAAAAAEAIAAAACcBAABkcnMvZTJvRG9jLnhtbFBLBQYAAAAABgAGAFkBAAB6BQAA&#10;A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699200" behindDoc="0" locked="0" layoutInCell="1" allowOverlap="1">
                <wp:simplePos x="0" y="0"/>
                <wp:positionH relativeFrom="column">
                  <wp:posOffset>1064895</wp:posOffset>
                </wp:positionH>
                <wp:positionV relativeFrom="paragraph">
                  <wp:posOffset>309245</wp:posOffset>
                </wp:positionV>
                <wp:extent cx="520065" cy="0"/>
                <wp:effectExtent l="0" t="25400" r="13335" b="31750"/>
                <wp:wrapNone/>
                <wp:docPr id="83" name="直接连接符 49"/>
                <wp:cNvGraphicFramePr/>
                <a:graphic xmlns:a="http://schemas.openxmlformats.org/drawingml/2006/main">
                  <a:graphicData uri="http://schemas.microsoft.com/office/word/2010/wordprocessingShape">
                    <wps:wsp>
                      <wps:cNvSpPr/>
                      <wps:spPr>
                        <a:xfrm>
                          <a:off x="0" y="0"/>
                          <a:ext cx="520065"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49" o:spid="_x0000_s1026" o:spt="20" style="position:absolute;left:0pt;margin-left:83.85pt;margin-top:24.35pt;height:0pt;width:40.95pt;z-index:251699200;mso-width-relative:page;mso-height-relative:page;" filled="f" stroked="t" coordsize="21600,21600" o:gfxdata="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CuuwsPXAAAACQEA&#10;AA8AAAAAAAAAAQAgAAAAIgAAAGRycy9kb3ducmV2LnhtbFBLAQIUABQAAAAIAIdO4kC2JZdb4gEA&#10;AJoDAAAOAAAAAAAAAAEAIAAAACYBAABkcnMvZTJvRG9jLnhtbFBLBQYAAAAABgAGAFkBAAB6BQAA&#10;A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700224" behindDoc="0" locked="0" layoutInCell="1" allowOverlap="1">
                <wp:simplePos x="0" y="0"/>
                <wp:positionH relativeFrom="column">
                  <wp:posOffset>1064895</wp:posOffset>
                </wp:positionH>
                <wp:positionV relativeFrom="paragraph">
                  <wp:posOffset>309245</wp:posOffset>
                </wp:positionV>
                <wp:extent cx="0" cy="301625"/>
                <wp:effectExtent l="6350" t="0" r="12700" b="3175"/>
                <wp:wrapNone/>
                <wp:docPr id="84" name="直接连接符 50"/>
                <wp:cNvGraphicFramePr/>
                <a:graphic xmlns:a="http://schemas.openxmlformats.org/drawingml/2006/main">
                  <a:graphicData uri="http://schemas.microsoft.com/office/word/2010/wordprocessingShape">
                    <wps:wsp>
                      <wps:cNvSpPr/>
                      <wps:spPr>
                        <a:xfrm flipH="1" flipV="1">
                          <a:off x="0" y="0"/>
                          <a:ext cx="0" cy="301625"/>
                        </a:xfrm>
                        <a:prstGeom prst="line">
                          <a:avLst/>
                        </a:prstGeom>
                        <a:ln w="12700" cap="flat" cmpd="sng">
                          <a:solidFill>
                            <a:srgbClr val="000000"/>
                          </a:solidFill>
                          <a:prstDash val="solid"/>
                          <a:headEnd type="none" w="med" len="med"/>
                          <a:tailEnd type="none" w="med" len="med"/>
                        </a:ln>
                      </wps:spPr>
                      <wps:bodyPr upright="1"/>
                    </wps:wsp>
                  </a:graphicData>
                </a:graphic>
              </wp:anchor>
            </w:drawing>
          </mc:Choice>
          <mc:Fallback>
            <w:pict>
              <v:line id="直接连接符 50" o:spid="_x0000_s1026" o:spt="20" style="position:absolute;left:0pt;flip:x y;margin-left:83.85pt;margin-top:24.35pt;height:23.75pt;width:0pt;z-index:251700224;mso-width-relative:page;mso-height-relative:page;" filled="f" stroked="t" coordsize="21600,21600" o:gfxdata="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E7Ts82AAA&#10;AAkBAAAPAAAAAAAAAAEAIAAAACIAAABkcnMvZG93bnJldi54bWxQSwECFAAUAAAACACHTuJAoZ+h&#10;V+UBAACsAwAADgAAAAAAAAABACAAAAAnAQAAZHJzL2Uyb0RvYy54bWxQSwUGAAAAAAYABgBZAQAA&#10;fgUAAAAA&#10;">
                <v:fill on="f" focussize="0,0"/>
                <v:stroke weight="1pt" color="#000000" joinstyle="round"/>
                <v:imagedata o:title=""/>
                <o:lock v:ext="edit" aspectratio="f"/>
              </v:line>
            </w:pict>
          </mc:Fallback>
        </mc:AlternateContent>
      </w:r>
      <w:r>
        <w:rPr>
          <w:lang w:eastAsia="zh-CN"/>
        </w:rPr>
        <mc:AlternateContent>
          <mc:Choice Requires="wps">
            <w:drawing>
              <wp:anchor distT="0" distB="0" distL="114300" distR="114300" simplePos="0" relativeHeight="251701248" behindDoc="0" locked="0" layoutInCell="1" allowOverlap="1">
                <wp:simplePos x="0" y="0"/>
                <wp:positionH relativeFrom="column">
                  <wp:posOffset>1064895</wp:posOffset>
                </wp:positionH>
                <wp:positionV relativeFrom="paragraph">
                  <wp:posOffset>871220</wp:posOffset>
                </wp:positionV>
                <wp:extent cx="0" cy="333375"/>
                <wp:effectExtent l="6350" t="0" r="12700" b="9525"/>
                <wp:wrapNone/>
                <wp:docPr id="85" name="直接连接符 39"/>
                <wp:cNvGraphicFramePr/>
                <a:graphic xmlns:a="http://schemas.openxmlformats.org/drawingml/2006/main">
                  <a:graphicData uri="http://schemas.microsoft.com/office/word/2010/wordprocessingShape">
                    <wps:wsp>
                      <wps:cNvSpPr/>
                      <wps:spPr>
                        <a:xfrm>
                          <a:off x="0" y="0"/>
                          <a:ext cx="0" cy="333375"/>
                        </a:xfrm>
                        <a:prstGeom prst="line">
                          <a:avLst/>
                        </a:prstGeom>
                        <a:ln w="12700" cap="flat" cmpd="sng">
                          <a:solidFill>
                            <a:srgbClr val="000000"/>
                          </a:solidFill>
                          <a:prstDash val="solid"/>
                          <a:headEnd type="none" w="med" len="med"/>
                          <a:tailEnd type="none" w="med" len="med"/>
                        </a:ln>
                      </wps:spPr>
                      <wps:bodyPr upright="1"/>
                    </wps:wsp>
                  </a:graphicData>
                </a:graphic>
              </wp:anchor>
            </w:drawing>
          </mc:Choice>
          <mc:Fallback>
            <w:pict>
              <v:line id="直接连接符 39" o:spid="_x0000_s1026" o:spt="20" style="position:absolute;left:0pt;margin-left:83.85pt;margin-top:68.6pt;height:26.25pt;width:0pt;z-index:251701248;mso-width-relative:page;mso-height-relative:page;" filled="f" stroked="t" coordsize="21600,21600" o:gfxdata="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IFG+QvYAAAACwEAAA8AAAAAAAAA&#10;AQAgAAAAIgAAAGRycy9kb3ducmV2LnhtbFBLAQIUABQAAAAIAIdO4kBxhiSk2AEAAJgDAAAOAAAA&#10;AAAAAAEAIAAAACcBAABkcnMvZTJvRG9jLnhtbFBLBQYAAAAABgAGAFkBAABxBQAAAAA=&#10;">
                <v:fill on="f" focussize="0,0"/>
                <v:stroke weight="1pt" color="#000000" joinstyle="round"/>
                <v:imagedata o:title=""/>
                <o:lock v:ext="edit" aspectratio="f"/>
              </v:line>
            </w:pict>
          </mc:Fallback>
        </mc:AlternateContent>
      </w:r>
      <w:r>
        <w:rPr>
          <w:lang w:eastAsia="zh-CN"/>
        </w:rPr>
        <mc:AlternateContent>
          <mc:Choice Requires="wps">
            <w:drawing>
              <wp:anchor distT="0" distB="0" distL="114300" distR="114300" simplePos="0" relativeHeight="251702272" behindDoc="0" locked="0" layoutInCell="1" allowOverlap="1">
                <wp:simplePos x="0" y="0"/>
                <wp:positionH relativeFrom="column">
                  <wp:posOffset>1064895</wp:posOffset>
                </wp:positionH>
                <wp:positionV relativeFrom="paragraph">
                  <wp:posOffset>1207770</wp:posOffset>
                </wp:positionV>
                <wp:extent cx="533400" cy="0"/>
                <wp:effectExtent l="0" t="25400" r="0" b="31750"/>
                <wp:wrapNone/>
                <wp:docPr id="86" name="直接连接符 37"/>
                <wp:cNvGraphicFramePr/>
                <a:graphic xmlns:a="http://schemas.openxmlformats.org/drawingml/2006/main">
                  <a:graphicData uri="http://schemas.microsoft.com/office/word/2010/wordprocessingShape">
                    <wps:wsp>
                      <wps:cNvSpPr/>
                      <wps:spPr>
                        <a:xfrm>
                          <a:off x="0" y="0"/>
                          <a:ext cx="533400"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37" o:spid="_x0000_s1026" o:spt="20" style="position:absolute;left:0pt;margin-left:83.85pt;margin-top:95.1pt;height:0pt;width:42pt;z-index:251702272;mso-width-relative:page;mso-height-relative:page;" filled="f" stroked="t" coordsize="21600,21600" o:gfxdata="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ZiEnzNYAAAALAQAA&#10;DwAAAAAAAAABACAAAAAiAAAAZHJzL2Rvd25yZXYueG1sUEsBAhQAFAAAAAgAh07iQOlRkSfiAQAA&#10;mgMAAA4AAAAAAAAAAQAgAAAAJQEAAGRycy9lMm9Eb2MueG1sUEsFBgAAAAAGAAYAWQEAAHkFAAAA&#10;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703296" behindDoc="0" locked="0" layoutInCell="1" allowOverlap="1">
                <wp:simplePos x="0" y="0"/>
                <wp:positionH relativeFrom="column">
                  <wp:posOffset>1078230</wp:posOffset>
                </wp:positionH>
                <wp:positionV relativeFrom="paragraph">
                  <wp:posOffset>2363470</wp:posOffset>
                </wp:positionV>
                <wp:extent cx="520065" cy="0"/>
                <wp:effectExtent l="0" t="25400" r="13335" b="31750"/>
                <wp:wrapNone/>
                <wp:docPr id="87" name="直接连接符 22"/>
                <wp:cNvGraphicFramePr/>
                <a:graphic xmlns:a="http://schemas.openxmlformats.org/drawingml/2006/main">
                  <a:graphicData uri="http://schemas.microsoft.com/office/word/2010/wordprocessingShape">
                    <wps:wsp>
                      <wps:cNvSpPr/>
                      <wps:spPr>
                        <a:xfrm>
                          <a:off x="0" y="0"/>
                          <a:ext cx="520065"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22" o:spid="_x0000_s1026" o:spt="20" style="position:absolute;left:0pt;margin-left:84.9pt;margin-top:186.1pt;height:0pt;width:40.95pt;z-index:251703296;mso-width-relative:page;mso-height-relative:page;" filled="f" stroked="t" coordsize="21600,21600" o:gfxdata="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LtbnGbXAAAACwEA&#10;AA8AAAAAAAAAAQAgAAAAIgAAAGRycy9kb3ducmV2LnhtbFBLAQIUABQAAAAIAIdO4kAIrmgq4gEA&#10;AJoDAAAOAAAAAAAAAAEAIAAAACYBAABkcnMvZTJvRG9jLnhtbFBLBQYAAAAABgAGAFkBAAB6BQAA&#10;A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704320" behindDoc="0" locked="0" layoutInCell="1" allowOverlap="1">
                <wp:simplePos x="0" y="0"/>
                <wp:positionH relativeFrom="column">
                  <wp:posOffset>1078230</wp:posOffset>
                </wp:positionH>
                <wp:positionV relativeFrom="paragraph">
                  <wp:posOffset>2363470</wp:posOffset>
                </wp:positionV>
                <wp:extent cx="0" cy="555625"/>
                <wp:effectExtent l="6350" t="0" r="12700" b="15875"/>
                <wp:wrapNone/>
                <wp:docPr id="88" name="直接连接符 23"/>
                <wp:cNvGraphicFramePr/>
                <a:graphic xmlns:a="http://schemas.openxmlformats.org/drawingml/2006/main">
                  <a:graphicData uri="http://schemas.microsoft.com/office/word/2010/wordprocessingShape">
                    <wps:wsp>
                      <wps:cNvSpPr/>
                      <wps:spPr>
                        <a:xfrm flipV="1">
                          <a:off x="0" y="0"/>
                          <a:ext cx="0" cy="555625"/>
                        </a:xfrm>
                        <a:prstGeom prst="line">
                          <a:avLst/>
                        </a:prstGeom>
                        <a:ln w="12700" cap="flat" cmpd="sng">
                          <a:solidFill>
                            <a:srgbClr val="000000"/>
                          </a:solidFill>
                          <a:prstDash val="solid"/>
                          <a:headEnd type="none" w="med" len="med"/>
                          <a:tailEnd type="none" w="med" len="med"/>
                        </a:ln>
                      </wps:spPr>
                      <wps:bodyPr upright="1"/>
                    </wps:wsp>
                  </a:graphicData>
                </a:graphic>
              </wp:anchor>
            </w:drawing>
          </mc:Choice>
          <mc:Fallback>
            <w:pict>
              <v:line id="直接连接符 23" o:spid="_x0000_s1026" o:spt="20" style="position:absolute;left:0pt;flip:y;margin-left:84.9pt;margin-top:186.1pt;height:43.75pt;width:0pt;z-index:251704320;mso-width-relative:page;mso-height-relative:page;" filled="f" stroked="t" coordsize="21600,21600" o:gfxdata="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BC6lrjaAAAACwEA&#10;AA8AAAAAAAAAAQAgAAAAIgAAAGRycy9kb3ducmV2LnhtbFBLAQIUABQAAAAIAIdO4kDl10xX3wEA&#10;AKIDAAAOAAAAAAAAAAEAIAAAACkBAABkcnMvZTJvRG9jLnhtbFBLBQYAAAAABgAGAFkBAAB6BQAA&#10;AAA=&#10;">
                <v:fill on="f" focussize="0,0"/>
                <v:stroke weight="1pt" color="#000000" joinstyle="round"/>
                <v:imagedata o:title=""/>
                <o:lock v:ext="edit" aspectratio="f"/>
              </v:line>
            </w:pict>
          </mc:Fallback>
        </mc:AlternateContent>
      </w:r>
      <w:r>
        <w:rPr>
          <w:lang w:eastAsia="zh-CN"/>
        </w:rPr>
        <mc:AlternateContent>
          <mc:Choice Requires="wps">
            <w:drawing>
              <wp:anchor distT="0" distB="0" distL="114300" distR="114300" simplePos="0" relativeHeight="251705344" behindDoc="0" locked="0" layoutInCell="1" allowOverlap="1">
                <wp:simplePos x="0" y="0"/>
                <wp:positionH relativeFrom="column">
                  <wp:posOffset>1091565</wp:posOffset>
                </wp:positionH>
                <wp:positionV relativeFrom="paragraph">
                  <wp:posOffset>3179445</wp:posOffset>
                </wp:positionV>
                <wp:extent cx="0" cy="539750"/>
                <wp:effectExtent l="6350" t="0" r="12700" b="12700"/>
                <wp:wrapNone/>
                <wp:docPr id="89" name="直接连接符 15"/>
                <wp:cNvGraphicFramePr/>
                <a:graphic xmlns:a="http://schemas.openxmlformats.org/drawingml/2006/main">
                  <a:graphicData uri="http://schemas.microsoft.com/office/word/2010/wordprocessingShape">
                    <wps:wsp>
                      <wps:cNvSpPr/>
                      <wps:spPr>
                        <a:xfrm>
                          <a:off x="0" y="0"/>
                          <a:ext cx="0" cy="539750"/>
                        </a:xfrm>
                        <a:prstGeom prst="line">
                          <a:avLst/>
                        </a:prstGeom>
                        <a:ln w="12700" cap="flat" cmpd="sng">
                          <a:solidFill>
                            <a:srgbClr val="000000"/>
                          </a:solidFill>
                          <a:prstDash val="solid"/>
                          <a:headEnd type="none" w="med" len="med"/>
                          <a:tailEnd type="none" w="med" len="med"/>
                        </a:ln>
                      </wps:spPr>
                      <wps:bodyPr upright="1"/>
                    </wps:wsp>
                  </a:graphicData>
                </a:graphic>
              </wp:anchor>
            </w:drawing>
          </mc:Choice>
          <mc:Fallback>
            <w:pict>
              <v:line id="直接连接符 15" o:spid="_x0000_s1026" o:spt="20" style="position:absolute;left:0pt;margin-left:85.95pt;margin-top:250.35pt;height:42.5pt;width:0pt;z-index:251705344;mso-width-relative:page;mso-height-relative:page;" filled="f" stroked="t" coordsize="21600,21600" o:gfxdata="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HgCHY2AAAAAsBAAAPAAAA&#10;AAAAAAEAIAAAACIAAABkcnMvZG93bnJldi54bWxQSwECFAAUAAAACACHTuJAYjIin9wBAACYAwAA&#10;DgAAAAAAAAABACAAAAAnAQAAZHJzL2Uyb0RvYy54bWxQSwUGAAAAAAYABgBZAQAAdQUAAAAA&#10;">
                <v:fill on="f" focussize="0,0"/>
                <v:stroke weight="1pt" color="#000000" joinstyle="round"/>
                <v:imagedata o:title=""/>
                <o:lock v:ext="edit" aspectratio="f"/>
              </v:line>
            </w:pict>
          </mc:Fallback>
        </mc:AlternateContent>
      </w:r>
      <w:r>
        <w:rPr>
          <w:lang w:eastAsia="zh-CN"/>
        </w:rPr>
        <mc:AlternateContent>
          <mc:Choice Requires="wps">
            <w:drawing>
              <wp:anchor distT="0" distB="0" distL="114300" distR="114300" simplePos="0" relativeHeight="251706368" behindDoc="0" locked="0" layoutInCell="1" allowOverlap="1">
                <wp:simplePos x="0" y="0"/>
                <wp:positionH relativeFrom="column">
                  <wp:posOffset>1091565</wp:posOffset>
                </wp:positionH>
                <wp:positionV relativeFrom="paragraph">
                  <wp:posOffset>3725545</wp:posOffset>
                </wp:positionV>
                <wp:extent cx="533400" cy="0"/>
                <wp:effectExtent l="0" t="25400" r="0" b="31750"/>
                <wp:wrapNone/>
                <wp:docPr id="90" name="直接连接符 9"/>
                <wp:cNvGraphicFramePr/>
                <a:graphic xmlns:a="http://schemas.openxmlformats.org/drawingml/2006/main">
                  <a:graphicData uri="http://schemas.microsoft.com/office/word/2010/wordprocessingShape">
                    <wps:wsp>
                      <wps:cNvSpPr/>
                      <wps:spPr>
                        <a:xfrm>
                          <a:off x="0" y="0"/>
                          <a:ext cx="533400"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9" o:spid="_x0000_s1026" o:spt="20" style="position:absolute;left:0pt;margin-left:85.95pt;margin-top:293.35pt;height:0pt;width:42pt;z-index:251706368;mso-width-relative:page;mso-height-relative:page;" filled="f" stroked="t" coordsize="21600,21600" o:gfxdata="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K8k8D1wAAAAsBAAAP&#10;AAAAAAAAAAEAIAAAACIAAABkcnMvZG93bnJldi54bWxQSwECFAAUAAAACACHTuJAVDVhReABAACZ&#10;AwAADgAAAAAAAAABACAAAAAmAQAAZHJzL2Uyb0RvYy54bWxQSwUGAAAAAAYABgBZAQAAeAUAAA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707392" behindDoc="0" locked="0" layoutInCell="1" allowOverlap="1">
                <wp:simplePos x="0" y="0"/>
                <wp:positionH relativeFrom="column">
                  <wp:posOffset>344805</wp:posOffset>
                </wp:positionH>
                <wp:positionV relativeFrom="paragraph">
                  <wp:posOffset>1960245</wp:posOffset>
                </wp:positionV>
                <wp:extent cx="0" cy="1079500"/>
                <wp:effectExtent l="6350" t="0" r="12700" b="6350"/>
                <wp:wrapNone/>
                <wp:docPr id="91" name="直接连接符 30"/>
                <wp:cNvGraphicFramePr/>
                <a:graphic xmlns:a="http://schemas.openxmlformats.org/drawingml/2006/main">
                  <a:graphicData uri="http://schemas.microsoft.com/office/word/2010/wordprocessingShape">
                    <wps:wsp>
                      <wps:cNvSpPr/>
                      <wps:spPr>
                        <a:xfrm>
                          <a:off x="0" y="0"/>
                          <a:ext cx="0" cy="1079500"/>
                        </a:xfrm>
                        <a:prstGeom prst="line">
                          <a:avLst/>
                        </a:prstGeom>
                        <a:ln w="12700" cap="flat" cmpd="sng">
                          <a:solidFill>
                            <a:srgbClr val="000000"/>
                          </a:solidFill>
                          <a:prstDash val="solid"/>
                          <a:headEnd type="none" w="med" len="med"/>
                          <a:tailEnd type="none" w="med" len="med"/>
                        </a:ln>
                      </wps:spPr>
                      <wps:bodyPr upright="1"/>
                    </wps:wsp>
                  </a:graphicData>
                </a:graphic>
              </wp:anchor>
            </w:drawing>
          </mc:Choice>
          <mc:Fallback>
            <w:pict>
              <v:line id="直接连接符 30" o:spid="_x0000_s1026" o:spt="20" style="position:absolute;left:0pt;margin-left:27.15pt;margin-top:154.35pt;height:85pt;width:0pt;z-index:251707392;mso-width-relative:page;mso-height-relative:page;" filled="f" stroked="t" coordsize="21600,21600" o:gfxdata="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QyZTH2AAAAAkBAAAPAAAAAAAA&#10;AAEAIAAAACIAAABkcnMvZG93bnJldi54bWxQSwECFAAUAAAACACHTuJAyV2vDtkBAACZAwAADgAA&#10;AAAAAAABACAAAAAnAQAAZHJzL2Uyb0RvYy54bWxQSwUGAAAAAAYABgBZAQAAcgUAAAAA&#10;">
                <v:fill on="f" focussize="0,0"/>
                <v:stroke weight="1pt" color="#000000" joinstyle="round"/>
                <v:imagedata o:title=""/>
                <o:lock v:ext="edit" aspectratio="f"/>
              </v:line>
            </w:pict>
          </mc:Fallback>
        </mc:AlternateContent>
      </w:r>
      <w:r>
        <w:rPr>
          <w:lang w:eastAsia="zh-CN"/>
        </w:rPr>
        <mc:AlternateContent>
          <mc:Choice Requires="wps">
            <w:drawing>
              <wp:anchor distT="0" distB="0" distL="114300" distR="114300" simplePos="0" relativeHeight="251708416" behindDoc="0" locked="0" layoutInCell="1" allowOverlap="1">
                <wp:simplePos x="0" y="0"/>
                <wp:positionH relativeFrom="column">
                  <wp:posOffset>344805</wp:posOffset>
                </wp:positionH>
                <wp:positionV relativeFrom="paragraph">
                  <wp:posOffset>3052445</wp:posOffset>
                </wp:positionV>
                <wp:extent cx="533400" cy="0"/>
                <wp:effectExtent l="0" t="25400" r="0" b="31750"/>
                <wp:wrapNone/>
                <wp:docPr id="92" name="直接连接符 16"/>
                <wp:cNvGraphicFramePr/>
                <a:graphic xmlns:a="http://schemas.openxmlformats.org/drawingml/2006/main">
                  <a:graphicData uri="http://schemas.microsoft.com/office/word/2010/wordprocessingShape">
                    <wps:wsp>
                      <wps:cNvSpPr/>
                      <wps:spPr>
                        <a:xfrm>
                          <a:off x="0" y="0"/>
                          <a:ext cx="533400"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16" o:spid="_x0000_s1026" o:spt="20" style="position:absolute;left:0pt;margin-left:27.15pt;margin-top:240.35pt;height:0pt;width:42pt;z-index:251708416;mso-width-relative:page;mso-height-relative:page;" filled="f" stroked="t" coordsize="21600,21600" o:gfxdata="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30zHQ1gAAAAoBAAAP&#10;AAAAAAAAAAEAIAAAACIAAABkcnMvZG93bnJldi54bWxQSwECFAAUAAAACACHTuJAj8vwceEBAACa&#10;AwAADgAAAAAAAAABACAAAAAlAQAAZHJzL2Uyb0RvYy54bWxQSwUGAAAAAAYABgBZAQAAeAUAAA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709440" behindDoc="0" locked="0" layoutInCell="1" allowOverlap="1">
                <wp:simplePos x="0" y="0"/>
                <wp:positionH relativeFrom="column">
                  <wp:posOffset>344805</wp:posOffset>
                </wp:positionH>
                <wp:positionV relativeFrom="paragraph">
                  <wp:posOffset>760095</wp:posOffset>
                </wp:positionV>
                <wp:extent cx="520065" cy="0"/>
                <wp:effectExtent l="0" t="25400" r="13335" b="31750"/>
                <wp:wrapNone/>
                <wp:docPr id="93" name="直接连接符 40"/>
                <wp:cNvGraphicFramePr/>
                <a:graphic xmlns:a="http://schemas.openxmlformats.org/drawingml/2006/main">
                  <a:graphicData uri="http://schemas.microsoft.com/office/word/2010/wordprocessingShape">
                    <wps:wsp>
                      <wps:cNvSpPr/>
                      <wps:spPr>
                        <a:xfrm>
                          <a:off x="0" y="0"/>
                          <a:ext cx="520065" cy="0"/>
                        </a:xfrm>
                        <a:prstGeom prst="line">
                          <a:avLst/>
                        </a:prstGeom>
                        <a:ln w="12700" cap="flat" cmpd="sng">
                          <a:solidFill>
                            <a:srgbClr val="000000"/>
                          </a:solidFill>
                          <a:prstDash val="solid"/>
                          <a:headEnd type="none" w="med" len="med"/>
                          <a:tailEnd type="stealth" w="sm" len="med"/>
                        </a:ln>
                      </wps:spPr>
                      <wps:bodyPr upright="1"/>
                    </wps:wsp>
                  </a:graphicData>
                </a:graphic>
              </wp:anchor>
            </w:drawing>
          </mc:Choice>
          <mc:Fallback>
            <w:pict>
              <v:line id="直接连接符 40" o:spid="_x0000_s1026" o:spt="20" style="position:absolute;left:0pt;margin-left:27.15pt;margin-top:59.85pt;height:0pt;width:40.95pt;z-index:251709440;mso-width-relative:page;mso-height-relative:page;" filled="f" stroked="t" coordsize="21600,21600" o:gfxdata="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DIVr11wAAAAoBAAAP&#10;AAAAAAAAAAEAIAAAACIAAABkcnMvZG93bnJldi54bWxQSwECFAAUAAAACACHTuJASLoRYeABAACa&#10;AwAADgAAAAAAAAABACAAAAAmAQAAZHJzL2Uyb0RvYy54bWxQSwUGAAAAAAYABgBZAQAAeAUAAAAA&#10;">
                <v:fill on="f" focussize="0,0"/>
                <v:stroke weight="1pt" color="#000000" joinstyle="round" endarrow="classic" endarrowwidth="narrow"/>
                <v:imagedata o:title=""/>
                <o:lock v:ext="edit" aspectratio="f"/>
              </v:line>
            </w:pict>
          </mc:Fallback>
        </mc:AlternateContent>
      </w:r>
      <w:r>
        <w:rPr>
          <w:lang w:eastAsia="zh-CN"/>
        </w:rPr>
        <mc:AlternateContent>
          <mc:Choice Requires="wps">
            <w:drawing>
              <wp:anchor distT="0" distB="0" distL="114300" distR="114300" simplePos="0" relativeHeight="251710464" behindDoc="0" locked="0" layoutInCell="1" allowOverlap="1">
                <wp:simplePos x="0" y="0"/>
                <wp:positionH relativeFrom="column">
                  <wp:posOffset>344805</wp:posOffset>
                </wp:positionH>
                <wp:positionV relativeFrom="paragraph">
                  <wp:posOffset>760095</wp:posOffset>
                </wp:positionV>
                <wp:extent cx="0" cy="936625"/>
                <wp:effectExtent l="6350" t="0" r="12700" b="15875"/>
                <wp:wrapNone/>
                <wp:docPr id="94" name="直接连接符 41"/>
                <wp:cNvGraphicFramePr/>
                <a:graphic xmlns:a="http://schemas.openxmlformats.org/drawingml/2006/main">
                  <a:graphicData uri="http://schemas.microsoft.com/office/word/2010/wordprocessingShape">
                    <wps:wsp>
                      <wps:cNvSpPr/>
                      <wps:spPr>
                        <a:xfrm flipH="1" flipV="1">
                          <a:off x="0" y="0"/>
                          <a:ext cx="0" cy="936625"/>
                        </a:xfrm>
                        <a:prstGeom prst="line">
                          <a:avLst/>
                        </a:prstGeom>
                        <a:ln w="12700" cap="flat" cmpd="sng">
                          <a:solidFill>
                            <a:srgbClr val="000000"/>
                          </a:solidFill>
                          <a:prstDash val="solid"/>
                          <a:headEnd type="none" w="med" len="med"/>
                          <a:tailEnd type="none" w="med" len="med"/>
                        </a:ln>
                      </wps:spPr>
                      <wps:bodyPr upright="1"/>
                    </wps:wsp>
                  </a:graphicData>
                </a:graphic>
              </wp:anchor>
            </w:drawing>
          </mc:Choice>
          <mc:Fallback>
            <w:pict>
              <v:line id="直接连接符 41" o:spid="_x0000_s1026" o:spt="20" style="position:absolute;left:0pt;flip:x y;margin-left:27.15pt;margin-top:59.85pt;height:73.75pt;width:0pt;z-index:251710464;mso-width-relative:page;mso-height-relative:page;" filled="f" stroked="t" coordsize="21600,21600" o:gfxdata="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3C84/Z&#10;AAAACQEAAA8AAAAAAAAAAQAgAAAAIgAAAGRycy9kb3ducmV2LnhtbFBLAQIUABQAAAAIAIdO4kDn&#10;bK2I5gEAAKwDAAAOAAAAAAAAAAEAIAAAACgBAABkcnMvZTJvRG9jLnhtbFBLBQYAAAAABgAGAFkB&#10;AACABQAAAAA=&#10;">
                <v:fill on="f" focussize="0,0"/>
                <v:stroke weight="1pt" color="#000000" joinstyle="round"/>
                <v:imagedata o:title=""/>
                <o:lock v:ext="edit" aspectratio="f"/>
              </v:line>
            </w:pict>
          </mc:Fallback>
        </mc:AlternateContent>
      </w:r>
    </w:p>
    <w:p>
      <w:pPr>
        <w:pStyle w:val="27"/>
        <w:keepNext w:val="0"/>
        <w:keepLines w:val="0"/>
        <w:widowControl/>
        <w:suppressLineNumbers w:val="0"/>
        <w:adjustRightInd w:val="0"/>
        <w:snapToGrid w:val="0"/>
        <w:spacing w:before="0" w:beforeAutospacing="0" w:after="0" w:afterAutospacing="0" w:line="520" w:lineRule="exact"/>
        <w:ind w:left="0" w:right="0" w:firstLine="480" w:firstLineChars="200"/>
        <w:jc w:val="left"/>
        <w:rPr>
          <w:rFonts w:hint="default" w:ascii="Times New Roman" w:hAnsi="Times New Roman" w:cs="Times New Roman"/>
          <w:color w:val="000000"/>
          <w:lang/>
        </w:rPr>
      </w:pPr>
    </w:p>
    <w:p>
      <w:pPr>
        <w:pStyle w:val="27"/>
        <w:keepNext w:val="0"/>
        <w:keepLines w:val="0"/>
        <w:widowControl/>
        <w:suppressLineNumbers w:val="0"/>
        <w:adjustRightInd w:val="0"/>
        <w:snapToGrid w:val="0"/>
        <w:spacing w:before="0" w:beforeAutospacing="0" w:after="0" w:afterAutospacing="0" w:line="520" w:lineRule="exact"/>
        <w:ind w:left="0" w:right="0" w:firstLine="480" w:firstLineChars="200"/>
        <w:jc w:val="left"/>
        <w:rPr>
          <w:rFonts w:hint="default" w:ascii="Times New Roman" w:hAnsi="Times New Roman" w:cs="Times New Roman"/>
          <w:color w:val="000000"/>
          <w:lang/>
        </w:rPr>
      </w:pPr>
    </w:p>
    <w:p>
      <w:pPr>
        <w:pStyle w:val="27"/>
        <w:keepNext w:val="0"/>
        <w:keepLines w:val="0"/>
        <w:widowControl/>
        <w:suppressLineNumbers w:val="0"/>
        <w:adjustRightInd w:val="0"/>
        <w:snapToGrid w:val="0"/>
        <w:spacing w:before="0" w:beforeAutospacing="0" w:after="0" w:afterAutospacing="0" w:line="520" w:lineRule="exact"/>
        <w:ind w:left="0" w:right="0" w:firstLine="480" w:firstLineChars="200"/>
        <w:jc w:val="left"/>
        <w:rPr>
          <w:rFonts w:hint="default" w:ascii="Times New Roman" w:hAnsi="Times New Roman" w:cs="Times New Roman"/>
          <w:color w:val="000000"/>
          <w:lang/>
        </w:rPr>
      </w:pPr>
    </w:p>
    <w:p>
      <w:pPr>
        <w:pStyle w:val="27"/>
        <w:keepNext w:val="0"/>
        <w:keepLines w:val="0"/>
        <w:widowControl/>
        <w:suppressLineNumbers w:val="0"/>
        <w:adjustRightInd w:val="0"/>
        <w:snapToGrid w:val="0"/>
        <w:spacing w:before="0" w:beforeAutospacing="0" w:after="0" w:afterAutospacing="0" w:line="520" w:lineRule="exact"/>
        <w:ind w:left="0" w:right="0" w:firstLine="480" w:firstLineChars="200"/>
        <w:jc w:val="left"/>
        <w:rPr>
          <w:rFonts w:hint="default" w:ascii="Times New Roman" w:hAnsi="Times New Roman" w:cs="Times New Roman"/>
          <w:color w:val="000000"/>
          <w:lang/>
        </w:rPr>
      </w:pPr>
    </w:p>
    <w:p>
      <w:pPr>
        <w:pStyle w:val="27"/>
        <w:keepNext w:val="0"/>
        <w:keepLines w:val="0"/>
        <w:widowControl/>
        <w:suppressLineNumbers w:val="0"/>
        <w:adjustRightInd w:val="0"/>
        <w:snapToGrid w:val="0"/>
        <w:spacing w:before="0" w:beforeAutospacing="0" w:after="0" w:afterAutospacing="0" w:line="520" w:lineRule="exact"/>
        <w:ind w:left="0" w:right="0" w:firstLine="480" w:firstLineChars="200"/>
        <w:jc w:val="left"/>
        <w:rPr>
          <w:rFonts w:hint="default" w:ascii="Times New Roman" w:hAnsi="Times New Roman" w:cs="Times New Roman"/>
          <w:color w:val="000000"/>
          <w:lang/>
        </w:rPr>
      </w:pPr>
    </w:p>
    <w:p>
      <w:pPr>
        <w:pStyle w:val="27"/>
        <w:keepNext w:val="0"/>
        <w:keepLines w:val="0"/>
        <w:widowControl/>
        <w:suppressLineNumbers w:val="0"/>
        <w:adjustRightInd w:val="0"/>
        <w:snapToGrid w:val="0"/>
        <w:spacing w:before="0" w:beforeAutospacing="0" w:after="0" w:afterAutospacing="0" w:line="520" w:lineRule="exact"/>
        <w:ind w:left="0" w:right="0" w:firstLine="480" w:firstLineChars="200"/>
        <w:jc w:val="left"/>
        <w:rPr>
          <w:rFonts w:hint="default" w:ascii="Times New Roman" w:hAnsi="Times New Roman" w:cs="Times New Roman"/>
          <w:color w:val="000000"/>
          <w:lang/>
        </w:rPr>
      </w:pPr>
    </w:p>
    <w:p>
      <w:pPr>
        <w:pStyle w:val="27"/>
        <w:keepNext w:val="0"/>
        <w:keepLines w:val="0"/>
        <w:widowControl/>
        <w:suppressLineNumbers w:val="0"/>
        <w:adjustRightInd w:val="0"/>
        <w:snapToGrid w:val="0"/>
        <w:spacing w:before="0" w:beforeAutospacing="0" w:after="0" w:afterAutospacing="0" w:line="520" w:lineRule="exact"/>
        <w:ind w:left="0" w:right="0" w:firstLine="480" w:firstLineChars="200"/>
        <w:jc w:val="left"/>
        <w:rPr>
          <w:rFonts w:hint="default" w:ascii="Times New Roman" w:hAnsi="Times New Roman" w:cs="Times New Roman"/>
          <w:color w:val="000000"/>
          <w:lang/>
        </w:rPr>
      </w:pPr>
    </w:p>
    <w:p>
      <w:pPr>
        <w:pStyle w:val="27"/>
        <w:keepNext w:val="0"/>
        <w:keepLines w:val="0"/>
        <w:widowControl/>
        <w:suppressLineNumbers w:val="0"/>
        <w:adjustRightInd w:val="0"/>
        <w:snapToGrid w:val="0"/>
        <w:spacing w:before="0" w:beforeAutospacing="0" w:after="0" w:afterAutospacing="0" w:line="520" w:lineRule="exact"/>
        <w:ind w:left="0" w:right="0" w:firstLine="480" w:firstLineChars="200"/>
        <w:jc w:val="left"/>
        <w:rPr>
          <w:rFonts w:hint="default" w:ascii="Times New Roman" w:hAnsi="Times New Roman" w:cs="Times New Roman"/>
          <w:color w:val="000000"/>
          <w:lang/>
        </w:rPr>
      </w:pPr>
    </w:p>
    <w:p>
      <w:pPr>
        <w:pStyle w:val="27"/>
        <w:keepNext w:val="0"/>
        <w:keepLines w:val="0"/>
        <w:widowControl/>
        <w:suppressLineNumbers w:val="0"/>
        <w:adjustRightInd w:val="0"/>
        <w:snapToGrid w:val="0"/>
        <w:spacing w:before="0" w:beforeAutospacing="0" w:after="0" w:afterAutospacing="0" w:line="520" w:lineRule="exact"/>
        <w:ind w:left="0" w:right="0" w:firstLine="480" w:firstLineChars="200"/>
        <w:jc w:val="left"/>
        <w:rPr>
          <w:rFonts w:hint="default" w:ascii="Times New Roman" w:hAnsi="Times New Roman" w:cs="Times New Roman"/>
          <w:color w:val="000000"/>
          <w:lang/>
        </w:rPr>
      </w:pPr>
    </w:p>
    <w:p>
      <w:pPr>
        <w:pStyle w:val="27"/>
        <w:keepNext w:val="0"/>
        <w:keepLines w:val="0"/>
        <w:widowControl/>
        <w:suppressLineNumbers w:val="0"/>
        <w:adjustRightInd w:val="0"/>
        <w:snapToGrid w:val="0"/>
        <w:spacing w:before="0" w:beforeAutospacing="0" w:after="0" w:afterAutospacing="0" w:line="520" w:lineRule="exact"/>
        <w:ind w:left="0" w:right="0" w:firstLine="480" w:firstLineChars="200"/>
        <w:jc w:val="left"/>
        <w:rPr>
          <w:rFonts w:hint="default" w:ascii="Times New Roman" w:hAnsi="Times New Roman" w:cs="Times New Roman"/>
          <w:color w:val="000000"/>
          <w:lang/>
        </w:rPr>
      </w:pPr>
    </w:p>
    <w:p>
      <w:pPr>
        <w:pStyle w:val="27"/>
        <w:keepNext w:val="0"/>
        <w:keepLines w:val="0"/>
        <w:widowControl/>
        <w:suppressLineNumbers w:val="0"/>
        <w:adjustRightInd w:val="0"/>
        <w:snapToGrid w:val="0"/>
        <w:spacing w:before="0" w:beforeAutospacing="0" w:after="0" w:afterAutospacing="0" w:line="520" w:lineRule="exact"/>
        <w:ind w:left="0" w:right="0" w:firstLine="480" w:firstLineChars="200"/>
        <w:jc w:val="left"/>
        <w:rPr>
          <w:rFonts w:hint="default" w:ascii="Times New Roman" w:hAnsi="Times New Roman" w:cs="Times New Roman"/>
          <w:color w:val="000000"/>
          <w:lang/>
        </w:rPr>
      </w:pPr>
    </w:p>
    <w:p>
      <w:pPr>
        <w:pStyle w:val="27"/>
        <w:keepNext w:val="0"/>
        <w:keepLines w:val="0"/>
        <w:widowControl/>
        <w:suppressLineNumbers w:val="0"/>
        <w:adjustRightInd w:val="0"/>
        <w:snapToGrid w:val="0"/>
        <w:spacing w:before="0" w:beforeAutospacing="0" w:after="0" w:afterAutospacing="0" w:line="520" w:lineRule="exact"/>
        <w:ind w:left="0" w:right="0" w:firstLine="480" w:firstLineChars="200"/>
        <w:jc w:val="left"/>
        <w:rPr>
          <w:rFonts w:hint="default" w:ascii="Times New Roman" w:hAnsi="Times New Roman" w:cs="Times New Roman"/>
          <w:color w:val="000000"/>
          <w:lang/>
        </w:rPr>
      </w:pPr>
    </w:p>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7-1  </w:t>
      </w:r>
      <w:r>
        <w:rPr>
          <w:rFonts w:hint="eastAsia" w:ascii="Times New Roman" w:hAnsi="Times New Roman" w:eastAsia="黑体" w:cs="Times New Roman"/>
          <w:color w:val="000000"/>
          <w:kern w:val="0"/>
          <w:sz w:val="24"/>
          <w:szCs w:val="24"/>
          <w:lang w:val="en-US" w:eastAsia="zh-CN" w:bidi="ar"/>
        </w:rPr>
        <w:t>费用和效益分析示意图</w:t>
      </w:r>
    </w:p>
    <w:p>
      <w:pPr>
        <w:pStyle w:val="8"/>
        <w:widowControl/>
        <w:rPr>
          <w:color w:val="000000"/>
          <w:lang/>
        </w:rPr>
      </w:pPr>
      <w:bookmarkStart w:id="252" w:name="_Toc41656154"/>
      <w:r>
        <w:rPr>
          <w:color w:val="000000"/>
          <w:lang/>
        </w:rPr>
        <w:t xml:space="preserve">7.1 </w:t>
      </w:r>
      <w:r>
        <w:rPr>
          <w:rFonts w:hint="eastAsia" w:ascii="Times New Roman" w:hAnsi="Times New Roman" w:eastAsia="宋体" w:cs="宋体"/>
          <w:color w:val="000000"/>
          <w:lang w:eastAsia="zh-CN"/>
        </w:rPr>
        <w:t>费用</w:t>
      </w:r>
      <w:bookmarkEnd w:id="252"/>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eastAsia="zh-CN"/>
        </w:rPr>
      </w:pPr>
      <w:r>
        <w:rPr>
          <w:rFonts w:hint="eastAsia" w:ascii="Times New Roman" w:hAnsi="Times New Roman" w:eastAsia="宋体" w:cs="Times New Roman"/>
          <w:color w:val="000000"/>
          <w:kern w:val="0"/>
          <w:sz w:val="24"/>
          <w:szCs w:val="24"/>
          <w:lang w:eastAsia="zh-CN" w:bidi="ar"/>
        </w:rPr>
        <w:t>本项目环境费用主要包括两部分：工程环境保护措施投资费用和环保设施运行及管理费用（两部分费用不具有可加性）。</w:t>
      </w:r>
    </w:p>
    <w:p>
      <w:pPr>
        <w:pStyle w:val="27"/>
        <w:keepNext w:val="0"/>
        <w:keepLines w:val="0"/>
        <w:widowControl/>
        <w:suppressLineNumbers w:val="0"/>
        <w:adjustRightInd w:val="0"/>
        <w:snapToGrid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eastAsia="zh-CN"/>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eastAsia="zh-CN" w:bidi="ar"/>
        </w:rPr>
        <w:t>1</w:t>
      </w:r>
      <w:r>
        <w:rPr>
          <w:rFonts w:hint="eastAsia" w:ascii="Times New Roman" w:hAnsi="Times New Roman" w:eastAsia="宋体" w:cs="Times New Roman"/>
          <w:b/>
          <w:bCs w:val="0"/>
          <w:color w:val="000000"/>
          <w:kern w:val="0"/>
          <w:sz w:val="24"/>
          <w:szCs w:val="24"/>
          <w:lang w:val="en-US" w:eastAsia="zh-CN" w:bidi="ar"/>
        </w:rPr>
        <w:t>）工程环保措施投资费用</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本项目总投资</w:t>
      </w:r>
      <w:r>
        <w:rPr>
          <w:rFonts w:hint="default" w:ascii="Times New Roman" w:hAnsi="Times New Roman" w:eastAsia="宋体" w:cs="Times New Roman"/>
          <w:color w:val="000000"/>
          <w:kern w:val="0"/>
          <w:sz w:val="24"/>
          <w:szCs w:val="24"/>
          <w:lang w:val="en-US" w:eastAsia="zh-CN" w:bidi="ar"/>
        </w:rPr>
        <w:t>6000</w:t>
      </w:r>
      <w:r>
        <w:rPr>
          <w:rFonts w:hint="eastAsia" w:ascii="Times New Roman" w:hAnsi="Times New Roman" w:eastAsia="宋体" w:cs="Times New Roman"/>
          <w:color w:val="000000"/>
          <w:kern w:val="0"/>
          <w:sz w:val="24"/>
          <w:szCs w:val="24"/>
          <w:lang w:val="en-US" w:eastAsia="zh-CN" w:bidi="ar"/>
        </w:rPr>
        <w:t>万元，其中环保投资为</w:t>
      </w:r>
      <w:r>
        <w:rPr>
          <w:rFonts w:hint="default" w:ascii="Times New Roman" w:hAnsi="Times New Roman" w:eastAsia="宋体" w:cs="Times New Roman"/>
          <w:color w:val="000000"/>
          <w:kern w:val="0"/>
          <w:sz w:val="24"/>
          <w:szCs w:val="24"/>
          <w:lang w:val="en-US" w:eastAsia="zh-CN" w:bidi="ar"/>
        </w:rPr>
        <w:t>626</w:t>
      </w:r>
      <w:r>
        <w:rPr>
          <w:rFonts w:hint="eastAsia" w:ascii="Times New Roman" w:hAnsi="Times New Roman" w:eastAsia="宋体" w:cs="Times New Roman"/>
          <w:color w:val="000000"/>
          <w:kern w:val="0"/>
          <w:sz w:val="24"/>
          <w:szCs w:val="24"/>
          <w:lang w:val="en-US" w:eastAsia="zh-CN" w:bidi="ar"/>
        </w:rPr>
        <w:t>万元，占总投资的</w:t>
      </w:r>
      <w:r>
        <w:rPr>
          <w:rFonts w:hint="default" w:ascii="Times New Roman" w:hAnsi="Times New Roman" w:eastAsia="宋体" w:cs="Times New Roman"/>
          <w:color w:val="000000"/>
          <w:kern w:val="0"/>
          <w:sz w:val="24"/>
          <w:szCs w:val="24"/>
          <w:lang w:val="en-US" w:eastAsia="zh-CN" w:bidi="ar"/>
        </w:rPr>
        <w:t>10.4%</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）环保设施运行及管理费用</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环保设施经营支出包括环保设施折旧费、运行费和环保设施管理费。</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 1 \* GB3 </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宋体" w:hAnsi="宋体" w:eastAsia="宋体" w:cs="宋体"/>
          <w:color w:val="000000"/>
          <w:kern w:val="0"/>
          <w:sz w:val="24"/>
          <w:szCs w:val="24"/>
          <w:lang w:val="en-US" w:eastAsia="zh-CN" w:bidi="ar"/>
        </w:rPr>
        <w:t>①</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环保设施折旧费</w:t>
      </w:r>
      <w:r>
        <w:rPr>
          <w:rFonts w:hint="default" w:ascii="Times New Roman" w:hAnsi="Times New Roman" w:eastAsia="宋体" w:cs="Times New Roman"/>
          <w:color w:val="000000"/>
          <w:kern w:val="0"/>
          <w:sz w:val="24"/>
          <w:szCs w:val="24"/>
          <w:lang w:val="en-US" w:eastAsia="zh-CN" w:bidi="ar"/>
        </w:rPr>
        <w:t>C</w:t>
      </w:r>
      <w:r>
        <w:rPr>
          <w:rFonts w:hint="default" w:ascii="Times New Roman" w:hAnsi="Times New Roman" w:eastAsia="宋体" w:cs="Times New Roman"/>
          <w:color w:val="000000"/>
          <w:kern w:val="0"/>
          <w:sz w:val="24"/>
          <w:szCs w:val="24"/>
          <w:vertAlign w:val="subscript"/>
          <w:lang w:val="en-US" w:eastAsia="zh-CN" w:bidi="ar"/>
        </w:rPr>
        <w:t>1</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C</w:t>
      </w:r>
      <w:r>
        <w:rPr>
          <w:rFonts w:hint="default" w:ascii="Times New Roman" w:hAnsi="Times New Roman" w:eastAsia="宋体" w:cs="Times New Roman"/>
          <w:color w:val="000000"/>
          <w:kern w:val="0"/>
          <w:sz w:val="24"/>
          <w:szCs w:val="24"/>
          <w:vertAlign w:val="subscript"/>
          <w:lang w:val="en-US" w:eastAsia="zh-CN" w:bidi="ar"/>
        </w:rPr>
        <w:t>1</w:t>
      </w:r>
      <w:r>
        <w:rPr>
          <w:rFonts w:hint="default" w:ascii="Times New Roman" w:hAnsi="Times New Roman" w:eastAsia="宋体" w:cs="Times New Roman"/>
          <w:color w:val="000000"/>
          <w:kern w:val="0"/>
          <w:sz w:val="24"/>
          <w:szCs w:val="24"/>
          <w:lang w:val="en-US" w:eastAsia="zh-CN" w:bidi="ar"/>
        </w:rPr>
        <w:t>=a×C</w:t>
      </w:r>
      <w:r>
        <w:rPr>
          <w:rFonts w:hint="default" w:ascii="Times New Roman" w:hAnsi="Times New Roman" w:eastAsia="宋体" w:cs="Times New Roman"/>
          <w:color w:val="000000"/>
          <w:kern w:val="0"/>
          <w:sz w:val="24"/>
          <w:szCs w:val="24"/>
          <w:vertAlign w:val="subscript"/>
          <w:lang w:val="en-US" w:eastAsia="zh-CN" w:bidi="ar"/>
        </w:rPr>
        <w:t>0</w:t>
      </w:r>
      <w:r>
        <w:rPr>
          <w:rFonts w:hint="default" w:ascii="Times New Roman" w:hAnsi="Times New Roman" w:eastAsia="宋体" w:cs="Times New Roman"/>
          <w:color w:val="000000"/>
          <w:kern w:val="0"/>
          <w:sz w:val="24"/>
          <w:szCs w:val="24"/>
          <w:lang w:val="en-US" w:eastAsia="zh-CN" w:bidi="ar"/>
        </w:rPr>
        <w:t>/n</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式中：</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固定资产形成率，取</w:t>
      </w:r>
      <w:r>
        <w:rPr>
          <w:rFonts w:hint="default" w:ascii="Times New Roman" w:hAnsi="Times New Roman" w:eastAsia="宋体" w:cs="Times New Roman"/>
          <w:color w:val="000000"/>
          <w:kern w:val="0"/>
          <w:sz w:val="24"/>
          <w:szCs w:val="24"/>
          <w:lang w:val="en-US" w:eastAsia="zh-CN" w:bidi="ar"/>
        </w:rPr>
        <w:t>95%</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 xml:space="preserve">      C</w:t>
      </w:r>
      <w:r>
        <w:rPr>
          <w:rFonts w:hint="default" w:ascii="Times New Roman" w:hAnsi="Times New Roman" w:eastAsia="宋体" w:cs="Times New Roman"/>
          <w:color w:val="000000"/>
          <w:kern w:val="0"/>
          <w:sz w:val="24"/>
          <w:szCs w:val="24"/>
          <w:vertAlign w:val="subscript"/>
          <w:lang w:val="en-US" w:eastAsia="zh-CN" w:bidi="ar"/>
        </w:rPr>
        <w:t>o</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环保总投资，万元；</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 xml:space="preserve">      n——</w:t>
      </w:r>
      <w:r>
        <w:rPr>
          <w:rFonts w:hint="eastAsia" w:ascii="Times New Roman" w:hAnsi="Times New Roman" w:eastAsia="宋体" w:cs="Times New Roman"/>
          <w:color w:val="000000"/>
          <w:kern w:val="0"/>
          <w:sz w:val="24"/>
          <w:szCs w:val="24"/>
          <w:lang w:val="en-US" w:eastAsia="zh-CN" w:bidi="ar"/>
        </w:rPr>
        <w:t>折旧年限，取</w:t>
      </w:r>
      <w:r>
        <w:rPr>
          <w:rFonts w:hint="default" w:ascii="Times New Roman" w:hAnsi="Times New Roman" w:eastAsia="宋体" w:cs="Times New Roman"/>
          <w:color w:val="000000"/>
          <w:kern w:val="0"/>
          <w:sz w:val="24"/>
          <w:szCs w:val="24"/>
          <w:lang w:val="en-US" w:eastAsia="zh-CN" w:bidi="ar"/>
        </w:rPr>
        <w:t>10</w:t>
      </w:r>
      <w:r>
        <w:rPr>
          <w:rFonts w:hint="eastAsia" w:ascii="Times New Roman" w:hAnsi="Times New Roman" w:eastAsia="宋体" w:cs="Times New Roman"/>
          <w:color w:val="000000"/>
          <w:kern w:val="0"/>
          <w:sz w:val="24"/>
          <w:szCs w:val="24"/>
          <w:lang w:val="en-US" w:eastAsia="zh-CN" w:bidi="ar"/>
        </w:rPr>
        <w:t>年。</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vertAlign w:val="subscript"/>
          <w:lang w:val="en-US"/>
        </w:rPr>
      </w:pP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 2 \* GB3 </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宋体" w:hAnsi="宋体" w:eastAsia="宋体" w:cs="宋体"/>
          <w:color w:val="000000"/>
          <w:kern w:val="0"/>
          <w:sz w:val="24"/>
          <w:szCs w:val="24"/>
          <w:lang w:val="en-US" w:eastAsia="zh-CN" w:bidi="ar"/>
        </w:rPr>
        <w:t>②</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环保设施运行费</w:t>
      </w:r>
      <w:r>
        <w:rPr>
          <w:rFonts w:hint="default" w:ascii="Times New Roman" w:hAnsi="Times New Roman" w:eastAsia="宋体" w:cs="Times New Roman"/>
          <w:color w:val="000000"/>
          <w:kern w:val="0"/>
          <w:sz w:val="24"/>
          <w:szCs w:val="24"/>
          <w:lang w:val="en-US" w:eastAsia="zh-CN" w:bidi="ar"/>
        </w:rPr>
        <w:t>C</w:t>
      </w:r>
      <w:r>
        <w:rPr>
          <w:rFonts w:hint="default" w:ascii="Times New Roman" w:hAnsi="Times New Roman" w:eastAsia="宋体" w:cs="Times New Roman"/>
          <w:color w:val="000000"/>
          <w:kern w:val="0"/>
          <w:sz w:val="24"/>
          <w:szCs w:val="24"/>
          <w:vertAlign w:val="subscript"/>
          <w:lang w:val="en-US" w:eastAsia="zh-CN" w:bidi="ar"/>
        </w:rPr>
        <w:t>2</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参照国内其它企业的有关资料，环保及综合利用设施的年运行费可按环保总投资的</w:t>
      </w:r>
      <w:r>
        <w:rPr>
          <w:rFonts w:hint="default" w:ascii="Times New Roman" w:hAnsi="Times New Roman" w:eastAsia="宋体" w:cs="Times New Roman"/>
          <w:color w:val="000000"/>
          <w:kern w:val="0"/>
          <w:sz w:val="24"/>
          <w:szCs w:val="24"/>
          <w:lang w:val="en-US" w:eastAsia="zh-CN" w:bidi="ar"/>
        </w:rPr>
        <w:t>15%</w:t>
      </w:r>
      <w:r>
        <w:rPr>
          <w:rFonts w:hint="eastAsia" w:ascii="Times New Roman" w:hAnsi="Times New Roman" w:eastAsia="宋体" w:cs="Times New Roman"/>
          <w:color w:val="000000"/>
          <w:kern w:val="0"/>
          <w:sz w:val="24"/>
          <w:szCs w:val="24"/>
          <w:lang w:val="en-US" w:eastAsia="zh-CN" w:bidi="ar"/>
        </w:rPr>
        <w:t>计算。</w:t>
      </w:r>
    </w:p>
    <w:p>
      <w:pPr>
        <w:keepNext w:val="0"/>
        <w:keepLines w:val="0"/>
        <w:widowControl/>
        <w:suppressLineNumbers w:val="0"/>
        <w:spacing w:before="0" w:beforeAutospacing="0" w:after="0" w:afterAutospacing="0" w:line="500" w:lineRule="exact"/>
        <w:ind w:left="0" w:right="0"/>
        <w:jc w:val="center"/>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C</w:t>
      </w:r>
      <w:r>
        <w:rPr>
          <w:rFonts w:hint="default" w:ascii="Times New Roman" w:hAnsi="Times New Roman" w:eastAsia="宋体" w:cs="Times New Roman"/>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=C</w:t>
      </w:r>
      <w:r>
        <w:rPr>
          <w:rFonts w:hint="default" w:ascii="Times New Roman" w:hAnsi="Times New Roman" w:eastAsia="宋体" w:cs="Times New Roman"/>
          <w:color w:val="000000"/>
          <w:kern w:val="0"/>
          <w:sz w:val="24"/>
          <w:szCs w:val="24"/>
          <w:vertAlign w:val="subscript"/>
          <w:lang w:val="en-US" w:eastAsia="zh-CN" w:bidi="ar"/>
        </w:rPr>
        <w:t>0</w:t>
      </w:r>
      <w:r>
        <w:rPr>
          <w:rFonts w:hint="default" w:ascii="Times New Roman" w:hAnsi="Times New Roman" w:eastAsia="宋体" w:cs="Times New Roman"/>
          <w:color w:val="000000"/>
          <w:kern w:val="0"/>
          <w:sz w:val="24"/>
          <w:szCs w:val="24"/>
          <w:lang w:val="en-US" w:eastAsia="zh-CN" w:bidi="ar"/>
        </w:rPr>
        <w:t>×15%</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 3 \* GB3 </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宋体" w:hAnsi="宋体" w:eastAsia="宋体" w:cs="宋体"/>
          <w:color w:val="000000"/>
          <w:kern w:val="0"/>
          <w:sz w:val="24"/>
          <w:szCs w:val="24"/>
          <w:lang w:val="en-US" w:eastAsia="zh-CN" w:bidi="ar"/>
        </w:rPr>
        <w:t>③</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环保设施管理费</w:t>
      </w:r>
      <w:r>
        <w:rPr>
          <w:rFonts w:hint="default" w:ascii="Times New Roman" w:hAnsi="Times New Roman" w:eastAsia="宋体" w:cs="Times New Roman"/>
          <w:color w:val="000000"/>
          <w:kern w:val="0"/>
          <w:sz w:val="24"/>
          <w:szCs w:val="24"/>
          <w:lang w:val="en-US" w:eastAsia="zh-CN" w:bidi="ar"/>
        </w:rPr>
        <w:t>C</w:t>
      </w:r>
      <w:r>
        <w:rPr>
          <w:rFonts w:hint="default" w:ascii="Times New Roman" w:hAnsi="Times New Roman" w:eastAsia="宋体" w:cs="Times New Roman"/>
          <w:color w:val="000000"/>
          <w:kern w:val="0"/>
          <w:sz w:val="24"/>
          <w:szCs w:val="24"/>
          <w:vertAlign w:val="subscript"/>
          <w:lang w:val="en-US" w:eastAsia="zh-CN" w:bidi="ar"/>
        </w:rPr>
        <w:t>3</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环保设施管理费可按环保设施折旧费和环保设施运行费之和的</w:t>
      </w:r>
      <w:r>
        <w:rPr>
          <w:rFonts w:hint="default" w:ascii="Times New Roman" w:hAnsi="Times New Roman" w:eastAsia="宋体" w:cs="Times New Roman"/>
          <w:color w:val="000000"/>
          <w:kern w:val="0"/>
          <w:sz w:val="24"/>
          <w:szCs w:val="24"/>
          <w:lang w:val="en-US" w:eastAsia="zh-CN" w:bidi="ar"/>
        </w:rPr>
        <w:t>15%</w:t>
      </w:r>
      <w:r>
        <w:rPr>
          <w:rFonts w:hint="eastAsia" w:ascii="Times New Roman" w:hAnsi="Times New Roman" w:eastAsia="宋体" w:cs="Times New Roman"/>
          <w:color w:val="000000"/>
          <w:kern w:val="0"/>
          <w:sz w:val="24"/>
          <w:szCs w:val="24"/>
          <w:lang w:val="en-US" w:eastAsia="zh-CN" w:bidi="ar"/>
        </w:rPr>
        <w:t>考虑。即：</w:t>
      </w:r>
    </w:p>
    <w:p>
      <w:pPr>
        <w:keepNext w:val="0"/>
        <w:keepLines w:val="0"/>
        <w:widowControl/>
        <w:suppressLineNumbers w:val="0"/>
        <w:spacing w:before="0" w:beforeAutospacing="0" w:after="0" w:afterAutospacing="0" w:line="500" w:lineRule="exact"/>
        <w:ind w:left="0" w:right="0"/>
        <w:jc w:val="center"/>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C</w:t>
      </w:r>
      <w:r>
        <w:rPr>
          <w:rFonts w:hint="default" w:ascii="Times New Roman" w:hAnsi="Times New Roman" w:eastAsia="宋体" w:cs="Times New Roman"/>
          <w:color w:val="000000"/>
          <w:kern w:val="0"/>
          <w:sz w:val="24"/>
          <w:szCs w:val="24"/>
          <w:vertAlign w:val="subscript"/>
          <w:lang w:val="en-US" w:eastAsia="zh-CN" w:bidi="ar"/>
        </w:rPr>
        <w:t>3</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C</w:t>
      </w:r>
      <w:r>
        <w:rPr>
          <w:rFonts w:hint="default" w:ascii="Times New Roman" w:hAnsi="Times New Roman" w:eastAsia="宋体" w:cs="Times New Roman"/>
          <w:color w:val="000000"/>
          <w:kern w:val="0"/>
          <w:sz w:val="24"/>
          <w:szCs w:val="24"/>
          <w:vertAlign w:val="subscript"/>
          <w:lang w:val="en-US" w:eastAsia="zh-CN" w:bidi="ar"/>
        </w:rPr>
        <w:t>1</w:t>
      </w:r>
      <w:r>
        <w:rPr>
          <w:rFonts w:hint="default" w:ascii="Times New Roman" w:hAnsi="Times New Roman" w:eastAsia="宋体" w:cs="Times New Roman"/>
          <w:color w:val="000000"/>
          <w:kern w:val="0"/>
          <w:sz w:val="24"/>
          <w:szCs w:val="24"/>
          <w:lang w:val="en-US" w:eastAsia="zh-CN" w:bidi="ar"/>
        </w:rPr>
        <w:t>+ C</w:t>
      </w:r>
      <w:r>
        <w:rPr>
          <w:rFonts w:hint="default" w:ascii="Times New Roman" w:hAnsi="Times New Roman" w:eastAsia="宋体" w:cs="Times New Roman"/>
          <w:color w:val="000000"/>
          <w:kern w:val="0"/>
          <w:sz w:val="24"/>
          <w:szCs w:val="24"/>
          <w:vertAlign w:val="subscript"/>
          <w:lang w:val="en-US" w:eastAsia="zh-CN" w:bidi="ar"/>
        </w:rPr>
        <w:t>2</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×15%</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 4 \* GB3 </w:instrText>
      </w:r>
      <w:r>
        <w:rPr>
          <w:rFonts w:hint="default" w:ascii="Times New Roman" w:hAnsi="Times New Roman" w:eastAsia="宋体" w:cs="Times New Roman"/>
          <w:color w:val="000000"/>
          <w:kern w:val="0"/>
          <w:sz w:val="24"/>
          <w:szCs w:val="24"/>
          <w:lang w:val="en-US" w:eastAsia="zh-CN" w:bidi="ar"/>
        </w:rPr>
        <w:fldChar w:fldCharType="separate"/>
      </w:r>
      <w:r>
        <w:rPr>
          <w:rFonts w:hint="eastAsia" w:ascii="宋体" w:hAnsi="宋体" w:eastAsia="宋体" w:cs="宋体"/>
          <w:color w:val="000000"/>
          <w:kern w:val="0"/>
          <w:sz w:val="24"/>
          <w:szCs w:val="24"/>
          <w:lang w:val="en-US" w:eastAsia="zh-CN" w:bidi="ar"/>
        </w:rPr>
        <w:t>④</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color w:val="000000"/>
          <w:kern w:val="0"/>
          <w:sz w:val="24"/>
          <w:szCs w:val="24"/>
          <w:lang w:val="en-US" w:eastAsia="zh-CN" w:bidi="ar"/>
        </w:rPr>
        <w:t>环保设施经营支出</w:t>
      </w:r>
      <w:r>
        <w:rPr>
          <w:rFonts w:hint="default" w:ascii="Times New Roman" w:hAnsi="Times New Roman" w:eastAsia="宋体" w:cs="Times New Roman"/>
          <w:color w:val="000000"/>
          <w:kern w:val="0"/>
          <w:sz w:val="24"/>
          <w:szCs w:val="24"/>
          <w:lang w:val="en-US" w:eastAsia="zh-CN" w:bidi="ar"/>
        </w:rPr>
        <w:t>C</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环保设施经营支出为上述三项之和。</w:t>
      </w:r>
    </w:p>
    <w:p>
      <w:pPr>
        <w:keepNext w:val="0"/>
        <w:keepLines w:val="0"/>
        <w:widowControl/>
        <w:suppressLineNumbers w:val="0"/>
        <w:spacing w:before="0" w:beforeAutospacing="0" w:after="0" w:afterAutospacing="0" w:line="500" w:lineRule="exact"/>
        <w:ind w:left="0" w:right="0"/>
        <w:jc w:val="center"/>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C=C</w:t>
      </w:r>
      <w:r>
        <w:rPr>
          <w:rFonts w:hint="default" w:ascii="Times New Roman" w:hAnsi="Times New Roman" w:eastAsia="宋体" w:cs="Times New Roman"/>
          <w:color w:val="000000"/>
          <w:kern w:val="0"/>
          <w:sz w:val="24"/>
          <w:szCs w:val="24"/>
          <w:vertAlign w:val="subscript"/>
          <w:lang w:val="en-US" w:eastAsia="zh-CN" w:bidi="ar"/>
        </w:rPr>
        <w:t>1</w:t>
      </w:r>
      <w:r>
        <w:rPr>
          <w:rFonts w:hint="default" w:ascii="Times New Roman" w:hAnsi="Times New Roman" w:eastAsia="宋体" w:cs="Times New Roman"/>
          <w:color w:val="000000"/>
          <w:kern w:val="0"/>
          <w:sz w:val="24"/>
          <w:szCs w:val="24"/>
          <w:lang w:val="en-US" w:eastAsia="zh-CN" w:bidi="ar"/>
        </w:rPr>
        <w:t>+ C</w:t>
      </w:r>
      <w:r>
        <w:rPr>
          <w:rFonts w:hint="default" w:ascii="Times New Roman" w:hAnsi="Times New Roman" w:eastAsia="宋体" w:cs="Times New Roman"/>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 C</w:t>
      </w:r>
      <w:r>
        <w:rPr>
          <w:rFonts w:hint="default" w:ascii="Times New Roman" w:hAnsi="Times New Roman" w:eastAsia="宋体" w:cs="Times New Roman"/>
          <w:color w:val="000000"/>
          <w:kern w:val="0"/>
          <w:sz w:val="24"/>
          <w:szCs w:val="24"/>
          <w:vertAlign w:val="subscript"/>
          <w:lang w:val="en-US" w:eastAsia="zh-CN" w:bidi="ar"/>
        </w:rPr>
        <w:t>3</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环保设施经营支出见表</w:t>
      </w:r>
      <w:r>
        <w:rPr>
          <w:rFonts w:hint="default" w:ascii="Times New Roman" w:hAnsi="Times New Roman" w:eastAsia="宋体" w:cs="Times New Roman"/>
          <w:color w:val="000000"/>
          <w:kern w:val="0"/>
          <w:sz w:val="24"/>
          <w:szCs w:val="24"/>
          <w:lang w:val="en-US" w:eastAsia="zh-CN" w:bidi="ar"/>
        </w:rPr>
        <w:t>7.1-1</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color w:val="000000"/>
          <w:lang w:val="en-US"/>
        </w:rPr>
      </w:pP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color w:val="000000"/>
          <w:lang w:val="en-US"/>
        </w:rPr>
      </w:pP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color w:val="000000"/>
          <w:lang w:val="en-US"/>
        </w:rPr>
      </w:pPr>
    </w:p>
    <w:p>
      <w:pPr>
        <w:pStyle w:val="56"/>
        <w:widowControl/>
        <w:snapToGrid/>
        <w:spacing w:line="360" w:lineRule="auto"/>
        <w:rPr>
          <w:color w:val="000000"/>
          <w:lang w:val="en-US"/>
        </w:rPr>
      </w:pPr>
      <w:r>
        <w:rPr>
          <w:rFonts w:hint="eastAsia" w:ascii="Times New Roman" w:hAnsi="Times New Roman" w:eastAsia="黑体" w:cs="黑体"/>
          <w:color w:val="000000"/>
          <w:lang w:eastAsia="zh-CN"/>
        </w:rPr>
        <w:t>表</w:t>
      </w:r>
      <w:r>
        <w:rPr>
          <w:color w:val="000000"/>
          <w:lang w:val="en-US"/>
        </w:rPr>
        <w:t xml:space="preserve">7.1-1  </w:t>
      </w:r>
      <w:r>
        <w:rPr>
          <w:rFonts w:hint="eastAsia" w:ascii="Times New Roman" w:hAnsi="Times New Roman" w:eastAsia="黑体" w:cs="黑体"/>
          <w:color w:val="000000"/>
          <w:lang w:eastAsia="zh-CN"/>
        </w:rPr>
        <w:t>环保设施经营支出费用一览表</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2171"/>
        <w:gridCol w:w="2172"/>
        <w:gridCol w:w="2196"/>
        <w:gridCol w:w="2182"/>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7" w:hRule="atLeast"/>
          <w:tblHeader/>
        </w:trPr>
        <w:tc>
          <w:tcPr>
            <w:tcW w:w="2171" w:type="dxa"/>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序号</w:t>
            </w:r>
          </w:p>
        </w:tc>
        <w:tc>
          <w:tcPr>
            <w:tcW w:w="2172" w:type="dxa"/>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项目</w:t>
            </w:r>
          </w:p>
        </w:tc>
        <w:tc>
          <w:tcPr>
            <w:tcW w:w="2196" w:type="dxa"/>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计算方法</w:t>
            </w:r>
          </w:p>
        </w:tc>
        <w:tc>
          <w:tcPr>
            <w:tcW w:w="2182" w:type="dxa"/>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费用（万元）</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71"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2172"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环保设施折旧费</w:t>
            </w:r>
            <w:r>
              <w:rPr>
                <w:rFonts w:hint="default" w:ascii="Times New Roman" w:hAnsi="Times New Roman" w:cs="Times New Roman"/>
                <w:color w:val="000000"/>
                <w:sz w:val="21"/>
                <w:szCs w:val="21"/>
                <w:bdr w:val="none" w:color="auto" w:sz="0" w:space="0"/>
                <w:lang w:val="en-US"/>
              </w:rPr>
              <w:t>C</w:t>
            </w:r>
            <w:r>
              <w:rPr>
                <w:rFonts w:hint="default" w:ascii="Times New Roman" w:hAnsi="Times New Roman" w:cs="Times New Roman"/>
                <w:color w:val="000000"/>
                <w:sz w:val="21"/>
                <w:szCs w:val="21"/>
                <w:bdr w:val="none" w:color="auto" w:sz="0" w:space="0"/>
                <w:vertAlign w:val="subscript"/>
                <w:lang w:val="en-US"/>
              </w:rPr>
              <w:t>1</w:t>
            </w:r>
          </w:p>
        </w:tc>
        <w:tc>
          <w:tcPr>
            <w:tcW w:w="219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C1=a×C</w:t>
            </w:r>
            <w:r>
              <w:rPr>
                <w:rFonts w:hint="default" w:ascii="Times New Roman" w:hAnsi="Times New Roman" w:cs="Times New Roman"/>
                <w:color w:val="000000"/>
                <w:sz w:val="21"/>
                <w:szCs w:val="21"/>
                <w:bdr w:val="none" w:color="auto" w:sz="0" w:space="0"/>
                <w:vertAlign w:val="subscript"/>
                <w:lang w:val="en-US"/>
              </w:rPr>
              <w:t>0</w:t>
            </w:r>
            <w:r>
              <w:rPr>
                <w:rFonts w:hint="default" w:ascii="Times New Roman" w:hAnsi="Times New Roman" w:cs="Times New Roman"/>
                <w:color w:val="000000"/>
                <w:sz w:val="21"/>
                <w:szCs w:val="21"/>
                <w:bdr w:val="none" w:color="auto" w:sz="0" w:space="0"/>
                <w:lang w:val="en-US"/>
              </w:rPr>
              <w:t>/n</w:t>
            </w:r>
          </w:p>
        </w:tc>
        <w:tc>
          <w:tcPr>
            <w:tcW w:w="2182"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59.47</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71"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p>
        </w:tc>
        <w:tc>
          <w:tcPr>
            <w:tcW w:w="2172"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环保设施运行费</w:t>
            </w:r>
            <w:r>
              <w:rPr>
                <w:rFonts w:hint="default" w:ascii="Times New Roman" w:hAnsi="Times New Roman" w:cs="Times New Roman"/>
                <w:color w:val="000000"/>
                <w:sz w:val="21"/>
                <w:szCs w:val="21"/>
                <w:bdr w:val="none" w:color="auto" w:sz="0" w:space="0"/>
                <w:lang w:val="en-US"/>
              </w:rPr>
              <w:t>C</w:t>
            </w:r>
            <w:r>
              <w:rPr>
                <w:rFonts w:hint="default" w:ascii="Times New Roman" w:hAnsi="Times New Roman" w:cs="Times New Roman"/>
                <w:color w:val="000000"/>
                <w:sz w:val="21"/>
                <w:szCs w:val="21"/>
                <w:bdr w:val="none" w:color="auto" w:sz="0" w:space="0"/>
                <w:vertAlign w:val="subscript"/>
                <w:lang w:val="en-US"/>
              </w:rPr>
              <w:t>2</w:t>
            </w:r>
          </w:p>
        </w:tc>
        <w:tc>
          <w:tcPr>
            <w:tcW w:w="219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C</w:t>
            </w:r>
            <w:r>
              <w:rPr>
                <w:rFonts w:hint="default" w:ascii="Times New Roman" w:hAnsi="Times New Roman" w:cs="Times New Roman"/>
                <w:color w:val="000000"/>
                <w:sz w:val="21"/>
                <w:szCs w:val="21"/>
                <w:bdr w:val="none" w:color="auto" w:sz="0" w:space="0"/>
                <w:vertAlign w:val="subscript"/>
                <w:lang w:val="en-US"/>
              </w:rPr>
              <w:t>2</w:t>
            </w:r>
            <w:r>
              <w:rPr>
                <w:rFonts w:hint="default" w:ascii="Times New Roman" w:hAnsi="Times New Roman" w:cs="Times New Roman"/>
                <w:color w:val="000000"/>
                <w:sz w:val="21"/>
                <w:szCs w:val="21"/>
                <w:bdr w:val="none" w:color="auto" w:sz="0" w:space="0"/>
                <w:lang w:val="en-US"/>
              </w:rPr>
              <w:t>=C</w:t>
            </w:r>
            <w:r>
              <w:rPr>
                <w:rFonts w:hint="default" w:ascii="Times New Roman" w:hAnsi="Times New Roman" w:cs="Times New Roman"/>
                <w:color w:val="000000"/>
                <w:sz w:val="21"/>
                <w:szCs w:val="21"/>
                <w:bdr w:val="none" w:color="auto" w:sz="0" w:space="0"/>
                <w:vertAlign w:val="subscript"/>
                <w:lang w:val="en-US"/>
              </w:rPr>
              <w:t>0</w:t>
            </w:r>
            <w:r>
              <w:rPr>
                <w:rFonts w:hint="default" w:ascii="Times New Roman" w:hAnsi="Times New Roman" w:cs="Times New Roman"/>
                <w:color w:val="000000"/>
                <w:sz w:val="21"/>
                <w:szCs w:val="21"/>
                <w:bdr w:val="none" w:color="auto" w:sz="0" w:space="0"/>
                <w:lang w:val="en-US"/>
              </w:rPr>
              <w:t>×15%</w:t>
            </w:r>
          </w:p>
        </w:tc>
        <w:tc>
          <w:tcPr>
            <w:tcW w:w="2182"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93.9</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71" w:type="dxa"/>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w:t>
            </w:r>
          </w:p>
        </w:tc>
        <w:tc>
          <w:tcPr>
            <w:tcW w:w="2172"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环保设施管理费</w:t>
            </w:r>
            <w:r>
              <w:rPr>
                <w:rFonts w:hint="default" w:ascii="Times New Roman" w:hAnsi="Times New Roman" w:cs="Times New Roman"/>
                <w:color w:val="000000"/>
                <w:sz w:val="21"/>
                <w:szCs w:val="21"/>
                <w:bdr w:val="none" w:color="auto" w:sz="0" w:space="0"/>
                <w:lang w:val="en-US"/>
              </w:rPr>
              <w:t>C</w:t>
            </w:r>
            <w:r>
              <w:rPr>
                <w:rFonts w:hint="default" w:ascii="Times New Roman" w:hAnsi="Times New Roman" w:cs="Times New Roman"/>
                <w:color w:val="000000"/>
                <w:sz w:val="21"/>
                <w:szCs w:val="21"/>
                <w:bdr w:val="none" w:color="auto" w:sz="0" w:space="0"/>
                <w:vertAlign w:val="subscript"/>
                <w:lang w:val="en-US"/>
              </w:rPr>
              <w:t>3</w:t>
            </w:r>
          </w:p>
        </w:tc>
        <w:tc>
          <w:tcPr>
            <w:tcW w:w="219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C</w:t>
            </w:r>
            <w:r>
              <w:rPr>
                <w:rFonts w:hint="default" w:ascii="Times New Roman" w:hAnsi="Times New Roman" w:cs="Times New Roman"/>
                <w:color w:val="000000"/>
                <w:sz w:val="21"/>
                <w:szCs w:val="21"/>
                <w:bdr w:val="none" w:color="auto" w:sz="0" w:space="0"/>
                <w:vertAlign w:val="subscript"/>
                <w:lang w:val="en-US"/>
              </w:rPr>
              <w:t>3</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C</w:t>
            </w:r>
            <w:r>
              <w:rPr>
                <w:rFonts w:hint="default" w:ascii="Times New Roman" w:hAnsi="Times New Roman" w:cs="Times New Roman"/>
                <w:color w:val="000000"/>
                <w:sz w:val="21"/>
                <w:szCs w:val="21"/>
                <w:bdr w:val="none" w:color="auto" w:sz="0" w:space="0"/>
                <w:vertAlign w:val="subscript"/>
                <w:lang w:val="en-US"/>
              </w:rPr>
              <w:t>1</w:t>
            </w:r>
            <w:r>
              <w:rPr>
                <w:rFonts w:hint="default" w:ascii="Times New Roman" w:hAnsi="Times New Roman" w:cs="Times New Roman"/>
                <w:color w:val="000000"/>
                <w:sz w:val="21"/>
                <w:szCs w:val="21"/>
                <w:bdr w:val="none" w:color="auto" w:sz="0" w:space="0"/>
                <w:lang w:val="en-US"/>
              </w:rPr>
              <w:t>+C</w:t>
            </w:r>
            <w:r>
              <w:rPr>
                <w:rFonts w:hint="default" w:ascii="Times New Roman" w:hAnsi="Times New Roman" w:cs="Times New Roman"/>
                <w:color w:val="000000"/>
                <w:sz w:val="21"/>
                <w:szCs w:val="21"/>
                <w:bdr w:val="none" w:color="auto" w:sz="0" w:space="0"/>
                <w:vertAlign w:val="subscript"/>
                <w:lang w:val="en-US"/>
              </w:rPr>
              <w:t>2</w:t>
            </w: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×15%</w:t>
            </w:r>
          </w:p>
        </w:tc>
        <w:tc>
          <w:tcPr>
            <w:tcW w:w="2182"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23.0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71" w:type="dxa"/>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w:t>
            </w:r>
          </w:p>
        </w:tc>
        <w:tc>
          <w:tcPr>
            <w:tcW w:w="2172"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环保设施经营支出</w:t>
            </w:r>
            <w:r>
              <w:rPr>
                <w:rFonts w:hint="default" w:ascii="Times New Roman" w:hAnsi="Times New Roman" w:cs="Times New Roman"/>
                <w:color w:val="000000"/>
                <w:sz w:val="21"/>
                <w:szCs w:val="21"/>
                <w:bdr w:val="none" w:color="auto" w:sz="0" w:space="0"/>
                <w:lang w:val="en-US"/>
              </w:rPr>
              <w:t>C</w:t>
            </w:r>
          </w:p>
        </w:tc>
        <w:tc>
          <w:tcPr>
            <w:tcW w:w="2196"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C=C</w:t>
            </w:r>
            <w:r>
              <w:rPr>
                <w:rFonts w:hint="default" w:ascii="Times New Roman" w:hAnsi="Times New Roman" w:cs="Times New Roman"/>
                <w:color w:val="000000"/>
                <w:sz w:val="21"/>
                <w:szCs w:val="21"/>
                <w:bdr w:val="none" w:color="auto" w:sz="0" w:space="0"/>
                <w:vertAlign w:val="subscript"/>
                <w:lang w:val="en-US"/>
              </w:rPr>
              <w:t>1</w:t>
            </w:r>
            <w:r>
              <w:rPr>
                <w:rFonts w:hint="default" w:ascii="Times New Roman" w:hAnsi="Times New Roman" w:cs="Times New Roman"/>
                <w:color w:val="000000"/>
                <w:sz w:val="21"/>
                <w:szCs w:val="21"/>
                <w:bdr w:val="none" w:color="auto" w:sz="0" w:space="0"/>
                <w:lang w:val="en-US"/>
              </w:rPr>
              <w:t>+ C</w:t>
            </w:r>
            <w:r>
              <w:rPr>
                <w:rFonts w:hint="default" w:ascii="Times New Roman" w:hAnsi="Times New Roman" w:cs="Times New Roman"/>
                <w:color w:val="000000"/>
                <w:sz w:val="21"/>
                <w:szCs w:val="21"/>
                <w:bdr w:val="none" w:color="auto" w:sz="0" w:space="0"/>
                <w:vertAlign w:val="subscript"/>
                <w:lang w:val="en-US"/>
              </w:rPr>
              <w:t>2</w:t>
            </w:r>
            <w:r>
              <w:rPr>
                <w:rFonts w:hint="default" w:ascii="Times New Roman" w:hAnsi="Times New Roman" w:cs="Times New Roman"/>
                <w:color w:val="000000"/>
                <w:sz w:val="21"/>
                <w:szCs w:val="21"/>
                <w:bdr w:val="none" w:color="auto" w:sz="0" w:space="0"/>
                <w:lang w:val="en-US"/>
              </w:rPr>
              <w:t>+ C</w:t>
            </w:r>
            <w:r>
              <w:rPr>
                <w:rFonts w:hint="default" w:ascii="Times New Roman" w:hAnsi="Times New Roman" w:cs="Times New Roman"/>
                <w:color w:val="000000"/>
                <w:sz w:val="21"/>
                <w:szCs w:val="21"/>
                <w:bdr w:val="none" w:color="auto" w:sz="0" w:space="0"/>
                <w:vertAlign w:val="subscript"/>
                <w:lang w:val="en-US"/>
              </w:rPr>
              <w:t>3</w:t>
            </w:r>
          </w:p>
        </w:tc>
        <w:tc>
          <w:tcPr>
            <w:tcW w:w="2182" w:type="dxa"/>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line="30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176.37</w:t>
            </w:r>
          </w:p>
        </w:tc>
      </w:tr>
    </w:tbl>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由表可知，本项目环保设施经营支出费用为</w:t>
      </w:r>
      <w:r>
        <w:rPr>
          <w:rFonts w:hint="default" w:ascii="Times New Roman" w:hAnsi="Times New Roman" w:eastAsia="宋体" w:cs="Times New Roman"/>
          <w:color w:val="000000"/>
          <w:kern w:val="0"/>
          <w:sz w:val="24"/>
          <w:szCs w:val="24"/>
          <w:lang w:val="en-US" w:eastAsia="zh-CN" w:bidi="ar"/>
        </w:rPr>
        <w:t>176.37</w:t>
      </w:r>
      <w:r>
        <w:rPr>
          <w:rFonts w:hint="eastAsia" w:ascii="Times New Roman" w:hAnsi="Times New Roman" w:eastAsia="宋体" w:cs="Times New Roman"/>
          <w:color w:val="000000"/>
          <w:kern w:val="0"/>
          <w:sz w:val="24"/>
          <w:szCs w:val="24"/>
          <w:lang w:val="en-US" w:eastAsia="zh-CN" w:bidi="ar"/>
        </w:rPr>
        <w:t>万元。</w:t>
      </w:r>
    </w:p>
    <w:p>
      <w:pPr>
        <w:pStyle w:val="8"/>
        <w:widowControl/>
        <w:rPr>
          <w:color w:val="000000"/>
          <w:lang/>
        </w:rPr>
      </w:pPr>
      <w:bookmarkStart w:id="253" w:name="_Toc41656155"/>
      <w:r>
        <w:rPr>
          <w:color w:val="000000"/>
          <w:lang/>
        </w:rPr>
        <w:t xml:space="preserve">7.2 </w:t>
      </w:r>
      <w:r>
        <w:rPr>
          <w:rFonts w:hint="eastAsia" w:ascii="Times New Roman" w:hAnsi="Times New Roman" w:eastAsia="宋体" w:cs="宋体"/>
          <w:color w:val="000000"/>
          <w:lang w:eastAsia="zh-CN"/>
        </w:rPr>
        <w:t>效益</w:t>
      </w:r>
      <w:bookmarkEnd w:id="253"/>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7</w:t>
      </w:r>
      <w:r>
        <w:rPr>
          <w:rFonts w:hint="default" w:ascii="Times New Roman" w:hAnsi="Times New Roman" w:cs="Times New Roman"/>
          <w:color w:val="000000"/>
          <w:lang/>
        </w:rPr>
        <w:t xml:space="preserve">.2.1 </w:t>
      </w:r>
      <w:r>
        <w:rPr>
          <w:rFonts w:ascii="Times New Roman" w:hAnsi="Times New Roman" w:cs="Times New Roman"/>
          <w:color w:val="000000"/>
          <w:lang/>
        </w:rPr>
        <w:t>直接效益</w:t>
      </w:r>
    </w:p>
    <w:p>
      <w:pPr>
        <w:keepNext w:val="0"/>
        <w:keepLines w:val="0"/>
        <w:widowControl/>
        <w:suppressLineNumbers w:val="0"/>
        <w:adjustRightInd w:val="0"/>
        <w:snapToGrid w:val="0"/>
        <w:spacing w:before="0" w:beforeAutospacing="0" w:after="0" w:afterAutospacing="0" w:line="500" w:lineRule="exact"/>
        <w:ind w:left="480" w:right="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）项目本身的经济效益</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本项目总投资</w:t>
      </w:r>
      <w:r>
        <w:rPr>
          <w:rFonts w:hint="default" w:ascii="Times New Roman" w:hAnsi="Times New Roman" w:eastAsia="宋体" w:cs="Times New Roman"/>
          <w:color w:val="000000"/>
          <w:kern w:val="0"/>
          <w:sz w:val="24"/>
          <w:szCs w:val="24"/>
          <w:lang w:val="en-US" w:eastAsia="zh-CN" w:bidi="ar"/>
        </w:rPr>
        <w:t>6000</w:t>
      </w:r>
      <w:r>
        <w:rPr>
          <w:rFonts w:hint="eastAsia" w:ascii="Times New Roman" w:hAnsi="Times New Roman" w:eastAsia="宋体" w:cs="Times New Roman"/>
          <w:color w:val="000000"/>
          <w:kern w:val="0"/>
          <w:sz w:val="24"/>
          <w:szCs w:val="24"/>
          <w:lang w:val="en-US" w:eastAsia="zh-CN" w:bidi="ar"/>
        </w:rPr>
        <w:t>万元，投产后年销售收入</w:t>
      </w:r>
      <w:r>
        <w:rPr>
          <w:rFonts w:hint="default" w:ascii="Times New Roman" w:hAnsi="Times New Roman" w:eastAsia="宋体" w:cs="Times New Roman"/>
          <w:color w:val="000000"/>
          <w:kern w:val="0"/>
          <w:sz w:val="24"/>
          <w:szCs w:val="24"/>
          <w:lang w:val="en-US" w:eastAsia="zh-CN" w:bidi="ar"/>
        </w:rPr>
        <w:t>27750</w:t>
      </w:r>
      <w:r>
        <w:rPr>
          <w:rFonts w:hint="eastAsia" w:ascii="Times New Roman" w:hAnsi="Times New Roman" w:eastAsia="宋体" w:cs="Times New Roman"/>
          <w:color w:val="000000"/>
          <w:kern w:val="0"/>
          <w:sz w:val="24"/>
          <w:szCs w:val="24"/>
          <w:lang w:val="en-US" w:eastAsia="zh-CN" w:bidi="ar"/>
        </w:rPr>
        <w:t>万元，将取得良好的经济效益。</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根据本项目相关财务数据，对经济收益进行计算，财务评价指标见表</w:t>
      </w:r>
      <w:r>
        <w:rPr>
          <w:rFonts w:hint="default" w:ascii="Times New Roman" w:hAnsi="Times New Roman" w:eastAsia="宋体" w:cs="Times New Roman"/>
          <w:color w:val="000000"/>
          <w:kern w:val="0"/>
          <w:sz w:val="24"/>
          <w:szCs w:val="24"/>
          <w:lang w:val="en-US" w:eastAsia="zh-CN" w:bidi="ar"/>
        </w:rPr>
        <w:t>7.2-1</w:t>
      </w:r>
      <w:r>
        <w:rPr>
          <w:rFonts w:hint="eastAsia" w:ascii="Times New Roman" w:hAnsi="Times New Roman" w:eastAsia="宋体" w:cs="Times New Roman"/>
          <w:color w:val="000000"/>
          <w:kern w:val="0"/>
          <w:sz w:val="24"/>
          <w:szCs w:val="24"/>
          <w:lang w:val="en-US" w:eastAsia="zh-CN" w:bidi="ar"/>
        </w:rPr>
        <w:t>。</w:t>
      </w:r>
    </w:p>
    <w:p>
      <w:pPr>
        <w:pStyle w:val="56"/>
        <w:widowControl/>
        <w:snapToGrid/>
        <w:spacing w:line="360" w:lineRule="auto"/>
        <w:rPr>
          <w:color w:val="000000"/>
          <w:lang w:val="en-US"/>
        </w:rPr>
      </w:pPr>
      <w:r>
        <w:rPr>
          <w:rFonts w:hint="eastAsia" w:ascii="Times New Roman" w:hAnsi="Times New Roman" w:eastAsia="黑体" w:cs="黑体"/>
          <w:color w:val="000000"/>
          <w:lang w:eastAsia="zh-CN"/>
        </w:rPr>
        <w:t>表</w:t>
      </w:r>
      <w:r>
        <w:rPr>
          <w:color w:val="000000"/>
          <w:lang w:val="en-US"/>
        </w:rPr>
        <w:t xml:space="preserve">7.2-1  </w:t>
      </w:r>
      <w:r>
        <w:rPr>
          <w:rFonts w:hint="eastAsia" w:ascii="Times New Roman" w:hAnsi="Times New Roman" w:eastAsia="黑体" w:cs="黑体"/>
          <w:color w:val="000000"/>
          <w:lang w:eastAsia="zh-CN"/>
        </w:rPr>
        <w:t>本项目财务评价指标</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389"/>
        <w:gridCol w:w="2976"/>
        <w:gridCol w:w="2182"/>
        <w:gridCol w:w="2180"/>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trHeight w:val="397" w:hRule="atLeast"/>
          <w:tblHeader/>
          <w:jc w:val="center"/>
        </w:trPr>
        <w:tc>
          <w:tcPr>
            <w:tcW w:w="796" w:type="pct"/>
            <w:tcBorders>
              <w:top w:val="thinThickSmallGap" w:color="auto" w:sz="12" w:space="0"/>
              <w:left w:val="nil"/>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序号</w:t>
            </w:r>
          </w:p>
        </w:tc>
        <w:tc>
          <w:tcPr>
            <w:tcW w:w="1705"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项目名称</w:t>
            </w:r>
          </w:p>
        </w:tc>
        <w:tc>
          <w:tcPr>
            <w:tcW w:w="1250" w:type="pct"/>
            <w:tcBorders>
              <w:top w:val="thinThickSmallGap" w:color="auto" w:sz="12" w:space="0"/>
              <w:left w:val="single" w:color="auto" w:sz="4" w:space="0"/>
              <w:bottom w:val="single" w:color="auto" w:sz="4" w:space="0"/>
              <w:right w:val="single" w:color="auto" w:sz="4"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单位</w:t>
            </w:r>
          </w:p>
        </w:tc>
        <w:tc>
          <w:tcPr>
            <w:tcW w:w="1249" w:type="pct"/>
            <w:tcBorders>
              <w:top w:val="thinThickSmallGap" w:color="auto" w:sz="12" w:space="0"/>
              <w:left w:val="single" w:color="auto" w:sz="4" w:space="0"/>
              <w:bottom w:val="single" w:color="auto" w:sz="4" w:space="0"/>
              <w:right w:val="nil"/>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指标</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170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总投资</w:t>
            </w:r>
          </w:p>
        </w:tc>
        <w:tc>
          <w:tcPr>
            <w:tcW w:w="12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万元</w:t>
            </w:r>
          </w:p>
        </w:tc>
        <w:tc>
          <w:tcPr>
            <w:tcW w:w="1249"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6000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p>
        </w:tc>
        <w:tc>
          <w:tcPr>
            <w:tcW w:w="170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年销售收入</w:t>
            </w:r>
          </w:p>
        </w:tc>
        <w:tc>
          <w:tcPr>
            <w:tcW w:w="12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万元</w:t>
            </w:r>
          </w:p>
        </w:tc>
        <w:tc>
          <w:tcPr>
            <w:tcW w:w="1249"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27750</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w:t>
            </w:r>
          </w:p>
        </w:tc>
        <w:tc>
          <w:tcPr>
            <w:tcW w:w="170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项目资本金净利润率</w:t>
            </w:r>
          </w:p>
        </w:tc>
        <w:tc>
          <w:tcPr>
            <w:tcW w:w="12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249"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1653.08</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w:t>
            </w:r>
          </w:p>
        </w:tc>
        <w:tc>
          <w:tcPr>
            <w:tcW w:w="1705"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项目投资财务内部收益率</w:t>
            </w:r>
          </w:p>
        </w:tc>
        <w:tc>
          <w:tcPr>
            <w:tcW w:w="1250" w:type="pc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249" w:type="pc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43.62</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w:t>
            </w:r>
          </w:p>
        </w:tc>
        <w:tc>
          <w:tcPr>
            <w:tcW w:w="1705"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项目投资回收期</w:t>
            </w:r>
          </w:p>
        </w:tc>
        <w:tc>
          <w:tcPr>
            <w:tcW w:w="1250" w:type="pct"/>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年</w:t>
            </w:r>
          </w:p>
        </w:tc>
        <w:tc>
          <w:tcPr>
            <w:tcW w:w="1249" w:type="pct"/>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3.58</w:t>
            </w:r>
          </w:p>
        </w:tc>
      </w:tr>
    </w:tbl>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由上表可以看出，本项目的税后投资回收期为</w:t>
      </w:r>
      <w:r>
        <w:rPr>
          <w:rFonts w:hint="default" w:ascii="Times New Roman" w:hAnsi="Times New Roman" w:eastAsia="宋体" w:cs="Times New Roman"/>
          <w:color w:val="000000"/>
          <w:kern w:val="0"/>
          <w:sz w:val="24"/>
          <w:szCs w:val="24"/>
          <w:lang w:val="en-US" w:eastAsia="zh-CN" w:bidi="ar"/>
        </w:rPr>
        <w:t>3.58</w:t>
      </w:r>
      <w:r>
        <w:rPr>
          <w:rFonts w:hint="eastAsia" w:ascii="Times New Roman" w:hAnsi="Times New Roman" w:eastAsia="宋体" w:cs="Times New Roman"/>
          <w:color w:val="000000"/>
          <w:kern w:val="0"/>
          <w:sz w:val="24"/>
          <w:szCs w:val="24"/>
          <w:lang w:val="en-US" w:eastAsia="zh-CN" w:bidi="ar"/>
        </w:rPr>
        <w:t>年（含建设期</w:t>
      </w:r>
      <w:r>
        <w:rPr>
          <w:rFonts w:hint="default" w:ascii="Times New Roman" w:hAnsi="Times New Roman" w:eastAsia="宋体" w:cs="Times New Roman"/>
          <w:color w:val="000000"/>
          <w:kern w:val="0"/>
          <w:sz w:val="24"/>
          <w:szCs w:val="24"/>
          <w:lang w:val="en-US" w:eastAsia="zh-CN" w:bidi="ar"/>
        </w:rPr>
        <w:t>0.5</w:t>
      </w:r>
      <w:r>
        <w:rPr>
          <w:rFonts w:hint="eastAsia" w:ascii="Times New Roman" w:hAnsi="Times New Roman" w:eastAsia="宋体" w:cs="Times New Roman"/>
          <w:color w:val="000000"/>
          <w:kern w:val="0"/>
          <w:sz w:val="24"/>
          <w:szCs w:val="24"/>
          <w:lang w:val="en-US" w:eastAsia="zh-CN" w:bidi="ar"/>
        </w:rPr>
        <w:t>年），投资回收期较短，经济效益较显著，具有经济效益好、投资回收期短、抗风险能力强等特点。</w:t>
      </w:r>
    </w:p>
    <w:p>
      <w:pPr>
        <w:keepNext w:val="0"/>
        <w:keepLines w:val="0"/>
        <w:widowControl/>
        <w:suppressLineNumbers w:val="0"/>
        <w:adjustRightInd w:val="0"/>
        <w:snapToGrid w:val="0"/>
        <w:spacing w:before="0" w:beforeAutospacing="0" w:after="0" w:afterAutospacing="0" w:line="500" w:lineRule="exact"/>
        <w:ind w:left="480" w:right="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）采取环保措施后的环境经济效益</w:t>
      </w:r>
    </w:p>
    <w:p>
      <w:pPr>
        <w:keepNext w:val="0"/>
        <w:keepLines w:val="0"/>
        <w:widowControl/>
        <w:numPr>
          <w:ilvl w:val="0"/>
          <w:numId w:val="9"/>
        </w:numPr>
        <w:suppressLineNumbers w:val="0"/>
        <w:adjustRightInd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综合利用效益</w:t>
      </w: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eastAsia="zh-CN"/>
        </w:rPr>
      </w:pPr>
      <w:r>
        <w:rPr>
          <w:rFonts w:hint="eastAsia" w:ascii="Times New Roman" w:hAnsi="Times New Roman" w:eastAsia="宋体" w:cs="Times New Roman"/>
          <w:color w:val="000000"/>
          <w:kern w:val="0"/>
          <w:sz w:val="24"/>
          <w:szCs w:val="24"/>
          <w:lang w:val="en-US" w:eastAsia="zh-CN" w:bidi="ar"/>
        </w:rPr>
        <w:t>本项目环保设施每年可回收实物量及价值直接效益见表</w:t>
      </w:r>
      <w:r>
        <w:rPr>
          <w:rFonts w:hint="default" w:ascii="Times New Roman" w:hAnsi="Times New Roman" w:eastAsia="宋体" w:cs="Times New Roman"/>
          <w:color w:val="000000"/>
          <w:kern w:val="0"/>
          <w:sz w:val="24"/>
          <w:szCs w:val="24"/>
          <w:lang w:eastAsia="zh-CN" w:bidi="ar"/>
        </w:rPr>
        <w:t>7.2-2</w:t>
      </w:r>
      <w:r>
        <w:rPr>
          <w:rFonts w:hint="eastAsia" w:ascii="Times New Roman" w:hAnsi="Times New Roman" w:eastAsia="宋体" w:cs="Times New Roman"/>
          <w:color w:val="000000"/>
          <w:kern w:val="0"/>
          <w:sz w:val="24"/>
          <w:szCs w:val="24"/>
          <w:lang w:val="en-US" w:eastAsia="zh-CN" w:bidi="ar"/>
        </w:rPr>
        <w:t>。</w:t>
      </w:r>
    </w:p>
    <w:p>
      <w:pPr>
        <w:pStyle w:val="56"/>
        <w:widowControl/>
        <w:snapToGrid/>
        <w:spacing w:line="360" w:lineRule="auto"/>
        <w:rPr>
          <w:color w:val="000000"/>
          <w:lang w:val="en-US"/>
        </w:rPr>
      </w:pPr>
      <w:r>
        <w:rPr>
          <w:rFonts w:hint="eastAsia" w:ascii="Times New Roman" w:hAnsi="Times New Roman" w:eastAsia="黑体" w:cs="黑体"/>
          <w:color w:val="000000"/>
          <w:lang w:eastAsia="zh-CN"/>
        </w:rPr>
        <w:t>表</w:t>
      </w:r>
      <w:r>
        <w:rPr>
          <w:color w:val="000000"/>
          <w:lang w:val="en-US"/>
        </w:rPr>
        <w:t xml:space="preserve">7.2-2  </w:t>
      </w:r>
      <w:r>
        <w:rPr>
          <w:rFonts w:hint="eastAsia" w:ascii="Times New Roman" w:hAnsi="Times New Roman" w:eastAsia="黑体" w:cs="黑体"/>
          <w:color w:val="000000"/>
          <w:lang w:eastAsia="zh-CN"/>
        </w:rPr>
        <w:t>环保投资收益一览表</w:t>
      </w:r>
    </w:p>
    <w:tbl>
      <w:tblPr>
        <w:tblStyle w:val="32"/>
        <w:tblW w:w="0" w:type="auto"/>
        <w:tblInd w:w="0" w:type="dxa"/>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shd w:val="clear"/>
        <w:tblLayout w:type="autofit"/>
        <w:tblCellMar>
          <w:top w:w="0" w:type="dxa"/>
          <w:left w:w="108" w:type="dxa"/>
          <w:bottom w:w="0" w:type="dxa"/>
          <w:right w:w="108" w:type="dxa"/>
        </w:tblCellMar>
      </w:tblPr>
      <w:tblGrid>
        <w:gridCol w:w="1101"/>
        <w:gridCol w:w="2409"/>
        <w:gridCol w:w="1702"/>
        <w:gridCol w:w="1599"/>
        <w:gridCol w:w="1712"/>
      </w:tblGrid>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shd w:val="clear"/>
          <w:tblCellMar>
            <w:top w:w="0" w:type="dxa"/>
            <w:left w:w="108" w:type="dxa"/>
            <w:bottom w:w="0" w:type="dxa"/>
            <w:right w:w="108" w:type="dxa"/>
          </w:tblCellMar>
        </w:tblPrEx>
        <w:trPr>
          <w:trHeight w:val="397" w:hRule="atLeast"/>
        </w:trPr>
        <w:tc>
          <w:tcPr>
            <w:tcW w:w="1101" w:type="dxa"/>
            <w:tcBorders>
              <w:top w:val="thinThickSmallGap" w:color="auto" w:sz="12" w:space="0"/>
              <w:left w:val="nil"/>
              <w:bottom w:val="single" w:color="auto" w:sz="2" w:space="0"/>
              <w:right w:val="single" w:color="auto" w:sz="2" w:space="0"/>
            </w:tcBorders>
            <w:shd w:val="clear" w:color="auto" w:fill="DDDDDD"/>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序号</w:t>
            </w:r>
          </w:p>
        </w:tc>
        <w:tc>
          <w:tcPr>
            <w:tcW w:w="2409" w:type="dxa"/>
            <w:tcBorders>
              <w:top w:val="thinThickSmallGap" w:color="auto" w:sz="12" w:space="0"/>
              <w:left w:val="single" w:color="auto" w:sz="2" w:space="0"/>
              <w:bottom w:val="single" w:color="auto" w:sz="2" w:space="0"/>
              <w:right w:val="single" w:color="auto" w:sz="2" w:space="0"/>
            </w:tcBorders>
            <w:shd w:val="clear" w:color="auto" w:fill="DDDDDD"/>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项目</w:t>
            </w:r>
          </w:p>
        </w:tc>
        <w:tc>
          <w:tcPr>
            <w:tcW w:w="1702" w:type="dxa"/>
            <w:tcBorders>
              <w:top w:val="thinThickSmallGap" w:color="auto" w:sz="12" w:space="0"/>
              <w:left w:val="single" w:color="auto" w:sz="2" w:space="0"/>
              <w:bottom w:val="single" w:color="auto" w:sz="2" w:space="0"/>
              <w:right w:val="single" w:color="auto" w:sz="2" w:space="0"/>
            </w:tcBorders>
            <w:shd w:val="clear" w:color="auto" w:fill="DDDDDD"/>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数量（</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1599" w:type="dxa"/>
            <w:tcBorders>
              <w:top w:val="thinThickSmallGap" w:color="auto" w:sz="12" w:space="0"/>
              <w:left w:val="single" w:color="auto" w:sz="2" w:space="0"/>
              <w:bottom w:val="single" w:color="auto" w:sz="2" w:space="0"/>
              <w:right w:val="single" w:color="auto" w:sz="2" w:space="0"/>
            </w:tcBorders>
            <w:shd w:val="clear" w:color="auto" w:fill="DDDDDD"/>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价值（元</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吨）</w:t>
            </w:r>
          </w:p>
        </w:tc>
        <w:tc>
          <w:tcPr>
            <w:tcW w:w="1712" w:type="dxa"/>
            <w:tcBorders>
              <w:top w:val="thinThickSmallGap" w:color="auto" w:sz="12" w:space="0"/>
              <w:left w:val="single" w:color="auto" w:sz="2" w:space="0"/>
              <w:bottom w:val="single" w:color="auto" w:sz="2" w:space="0"/>
              <w:right w:val="nil"/>
            </w:tcBorders>
            <w:shd w:val="clear" w:color="auto" w:fill="DDDDDD"/>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收益（万元</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年）</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1" w:type="dxa"/>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w:t>
            </w:r>
          </w:p>
        </w:tc>
        <w:tc>
          <w:tcPr>
            <w:tcW w:w="2409" w:type="dxa"/>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除尘灰</w:t>
            </w:r>
          </w:p>
        </w:tc>
        <w:tc>
          <w:tcPr>
            <w:tcW w:w="1702" w:type="dxa"/>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449.94</w:t>
            </w:r>
          </w:p>
        </w:tc>
        <w:tc>
          <w:tcPr>
            <w:tcW w:w="1599" w:type="dxa"/>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2000</w:t>
            </w:r>
          </w:p>
        </w:tc>
        <w:tc>
          <w:tcPr>
            <w:tcW w:w="1712" w:type="dxa"/>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90</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1" w:type="dxa"/>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p>
        </w:tc>
        <w:tc>
          <w:tcPr>
            <w:tcW w:w="2409" w:type="dxa"/>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厂房遮挡粉尘</w:t>
            </w:r>
          </w:p>
        </w:tc>
        <w:tc>
          <w:tcPr>
            <w:tcW w:w="1702" w:type="dxa"/>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34.84</w:t>
            </w:r>
          </w:p>
        </w:tc>
        <w:tc>
          <w:tcPr>
            <w:tcW w:w="1599" w:type="dxa"/>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2000</w:t>
            </w:r>
          </w:p>
        </w:tc>
        <w:tc>
          <w:tcPr>
            <w:tcW w:w="1712" w:type="dxa"/>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7.0</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1" w:type="dxa"/>
            <w:tcBorders>
              <w:top w:val="single" w:color="auto" w:sz="2" w:space="0"/>
              <w:left w:val="nil"/>
              <w:bottom w:val="single" w:color="auto" w:sz="2" w:space="0"/>
              <w:right w:val="single" w:color="auto" w:sz="2"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w:t>
            </w:r>
          </w:p>
        </w:tc>
        <w:tc>
          <w:tcPr>
            <w:tcW w:w="2409" w:type="dxa"/>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循环水</w:t>
            </w:r>
          </w:p>
        </w:tc>
        <w:tc>
          <w:tcPr>
            <w:tcW w:w="1702" w:type="dxa"/>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2148900</w:t>
            </w:r>
          </w:p>
        </w:tc>
        <w:tc>
          <w:tcPr>
            <w:tcW w:w="1599" w:type="dxa"/>
            <w:tcBorders>
              <w:top w:val="single" w:color="auto" w:sz="2" w:space="0"/>
              <w:left w:val="single" w:color="auto" w:sz="2" w:space="0"/>
              <w:bottom w:val="single" w:color="auto" w:sz="2" w:space="0"/>
              <w:right w:val="single" w:color="auto" w:sz="2"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4</w:t>
            </w:r>
          </w:p>
        </w:tc>
        <w:tc>
          <w:tcPr>
            <w:tcW w:w="1712" w:type="dxa"/>
            <w:tcBorders>
              <w:top w:val="single" w:color="auto" w:sz="2" w:space="0"/>
              <w:left w:val="single" w:color="auto" w:sz="2" w:space="0"/>
              <w:bottom w:val="single" w:color="auto" w:sz="2" w:space="0"/>
              <w:right w:val="nil"/>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859.6</w:t>
            </w:r>
          </w:p>
        </w:tc>
      </w:tr>
      <w:tr>
        <w:tblPrEx>
          <w:tblBorders>
            <w:top w:val="thinThickSmallGap" w:color="auto" w:sz="12" w:space="0"/>
            <w:left w:val="none" w:color="auto" w:sz="6" w:space="0"/>
            <w:bottom w:val="thickThinSmallGap"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810" w:type="dxa"/>
            <w:gridSpan w:val="4"/>
            <w:tcBorders>
              <w:top w:val="single" w:color="auto" w:sz="2" w:space="0"/>
              <w:left w:val="nil"/>
              <w:bottom w:val="thickThinSmallGap" w:color="auto" w:sz="12" w:space="0"/>
              <w:right w:val="single" w:color="auto" w:sz="2" w:space="0"/>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ascii="Times New Roman" w:hAnsi="Times New Roman" w:cs="Times New Roman"/>
                <w:b/>
                <w:bCs w:val="0"/>
                <w:color w:val="000000"/>
                <w:sz w:val="21"/>
                <w:szCs w:val="21"/>
                <w:bdr w:val="none" w:color="auto" w:sz="0" w:space="0"/>
              </w:rPr>
              <w:t>合计</w:t>
            </w:r>
          </w:p>
        </w:tc>
        <w:tc>
          <w:tcPr>
            <w:tcW w:w="1712" w:type="dxa"/>
            <w:tcBorders>
              <w:top w:val="single" w:color="auto" w:sz="2" w:space="0"/>
              <w:left w:val="single" w:color="auto" w:sz="2" w:space="0"/>
              <w:bottom w:val="thickThinSmallGap" w:color="auto" w:sz="12" w:space="0"/>
              <w:right w:val="nil"/>
            </w:tcBorders>
            <w:shd w:val="clear"/>
            <w:vAlign w:val="center"/>
          </w:tcPr>
          <w:p>
            <w:pPr>
              <w:keepNext w:val="0"/>
              <w:keepLines w:val="0"/>
              <w:widowControl/>
              <w:suppressLineNumbers w:val="0"/>
              <w:adjustRightInd w:val="0"/>
              <w:spacing w:before="0" w:beforeAutospacing="0" w:after="0" w:afterAutospacing="0"/>
              <w:ind w:left="0" w:right="0"/>
              <w:jc w:val="center"/>
              <w:rPr>
                <w:rFonts w:hint="default" w:ascii="Times New Roman" w:hAnsi="Times New Roman" w:cs="Times New Roman"/>
                <w:b/>
                <w:bCs w:val="0"/>
                <w:color w:val="000000"/>
                <w:sz w:val="21"/>
                <w:szCs w:val="21"/>
                <w:bdr w:val="none" w:color="auto" w:sz="0" w:space="0"/>
                <w:lang w:val="en-US"/>
              </w:rPr>
            </w:pPr>
            <w:r>
              <w:rPr>
                <w:rFonts w:hint="default" w:ascii="Times New Roman" w:hAnsi="Times New Roman" w:cs="Times New Roman"/>
                <w:b/>
                <w:bCs w:val="0"/>
                <w:color w:val="000000"/>
                <w:sz w:val="21"/>
                <w:szCs w:val="21"/>
                <w:bdr w:val="none" w:color="auto" w:sz="0" w:space="0"/>
                <w:lang w:val="en-US"/>
              </w:rPr>
              <w:t>956.6</w:t>
            </w:r>
          </w:p>
        </w:tc>
      </w:tr>
    </w:tbl>
    <w:p>
      <w:pPr>
        <w:keepNext w:val="0"/>
        <w:keepLines w:val="0"/>
        <w:widowControl/>
        <w:numPr>
          <w:ilvl w:val="0"/>
          <w:numId w:val="9"/>
        </w:numPr>
        <w:suppressLineNumbers w:val="0"/>
        <w:adjustRightInd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节约环境保护税效益</w:t>
      </w:r>
    </w:p>
    <w:p>
      <w:pPr>
        <w:keepNext w:val="0"/>
        <w:keepLines w:val="0"/>
        <w:widowControl/>
        <w:numPr>
          <w:ilvl w:val="0"/>
          <w:numId w:val="10"/>
        </w:numPr>
        <w:suppressLineNumbers w:val="0"/>
        <w:adjustRightInd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减少大气污染物环境保护税效益</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本项目建成投产后，大气污染治理措施随之运行，企业每年向大气中排放污染物大大减少，按照《中华人民共和国环境保护税法》（</w:t>
      </w:r>
      <w:r>
        <w:rPr>
          <w:rFonts w:hint="default" w:ascii="Times New Roman" w:hAnsi="Times New Roman" w:eastAsia="宋体" w:cs="Times New Roman"/>
          <w:color w:val="000000"/>
          <w:kern w:val="0"/>
          <w:sz w:val="24"/>
          <w:szCs w:val="24"/>
          <w:lang w:val="en-US" w:eastAsia="zh-CN" w:bidi="ar"/>
        </w:rPr>
        <w:t>2016</w:t>
      </w:r>
      <w:r>
        <w:rPr>
          <w:rFonts w:hint="eastAsia" w:ascii="Times New Roman" w:hAnsi="Times New Roman" w:eastAsia="宋体" w:cs="Times New Roman"/>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12</w:t>
      </w:r>
      <w:r>
        <w:rPr>
          <w:rFonts w:hint="eastAsia" w:ascii="Times New Roman" w:hAnsi="Times New Roman" w:eastAsia="宋体" w:cs="Times New Roman"/>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25</w:t>
      </w:r>
      <w:r>
        <w:rPr>
          <w:rFonts w:hint="eastAsia" w:ascii="Times New Roman" w:hAnsi="Times New Roman" w:eastAsia="宋体" w:cs="Times New Roman"/>
          <w:color w:val="000000"/>
          <w:kern w:val="0"/>
          <w:sz w:val="24"/>
          <w:szCs w:val="24"/>
          <w:lang w:val="en-US" w:eastAsia="zh-CN" w:bidi="ar"/>
        </w:rPr>
        <w:t>日第十二届全国人民代表大会常务委员会第二十五次会议通过，</w:t>
      </w:r>
      <w:r>
        <w:rPr>
          <w:rFonts w:hint="default" w:ascii="Times New Roman" w:hAnsi="Times New Roman" w:eastAsia="宋体" w:cs="Times New Roman"/>
          <w:color w:val="000000"/>
          <w:kern w:val="0"/>
          <w:sz w:val="24"/>
          <w:szCs w:val="24"/>
          <w:lang w:val="en-US" w:eastAsia="zh-CN" w:bidi="ar"/>
        </w:rPr>
        <w:t>2018</w:t>
      </w:r>
      <w:r>
        <w:rPr>
          <w:rFonts w:hint="eastAsia" w:ascii="Times New Roman" w:hAnsi="Times New Roman" w:eastAsia="宋体" w:cs="Times New Roman"/>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日实施）中的有关规定，一般性粉尘的污染当量为</w:t>
      </w:r>
      <w:r>
        <w:rPr>
          <w:rFonts w:hint="default" w:ascii="Times New Roman" w:hAnsi="Times New Roman" w:eastAsia="宋体" w:cs="Times New Roman"/>
          <w:color w:val="000000"/>
          <w:kern w:val="0"/>
          <w:sz w:val="24"/>
          <w:szCs w:val="24"/>
          <w:lang w:val="en-US" w:eastAsia="zh-CN" w:bidi="ar"/>
        </w:rPr>
        <w:t>4kg</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u w:val="double"/>
          <w:lang w:val="en-US" w:eastAsia="zh-CN" w:bidi="ar"/>
        </w:rPr>
        <w:t>采取大气污染治理措施前</w:t>
      </w:r>
      <w:r>
        <w:rPr>
          <w:rFonts w:hint="eastAsia" w:ascii="Times New Roman" w:hAnsi="Times New Roman" w:eastAsia="宋体" w:cs="Times New Roman"/>
          <w:color w:val="000000"/>
          <w:kern w:val="0"/>
          <w:sz w:val="24"/>
          <w:szCs w:val="24"/>
          <w:lang w:val="en-US" w:eastAsia="zh-CN" w:bidi="ar"/>
        </w:rPr>
        <w:t>，企业应缴纳环境保护税如下：</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452.2t/a×1000×1.2/4/12=11305</w:t>
      </w:r>
      <w:r>
        <w:rPr>
          <w:rFonts w:hint="eastAsia" w:ascii="Times New Roman" w:hAnsi="Times New Roman" w:eastAsia="宋体" w:cs="Times New Roman"/>
          <w:color w:val="000000"/>
          <w:kern w:val="0"/>
          <w:sz w:val="24"/>
          <w:szCs w:val="24"/>
          <w:lang w:val="en-US" w:eastAsia="zh-CN" w:bidi="ar"/>
        </w:rPr>
        <w:t>元</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月</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u w:val="double"/>
          <w:lang w:val="en-US" w:eastAsia="zh-CN" w:bidi="ar"/>
        </w:rPr>
        <w:t>采取大气污染治理措施后</w:t>
      </w:r>
      <w:r>
        <w:rPr>
          <w:rFonts w:hint="eastAsia" w:ascii="Times New Roman" w:hAnsi="Times New Roman" w:eastAsia="宋体" w:cs="Times New Roman"/>
          <w:color w:val="000000"/>
          <w:kern w:val="0"/>
          <w:sz w:val="24"/>
          <w:szCs w:val="24"/>
          <w:lang w:val="en-US" w:eastAsia="zh-CN" w:bidi="ar"/>
        </w:rPr>
        <w:t>，则企业应缴纳环境保护税如下：</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color w:val="000000"/>
          <w:kern w:val="0"/>
          <w:sz w:val="24"/>
          <w:szCs w:val="24"/>
          <w:lang w:val="en-US" w:eastAsia="zh-CN" w:bidi="ar"/>
        </w:rPr>
        <w:t>2.26t/a×1000×1.2/4/12=56.5</w:t>
      </w:r>
      <w:r>
        <w:rPr>
          <w:rFonts w:hint="eastAsia" w:ascii="Times New Roman" w:hAnsi="Times New Roman" w:eastAsia="宋体" w:cs="Times New Roman"/>
          <w:color w:val="000000"/>
          <w:kern w:val="0"/>
          <w:sz w:val="24"/>
          <w:szCs w:val="24"/>
          <w:lang w:val="en-US" w:eastAsia="zh-CN" w:bidi="ar"/>
        </w:rPr>
        <w:t>元</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月</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因此，企业采取有效的环保措施后，每月环境保护税可少上缴</w:t>
      </w:r>
      <w:r>
        <w:rPr>
          <w:rFonts w:hint="default" w:ascii="Times New Roman" w:hAnsi="Times New Roman" w:eastAsia="宋体" w:cs="Times New Roman"/>
          <w:b/>
          <w:bCs w:val="0"/>
          <w:color w:val="000000"/>
          <w:kern w:val="0"/>
          <w:sz w:val="24"/>
          <w:szCs w:val="24"/>
          <w:lang w:val="de" w:eastAsia="zh-CN" w:bidi="ar"/>
        </w:rPr>
        <w:t>11248.5</w:t>
      </w:r>
      <w:r>
        <w:rPr>
          <w:rFonts w:hint="eastAsia" w:ascii="Times New Roman" w:hAnsi="Times New Roman" w:eastAsia="宋体" w:cs="Times New Roman"/>
          <w:color w:val="000000"/>
          <w:kern w:val="0"/>
          <w:sz w:val="24"/>
          <w:szCs w:val="24"/>
          <w:lang w:val="en-US" w:eastAsia="zh-CN" w:bidi="ar"/>
        </w:rPr>
        <w:t>元</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月，具有很好的环境和经济效益。</w:t>
      </w:r>
    </w:p>
    <w:p>
      <w:pPr>
        <w:keepNext w:val="0"/>
        <w:keepLines w:val="0"/>
        <w:widowControl/>
        <w:numPr>
          <w:ilvl w:val="0"/>
          <w:numId w:val="10"/>
        </w:numPr>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减少水污染物环境保护税效益</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本项目废水主要污染物为</w:t>
      </w:r>
      <w:r>
        <w:rPr>
          <w:rFonts w:hint="default" w:ascii="Times New Roman" w:hAnsi="Times New Roman" w:eastAsia="宋体" w:cs="Times New Roman"/>
          <w:color w:val="000000"/>
          <w:kern w:val="0"/>
          <w:sz w:val="24"/>
          <w:szCs w:val="24"/>
          <w:lang w:val="en-US" w:eastAsia="zh-CN" w:bidi="ar"/>
        </w:rPr>
        <w:t>COD</w:t>
      </w:r>
      <w:r>
        <w:rPr>
          <w:rFonts w:hint="eastAsia" w:ascii="Times New Roman" w:hAnsi="Times New Roman" w:eastAsia="宋体" w:cs="Times New Roman"/>
          <w:color w:val="000000"/>
          <w:kern w:val="0"/>
          <w:sz w:val="24"/>
          <w:szCs w:val="24"/>
          <w:lang w:val="en-US" w:eastAsia="zh-CN" w:bidi="ar"/>
        </w:rPr>
        <w:t>、氨氮、</w:t>
      </w:r>
      <w:r>
        <w:rPr>
          <w:rFonts w:hint="default" w:ascii="Times New Roman" w:hAnsi="Times New Roman" w:eastAsia="宋体" w:cs="Times New Roman"/>
          <w:color w:val="000000"/>
          <w:kern w:val="0"/>
          <w:sz w:val="24"/>
          <w:szCs w:val="24"/>
          <w:lang w:val="en-US" w:eastAsia="zh-CN" w:bidi="ar"/>
        </w:rPr>
        <w:t>SS</w:t>
      </w:r>
      <w:r>
        <w:rPr>
          <w:rFonts w:hint="eastAsia" w:ascii="Times New Roman" w:hAnsi="Times New Roman" w:eastAsia="宋体" w:cs="Times New Roman"/>
          <w:color w:val="000000"/>
          <w:kern w:val="0"/>
          <w:sz w:val="24"/>
          <w:szCs w:val="24"/>
          <w:lang w:val="en-US" w:eastAsia="zh-CN" w:bidi="ar"/>
        </w:rPr>
        <w:t>等，主要为生产废水、生活污水等。其中，生产废水全部回用不外排，生活污水排入化粪池，定期清掏，堆沤腐熟、就地就近就农利用。</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在采取措施前，本项目排水水量及污染当量数和应缴纳环境保护税见表</w:t>
      </w:r>
      <w:r>
        <w:rPr>
          <w:rFonts w:hint="default" w:ascii="Times New Roman" w:hAnsi="Times New Roman" w:eastAsia="宋体" w:cs="Times New Roman"/>
          <w:color w:val="000000"/>
          <w:kern w:val="0"/>
          <w:sz w:val="24"/>
          <w:szCs w:val="24"/>
          <w:lang w:val="en-US" w:eastAsia="zh-CN" w:bidi="ar"/>
        </w:rPr>
        <w:t>7.2-3</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color w:val="000000"/>
          <w:lang w:val="en-US"/>
        </w:rPr>
      </w:pP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color w:val="000000"/>
          <w:lang w:val="en-US"/>
        </w:rPr>
      </w:pP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color w:val="000000"/>
          <w:lang w:val="en-US"/>
        </w:rPr>
      </w:pP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color w:val="000000"/>
          <w:lang w:val="en-US"/>
        </w:rPr>
      </w:pPr>
    </w:p>
    <w:p>
      <w:pPr>
        <w:pStyle w:val="56"/>
        <w:widowControl/>
        <w:snapToGrid/>
        <w:rPr>
          <w:color w:val="000000"/>
          <w:lang w:val="en-US"/>
        </w:rPr>
      </w:pPr>
      <w:r>
        <w:rPr>
          <w:rFonts w:hint="eastAsia" w:ascii="Times New Roman" w:hAnsi="Times New Roman" w:eastAsia="黑体" w:cs="黑体"/>
          <w:color w:val="000000"/>
          <w:lang w:eastAsia="zh-CN"/>
        </w:rPr>
        <w:t>表</w:t>
      </w:r>
      <w:r>
        <w:rPr>
          <w:color w:val="000000"/>
          <w:lang w:val="en-US"/>
        </w:rPr>
        <w:t xml:space="preserve">7.2-3  </w:t>
      </w:r>
      <w:r>
        <w:rPr>
          <w:rFonts w:hint="eastAsia" w:ascii="Times New Roman" w:hAnsi="Times New Roman" w:eastAsia="黑体" w:cs="黑体"/>
          <w:color w:val="000000"/>
          <w:lang w:eastAsia="zh-CN"/>
        </w:rPr>
        <w:t>采取措施前水量、污染当量数及环境保护税</w:t>
      </w:r>
    </w:p>
    <w:tbl>
      <w:tblPr>
        <w:tblStyle w:val="32"/>
        <w:tblW w:w="5000" w:type="pct"/>
        <w:tblInd w:w="0" w:type="dxa"/>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2761"/>
        <w:gridCol w:w="1409"/>
        <w:gridCol w:w="1520"/>
        <w:gridCol w:w="1520"/>
        <w:gridCol w:w="1517"/>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cantSplit/>
          <w:trHeight w:val="397" w:hRule="atLeast"/>
        </w:trPr>
        <w:tc>
          <w:tcPr>
            <w:tcW w:w="1582" w:type="pct"/>
            <w:vMerge w:val="restart"/>
            <w:tcBorders>
              <w:top w:val="thinThickSmallGap" w:color="auto" w:sz="12" w:space="0"/>
              <w:left w:val="nil"/>
              <w:bottom w:val="single" w:color="auto" w:sz="6" w:space="0"/>
              <w:right w:val="single" w:color="auto" w:sz="6" w:space="0"/>
              <w:tl2br w:val="single" w:color="auto" w:sz="4" w:space="0"/>
            </w:tcBorders>
            <w:shd w:val="clear" w:color="auto" w:fill="DDDDDD"/>
            <w:vAlign w:val="center"/>
          </w:tcPr>
          <w:p>
            <w:pPr>
              <w:keepNext w:val="0"/>
              <w:keepLines w:val="0"/>
              <w:widowControl/>
              <w:suppressLineNumbers w:val="0"/>
              <w:spacing w:before="0" w:beforeAutospacing="0" w:after="0" w:afterAutospacing="0"/>
              <w:ind w:left="0" w:right="420"/>
              <w:jc w:val="right"/>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项目</w:t>
            </w:r>
          </w:p>
          <w:p>
            <w:pPr>
              <w:keepNext w:val="0"/>
              <w:keepLines w:val="0"/>
              <w:widowControl/>
              <w:suppressLineNumbers w:val="0"/>
              <w:spacing w:before="0" w:beforeAutospacing="0" w:after="0" w:afterAutospacing="0"/>
              <w:ind w:left="0" w:right="0" w:firstLine="420" w:firstLineChars="200"/>
              <w:jc w:val="left"/>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名称</w:t>
            </w:r>
          </w:p>
        </w:tc>
        <w:tc>
          <w:tcPr>
            <w:tcW w:w="807" w:type="pct"/>
            <w:vMerge w:val="restart"/>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eastAsia" w:ascii="Times New Roman" w:hAnsi="Times New Roman" w:eastAsia="宋体" w:cs="Times New Roman"/>
                <w:bCs/>
                <w:color w:val="000000"/>
                <w:kern w:val="0"/>
                <w:sz w:val="21"/>
                <w:szCs w:val="21"/>
                <w:bdr w:val="none" w:color="auto" w:sz="0" w:space="0"/>
                <w:lang w:val="en-US" w:eastAsia="zh-CN" w:bidi="ar"/>
              </w:rPr>
              <w:t>水量</w:t>
            </w:r>
          </w:p>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w:t>
            </w:r>
            <w:r>
              <w:rPr>
                <w:rFonts w:hint="default" w:ascii="Times New Roman" w:hAnsi="Times New Roman" w:cs="Times New Roman"/>
                <w:bCs/>
                <w:color w:val="000000"/>
                <w:sz w:val="21"/>
                <w:szCs w:val="21"/>
                <w:bdr w:val="none" w:color="auto" w:sz="0" w:space="0"/>
                <w:lang w:val="en-US"/>
              </w:rPr>
              <w:t>m</w:t>
            </w:r>
            <w:r>
              <w:rPr>
                <w:rFonts w:hint="default" w:ascii="Times New Roman" w:hAnsi="Times New Roman" w:cs="Times New Roman"/>
                <w:bCs/>
                <w:color w:val="000000"/>
                <w:sz w:val="21"/>
                <w:szCs w:val="21"/>
                <w:bdr w:val="none" w:color="auto" w:sz="0" w:space="0"/>
                <w:vertAlign w:val="superscript"/>
                <w:lang w:val="en-US"/>
              </w:rPr>
              <w:t>3</w:t>
            </w:r>
            <w:r>
              <w:rPr>
                <w:rFonts w:hint="default" w:ascii="Times New Roman" w:hAnsi="Times New Roman" w:cs="Times New Roman"/>
                <w:bCs/>
                <w:color w:val="000000"/>
                <w:sz w:val="21"/>
                <w:szCs w:val="21"/>
                <w:bdr w:val="none" w:color="auto" w:sz="0" w:space="0"/>
                <w:lang w:val="en-US"/>
              </w:rPr>
              <w:t>/a</w:t>
            </w:r>
            <w:r>
              <w:rPr>
                <w:rFonts w:ascii="Times New Roman" w:hAnsi="Times New Roman" w:cs="Times New Roman"/>
                <w:bCs/>
                <w:color w:val="000000"/>
                <w:sz w:val="21"/>
                <w:szCs w:val="21"/>
                <w:bdr w:val="none" w:color="auto" w:sz="0" w:space="0"/>
              </w:rPr>
              <w:t>）</w:t>
            </w:r>
          </w:p>
        </w:tc>
        <w:tc>
          <w:tcPr>
            <w:tcW w:w="2611" w:type="pct"/>
            <w:gridSpan w:val="3"/>
            <w:tcBorders>
              <w:top w:val="thinThickSmallGap" w:color="auto" w:sz="12" w:space="0"/>
              <w:left w:val="single" w:color="auto" w:sz="6" w:space="0"/>
              <w:bottom w:val="single" w:color="auto" w:sz="6" w:space="0"/>
              <w:right w:val="nil"/>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污染物产生量（</w:t>
            </w:r>
            <w:r>
              <w:rPr>
                <w:rFonts w:hint="default" w:ascii="Times New Roman" w:hAnsi="Times New Roman" w:cs="Times New Roman"/>
                <w:bCs/>
                <w:color w:val="000000"/>
                <w:sz w:val="21"/>
                <w:szCs w:val="21"/>
                <w:bdr w:val="none" w:color="auto" w:sz="0" w:space="0"/>
                <w:lang w:val="en-US"/>
              </w:rPr>
              <w:t>t/a</w:t>
            </w:r>
            <w:r>
              <w:rPr>
                <w:rFonts w:ascii="Times New Roman" w:hAnsi="Times New Roman" w:cs="Times New Roman"/>
                <w:bCs/>
                <w:color w:val="000000"/>
                <w:sz w:val="21"/>
                <w:szCs w:val="21"/>
                <w:bdr w:val="none" w:color="auto" w:sz="0" w:space="0"/>
              </w:rPr>
              <w:t>）</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1582" w:type="pct"/>
            <w:vMerge w:val="continue"/>
            <w:tcBorders>
              <w:top w:val="thinThickSmallGap" w:color="auto" w:sz="12" w:space="0"/>
              <w:left w:val="nil"/>
              <w:bottom w:val="single" w:color="auto" w:sz="6" w:space="0"/>
              <w:right w:val="single" w:color="auto" w:sz="6" w:space="0"/>
              <w:tl2br w:val="single" w:color="auto" w:sz="4" w:space="0"/>
            </w:tcBorders>
            <w:shd w:val="clear" w:color="auto" w:fill="DDDDDD"/>
            <w:vAlign w:val="center"/>
          </w:tcPr>
          <w:p>
            <w:pPr>
              <w:rPr>
                <w:rFonts w:hint="default" w:ascii="Times New Roman" w:hAnsi="Times New Roman" w:cs="Times New Roman"/>
                <w:sz w:val="20"/>
                <w:szCs w:val="20"/>
              </w:rPr>
            </w:pPr>
          </w:p>
        </w:tc>
        <w:tc>
          <w:tcPr>
            <w:tcW w:w="807" w:type="pct"/>
            <w:vMerge w:val="continue"/>
            <w:tcBorders>
              <w:top w:val="thinThickSmallGap" w:color="auto" w:sz="12" w:space="0"/>
              <w:left w:val="single" w:color="auto" w:sz="6" w:space="0"/>
              <w:bottom w:val="single" w:color="auto" w:sz="6" w:space="0"/>
              <w:right w:val="single" w:color="auto" w:sz="6" w:space="0"/>
            </w:tcBorders>
            <w:shd w:val="clear" w:color="auto" w:fill="DDDDDD"/>
            <w:vAlign w:val="center"/>
          </w:tcPr>
          <w:p>
            <w:pPr>
              <w:rPr>
                <w:rFonts w:hint="default" w:ascii="Times New Roman" w:hAnsi="Times New Roman" w:cs="Times New Roman"/>
                <w:sz w:val="20"/>
                <w:szCs w:val="20"/>
              </w:rPr>
            </w:pPr>
          </w:p>
        </w:tc>
        <w:tc>
          <w:tcPr>
            <w:tcW w:w="871" w:type="pct"/>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COD</w:t>
            </w:r>
            <w:r>
              <w:rPr>
                <w:rFonts w:hint="default" w:ascii="Times New Roman" w:hAnsi="Times New Roman" w:cs="Times New Roman"/>
                <w:bCs/>
                <w:color w:val="000000"/>
                <w:sz w:val="21"/>
                <w:szCs w:val="21"/>
                <w:bdr w:val="none" w:color="auto" w:sz="0" w:space="0"/>
                <w:vertAlign w:val="subscript"/>
                <w:lang w:val="en-US"/>
              </w:rPr>
              <w:t>Cr</w:t>
            </w:r>
          </w:p>
        </w:tc>
        <w:tc>
          <w:tcPr>
            <w:tcW w:w="871" w:type="pct"/>
            <w:tcBorders>
              <w:top w:val="single" w:color="auto" w:sz="6"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SS</w:t>
            </w:r>
          </w:p>
        </w:tc>
        <w:tc>
          <w:tcPr>
            <w:tcW w:w="868" w:type="pct"/>
            <w:tcBorders>
              <w:top w:val="single" w:color="auto" w:sz="6" w:space="0"/>
              <w:left w:val="single" w:color="auto" w:sz="6" w:space="0"/>
              <w:bottom w:val="single" w:color="auto" w:sz="6" w:space="0"/>
              <w:right w:val="nil"/>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氨氮</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1582"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污废水</w:t>
            </w:r>
          </w:p>
        </w:tc>
        <w:tc>
          <w:tcPr>
            <w:tcW w:w="80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2325046</w:t>
            </w:r>
          </w:p>
        </w:tc>
        <w:tc>
          <w:tcPr>
            <w:tcW w:w="87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232.668</w:t>
            </w:r>
          </w:p>
        </w:tc>
        <w:tc>
          <w:tcPr>
            <w:tcW w:w="87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69.945</w:t>
            </w:r>
          </w:p>
        </w:tc>
        <w:tc>
          <w:tcPr>
            <w:tcW w:w="868"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0.02</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1582"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污染当量值（</w:t>
            </w:r>
            <w:r>
              <w:rPr>
                <w:rFonts w:hint="default" w:ascii="Times New Roman" w:hAnsi="Times New Roman" w:cs="Times New Roman"/>
                <w:bCs/>
                <w:color w:val="000000"/>
                <w:sz w:val="21"/>
                <w:szCs w:val="21"/>
                <w:bdr w:val="none" w:color="auto" w:sz="0" w:space="0"/>
                <w:lang w:val="en-US"/>
              </w:rPr>
              <w:t>kg</w:t>
            </w:r>
            <w:r>
              <w:rPr>
                <w:rFonts w:ascii="Times New Roman" w:hAnsi="Times New Roman" w:cs="Times New Roman"/>
                <w:bCs/>
                <w:color w:val="000000"/>
                <w:sz w:val="21"/>
                <w:szCs w:val="21"/>
                <w:bdr w:val="none" w:color="auto" w:sz="0" w:space="0"/>
              </w:rPr>
              <w:t>）</w:t>
            </w:r>
          </w:p>
        </w:tc>
        <w:tc>
          <w:tcPr>
            <w:tcW w:w="80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w:t>
            </w:r>
          </w:p>
        </w:tc>
        <w:tc>
          <w:tcPr>
            <w:tcW w:w="87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1</w:t>
            </w:r>
          </w:p>
        </w:tc>
        <w:tc>
          <w:tcPr>
            <w:tcW w:w="87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4</w:t>
            </w:r>
          </w:p>
        </w:tc>
        <w:tc>
          <w:tcPr>
            <w:tcW w:w="868"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0.8</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1582"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污染当量数</w:t>
            </w:r>
          </w:p>
        </w:tc>
        <w:tc>
          <w:tcPr>
            <w:tcW w:w="80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w:t>
            </w:r>
          </w:p>
        </w:tc>
        <w:tc>
          <w:tcPr>
            <w:tcW w:w="87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232668</w:t>
            </w:r>
          </w:p>
        </w:tc>
        <w:tc>
          <w:tcPr>
            <w:tcW w:w="87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17486.25</w:t>
            </w:r>
          </w:p>
        </w:tc>
        <w:tc>
          <w:tcPr>
            <w:tcW w:w="868"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25</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1582"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环境保护税</w:t>
            </w:r>
            <w:r>
              <w:rPr>
                <w:rFonts w:hint="default" w:ascii="Times New Roman" w:hAnsi="Times New Roman" w:cs="Times New Roman"/>
                <w:bCs/>
                <w:color w:val="000000"/>
                <w:sz w:val="21"/>
                <w:szCs w:val="21"/>
                <w:bdr w:val="none" w:color="auto" w:sz="0" w:space="0"/>
                <w:lang w:val="en-US"/>
              </w:rPr>
              <w:t>/</w:t>
            </w:r>
            <w:r>
              <w:rPr>
                <w:rFonts w:ascii="Times New Roman" w:hAnsi="Times New Roman" w:cs="Times New Roman"/>
                <w:bCs/>
                <w:color w:val="000000"/>
                <w:sz w:val="21"/>
                <w:szCs w:val="21"/>
                <w:bdr w:val="none" w:color="auto" w:sz="0" w:space="0"/>
              </w:rPr>
              <w:t>月（元）</w:t>
            </w:r>
          </w:p>
        </w:tc>
        <w:tc>
          <w:tcPr>
            <w:tcW w:w="807"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w:t>
            </w:r>
          </w:p>
        </w:tc>
        <w:tc>
          <w:tcPr>
            <w:tcW w:w="87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27144.6</w:t>
            </w:r>
          </w:p>
        </w:tc>
        <w:tc>
          <w:tcPr>
            <w:tcW w:w="871"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2040.1</w:t>
            </w:r>
          </w:p>
        </w:tc>
        <w:tc>
          <w:tcPr>
            <w:tcW w:w="868"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2.9</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2389" w:type="pct"/>
            <w:gridSpan w:val="2"/>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总计（元</w:t>
            </w:r>
            <w:r>
              <w:rPr>
                <w:rFonts w:hint="default" w:ascii="Times New Roman" w:hAnsi="Times New Roman" w:cs="Times New Roman"/>
                <w:bCs/>
                <w:color w:val="000000"/>
                <w:sz w:val="21"/>
                <w:szCs w:val="21"/>
                <w:bdr w:val="none" w:color="auto" w:sz="0" w:space="0"/>
                <w:lang w:val="en-US"/>
              </w:rPr>
              <w:t>/</w:t>
            </w:r>
            <w:r>
              <w:rPr>
                <w:rFonts w:ascii="Times New Roman" w:hAnsi="Times New Roman" w:cs="Times New Roman"/>
                <w:bCs/>
                <w:color w:val="000000"/>
                <w:sz w:val="21"/>
                <w:szCs w:val="21"/>
                <w:bdr w:val="none" w:color="auto" w:sz="0" w:space="0"/>
              </w:rPr>
              <w:t>月）</w:t>
            </w:r>
          </w:p>
        </w:tc>
        <w:tc>
          <w:tcPr>
            <w:tcW w:w="2611" w:type="pct"/>
            <w:gridSpan w:val="3"/>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29187.6</w:t>
            </w:r>
          </w:p>
        </w:tc>
      </w:tr>
    </w:tbl>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在采取措施后，每月环境保护税可少上缴</w:t>
      </w:r>
      <w:r>
        <w:rPr>
          <w:rFonts w:hint="default" w:ascii="Times New Roman" w:hAnsi="Times New Roman" w:eastAsia="宋体" w:cs="Times New Roman"/>
          <w:b/>
          <w:bCs w:val="0"/>
          <w:color w:val="000000"/>
          <w:kern w:val="0"/>
          <w:sz w:val="24"/>
          <w:szCs w:val="24"/>
          <w:lang w:val="en-US" w:eastAsia="zh-CN" w:bidi="ar"/>
        </w:rPr>
        <w:t>29187.6</w:t>
      </w:r>
      <w:r>
        <w:rPr>
          <w:rFonts w:hint="eastAsia" w:ascii="Times New Roman" w:hAnsi="Times New Roman" w:eastAsia="宋体" w:cs="Times New Roman"/>
          <w:b/>
          <w:bCs w:val="0"/>
          <w:color w:val="000000"/>
          <w:kern w:val="0"/>
          <w:sz w:val="24"/>
          <w:szCs w:val="24"/>
          <w:lang w:val="en-US" w:eastAsia="zh-CN" w:bidi="ar"/>
        </w:rPr>
        <w:t>元</w:t>
      </w:r>
      <w:r>
        <w:rPr>
          <w:rFonts w:hint="default" w:ascii="Times New Roman" w:hAnsi="Times New Roman" w:eastAsia="宋体" w:cs="Times New Roman"/>
          <w:b/>
          <w:bCs w:val="0"/>
          <w:color w:val="000000"/>
          <w:kern w:val="0"/>
          <w:sz w:val="24"/>
          <w:szCs w:val="24"/>
          <w:lang w:val="en-US" w:eastAsia="zh-CN" w:bidi="ar"/>
        </w:rPr>
        <w:t>/</w:t>
      </w:r>
      <w:r>
        <w:rPr>
          <w:rFonts w:hint="eastAsia" w:ascii="Times New Roman" w:hAnsi="Times New Roman" w:eastAsia="宋体" w:cs="Times New Roman"/>
          <w:b/>
          <w:bCs w:val="0"/>
          <w:color w:val="000000"/>
          <w:kern w:val="0"/>
          <w:sz w:val="24"/>
          <w:szCs w:val="24"/>
          <w:lang w:val="en-US" w:eastAsia="zh-CN" w:bidi="ar"/>
        </w:rPr>
        <w:t>月</w:t>
      </w:r>
      <w:r>
        <w:rPr>
          <w:rFonts w:hint="eastAsia" w:ascii="Times New Roman" w:hAnsi="Times New Roman" w:eastAsia="宋体" w:cs="Times New Roman"/>
          <w:color w:val="000000"/>
          <w:kern w:val="0"/>
          <w:sz w:val="24"/>
          <w:szCs w:val="24"/>
          <w:lang w:val="en-US" w:eastAsia="zh-CN" w:bidi="ar"/>
        </w:rPr>
        <w:t>，具有较好的环境和经济效益。</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 xml:space="preserve">7.2.2 </w:t>
      </w:r>
      <w:r>
        <w:rPr>
          <w:rFonts w:ascii="Times New Roman" w:hAnsi="Times New Roman" w:cs="Times New Roman"/>
          <w:color w:val="000000"/>
          <w:lang/>
        </w:rPr>
        <w:t>间接效益（社会效益）</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项目建成后，在提高企业经济效益的同时，可通过增加纳税增加当地财政收入，带动当地经济发展，具有较明显的社会效益。</w:t>
      </w:r>
    </w:p>
    <w:p>
      <w:pPr>
        <w:pStyle w:val="8"/>
        <w:widowControl/>
        <w:rPr>
          <w:color w:val="000000"/>
          <w:lang/>
        </w:rPr>
      </w:pPr>
      <w:bookmarkStart w:id="254" w:name="_Toc41656156"/>
      <w:r>
        <w:rPr>
          <w:color w:val="000000"/>
          <w:lang/>
        </w:rPr>
        <w:t xml:space="preserve">7.3 </w:t>
      </w:r>
      <w:r>
        <w:rPr>
          <w:rFonts w:hint="eastAsia" w:ascii="Times New Roman" w:hAnsi="Times New Roman" w:eastAsia="宋体" w:cs="宋体"/>
          <w:color w:val="000000"/>
          <w:lang w:eastAsia="zh-CN"/>
        </w:rPr>
        <w:t>环境影响经济损益分析结论</w:t>
      </w:r>
      <w:bookmarkEnd w:id="254"/>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由环境影响经济损益分析表明，企业通过采取切实有效的环保措施，对污染物排放量进一步削减，可大大减少上缴的环境保护税，可以获得较大经济效益，社会效益、环境效益也是良好的。</w:t>
      </w:r>
    </w:p>
    <w:p>
      <w:pPr>
        <w:keepNext w:val="0"/>
        <w:keepLines w:val="0"/>
        <w:widowControl/>
        <w:suppressLineNumbers w:val="0"/>
        <w:autoSpaceDE w:val="0"/>
        <w:autoSpaceDN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由此可见，本项目对社会、环境、企业都是有益的。</w:t>
      </w: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p>
    <w:p>
      <w:pPr>
        <w:rPr>
          <w:rFonts w:hint="default" w:ascii="Times New Roman" w:hAnsi="Times New Roman" w:eastAsia="宋体" w:cs="Times New Roman"/>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p>
      <w:pPr>
        <w:pStyle w:val="7"/>
        <w:widowControl/>
        <w:rPr>
          <w:rFonts w:hint="default" w:ascii="Times New Roman" w:hAnsi="Times New Roman" w:cs="Times New Roman"/>
          <w:color w:val="000000"/>
          <w:lang/>
        </w:rPr>
      </w:pPr>
      <w:bookmarkStart w:id="255" w:name="_Toc41656157"/>
      <w:r>
        <w:rPr>
          <w:rFonts w:hint="default" w:ascii="Times New Roman" w:hAnsi="Times New Roman" w:cs="Times New Roman"/>
          <w:color w:val="000000"/>
          <w:lang w:eastAsia="zh-CN"/>
        </w:rPr>
        <w:t>8</w:t>
      </w:r>
      <w:r>
        <w:rPr>
          <w:rFonts w:hint="default" w:ascii="Times New Roman" w:hAnsi="Times New Roman" w:cs="Times New Roman"/>
          <w:color w:val="000000"/>
          <w:lang/>
        </w:rPr>
        <w:t xml:space="preserve">. </w:t>
      </w:r>
      <w:r>
        <w:rPr>
          <w:rFonts w:ascii="Times New Roman" w:hAnsi="Times New Roman" w:cs="Times New Roman"/>
          <w:color w:val="000000"/>
          <w:lang/>
        </w:rPr>
        <w:t>环境管理与监测计划</w:t>
      </w:r>
      <w:bookmarkEnd w:id="255"/>
    </w:p>
    <w:p>
      <w:pPr>
        <w:pStyle w:val="8"/>
        <w:widowControl/>
        <w:rPr>
          <w:color w:val="000000"/>
          <w:lang/>
        </w:rPr>
      </w:pPr>
      <w:bookmarkStart w:id="256" w:name="_Toc41656158"/>
      <w:r>
        <w:rPr>
          <w:color w:val="000000"/>
          <w:lang/>
        </w:rPr>
        <w:t xml:space="preserve">8.1 </w:t>
      </w:r>
      <w:r>
        <w:rPr>
          <w:rFonts w:hint="eastAsia" w:ascii="Times New Roman" w:hAnsi="Times New Roman" w:eastAsia="宋体" w:cs="宋体"/>
          <w:color w:val="000000"/>
          <w:lang w:eastAsia="zh-CN"/>
        </w:rPr>
        <w:t>环境管理</w:t>
      </w:r>
      <w:bookmarkEnd w:id="256"/>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 xml:space="preserve">8.1.1 </w:t>
      </w:r>
      <w:r>
        <w:rPr>
          <w:rFonts w:ascii="Times New Roman" w:hAnsi="Times New Roman" w:cs="Times New Roman"/>
          <w:color w:val="000000"/>
          <w:lang/>
        </w:rPr>
        <w:t>环境管理体制</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环境管理是环境保护工作的重要内容之一，也是企业管理的主要组成部分。环境管理的核心是把环境保护融于企业经营管理的过程之中，使环境保护成为工业企业的重要决策因素，重视研究本企业的环境对策，采用新技术、新工艺，减少有害废物的排放，对废旧产品进行回收处理及循环利用，变普通产品为</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绿色</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产品，努力通过环境认证，积极参与社会环境整治，推动员工和公众的环保宣传和引导，树立</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绿色企业</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的良好形象。</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为了贯彻和执行国家和地方环境保护法律、法规、政策与标准，及时掌握和了解污染控制措施的效果，以及项目所在区域环境质量的变化情况，更好地监控环保设施的运行情况，协调与地方环保职能部门和其它有关部门的工作，同时保证企业生产管理和环境管理的正常运作，建立环境管理体系与监测制度是非常必要和重要的。</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环境管理体系与监测机构的建立能够帮助企业及早发现问题，使企业在发展生产的同时节约能源、降低原材料的消耗，控制污染物排放量，减轻污染物排放对环境产生的影响，为企业创造更好的经济效益和环境效益，树立良好的社会形象。</w:t>
      </w:r>
    </w:p>
    <w:p>
      <w:pPr>
        <w:pStyle w:val="9"/>
        <w:widowControl/>
        <w:rPr>
          <w:rFonts w:hint="default" w:ascii="Times New Roman" w:hAnsi="Times New Roman" w:cs="Times New Roman"/>
          <w:color w:val="000000"/>
          <w:lang w:eastAsia="zh-CN"/>
        </w:rPr>
      </w:pPr>
      <w:r>
        <w:rPr>
          <w:rFonts w:hint="default" w:ascii="Times New Roman" w:hAnsi="Times New Roman" w:cs="Times New Roman"/>
          <w:color w:val="000000"/>
          <w:lang/>
        </w:rPr>
        <w:t xml:space="preserve">8.1.2 </w:t>
      </w:r>
      <w:r>
        <w:rPr>
          <w:rFonts w:ascii="Times New Roman" w:hAnsi="Times New Roman" w:cs="Times New Roman"/>
          <w:color w:val="000000"/>
          <w:lang/>
        </w:rPr>
        <w:t>环境管理机构</w:t>
      </w:r>
    </w:p>
    <w:p>
      <w:pPr>
        <w:keepNext w:val="0"/>
        <w:keepLines w:val="0"/>
        <w:widowControl/>
        <w:suppressLineNumbers w:val="0"/>
        <w:spacing w:before="0" w:beforeAutospacing="0" w:after="0" w:afterAutospacing="0"/>
        <w:ind w:left="0" w:right="0" w:firstLine="464"/>
        <w:jc w:val="left"/>
        <w:rPr>
          <w:rFonts w:hint="default" w:ascii="Times New Roman" w:hAnsi="Times New Roman" w:cs="Times New Roman"/>
          <w:color w:val="000000"/>
          <w:spacing w:val="-4"/>
          <w:lang w:val="en-US"/>
        </w:rPr>
      </w:pPr>
      <w:r>
        <w:rPr>
          <w:rFonts w:hint="eastAsia" w:ascii="Times New Roman" w:hAnsi="Times New Roman" w:eastAsia="宋体" w:cs="Times New Roman"/>
          <w:color w:val="000000"/>
          <w:spacing w:val="-4"/>
          <w:kern w:val="0"/>
          <w:sz w:val="24"/>
          <w:szCs w:val="24"/>
          <w:lang w:val="en-US" w:eastAsia="zh-CN" w:bidi="ar"/>
        </w:rPr>
        <w:t>本项目的环境管理机构为生产管理与环保管理混编的机构，由生产部负责，</w:t>
      </w:r>
      <w:r>
        <w:rPr>
          <w:rFonts w:hint="default" w:ascii="Times New Roman" w:hAnsi="Times New Roman" w:eastAsia="宋体" w:cs="Times New Roman"/>
          <w:color w:val="000000"/>
          <w:spacing w:val="-4"/>
          <w:kern w:val="0"/>
          <w:sz w:val="24"/>
          <w:szCs w:val="24"/>
          <w:lang w:val="en-US" w:eastAsia="zh-CN" w:bidi="ar"/>
        </w:rPr>
        <w:t>1</w:t>
      </w:r>
      <w:r>
        <w:rPr>
          <w:rFonts w:hint="eastAsia" w:ascii="Times New Roman" w:hAnsi="Times New Roman" w:eastAsia="宋体" w:cs="Times New Roman"/>
          <w:color w:val="000000"/>
          <w:spacing w:val="-4"/>
          <w:kern w:val="0"/>
          <w:sz w:val="24"/>
          <w:szCs w:val="24"/>
          <w:lang w:val="en-US" w:eastAsia="zh-CN" w:bidi="ar"/>
        </w:rPr>
        <w:t>名生产副总经理主抓。生产部专设</w:t>
      </w:r>
      <w:r>
        <w:rPr>
          <w:rFonts w:hint="default" w:ascii="Times New Roman" w:hAnsi="Times New Roman" w:eastAsia="宋体" w:cs="Times New Roman"/>
          <w:color w:val="000000"/>
          <w:spacing w:val="-4"/>
          <w:kern w:val="0"/>
          <w:sz w:val="24"/>
          <w:szCs w:val="24"/>
          <w:lang w:val="en-US" w:eastAsia="zh-CN" w:bidi="ar"/>
        </w:rPr>
        <w:t>2</w:t>
      </w:r>
      <w:r>
        <w:rPr>
          <w:rFonts w:hint="eastAsia" w:ascii="Times New Roman" w:hAnsi="Times New Roman" w:eastAsia="宋体" w:cs="Times New Roman"/>
          <w:color w:val="000000"/>
          <w:spacing w:val="-4"/>
          <w:kern w:val="0"/>
          <w:sz w:val="24"/>
          <w:szCs w:val="24"/>
          <w:lang w:val="en-US" w:eastAsia="zh-CN" w:bidi="ar"/>
        </w:rPr>
        <w:t>名专职人员负责本项目的环境管理工作，其任务是组织、落实和监督本厂的环境保护工作，以满足《建设项目环境保护设计规定》及工程的环境管理要求，同时海城市环保局负责检查监督其环保工作执行情况。</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）贯彻执行环境保护法规和标准。</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）组织制定和修改本单位的环境管理规章制度并监督执行。</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）定期组织开展环境监测工作。</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）搞好环境教育和技术培训，提高干部和职工的环境意识与技术水平。</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 xml:space="preserve">8.1.3 </w:t>
      </w:r>
      <w:r>
        <w:rPr>
          <w:rFonts w:ascii="Times New Roman" w:hAnsi="Times New Roman" w:cs="Times New Roman"/>
          <w:color w:val="000000"/>
          <w:lang/>
        </w:rPr>
        <w:t>环境管理手段和措施</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为了使环境管理工作科学化、规范化、合理化，确保各项环保措施落实到位，本次评价建议企业在管理方面采取以下措施：</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）建立</w:t>
      </w:r>
      <w:r>
        <w:rPr>
          <w:rFonts w:hint="default" w:ascii="Times New Roman" w:hAnsi="Times New Roman" w:eastAsia="宋体" w:cs="Times New Roman"/>
          <w:color w:val="000000"/>
          <w:kern w:val="0"/>
          <w:sz w:val="24"/>
          <w:szCs w:val="24"/>
          <w:lang w:val="en-US" w:eastAsia="zh-CN" w:bidi="ar"/>
        </w:rPr>
        <w:t>ISO14000</w:t>
      </w:r>
      <w:r>
        <w:rPr>
          <w:rFonts w:hint="eastAsia" w:ascii="Times New Roman" w:hAnsi="Times New Roman" w:eastAsia="宋体" w:cs="Times New Roman"/>
          <w:color w:val="000000"/>
          <w:kern w:val="0"/>
          <w:sz w:val="24"/>
          <w:szCs w:val="24"/>
          <w:lang w:val="en-US" w:eastAsia="zh-CN" w:bidi="ar"/>
        </w:rPr>
        <w:t>环境管理体系，建议同时进行</w:t>
      </w:r>
      <w:r>
        <w:rPr>
          <w:rFonts w:hint="default" w:ascii="Times New Roman" w:hAnsi="Times New Roman" w:eastAsia="宋体" w:cs="Times New Roman"/>
          <w:color w:val="000000"/>
          <w:kern w:val="0"/>
          <w:sz w:val="24"/>
          <w:szCs w:val="24"/>
          <w:lang w:val="en-US" w:eastAsia="zh-CN" w:bidi="ar"/>
        </w:rPr>
        <w:t>QHSE</w:t>
      </w:r>
      <w:r>
        <w:rPr>
          <w:rFonts w:hint="eastAsia" w:ascii="Times New Roman" w:hAnsi="Times New Roman" w:eastAsia="宋体" w:cs="Times New Roman"/>
          <w:color w:val="000000"/>
          <w:kern w:val="0"/>
          <w:sz w:val="24"/>
          <w:szCs w:val="24"/>
          <w:lang w:val="en-US" w:eastAsia="zh-CN" w:bidi="ar"/>
        </w:rPr>
        <w:t>（质量、健康、安全、环保）审核；</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）制订环境保护岗位目标责任制，将环境管理纳入生产管理体系，环保评价与经济效益评价相结合，建立严格的奖惩机制；</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）加强环境保护宣传教育工作，进行岗位培训，使全体职工能够意识到环境保护的重要意义，包括与企业生产、生存和发展的关系，全公司应有危机感和责任感，把环保工作落实到实处，落实到每一位员工；</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）加强环境监测数据的统计工作，建立全厂完善的污染源及物料流失档案，严格控制污染物排放总量，确保污染物排放指标达到设计要求；</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5</w:t>
      </w:r>
      <w:r>
        <w:rPr>
          <w:rFonts w:hint="eastAsia" w:ascii="Times New Roman" w:hAnsi="Times New Roman" w:eastAsia="宋体" w:cs="Times New Roman"/>
          <w:color w:val="000000"/>
          <w:kern w:val="0"/>
          <w:sz w:val="24"/>
          <w:szCs w:val="24"/>
          <w:lang w:val="en-US" w:eastAsia="zh-CN" w:bidi="ar"/>
        </w:rPr>
        <w:t>）强化对环保设施运行监督、管理的职能，建立全厂完善的环保设施运行、维护、维修等技术档案，以及加强对环保设施操作人员的技术培训，确保环境设施处于正常运行情况，污染物排放连续达标；</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6</w:t>
      </w:r>
      <w:r>
        <w:rPr>
          <w:rFonts w:hint="eastAsia" w:ascii="Times New Roman" w:hAnsi="Times New Roman" w:eastAsia="宋体" w:cs="Times New Roman"/>
          <w:color w:val="000000"/>
          <w:kern w:val="0"/>
          <w:sz w:val="24"/>
          <w:szCs w:val="24"/>
          <w:lang w:val="en-US" w:eastAsia="zh-CN" w:bidi="ar"/>
        </w:rPr>
        <w:t>）制订应急预案。</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 xml:space="preserve">8.1.4 </w:t>
      </w:r>
      <w:r>
        <w:rPr>
          <w:rFonts w:ascii="Times New Roman" w:hAnsi="Times New Roman" w:cs="Times New Roman"/>
          <w:color w:val="000000"/>
          <w:lang/>
        </w:rPr>
        <w:t>建设阶段环境管理要求</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）确保污染治理措施执行</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三同时</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制度；</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）建设过程应有防治扬尘、噪声、固体废物和废水等污染环境的有效措施，并在施工过程中认真组织实施；</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）施工现场应建立环境保护管理体系，层层落实，责任到人，并保证有效运行；</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）对施工现场防治扬尘、噪声、水污染及环境保护管理工作进行检查；</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5</w:t>
      </w:r>
      <w:r>
        <w:rPr>
          <w:rFonts w:hint="eastAsia" w:ascii="Times New Roman" w:hAnsi="Times New Roman" w:eastAsia="宋体" w:cs="Times New Roman"/>
          <w:color w:val="000000"/>
          <w:kern w:val="0"/>
          <w:sz w:val="24"/>
          <w:szCs w:val="24"/>
          <w:lang w:val="en-US" w:eastAsia="zh-CN" w:bidi="ar"/>
        </w:rPr>
        <w:t>）定期对职工进行环保法规知识培训考核。</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rPr>
        <w:t xml:space="preserve">8.1.5 </w:t>
      </w:r>
      <w:r>
        <w:rPr>
          <w:rFonts w:ascii="Times New Roman" w:hAnsi="Times New Roman" w:cs="Times New Roman"/>
          <w:color w:val="000000"/>
          <w:lang/>
        </w:rPr>
        <w:t>运行阶段环境管理要求</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）根据国家环保政策、标准及环境监测要求，制定该项目运行期环保管理规章制度、各种污染物排放控制指标；</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）负责该项目内所有环保设施的日常运行管理，保障各环保设施的正常运行，并对环保设施的改进提出积极的建议；</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）负责该项目运行期环境监测工作，及时掌握该项目污染状况，整理监测数据，建立污染源档案；</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）负责该项目内所有环保设施的日常运行管理，保障各环保设施的正常运行，并对环保设施的改进提出积极的建议；</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5</w:t>
      </w:r>
      <w:r>
        <w:rPr>
          <w:rFonts w:hint="eastAsia" w:ascii="Times New Roman" w:hAnsi="Times New Roman" w:eastAsia="宋体" w:cs="Times New Roman"/>
          <w:color w:val="000000"/>
          <w:kern w:val="0"/>
          <w:sz w:val="24"/>
          <w:szCs w:val="24"/>
          <w:lang w:val="en-US" w:eastAsia="zh-CN" w:bidi="ar"/>
        </w:rPr>
        <w:t>）负责对职工进行环保宣传教育工作，以及检查、监督各单位环保制度的执行情况；</w:t>
      </w:r>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6</w:t>
      </w:r>
      <w:r>
        <w:rPr>
          <w:rFonts w:hint="eastAsia" w:ascii="Times New Roman" w:hAnsi="Times New Roman" w:eastAsia="宋体" w:cs="Times New Roman"/>
          <w:color w:val="000000"/>
          <w:kern w:val="0"/>
          <w:sz w:val="24"/>
          <w:szCs w:val="24"/>
          <w:lang w:val="en-US" w:eastAsia="zh-CN" w:bidi="ar"/>
        </w:rPr>
        <w:t>）建立健全环境档案管理与保密制度、污染防治设施设计技术改进及运行资料、污染源调查技术档案、环境监测及评价资料等。</w:t>
      </w:r>
    </w:p>
    <w:p>
      <w:pPr>
        <w:pStyle w:val="8"/>
        <w:widowControl/>
        <w:rPr>
          <w:color w:val="000000"/>
          <w:lang/>
        </w:rPr>
      </w:pPr>
      <w:bookmarkStart w:id="257" w:name="_Toc41656159"/>
      <w:r>
        <w:rPr>
          <w:color w:val="000000"/>
          <w:lang/>
        </w:rPr>
        <w:t xml:space="preserve">8.2 </w:t>
      </w:r>
      <w:r>
        <w:rPr>
          <w:rFonts w:hint="eastAsia" w:ascii="Times New Roman" w:hAnsi="Times New Roman" w:eastAsia="宋体" w:cs="宋体"/>
          <w:color w:val="000000"/>
          <w:lang w:eastAsia="zh-CN"/>
        </w:rPr>
        <w:t>污染物排放清单</w:t>
      </w:r>
      <w:bookmarkEnd w:id="257"/>
    </w:p>
    <w:p>
      <w:pPr>
        <w:keepNext w:val="0"/>
        <w:keepLines w:val="0"/>
        <w:widowControl/>
        <w:suppressLineNumbers w:val="0"/>
        <w:spacing w:before="0" w:beforeAutospacing="0" w:after="0" w:afterAutospacing="0" w:line="500" w:lineRule="exact"/>
        <w:ind w:left="0" w:right="15" w:rightChars="7"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本项目运营期污染物排放清单见表</w:t>
      </w:r>
      <w:r>
        <w:rPr>
          <w:rFonts w:hint="default" w:ascii="Times New Roman" w:hAnsi="Times New Roman" w:eastAsia="宋体" w:cs="Times New Roman"/>
          <w:color w:val="000000"/>
          <w:kern w:val="0"/>
          <w:sz w:val="24"/>
          <w:szCs w:val="24"/>
          <w:lang w:val="en-US" w:eastAsia="zh-CN" w:bidi="ar"/>
        </w:rPr>
        <w:t>8.2-1</w:t>
      </w:r>
      <w:r>
        <w:rPr>
          <w:rFonts w:hint="eastAsia" w:ascii="Times New Roman" w:hAnsi="Times New Roman" w:eastAsia="宋体" w:cs="Times New Roman"/>
          <w:color w:val="000000"/>
          <w:kern w:val="0"/>
          <w:sz w:val="24"/>
          <w:szCs w:val="24"/>
          <w:lang w:val="en-US" w:eastAsia="zh-CN" w:bidi="ar"/>
        </w:rPr>
        <w:t>，企业污染源排放信息每年向公众公示。</w:t>
      </w:r>
    </w:p>
    <w:p>
      <w:pPr>
        <w:rPr>
          <w:rFonts w:hint="default" w:ascii="Times New Roman" w:hAnsi="Times New Roman" w:eastAsia="宋体" w:cs="Times New Roman"/>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p>
      <w:pPr>
        <w:keepNext w:val="0"/>
        <w:keepLines w:val="0"/>
        <w:widowControl/>
        <w:suppressLineNumbers w:val="0"/>
        <w:tabs>
          <w:tab w:val="left" w:pos="851"/>
          <w:tab w:val="left" w:pos="1141"/>
          <w:tab w:val="left" w:pos="4335"/>
        </w:tabs>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8.2-1  </w:t>
      </w:r>
      <w:r>
        <w:rPr>
          <w:rFonts w:hint="eastAsia" w:ascii="Times New Roman" w:hAnsi="Times New Roman" w:eastAsia="黑体" w:cs="Times New Roman"/>
          <w:color w:val="000000"/>
          <w:kern w:val="0"/>
          <w:sz w:val="24"/>
          <w:szCs w:val="24"/>
          <w:lang w:val="en-US" w:eastAsia="zh-CN" w:bidi="ar"/>
        </w:rPr>
        <w:t>污染物排放清单一览表</w:t>
      </w:r>
    </w:p>
    <w:tbl>
      <w:tblPr>
        <w:tblStyle w:val="32"/>
        <w:tblW w:w="5060" w:type="pct"/>
        <w:jc w:val="center"/>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764"/>
        <w:gridCol w:w="1408"/>
        <w:gridCol w:w="2062"/>
        <w:gridCol w:w="1564"/>
        <w:gridCol w:w="1236"/>
        <w:gridCol w:w="1427"/>
        <w:gridCol w:w="1417"/>
        <w:gridCol w:w="1619"/>
        <w:gridCol w:w="2091"/>
        <w:gridCol w:w="228"/>
      </w:tblGrid>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shd w:val="clear"/>
          <w:tblCellMar>
            <w:top w:w="0" w:type="dxa"/>
            <w:left w:w="108" w:type="dxa"/>
            <w:bottom w:w="0" w:type="dxa"/>
            <w:right w:w="108" w:type="dxa"/>
          </w:tblCellMar>
        </w:tblPrEx>
        <w:trPr>
          <w:cantSplit/>
          <w:trHeight w:val="340" w:hRule="atLeast"/>
          <w:tblHeader/>
          <w:jc w:val="center"/>
        </w:trPr>
        <w:tc>
          <w:tcPr>
            <w:tcW w:w="777" w:type="dxa"/>
            <w:tcBorders>
              <w:top w:val="thinThickSmallGap" w:color="auto" w:sz="12" w:space="0"/>
              <w:left w:val="nil"/>
              <w:bottom w:val="single" w:color="auto" w:sz="4" w:space="0"/>
              <w:right w:val="single" w:color="auto" w:sz="4" w:space="0"/>
            </w:tcBorders>
            <w:shd w:val="clear" w:color="auto" w:fill="E0E0E0"/>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项目</w:t>
            </w:r>
          </w:p>
        </w:tc>
        <w:tc>
          <w:tcPr>
            <w:tcW w:w="1445"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污染源</w:t>
            </w:r>
          </w:p>
        </w:tc>
        <w:tc>
          <w:tcPr>
            <w:tcW w:w="2101"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污染物名称</w:t>
            </w:r>
          </w:p>
        </w:tc>
        <w:tc>
          <w:tcPr>
            <w:tcW w:w="1607"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环保措施</w:t>
            </w:r>
          </w:p>
        </w:tc>
        <w:tc>
          <w:tcPr>
            <w:tcW w:w="1252"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治理效率（</w:t>
            </w:r>
            <w:r>
              <w:rPr>
                <w:rFonts w:hint="default" w:ascii="Times New Roman" w:hAnsi="Times New Roman" w:cs="Times New Roman"/>
                <w:color w:val="000000"/>
                <w:sz w:val="21"/>
                <w:szCs w:val="21"/>
                <w:bdr w:val="none" w:color="auto" w:sz="0" w:space="0"/>
                <w:lang w:val="en-US"/>
              </w:rPr>
              <w:t>%</w:t>
            </w:r>
            <w:r>
              <w:rPr>
                <w:rFonts w:ascii="Times New Roman" w:hAnsi="Times New Roman" w:cs="Times New Roman"/>
                <w:color w:val="000000"/>
                <w:sz w:val="21"/>
                <w:szCs w:val="21"/>
                <w:bdr w:val="none" w:color="auto" w:sz="0" w:space="0"/>
              </w:rPr>
              <w:t>）</w:t>
            </w:r>
          </w:p>
        </w:tc>
        <w:tc>
          <w:tcPr>
            <w:tcW w:w="1436"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排放浓度（</w:t>
            </w:r>
            <w:r>
              <w:rPr>
                <w:rFonts w:hint="default" w:ascii="Times New Roman" w:hAnsi="Times New Roman" w:cs="Times New Roman"/>
                <w:color w:val="000000"/>
                <w:sz w:val="21"/>
                <w:szCs w:val="21"/>
                <w:bdr w:val="none" w:color="auto" w:sz="0" w:space="0"/>
                <w:lang w:val="en-US"/>
              </w:rPr>
              <w:t>mg/m</w:t>
            </w:r>
            <w:r>
              <w:rPr>
                <w:rFonts w:hint="default" w:ascii="Times New Roman" w:hAnsi="Times New Roman" w:cs="Times New Roman"/>
                <w:color w:val="000000"/>
                <w:sz w:val="21"/>
                <w:szCs w:val="21"/>
                <w:bdr w:val="none" w:color="auto" w:sz="0" w:space="0"/>
                <w:vertAlign w:val="superscript"/>
                <w:lang w:val="en-US"/>
              </w:rPr>
              <w:t>3</w:t>
            </w:r>
            <w:r>
              <w:rPr>
                <w:rFonts w:ascii="Times New Roman" w:hAnsi="Times New Roman" w:cs="Times New Roman"/>
                <w:color w:val="000000"/>
                <w:sz w:val="21"/>
                <w:szCs w:val="21"/>
                <w:bdr w:val="none" w:color="auto" w:sz="0" w:space="0"/>
              </w:rPr>
              <w:t>）</w:t>
            </w:r>
          </w:p>
        </w:tc>
        <w:tc>
          <w:tcPr>
            <w:tcW w:w="143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排放量</w:t>
            </w:r>
          </w:p>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t/a</w:t>
            </w:r>
            <w:r>
              <w:rPr>
                <w:rFonts w:ascii="Times New Roman" w:hAnsi="Times New Roman" w:cs="Times New Roman"/>
                <w:color w:val="000000"/>
                <w:sz w:val="21"/>
                <w:szCs w:val="21"/>
                <w:bdr w:val="none" w:color="auto" w:sz="0" w:space="0"/>
              </w:rPr>
              <w:t>）</w:t>
            </w:r>
          </w:p>
        </w:tc>
        <w:tc>
          <w:tcPr>
            <w:tcW w:w="1638" w:type="dxa"/>
            <w:tcBorders>
              <w:top w:val="thinThickSmallGap" w:color="auto" w:sz="12" w:space="0"/>
              <w:left w:val="single" w:color="auto" w:sz="4" w:space="0"/>
              <w:bottom w:val="single" w:color="auto" w:sz="4" w:space="0"/>
              <w:right w:val="single" w:color="auto" w:sz="4" w:space="0"/>
            </w:tcBorders>
            <w:shd w:val="clear" w:color="auto" w:fill="E0E0E0"/>
            <w:vAlign w:val="center"/>
          </w:tcPr>
          <w:p>
            <w:pPr>
              <w:keepNext w:val="0"/>
              <w:keepLines w:val="0"/>
              <w:widowControl/>
              <w:suppressLineNumbers w:val="0"/>
              <w:adjustRightInd w:val="0"/>
              <w:snapToGrid w:val="0"/>
              <w:spacing w:before="0" w:beforeAutospacing="0" w:after="0" w:afterAutospacing="0" w:line="240" w:lineRule="exact"/>
              <w:ind w:left="-105" w:leftChars="-50" w:right="-105" w:rightChars="-5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标准限值（</w:t>
            </w:r>
            <w:r>
              <w:rPr>
                <w:rFonts w:hint="default" w:ascii="Times New Roman" w:hAnsi="Times New Roman" w:cs="Times New Roman"/>
                <w:color w:val="000000"/>
                <w:sz w:val="21"/>
                <w:szCs w:val="21"/>
                <w:bdr w:val="none" w:color="auto" w:sz="0" w:space="0"/>
                <w:lang w:val="en-US"/>
              </w:rPr>
              <w:t>mg/m</w:t>
            </w:r>
            <w:r>
              <w:rPr>
                <w:rFonts w:hint="default" w:ascii="Times New Roman" w:hAnsi="Times New Roman" w:cs="Times New Roman"/>
                <w:color w:val="000000"/>
                <w:sz w:val="21"/>
                <w:szCs w:val="21"/>
                <w:bdr w:val="none" w:color="auto" w:sz="0" w:space="0"/>
                <w:vertAlign w:val="superscript"/>
                <w:lang w:val="en-US"/>
              </w:rPr>
              <w:t>3</w:t>
            </w:r>
            <w:r>
              <w:rPr>
                <w:rFonts w:ascii="Times New Roman" w:hAnsi="Times New Roman" w:cs="Times New Roman"/>
                <w:color w:val="000000"/>
                <w:sz w:val="21"/>
                <w:szCs w:val="21"/>
                <w:bdr w:val="none" w:color="auto" w:sz="0" w:space="0"/>
              </w:rPr>
              <w:t>）</w:t>
            </w:r>
          </w:p>
        </w:tc>
        <w:tc>
          <w:tcPr>
            <w:tcW w:w="2124" w:type="dxa"/>
            <w:gridSpan w:val="2"/>
            <w:tcBorders>
              <w:top w:val="thinThickSmallGap" w:color="auto" w:sz="12" w:space="0"/>
              <w:left w:val="single" w:color="auto" w:sz="4" w:space="0"/>
              <w:bottom w:val="single" w:color="auto" w:sz="4" w:space="0"/>
              <w:right w:val="nil"/>
            </w:tcBorders>
            <w:shd w:val="clear" w:color="auto" w:fill="E0E0E0"/>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执行标准</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236" w:type="dxa"/>
          <w:cantSplit/>
          <w:trHeight w:val="340" w:hRule="atLeast"/>
          <w:jc w:val="center"/>
        </w:trPr>
        <w:tc>
          <w:tcPr>
            <w:tcW w:w="777" w:type="dxa"/>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废气</w:t>
            </w:r>
          </w:p>
        </w:tc>
        <w:tc>
          <w:tcPr>
            <w:tcW w:w="144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破碎筛分转运配套排气筒</w:t>
            </w:r>
            <w:r>
              <w:rPr>
                <w:rFonts w:hint="default" w:ascii="Times New Roman" w:hAnsi="Times New Roman" w:cs="Times New Roman"/>
                <w:color w:val="000000"/>
                <w:sz w:val="21"/>
                <w:szCs w:val="21"/>
                <w:bdr w:val="none" w:color="auto" w:sz="0" w:space="0"/>
                <w:lang w:val="en-US"/>
              </w:rPr>
              <w:t>P1</w:t>
            </w:r>
          </w:p>
        </w:tc>
        <w:tc>
          <w:tcPr>
            <w:tcW w:w="210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1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袋式除尘器</w:t>
            </w:r>
          </w:p>
        </w:tc>
        <w:tc>
          <w:tcPr>
            <w:tcW w:w="1252"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w:t>
            </w:r>
            <w:r>
              <w:rPr>
                <w:rFonts w:hint="default" w:ascii="Times New Roman" w:hAnsi="Times New Roman" w:cs="Times New Roman"/>
                <w:color w:val="000000"/>
                <w:sz w:val="21"/>
                <w:szCs w:val="21"/>
                <w:bdr w:val="none" w:color="auto" w:sz="0" w:space="0"/>
                <w:lang w:val="en-US"/>
              </w:rPr>
              <w:t>99.5</w:t>
            </w:r>
          </w:p>
        </w:tc>
        <w:tc>
          <w:tcPr>
            <w:tcW w:w="143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&lt;10</w:t>
            </w:r>
          </w:p>
        </w:tc>
        <w:tc>
          <w:tcPr>
            <w:tcW w:w="14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2.26</w:t>
            </w:r>
          </w:p>
        </w:tc>
        <w:tc>
          <w:tcPr>
            <w:tcW w:w="16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30</w:t>
            </w:r>
          </w:p>
        </w:tc>
        <w:tc>
          <w:tcPr>
            <w:tcW w:w="2106"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DB21/3011-2018</w:t>
            </w:r>
            <w:r>
              <w:rPr>
                <w:rFonts w:ascii="Times New Roman" w:hAnsi="Times New Roman" w:cs="Times New Roman"/>
                <w:color w:val="000000"/>
                <w:sz w:val="21"/>
                <w:szCs w:val="21"/>
                <w:bdr w:val="none" w:color="auto" w:sz="0" w:space="0"/>
              </w:rPr>
              <w:t>表</w:t>
            </w:r>
            <w:r>
              <w:rPr>
                <w:rFonts w:hint="default" w:ascii="Times New Roman" w:hAnsi="Times New Roman" w:cs="Times New Roman"/>
                <w:color w:val="000000"/>
                <w:sz w:val="21"/>
                <w:szCs w:val="21"/>
                <w:bdr w:val="none" w:color="auto" w:sz="0" w:space="0"/>
                <w:lang w:val="en-US"/>
              </w:rPr>
              <w:t>2</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236" w:type="dxa"/>
          <w:cantSplit/>
          <w:trHeight w:val="340" w:hRule="atLeast"/>
          <w:jc w:val="center"/>
        </w:trPr>
        <w:tc>
          <w:tcPr>
            <w:tcW w:w="77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4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破碎车间</w:t>
            </w:r>
          </w:p>
        </w:tc>
        <w:tc>
          <w:tcPr>
            <w:tcW w:w="210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1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封闭厂房</w:t>
            </w:r>
          </w:p>
        </w:tc>
        <w:tc>
          <w:tcPr>
            <w:tcW w:w="1252"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80%</w:t>
            </w:r>
          </w:p>
        </w:tc>
        <w:tc>
          <w:tcPr>
            <w:tcW w:w="143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4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0.81</w:t>
            </w:r>
          </w:p>
        </w:tc>
        <w:tc>
          <w:tcPr>
            <w:tcW w:w="1638" w:type="dxa"/>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0.8</w:t>
            </w:r>
          </w:p>
        </w:tc>
        <w:tc>
          <w:tcPr>
            <w:tcW w:w="2106" w:type="dxa"/>
            <w:vMerge w:val="restar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DB21/3011-2018</w:t>
            </w:r>
            <w:r>
              <w:rPr>
                <w:rFonts w:ascii="Times New Roman" w:hAnsi="Times New Roman" w:cs="Times New Roman"/>
                <w:color w:val="000000"/>
                <w:sz w:val="21"/>
                <w:szCs w:val="21"/>
                <w:bdr w:val="none" w:color="auto" w:sz="0" w:space="0"/>
              </w:rPr>
              <w:t>表</w:t>
            </w:r>
            <w:r>
              <w:rPr>
                <w:rFonts w:hint="default" w:ascii="Times New Roman" w:hAnsi="Times New Roman" w:cs="Times New Roman"/>
                <w:color w:val="000000"/>
                <w:sz w:val="21"/>
                <w:szCs w:val="21"/>
                <w:bdr w:val="none" w:color="auto" w:sz="0" w:space="0"/>
                <w:lang w:val="en-US"/>
              </w:rPr>
              <w:t>3</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236" w:type="dxa"/>
          <w:cantSplit/>
          <w:trHeight w:val="340" w:hRule="atLeast"/>
          <w:jc w:val="center"/>
        </w:trPr>
        <w:tc>
          <w:tcPr>
            <w:tcW w:w="77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4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原料库</w:t>
            </w:r>
          </w:p>
        </w:tc>
        <w:tc>
          <w:tcPr>
            <w:tcW w:w="210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1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封闭厂房</w:t>
            </w:r>
          </w:p>
        </w:tc>
        <w:tc>
          <w:tcPr>
            <w:tcW w:w="1252"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80%</w:t>
            </w:r>
          </w:p>
        </w:tc>
        <w:tc>
          <w:tcPr>
            <w:tcW w:w="143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4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5</w:t>
            </w:r>
          </w:p>
        </w:tc>
        <w:tc>
          <w:tcPr>
            <w:tcW w:w="1638"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2106"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236" w:type="dxa"/>
          <w:cantSplit/>
          <w:trHeight w:val="340" w:hRule="atLeast"/>
          <w:jc w:val="center"/>
        </w:trPr>
        <w:tc>
          <w:tcPr>
            <w:tcW w:w="77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4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精矿库</w:t>
            </w:r>
          </w:p>
        </w:tc>
        <w:tc>
          <w:tcPr>
            <w:tcW w:w="210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1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封闭厂房</w:t>
            </w:r>
          </w:p>
        </w:tc>
        <w:tc>
          <w:tcPr>
            <w:tcW w:w="1252"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80%</w:t>
            </w:r>
          </w:p>
        </w:tc>
        <w:tc>
          <w:tcPr>
            <w:tcW w:w="143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4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2.4</w:t>
            </w:r>
          </w:p>
        </w:tc>
        <w:tc>
          <w:tcPr>
            <w:tcW w:w="1638"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2106"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236" w:type="dxa"/>
          <w:cantSplit/>
          <w:trHeight w:val="340" w:hRule="atLeast"/>
          <w:jc w:val="center"/>
        </w:trPr>
        <w:tc>
          <w:tcPr>
            <w:tcW w:w="77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4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尾矿库</w:t>
            </w:r>
          </w:p>
        </w:tc>
        <w:tc>
          <w:tcPr>
            <w:tcW w:w="210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颗粒物</w:t>
            </w:r>
          </w:p>
        </w:tc>
        <w:tc>
          <w:tcPr>
            <w:tcW w:w="160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封闭厂房</w:t>
            </w:r>
          </w:p>
        </w:tc>
        <w:tc>
          <w:tcPr>
            <w:tcW w:w="1252"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80%</w:t>
            </w:r>
          </w:p>
        </w:tc>
        <w:tc>
          <w:tcPr>
            <w:tcW w:w="143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c>
          <w:tcPr>
            <w:tcW w:w="14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0.5</w:t>
            </w:r>
          </w:p>
        </w:tc>
        <w:tc>
          <w:tcPr>
            <w:tcW w:w="1638"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2106"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236" w:type="dxa"/>
          <w:cantSplit/>
          <w:trHeight w:val="340" w:hRule="atLeast"/>
          <w:jc w:val="center"/>
        </w:trPr>
        <w:tc>
          <w:tcPr>
            <w:tcW w:w="777" w:type="dxa"/>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废水</w:t>
            </w:r>
          </w:p>
        </w:tc>
        <w:tc>
          <w:tcPr>
            <w:tcW w:w="144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生活污水</w:t>
            </w:r>
          </w:p>
        </w:tc>
        <w:tc>
          <w:tcPr>
            <w:tcW w:w="210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等线" w:cs="Times New Roman"/>
                <w:color w:val="000000"/>
                <w:sz w:val="21"/>
                <w:szCs w:val="21"/>
                <w:bdr w:val="none" w:color="auto" w:sz="0" w:space="0"/>
                <w:lang w:val="en-US"/>
              </w:rPr>
              <w:t>CODcr</w:t>
            </w:r>
            <w:r>
              <w:rPr>
                <w:rFonts w:hint="eastAsia" w:ascii="Times New Roman" w:hAnsi="Times New Roman" w:eastAsia="等线" w:cs="Times New Roman"/>
                <w:color w:val="000000"/>
                <w:sz w:val="21"/>
                <w:szCs w:val="21"/>
                <w:bdr w:val="none" w:color="auto" w:sz="0" w:space="0"/>
              </w:rPr>
              <w:t>、</w:t>
            </w:r>
            <w:r>
              <w:rPr>
                <w:rFonts w:hint="default" w:ascii="Times New Roman" w:hAnsi="Times New Roman" w:eastAsia="等线" w:cs="Times New Roman"/>
                <w:color w:val="000000"/>
                <w:sz w:val="21"/>
                <w:szCs w:val="21"/>
                <w:bdr w:val="none" w:color="auto" w:sz="0" w:space="0"/>
                <w:lang w:val="en-US"/>
              </w:rPr>
              <w:t>NH</w:t>
            </w:r>
            <w:r>
              <w:rPr>
                <w:rFonts w:hint="default" w:ascii="Times New Roman" w:hAnsi="Times New Roman" w:eastAsia="等线" w:cs="Times New Roman"/>
                <w:color w:val="000000"/>
                <w:sz w:val="21"/>
                <w:szCs w:val="21"/>
                <w:bdr w:val="none" w:color="auto" w:sz="0" w:space="0"/>
                <w:vertAlign w:val="subscript"/>
                <w:lang w:val="en-US"/>
              </w:rPr>
              <w:t>3</w:t>
            </w:r>
            <w:r>
              <w:rPr>
                <w:rFonts w:hint="default" w:ascii="Times New Roman" w:hAnsi="Times New Roman" w:eastAsia="等线" w:cs="Times New Roman"/>
                <w:color w:val="000000"/>
                <w:sz w:val="21"/>
                <w:szCs w:val="21"/>
                <w:bdr w:val="none" w:color="auto" w:sz="0" w:space="0"/>
                <w:lang w:val="en-US"/>
              </w:rPr>
              <w:t>-N</w:t>
            </w:r>
            <w:r>
              <w:rPr>
                <w:rFonts w:hint="eastAsia" w:ascii="Times New Roman" w:hAnsi="Times New Roman" w:eastAsia="等线" w:cs="Times New Roman"/>
                <w:color w:val="000000"/>
                <w:sz w:val="21"/>
                <w:szCs w:val="21"/>
                <w:bdr w:val="none" w:color="auto" w:sz="0" w:space="0"/>
              </w:rPr>
              <w:t>、</w:t>
            </w:r>
            <w:r>
              <w:rPr>
                <w:rFonts w:hint="default" w:ascii="Times New Roman" w:hAnsi="Times New Roman" w:eastAsia="等线" w:cs="Times New Roman"/>
                <w:color w:val="000000"/>
                <w:sz w:val="21"/>
                <w:szCs w:val="21"/>
                <w:bdr w:val="none" w:color="auto" w:sz="0" w:space="0"/>
                <w:lang w:val="en-US"/>
              </w:rPr>
              <w:t>SS</w:t>
            </w:r>
          </w:p>
        </w:tc>
        <w:tc>
          <w:tcPr>
            <w:tcW w:w="7376" w:type="dxa"/>
            <w:gridSpan w:val="5"/>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816m</w:t>
            </w:r>
            <w:r>
              <w:rPr>
                <w:rFonts w:hint="default" w:ascii="Times New Roman" w:hAnsi="Times New Roman" w:cs="Times New Roman"/>
                <w:color w:val="000000"/>
                <w:sz w:val="21"/>
                <w:szCs w:val="21"/>
                <w:bdr w:val="none" w:color="auto" w:sz="0" w:space="0"/>
                <w:vertAlign w:val="superscript"/>
                <w:lang w:val="en-US"/>
              </w:rPr>
              <w:t>3</w:t>
            </w:r>
            <w:r>
              <w:rPr>
                <w:rFonts w:hint="default" w:ascii="Times New Roman" w:hAnsi="Times New Roman" w:cs="Times New Roman"/>
                <w:color w:val="000000"/>
                <w:sz w:val="21"/>
                <w:szCs w:val="21"/>
                <w:bdr w:val="none" w:color="auto" w:sz="0" w:space="0"/>
                <w:lang w:val="en-US"/>
              </w:rPr>
              <w:t>/a</w:t>
            </w:r>
            <w:r>
              <w:rPr>
                <w:rFonts w:ascii="Times New Roman" w:hAnsi="Times New Roman" w:cs="Times New Roman"/>
                <w:color w:val="000000"/>
                <w:sz w:val="21"/>
                <w:szCs w:val="21"/>
                <w:bdr w:val="none" w:color="auto" w:sz="0" w:space="0"/>
              </w:rPr>
              <w:t>，排入化粪池处理，定期清掏，堆沤腐熟、就地就近就农利用</w:t>
            </w:r>
          </w:p>
        </w:tc>
        <w:tc>
          <w:tcPr>
            <w:tcW w:w="2106"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236" w:type="dxa"/>
          <w:cantSplit/>
          <w:trHeight w:val="340" w:hRule="atLeast"/>
          <w:jc w:val="center"/>
        </w:trPr>
        <w:tc>
          <w:tcPr>
            <w:tcW w:w="77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4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工艺废水</w:t>
            </w:r>
          </w:p>
        </w:tc>
        <w:tc>
          <w:tcPr>
            <w:tcW w:w="210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等线" w:cs="Times New Roman"/>
                <w:color w:val="000000"/>
                <w:sz w:val="21"/>
                <w:szCs w:val="21"/>
                <w:bdr w:val="none" w:color="auto" w:sz="0" w:space="0"/>
                <w:lang w:val="en-US"/>
              </w:rPr>
              <w:t>SS</w:t>
            </w:r>
          </w:p>
        </w:tc>
        <w:tc>
          <w:tcPr>
            <w:tcW w:w="7376" w:type="dxa"/>
            <w:gridSpan w:val="5"/>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经循环水池沉淀后全部回用，不外排</w:t>
            </w:r>
          </w:p>
        </w:tc>
        <w:tc>
          <w:tcPr>
            <w:tcW w:w="2106"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77" w:type="dxa"/>
            <w:vMerge w:val="restart"/>
            <w:tcBorders>
              <w:top w:val="single" w:color="auto" w:sz="4" w:space="0"/>
              <w:left w:val="nil"/>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固体</w:t>
            </w:r>
          </w:p>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废物</w:t>
            </w:r>
          </w:p>
        </w:tc>
        <w:tc>
          <w:tcPr>
            <w:tcW w:w="1445" w:type="dxa"/>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危险废物</w:t>
            </w:r>
          </w:p>
        </w:tc>
        <w:tc>
          <w:tcPr>
            <w:tcW w:w="210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废润滑油桶</w:t>
            </w:r>
          </w:p>
        </w:tc>
        <w:tc>
          <w:tcPr>
            <w:tcW w:w="2859" w:type="dxa"/>
            <w:gridSpan w:val="2"/>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bCs/>
                <w:color w:val="000000"/>
                <w:kern w:val="24"/>
                <w:sz w:val="21"/>
                <w:szCs w:val="21"/>
                <w:bdr w:val="none" w:color="auto" w:sz="0" w:space="0"/>
                <w:vertAlign w:val="baseline"/>
                <w:lang/>
              </w:rPr>
            </w:pPr>
            <w:r>
              <w:rPr>
                <w:rFonts w:ascii="Times New Roman" w:hAnsi="Times New Roman" w:cs="Times New Roman"/>
                <w:bCs/>
                <w:color w:val="000000"/>
                <w:kern w:val="24"/>
                <w:sz w:val="21"/>
                <w:szCs w:val="21"/>
                <w:bdr w:val="none" w:color="auto" w:sz="0" w:space="0"/>
                <w:vertAlign w:val="baseline"/>
                <w:lang/>
              </w:rPr>
              <w:t>由有资质厂家定期更换后外运，不在厂内贮存</w:t>
            </w:r>
          </w:p>
        </w:tc>
        <w:tc>
          <w:tcPr>
            <w:tcW w:w="143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bCs/>
                <w:color w:val="000000"/>
                <w:kern w:val="24"/>
                <w:sz w:val="21"/>
                <w:szCs w:val="21"/>
                <w:bdr w:val="none" w:color="auto" w:sz="0" w:space="0"/>
                <w:vertAlign w:val="baseline"/>
                <w:lang/>
              </w:rPr>
            </w:pPr>
            <w:r>
              <w:rPr>
                <w:rFonts w:hint="default" w:ascii="Times New Roman" w:hAnsi="Times New Roman" w:cs="Times New Roman"/>
                <w:bCs/>
                <w:color w:val="000000"/>
                <w:kern w:val="24"/>
                <w:sz w:val="21"/>
                <w:szCs w:val="21"/>
                <w:bdr w:val="none" w:color="auto" w:sz="0" w:space="0"/>
                <w:vertAlign w:val="baseline"/>
                <w:lang/>
              </w:rPr>
              <w:t>--</w:t>
            </w:r>
          </w:p>
        </w:tc>
        <w:tc>
          <w:tcPr>
            <w:tcW w:w="14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bCs/>
                <w:color w:val="000000"/>
                <w:kern w:val="24"/>
                <w:sz w:val="21"/>
                <w:szCs w:val="21"/>
                <w:bdr w:val="none" w:color="auto" w:sz="0" w:space="0"/>
                <w:vertAlign w:val="baseline"/>
                <w:lang/>
              </w:rPr>
            </w:pPr>
            <w:r>
              <w:rPr>
                <w:rFonts w:hint="default" w:ascii="Times New Roman" w:hAnsi="Times New Roman" w:cs="Times New Roman"/>
                <w:bCs/>
                <w:color w:val="000000"/>
                <w:kern w:val="24"/>
                <w:sz w:val="21"/>
                <w:szCs w:val="21"/>
                <w:bdr w:val="none" w:color="auto" w:sz="0" w:space="0"/>
                <w:vertAlign w:val="baseline"/>
                <w:lang/>
              </w:rPr>
              <w:t>0.1</w:t>
            </w:r>
            <w:r>
              <w:rPr>
                <w:bdr w:val="none" w:color="auto" w:sz="0" w:space="0"/>
                <w:vertAlign w:val="baseline"/>
              </w:rPr>
              <w:fldChar w:fldCharType="begin"/>
            </w:r>
            <w:r>
              <w:rPr>
                <w:rFonts w:hint="default" w:ascii="Times New Roman" w:hAnsi="Times New Roman" w:cs="Times New Roman"/>
                <w:bCs/>
                <w:color w:val="000000"/>
                <w:kern w:val="24"/>
                <w:sz w:val="21"/>
                <w:szCs w:val="21"/>
                <w:bdr w:val="none" w:color="auto" w:sz="0" w:space="0"/>
                <w:vertAlign w:val="superscript"/>
                <w:lang/>
              </w:rPr>
              <w:instrText xml:space="preserve">= 1 \* GB3</w:instrText>
            </w:r>
            <w:r>
              <w:rPr>
                <w:rFonts w:hint="default" w:ascii="Times New Roman" w:hAnsi="Times New Roman" w:cs="Times New Roman"/>
                <w:bCs/>
                <w:color w:val="000000"/>
                <w:kern w:val="24"/>
                <w:sz w:val="21"/>
                <w:szCs w:val="21"/>
                <w:bdr w:val="none" w:color="auto" w:sz="0" w:space="0"/>
                <w:vertAlign w:val="superscript"/>
                <w:lang/>
              </w:rPr>
              <w:fldChar w:fldCharType="separate"/>
            </w:r>
            <w:r>
              <w:rPr>
                <w:bCs/>
                <w:color w:val="000000"/>
                <w:kern w:val="24"/>
                <w:sz w:val="21"/>
                <w:szCs w:val="21"/>
                <w:bdr w:val="none" w:color="auto" w:sz="0" w:space="0"/>
                <w:vertAlign w:val="superscript"/>
                <w:lang/>
              </w:rPr>
              <w:t>①</w:t>
            </w:r>
            <w:r>
              <w:rPr>
                <w:bdr w:val="none" w:color="auto" w:sz="0" w:space="0"/>
                <w:vertAlign w:val="baseline"/>
              </w:rPr>
              <w:fldChar w:fldCharType="end"/>
            </w:r>
            <w:r>
              <w:rPr>
                <w:rFonts w:hint="default" w:ascii="Times New Roman" w:hAnsi="Times New Roman" w:cs="Times New Roman"/>
                <w:bCs/>
                <w:color w:val="000000"/>
                <w:kern w:val="24"/>
                <w:sz w:val="21"/>
                <w:szCs w:val="21"/>
                <w:bdr w:val="none" w:color="auto" w:sz="0" w:space="0"/>
                <w:vertAlign w:val="baseline"/>
                <w:lang/>
              </w:rPr>
              <w:t>/0</w:t>
            </w:r>
            <w:r>
              <w:rPr>
                <w:bdr w:val="none" w:color="auto" w:sz="0" w:space="0"/>
                <w:vertAlign w:val="baseline"/>
              </w:rPr>
              <w:fldChar w:fldCharType="begin"/>
            </w:r>
            <w:r>
              <w:rPr>
                <w:rFonts w:hint="default" w:ascii="Times New Roman" w:hAnsi="Times New Roman" w:cs="Times New Roman"/>
                <w:bCs/>
                <w:color w:val="000000"/>
                <w:kern w:val="24"/>
                <w:sz w:val="21"/>
                <w:szCs w:val="21"/>
                <w:bdr w:val="none" w:color="auto" w:sz="0" w:space="0"/>
                <w:vertAlign w:val="superscript"/>
                <w:lang/>
              </w:rPr>
              <w:instrText xml:space="preserve">= 2 \* GB3</w:instrText>
            </w:r>
            <w:r>
              <w:rPr>
                <w:rFonts w:hint="default" w:ascii="Times New Roman" w:hAnsi="Times New Roman" w:cs="Times New Roman"/>
                <w:bCs/>
                <w:color w:val="000000"/>
                <w:kern w:val="24"/>
                <w:sz w:val="21"/>
                <w:szCs w:val="21"/>
                <w:bdr w:val="none" w:color="auto" w:sz="0" w:space="0"/>
                <w:vertAlign w:val="superscript"/>
                <w:lang/>
              </w:rPr>
              <w:fldChar w:fldCharType="separate"/>
            </w:r>
            <w:r>
              <w:rPr>
                <w:bCs/>
                <w:color w:val="000000"/>
                <w:kern w:val="24"/>
                <w:sz w:val="21"/>
                <w:szCs w:val="21"/>
                <w:bdr w:val="none" w:color="auto" w:sz="0" w:space="0"/>
                <w:vertAlign w:val="superscript"/>
                <w:lang/>
              </w:rPr>
              <w:t>②</w:t>
            </w:r>
            <w:r>
              <w:rPr>
                <w:bdr w:val="none" w:color="auto" w:sz="0" w:space="0"/>
                <w:vertAlign w:val="baseline"/>
              </w:rPr>
              <w:fldChar w:fldCharType="end"/>
            </w:r>
          </w:p>
        </w:tc>
        <w:tc>
          <w:tcPr>
            <w:tcW w:w="16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w:t>
            </w:r>
          </w:p>
        </w:tc>
        <w:tc>
          <w:tcPr>
            <w:tcW w:w="2124" w:type="dxa"/>
            <w:gridSpan w:val="2"/>
            <w:vMerge w:val="restar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GB18597-2001</w:t>
            </w:r>
            <w:r>
              <w:rPr>
                <w:rFonts w:ascii="Times New Roman" w:hAnsi="Times New Roman" w:cs="Times New Roman"/>
                <w:color w:val="000000"/>
                <w:sz w:val="21"/>
                <w:szCs w:val="21"/>
                <w:bdr w:val="none" w:color="auto" w:sz="0" w:space="0"/>
              </w:rPr>
              <w:t>及</w:t>
            </w:r>
            <w:r>
              <w:rPr>
                <w:rFonts w:hint="default" w:ascii="Times New Roman" w:hAnsi="Times New Roman" w:cs="Times New Roman"/>
                <w:color w:val="000000"/>
                <w:sz w:val="21"/>
                <w:szCs w:val="21"/>
                <w:bdr w:val="none" w:color="auto" w:sz="0" w:space="0"/>
                <w:lang w:val="en-US"/>
              </w:rPr>
              <w:t>2013</w:t>
            </w:r>
            <w:r>
              <w:rPr>
                <w:rFonts w:ascii="Times New Roman" w:hAnsi="Times New Roman" w:cs="Times New Roman"/>
                <w:color w:val="000000"/>
                <w:sz w:val="21"/>
                <w:szCs w:val="21"/>
                <w:bdr w:val="none" w:color="auto" w:sz="0" w:space="0"/>
              </w:rPr>
              <w:t>年修改单</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7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45"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210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浮选药剂包装桶</w:t>
            </w:r>
          </w:p>
        </w:tc>
        <w:tc>
          <w:tcPr>
            <w:tcW w:w="2859" w:type="dxa"/>
            <w:gridSpan w:val="2"/>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3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bCs/>
                <w:color w:val="000000"/>
                <w:kern w:val="24"/>
                <w:sz w:val="21"/>
                <w:szCs w:val="21"/>
                <w:bdr w:val="none" w:color="auto" w:sz="0" w:space="0"/>
                <w:vertAlign w:val="baseline"/>
                <w:lang/>
              </w:rPr>
            </w:pPr>
            <w:r>
              <w:rPr>
                <w:rFonts w:hint="default" w:ascii="Times New Roman" w:hAnsi="Times New Roman" w:cs="Times New Roman"/>
                <w:bCs/>
                <w:color w:val="000000"/>
                <w:kern w:val="24"/>
                <w:sz w:val="21"/>
                <w:szCs w:val="21"/>
                <w:bdr w:val="none" w:color="auto" w:sz="0" w:space="0"/>
                <w:vertAlign w:val="baseline"/>
                <w:lang/>
              </w:rPr>
              <w:t>--</w:t>
            </w:r>
          </w:p>
        </w:tc>
        <w:tc>
          <w:tcPr>
            <w:tcW w:w="14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bCs/>
                <w:color w:val="000000"/>
                <w:kern w:val="24"/>
                <w:sz w:val="21"/>
                <w:szCs w:val="21"/>
                <w:bdr w:val="none" w:color="auto" w:sz="0" w:space="0"/>
                <w:vertAlign w:val="baseline"/>
                <w:lang/>
              </w:rPr>
            </w:pPr>
            <w:r>
              <w:rPr>
                <w:rFonts w:hint="default" w:ascii="Times New Roman" w:hAnsi="Times New Roman" w:cs="Times New Roman"/>
                <w:bCs/>
                <w:color w:val="000000"/>
                <w:kern w:val="24"/>
                <w:sz w:val="21"/>
                <w:szCs w:val="21"/>
                <w:bdr w:val="none" w:color="auto" w:sz="0" w:space="0"/>
                <w:vertAlign w:val="baseline"/>
                <w:lang/>
              </w:rPr>
              <w:t>0.8</w:t>
            </w:r>
            <w:r>
              <w:rPr>
                <w:bdr w:val="none" w:color="auto" w:sz="0" w:space="0"/>
                <w:vertAlign w:val="baseline"/>
              </w:rPr>
              <w:fldChar w:fldCharType="begin"/>
            </w:r>
            <w:r>
              <w:rPr>
                <w:rFonts w:hint="default" w:ascii="Times New Roman" w:hAnsi="Times New Roman" w:cs="Times New Roman"/>
                <w:bCs/>
                <w:color w:val="000000"/>
                <w:kern w:val="24"/>
                <w:sz w:val="21"/>
                <w:szCs w:val="21"/>
                <w:bdr w:val="none" w:color="auto" w:sz="0" w:space="0"/>
                <w:vertAlign w:val="superscript"/>
                <w:lang/>
              </w:rPr>
              <w:instrText xml:space="preserve">= 1 \* GB3</w:instrText>
            </w:r>
            <w:r>
              <w:rPr>
                <w:rFonts w:hint="default" w:ascii="Times New Roman" w:hAnsi="Times New Roman" w:cs="Times New Roman"/>
                <w:bCs/>
                <w:color w:val="000000"/>
                <w:kern w:val="24"/>
                <w:sz w:val="21"/>
                <w:szCs w:val="21"/>
                <w:bdr w:val="none" w:color="auto" w:sz="0" w:space="0"/>
                <w:vertAlign w:val="superscript"/>
                <w:lang/>
              </w:rPr>
              <w:fldChar w:fldCharType="separate"/>
            </w:r>
            <w:r>
              <w:rPr>
                <w:bCs/>
                <w:color w:val="000000"/>
                <w:kern w:val="24"/>
                <w:sz w:val="21"/>
                <w:szCs w:val="21"/>
                <w:bdr w:val="none" w:color="auto" w:sz="0" w:space="0"/>
                <w:vertAlign w:val="superscript"/>
                <w:lang/>
              </w:rPr>
              <w:t>①</w:t>
            </w:r>
            <w:r>
              <w:rPr>
                <w:bdr w:val="none" w:color="auto" w:sz="0" w:space="0"/>
                <w:vertAlign w:val="baseline"/>
              </w:rPr>
              <w:fldChar w:fldCharType="end"/>
            </w:r>
            <w:r>
              <w:rPr>
                <w:rFonts w:hint="default" w:ascii="Times New Roman" w:hAnsi="Times New Roman" w:cs="Times New Roman"/>
                <w:bCs/>
                <w:color w:val="000000"/>
                <w:kern w:val="24"/>
                <w:sz w:val="21"/>
                <w:szCs w:val="21"/>
                <w:bdr w:val="none" w:color="auto" w:sz="0" w:space="0"/>
                <w:vertAlign w:val="baseline"/>
                <w:lang/>
              </w:rPr>
              <w:t>/0</w:t>
            </w:r>
            <w:r>
              <w:rPr>
                <w:bdr w:val="none" w:color="auto" w:sz="0" w:space="0"/>
                <w:vertAlign w:val="baseline"/>
              </w:rPr>
              <w:fldChar w:fldCharType="begin"/>
            </w:r>
            <w:r>
              <w:rPr>
                <w:rFonts w:hint="default" w:ascii="Times New Roman" w:hAnsi="Times New Roman" w:cs="Times New Roman"/>
                <w:bCs/>
                <w:color w:val="000000"/>
                <w:kern w:val="24"/>
                <w:sz w:val="21"/>
                <w:szCs w:val="21"/>
                <w:bdr w:val="none" w:color="auto" w:sz="0" w:space="0"/>
                <w:vertAlign w:val="superscript"/>
                <w:lang/>
              </w:rPr>
              <w:instrText xml:space="preserve">= 2 \* GB3</w:instrText>
            </w:r>
            <w:r>
              <w:rPr>
                <w:rFonts w:hint="default" w:ascii="Times New Roman" w:hAnsi="Times New Roman" w:cs="Times New Roman"/>
                <w:bCs/>
                <w:color w:val="000000"/>
                <w:kern w:val="24"/>
                <w:sz w:val="21"/>
                <w:szCs w:val="21"/>
                <w:bdr w:val="none" w:color="auto" w:sz="0" w:space="0"/>
                <w:vertAlign w:val="superscript"/>
                <w:lang/>
              </w:rPr>
              <w:fldChar w:fldCharType="separate"/>
            </w:r>
            <w:r>
              <w:rPr>
                <w:bCs/>
                <w:color w:val="000000"/>
                <w:kern w:val="24"/>
                <w:sz w:val="21"/>
                <w:szCs w:val="21"/>
                <w:bdr w:val="none" w:color="auto" w:sz="0" w:space="0"/>
                <w:vertAlign w:val="superscript"/>
                <w:lang/>
              </w:rPr>
              <w:t>②</w:t>
            </w:r>
            <w:r>
              <w:rPr>
                <w:bdr w:val="none" w:color="auto" w:sz="0" w:space="0"/>
                <w:vertAlign w:val="baseline"/>
              </w:rPr>
              <w:fldChar w:fldCharType="end"/>
            </w:r>
          </w:p>
        </w:tc>
        <w:tc>
          <w:tcPr>
            <w:tcW w:w="16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w:t>
            </w:r>
          </w:p>
        </w:tc>
        <w:tc>
          <w:tcPr>
            <w:tcW w:w="2124" w:type="dxa"/>
            <w:gridSpan w:val="2"/>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236" w:type="dxa"/>
          <w:cantSplit/>
          <w:trHeight w:val="340" w:hRule="atLeast"/>
          <w:jc w:val="center"/>
        </w:trPr>
        <w:tc>
          <w:tcPr>
            <w:tcW w:w="77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45" w:type="dxa"/>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hint="eastAsia" w:ascii="Times New Roman" w:hAnsi="Times New Roman" w:eastAsia="宋体" w:cs="Times New Roman"/>
                <w:color w:val="000000"/>
                <w:kern w:val="0"/>
                <w:sz w:val="21"/>
                <w:szCs w:val="21"/>
                <w:bdr w:val="none" w:color="auto" w:sz="0" w:space="0"/>
                <w:lang w:val="en-US" w:eastAsia="zh-CN" w:bidi="ar"/>
              </w:rPr>
              <w:t>一般工业</w:t>
            </w:r>
          </w:p>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固体废物</w:t>
            </w:r>
          </w:p>
        </w:tc>
        <w:tc>
          <w:tcPr>
            <w:tcW w:w="210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rPr>
            </w:pPr>
            <w:r>
              <w:rPr>
                <w:rFonts w:ascii="Times New Roman" w:hAnsi="Times New Roman" w:cs="Times New Roman"/>
                <w:color w:val="000000"/>
                <w:sz w:val="21"/>
                <w:szCs w:val="24"/>
                <w:bdr w:val="none" w:color="auto" w:sz="0" w:space="0"/>
                <w:vertAlign w:val="baseline"/>
              </w:rPr>
              <w:t>振动筛废筛网</w:t>
            </w:r>
          </w:p>
        </w:tc>
        <w:tc>
          <w:tcPr>
            <w:tcW w:w="2859" w:type="dxa"/>
            <w:gridSpan w:val="2"/>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厂家回收</w:t>
            </w:r>
          </w:p>
        </w:tc>
        <w:tc>
          <w:tcPr>
            <w:tcW w:w="143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bCs/>
                <w:color w:val="000000"/>
                <w:sz w:val="21"/>
                <w:szCs w:val="21"/>
                <w:bdr w:val="none" w:color="auto" w:sz="0" w:space="0"/>
                <w:lang w:val="en-US"/>
              </w:rPr>
              <w:t>--</w:t>
            </w:r>
          </w:p>
        </w:tc>
        <w:tc>
          <w:tcPr>
            <w:tcW w:w="14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bCs/>
                <w:color w:val="000000"/>
                <w:kern w:val="24"/>
                <w:sz w:val="21"/>
                <w:szCs w:val="21"/>
                <w:bdr w:val="none" w:color="auto" w:sz="0" w:space="0"/>
                <w:vertAlign w:val="baseline"/>
                <w:lang/>
              </w:rPr>
            </w:pPr>
            <w:r>
              <w:rPr>
                <w:rFonts w:hint="default" w:ascii="Times New Roman" w:hAnsi="Times New Roman" w:cs="Times New Roman"/>
                <w:color w:val="000000"/>
                <w:kern w:val="24"/>
                <w:sz w:val="21"/>
                <w:szCs w:val="21"/>
                <w:bdr w:val="none" w:color="auto" w:sz="0" w:space="0"/>
                <w:vertAlign w:val="baseline"/>
                <w:lang/>
              </w:rPr>
              <w:t>60</w:t>
            </w:r>
            <w:r>
              <w:rPr>
                <w:bdr w:val="none" w:color="auto" w:sz="0" w:space="0"/>
                <w:vertAlign w:val="baseline"/>
              </w:rPr>
              <w:fldChar w:fldCharType="begin"/>
            </w:r>
            <w:r>
              <w:rPr>
                <w:rFonts w:hint="default" w:ascii="Times New Roman" w:hAnsi="Times New Roman" w:cs="Times New Roman"/>
                <w:bCs/>
                <w:color w:val="000000"/>
                <w:kern w:val="24"/>
                <w:sz w:val="21"/>
                <w:szCs w:val="21"/>
                <w:bdr w:val="none" w:color="auto" w:sz="0" w:space="0"/>
                <w:vertAlign w:val="superscript"/>
                <w:lang/>
              </w:rPr>
              <w:instrText xml:space="preserve">= 1 \* GB3</w:instrText>
            </w:r>
            <w:r>
              <w:rPr>
                <w:rFonts w:hint="default" w:ascii="Times New Roman" w:hAnsi="Times New Roman" w:cs="Times New Roman"/>
                <w:bCs/>
                <w:color w:val="000000"/>
                <w:kern w:val="24"/>
                <w:sz w:val="21"/>
                <w:szCs w:val="21"/>
                <w:bdr w:val="none" w:color="auto" w:sz="0" w:space="0"/>
                <w:vertAlign w:val="superscript"/>
                <w:lang/>
              </w:rPr>
              <w:fldChar w:fldCharType="separate"/>
            </w:r>
            <w:r>
              <w:rPr>
                <w:bCs/>
                <w:color w:val="000000"/>
                <w:kern w:val="24"/>
                <w:sz w:val="21"/>
                <w:szCs w:val="21"/>
                <w:bdr w:val="none" w:color="auto" w:sz="0" w:space="0"/>
                <w:vertAlign w:val="superscript"/>
                <w:lang/>
              </w:rPr>
              <w:t>①</w:t>
            </w:r>
            <w:r>
              <w:rPr>
                <w:bdr w:val="none" w:color="auto" w:sz="0" w:space="0"/>
                <w:vertAlign w:val="baseline"/>
              </w:rPr>
              <w:fldChar w:fldCharType="end"/>
            </w:r>
            <w:r>
              <w:rPr>
                <w:rFonts w:hint="default" w:ascii="Times New Roman" w:hAnsi="Times New Roman" w:cs="Times New Roman"/>
                <w:bCs/>
                <w:color w:val="000000"/>
                <w:kern w:val="24"/>
                <w:sz w:val="21"/>
                <w:szCs w:val="21"/>
                <w:bdr w:val="none" w:color="auto" w:sz="0" w:space="0"/>
                <w:vertAlign w:val="baseline"/>
                <w:lang/>
              </w:rPr>
              <w:t>/0</w:t>
            </w:r>
            <w:r>
              <w:rPr>
                <w:bdr w:val="none" w:color="auto" w:sz="0" w:space="0"/>
                <w:vertAlign w:val="baseline"/>
              </w:rPr>
              <w:fldChar w:fldCharType="begin"/>
            </w:r>
            <w:r>
              <w:rPr>
                <w:rFonts w:hint="default" w:ascii="Times New Roman" w:hAnsi="Times New Roman" w:cs="Times New Roman"/>
                <w:bCs/>
                <w:color w:val="000000"/>
                <w:kern w:val="24"/>
                <w:sz w:val="21"/>
                <w:szCs w:val="21"/>
                <w:bdr w:val="none" w:color="auto" w:sz="0" w:space="0"/>
                <w:vertAlign w:val="superscript"/>
                <w:lang/>
              </w:rPr>
              <w:instrText xml:space="preserve">= 2 \* GB3</w:instrText>
            </w:r>
            <w:r>
              <w:rPr>
                <w:rFonts w:hint="default" w:ascii="Times New Roman" w:hAnsi="Times New Roman" w:cs="Times New Roman"/>
                <w:bCs/>
                <w:color w:val="000000"/>
                <w:kern w:val="24"/>
                <w:sz w:val="21"/>
                <w:szCs w:val="21"/>
                <w:bdr w:val="none" w:color="auto" w:sz="0" w:space="0"/>
                <w:vertAlign w:val="superscript"/>
                <w:lang/>
              </w:rPr>
              <w:fldChar w:fldCharType="separate"/>
            </w:r>
            <w:r>
              <w:rPr>
                <w:bCs/>
                <w:color w:val="000000"/>
                <w:kern w:val="24"/>
                <w:sz w:val="21"/>
                <w:szCs w:val="21"/>
                <w:bdr w:val="none" w:color="auto" w:sz="0" w:space="0"/>
                <w:vertAlign w:val="superscript"/>
                <w:lang/>
              </w:rPr>
              <w:t>②</w:t>
            </w:r>
            <w:r>
              <w:rPr>
                <w:bdr w:val="none" w:color="auto" w:sz="0" w:space="0"/>
                <w:vertAlign w:val="baseline"/>
              </w:rPr>
              <w:fldChar w:fldCharType="end"/>
            </w:r>
          </w:p>
        </w:tc>
        <w:tc>
          <w:tcPr>
            <w:tcW w:w="16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w:t>
            </w:r>
          </w:p>
        </w:tc>
        <w:tc>
          <w:tcPr>
            <w:tcW w:w="2106" w:type="dxa"/>
            <w:vMerge w:val="restart"/>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GB18599-2001</w:t>
            </w:r>
            <w:r>
              <w:rPr>
                <w:rFonts w:ascii="Times New Roman" w:hAnsi="Times New Roman" w:cs="Times New Roman"/>
                <w:color w:val="000000"/>
                <w:sz w:val="21"/>
                <w:szCs w:val="21"/>
                <w:bdr w:val="none" w:color="auto" w:sz="0" w:space="0"/>
              </w:rPr>
              <w:t>及</w:t>
            </w:r>
            <w:r>
              <w:rPr>
                <w:rFonts w:hint="default" w:ascii="Times New Roman" w:hAnsi="Times New Roman" w:cs="Times New Roman"/>
                <w:color w:val="000000"/>
                <w:sz w:val="21"/>
                <w:szCs w:val="21"/>
                <w:bdr w:val="none" w:color="auto" w:sz="0" w:space="0"/>
                <w:lang w:val="en-US"/>
              </w:rPr>
              <w:t>2013</w:t>
            </w:r>
            <w:r>
              <w:rPr>
                <w:rFonts w:ascii="Times New Roman" w:hAnsi="Times New Roman" w:cs="Times New Roman"/>
                <w:color w:val="000000"/>
                <w:sz w:val="21"/>
                <w:szCs w:val="21"/>
                <w:bdr w:val="none" w:color="auto" w:sz="0" w:space="0"/>
              </w:rPr>
              <w:t>年修改单</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236" w:type="dxa"/>
          <w:cantSplit/>
          <w:trHeight w:val="340" w:hRule="atLeast"/>
          <w:jc w:val="center"/>
        </w:trPr>
        <w:tc>
          <w:tcPr>
            <w:tcW w:w="77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45"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210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rPr>
            </w:pPr>
            <w:r>
              <w:rPr>
                <w:rFonts w:ascii="Times New Roman" w:hAnsi="Times New Roman" w:cs="Times New Roman"/>
                <w:color w:val="000000"/>
                <w:sz w:val="21"/>
                <w:szCs w:val="24"/>
                <w:bdr w:val="none" w:color="auto" w:sz="0" w:space="0"/>
                <w:vertAlign w:val="baseline"/>
              </w:rPr>
              <w:t>布袋除尘器收尘灰</w:t>
            </w:r>
          </w:p>
        </w:tc>
        <w:tc>
          <w:tcPr>
            <w:tcW w:w="2859" w:type="dxa"/>
            <w:gridSpan w:val="2"/>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回用于生产</w:t>
            </w:r>
          </w:p>
        </w:tc>
        <w:tc>
          <w:tcPr>
            <w:tcW w:w="143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bCs/>
                <w:color w:val="000000"/>
                <w:sz w:val="21"/>
                <w:szCs w:val="21"/>
                <w:bdr w:val="none" w:color="auto" w:sz="0" w:space="0"/>
                <w:lang w:val="en-US"/>
              </w:rPr>
              <w:t>--</w:t>
            </w:r>
          </w:p>
        </w:tc>
        <w:tc>
          <w:tcPr>
            <w:tcW w:w="14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bCs/>
                <w:color w:val="000000"/>
                <w:kern w:val="24"/>
                <w:sz w:val="21"/>
                <w:szCs w:val="21"/>
                <w:bdr w:val="none" w:color="auto" w:sz="0" w:space="0"/>
                <w:vertAlign w:val="baseline"/>
                <w:lang/>
              </w:rPr>
            </w:pPr>
            <w:r>
              <w:rPr>
                <w:rFonts w:hint="default" w:ascii="Times New Roman" w:hAnsi="Times New Roman" w:cs="Times New Roman"/>
                <w:color w:val="000000"/>
                <w:kern w:val="24"/>
                <w:sz w:val="21"/>
                <w:szCs w:val="21"/>
                <w:bdr w:val="none" w:color="auto" w:sz="0" w:space="0"/>
                <w:vertAlign w:val="baseline"/>
                <w:lang w:val="en-US"/>
              </w:rPr>
              <w:t>449.94</w:t>
            </w:r>
            <w:r>
              <w:rPr>
                <w:bdr w:val="none" w:color="auto" w:sz="0" w:space="0"/>
                <w:vertAlign w:val="baseline"/>
              </w:rPr>
              <w:fldChar w:fldCharType="begin"/>
            </w:r>
            <w:r>
              <w:rPr>
                <w:rFonts w:hint="default" w:ascii="Times New Roman" w:hAnsi="Times New Roman" w:cs="Times New Roman"/>
                <w:bCs/>
                <w:color w:val="000000"/>
                <w:kern w:val="24"/>
                <w:sz w:val="21"/>
                <w:szCs w:val="21"/>
                <w:bdr w:val="none" w:color="auto" w:sz="0" w:space="0"/>
                <w:vertAlign w:val="superscript"/>
                <w:lang/>
              </w:rPr>
              <w:instrText xml:space="preserve">= 1 \* GB3</w:instrText>
            </w:r>
            <w:r>
              <w:rPr>
                <w:rFonts w:hint="default" w:ascii="Times New Roman" w:hAnsi="Times New Roman" w:cs="Times New Roman"/>
                <w:bCs/>
                <w:color w:val="000000"/>
                <w:kern w:val="24"/>
                <w:sz w:val="21"/>
                <w:szCs w:val="21"/>
                <w:bdr w:val="none" w:color="auto" w:sz="0" w:space="0"/>
                <w:vertAlign w:val="superscript"/>
                <w:lang/>
              </w:rPr>
              <w:fldChar w:fldCharType="separate"/>
            </w:r>
            <w:r>
              <w:rPr>
                <w:bCs/>
                <w:color w:val="000000"/>
                <w:kern w:val="24"/>
                <w:sz w:val="21"/>
                <w:szCs w:val="21"/>
                <w:bdr w:val="none" w:color="auto" w:sz="0" w:space="0"/>
                <w:vertAlign w:val="superscript"/>
                <w:lang/>
              </w:rPr>
              <w:t>①</w:t>
            </w:r>
            <w:r>
              <w:rPr>
                <w:bdr w:val="none" w:color="auto" w:sz="0" w:space="0"/>
                <w:vertAlign w:val="baseline"/>
              </w:rPr>
              <w:fldChar w:fldCharType="end"/>
            </w:r>
            <w:r>
              <w:rPr>
                <w:rFonts w:hint="default" w:ascii="Times New Roman" w:hAnsi="Times New Roman" w:cs="Times New Roman"/>
                <w:bCs/>
                <w:color w:val="000000"/>
                <w:kern w:val="24"/>
                <w:sz w:val="21"/>
                <w:szCs w:val="21"/>
                <w:bdr w:val="none" w:color="auto" w:sz="0" w:space="0"/>
                <w:vertAlign w:val="baseline"/>
                <w:lang/>
              </w:rPr>
              <w:t>/0</w:t>
            </w:r>
            <w:r>
              <w:rPr>
                <w:bdr w:val="none" w:color="auto" w:sz="0" w:space="0"/>
                <w:vertAlign w:val="baseline"/>
              </w:rPr>
              <w:fldChar w:fldCharType="begin"/>
            </w:r>
            <w:r>
              <w:rPr>
                <w:rFonts w:hint="default" w:ascii="Times New Roman" w:hAnsi="Times New Roman" w:cs="Times New Roman"/>
                <w:bCs/>
                <w:color w:val="000000"/>
                <w:kern w:val="24"/>
                <w:sz w:val="21"/>
                <w:szCs w:val="21"/>
                <w:bdr w:val="none" w:color="auto" w:sz="0" w:space="0"/>
                <w:vertAlign w:val="superscript"/>
                <w:lang/>
              </w:rPr>
              <w:instrText xml:space="preserve">= 2 \* GB3</w:instrText>
            </w:r>
            <w:r>
              <w:rPr>
                <w:rFonts w:hint="default" w:ascii="Times New Roman" w:hAnsi="Times New Roman" w:cs="Times New Roman"/>
                <w:bCs/>
                <w:color w:val="000000"/>
                <w:kern w:val="24"/>
                <w:sz w:val="21"/>
                <w:szCs w:val="21"/>
                <w:bdr w:val="none" w:color="auto" w:sz="0" w:space="0"/>
                <w:vertAlign w:val="superscript"/>
                <w:lang/>
              </w:rPr>
              <w:fldChar w:fldCharType="separate"/>
            </w:r>
            <w:r>
              <w:rPr>
                <w:bCs/>
                <w:color w:val="000000"/>
                <w:kern w:val="24"/>
                <w:sz w:val="21"/>
                <w:szCs w:val="21"/>
                <w:bdr w:val="none" w:color="auto" w:sz="0" w:space="0"/>
                <w:vertAlign w:val="superscript"/>
                <w:lang/>
              </w:rPr>
              <w:t>②</w:t>
            </w:r>
            <w:r>
              <w:rPr>
                <w:bdr w:val="none" w:color="auto" w:sz="0" w:space="0"/>
                <w:vertAlign w:val="baseline"/>
              </w:rPr>
              <w:fldChar w:fldCharType="end"/>
            </w:r>
          </w:p>
        </w:tc>
        <w:tc>
          <w:tcPr>
            <w:tcW w:w="16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w:t>
            </w:r>
          </w:p>
        </w:tc>
        <w:tc>
          <w:tcPr>
            <w:tcW w:w="2106"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236" w:type="dxa"/>
          <w:cantSplit/>
          <w:trHeight w:val="340" w:hRule="atLeast"/>
          <w:jc w:val="center"/>
        </w:trPr>
        <w:tc>
          <w:tcPr>
            <w:tcW w:w="77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45"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210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rPr>
            </w:pPr>
            <w:r>
              <w:rPr>
                <w:rFonts w:ascii="Times New Roman" w:hAnsi="Times New Roman" w:cs="Times New Roman"/>
                <w:color w:val="000000"/>
                <w:sz w:val="21"/>
                <w:szCs w:val="24"/>
                <w:bdr w:val="none" w:color="auto" w:sz="0" w:space="0"/>
                <w:vertAlign w:val="baseline"/>
              </w:rPr>
              <w:t>球磨机废钢球</w:t>
            </w:r>
          </w:p>
        </w:tc>
        <w:tc>
          <w:tcPr>
            <w:tcW w:w="2859" w:type="dxa"/>
            <w:gridSpan w:val="2"/>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厂家回收</w:t>
            </w:r>
          </w:p>
        </w:tc>
        <w:tc>
          <w:tcPr>
            <w:tcW w:w="143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bCs/>
                <w:color w:val="000000"/>
                <w:sz w:val="21"/>
                <w:szCs w:val="21"/>
                <w:bdr w:val="none" w:color="auto" w:sz="0" w:space="0"/>
                <w:lang w:val="en-US"/>
              </w:rPr>
              <w:t>--</w:t>
            </w:r>
          </w:p>
        </w:tc>
        <w:tc>
          <w:tcPr>
            <w:tcW w:w="14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bCs/>
                <w:color w:val="000000"/>
                <w:kern w:val="24"/>
                <w:sz w:val="21"/>
                <w:szCs w:val="21"/>
                <w:bdr w:val="none" w:color="auto" w:sz="0" w:space="0"/>
                <w:vertAlign w:val="baseline"/>
                <w:lang/>
              </w:rPr>
            </w:pPr>
            <w:r>
              <w:rPr>
                <w:rFonts w:hint="default" w:ascii="Times New Roman" w:hAnsi="Times New Roman" w:cs="Times New Roman"/>
                <w:color w:val="000000"/>
                <w:kern w:val="24"/>
                <w:sz w:val="21"/>
                <w:szCs w:val="21"/>
                <w:bdr w:val="none" w:color="auto" w:sz="0" w:space="0"/>
                <w:vertAlign w:val="baseline"/>
                <w:lang w:val="en-US"/>
              </w:rPr>
              <w:t>600</w:t>
            </w:r>
            <w:r>
              <w:rPr>
                <w:bdr w:val="none" w:color="auto" w:sz="0" w:space="0"/>
                <w:vertAlign w:val="baseline"/>
              </w:rPr>
              <w:fldChar w:fldCharType="begin"/>
            </w:r>
            <w:r>
              <w:rPr>
                <w:rFonts w:hint="default" w:ascii="Times New Roman" w:hAnsi="Times New Roman" w:cs="Times New Roman"/>
                <w:bCs/>
                <w:color w:val="000000"/>
                <w:kern w:val="24"/>
                <w:sz w:val="21"/>
                <w:szCs w:val="21"/>
                <w:bdr w:val="none" w:color="auto" w:sz="0" w:space="0"/>
                <w:vertAlign w:val="superscript"/>
                <w:lang/>
              </w:rPr>
              <w:instrText xml:space="preserve">= 1 \* GB3</w:instrText>
            </w:r>
            <w:r>
              <w:rPr>
                <w:rFonts w:hint="default" w:ascii="Times New Roman" w:hAnsi="Times New Roman" w:cs="Times New Roman"/>
                <w:bCs/>
                <w:color w:val="000000"/>
                <w:kern w:val="24"/>
                <w:sz w:val="21"/>
                <w:szCs w:val="21"/>
                <w:bdr w:val="none" w:color="auto" w:sz="0" w:space="0"/>
                <w:vertAlign w:val="superscript"/>
                <w:lang/>
              </w:rPr>
              <w:fldChar w:fldCharType="separate"/>
            </w:r>
            <w:r>
              <w:rPr>
                <w:bCs/>
                <w:color w:val="000000"/>
                <w:kern w:val="24"/>
                <w:sz w:val="21"/>
                <w:szCs w:val="21"/>
                <w:bdr w:val="none" w:color="auto" w:sz="0" w:space="0"/>
                <w:vertAlign w:val="superscript"/>
                <w:lang/>
              </w:rPr>
              <w:t>①</w:t>
            </w:r>
            <w:r>
              <w:rPr>
                <w:bdr w:val="none" w:color="auto" w:sz="0" w:space="0"/>
                <w:vertAlign w:val="baseline"/>
              </w:rPr>
              <w:fldChar w:fldCharType="end"/>
            </w:r>
            <w:r>
              <w:rPr>
                <w:rFonts w:hint="default" w:ascii="Times New Roman" w:hAnsi="Times New Roman" w:cs="Times New Roman"/>
                <w:bCs/>
                <w:color w:val="000000"/>
                <w:kern w:val="24"/>
                <w:sz w:val="21"/>
                <w:szCs w:val="21"/>
                <w:bdr w:val="none" w:color="auto" w:sz="0" w:space="0"/>
                <w:vertAlign w:val="baseline"/>
                <w:lang/>
              </w:rPr>
              <w:t>/0</w:t>
            </w:r>
            <w:r>
              <w:rPr>
                <w:bdr w:val="none" w:color="auto" w:sz="0" w:space="0"/>
                <w:vertAlign w:val="baseline"/>
              </w:rPr>
              <w:fldChar w:fldCharType="begin"/>
            </w:r>
            <w:r>
              <w:rPr>
                <w:rFonts w:hint="default" w:ascii="Times New Roman" w:hAnsi="Times New Roman" w:cs="Times New Roman"/>
                <w:bCs/>
                <w:color w:val="000000"/>
                <w:kern w:val="24"/>
                <w:sz w:val="21"/>
                <w:szCs w:val="21"/>
                <w:bdr w:val="none" w:color="auto" w:sz="0" w:space="0"/>
                <w:vertAlign w:val="superscript"/>
                <w:lang/>
              </w:rPr>
              <w:instrText xml:space="preserve">= 2 \* GB3</w:instrText>
            </w:r>
            <w:r>
              <w:rPr>
                <w:rFonts w:hint="default" w:ascii="Times New Roman" w:hAnsi="Times New Roman" w:cs="Times New Roman"/>
                <w:bCs/>
                <w:color w:val="000000"/>
                <w:kern w:val="24"/>
                <w:sz w:val="21"/>
                <w:szCs w:val="21"/>
                <w:bdr w:val="none" w:color="auto" w:sz="0" w:space="0"/>
                <w:vertAlign w:val="superscript"/>
                <w:lang/>
              </w:rPr>
              <w:fldChar w:fldCharType="separate"/>
            </w:r>
            <w:r>
              <w:rPr>
                <w:bCs/>
                <w:color w:val="000000"/>
                <w:kern w:val="24"/>
                <w:sz w:val="21"/>
                <w:szCs w:val="21"/>
                <w:bdr w:val="none" w:color="auto" w:sz="0" w:space="0"/>
                <w:vertAlign w:val="superscript"/>
                <w:lang/>
              </w:rPr>
              <w:t>②</w:t>
            </w:r>
            <w:r>
              <w:rPr>
                <w:bdr w:val="none" w:color="auto" w:sz="0" w:space="0"/>
                <w:vertAlign w:val="baseline"/>
              </w:rPr>
              <w:fldChar w:fldCharType="end"/>
            </w:r>
          </w:p>
        </w:tc>
        <w:tc>
          <w:tcPr>
            <w:tcW w:w="16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w:t>
            </w:r>
          </w:p>
        </w:tc>
        <w:tc>
          <w:tcPr>
            <w:tcW w:w="2106"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236" w:type="dxa"/>
          <w:cantSplit/>
          <w:trHeight w:val="340" w:hRule="atLeast"/>
          <w:jc w:val="center"/>
        </w:trPr>
        <w:tc>
          <w:tcPr>
            <w:tcW w:w="77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45"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210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rPr>
            </w:pPr>
            <w:r>
              <w:rPr>
                <w:rFonts w:ascii="Times New Roman" w:hAnsi="Times New Roman" w:cs="Times New Roman"/>
                <w:color w:val="000000"/>
                <w:sz w:val="21"/>
                <w:szCs w:val="24"/>
                <w:bdr w:val="none" w:color="auto" w:sz="0" w:space="0"/>
                <w:vertAlign w:val="baseline"/>
              </w:rPr>
              <w:t>循环水池矿泥</w:t>
            </w:r>
          </w:p>
        </w:tc>
        <w:tc>
          <w:tcPr>
            <w:tcW w:w="2859" w:type="dxa"/>
            <w:gridSpan w:val="2"/>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送尾矿库定期外售</w:t>
            </w:r>
          </w:p>
        </w:tc>
        <w:tc>
          <w:tcPr>
            <w:tcW w:w="143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bCs/>
                <w:color w:val="000000"/>
                <w:sz w:val="21"/>
                <w:szCs w:val="21"/>
                <w:bdr w:val="none" w:color="auto" w:sz="0" w:space="0"/>
                <w:lang w:val="en-US"/>
              </w:rPr>
              <w:t>--</w:t>
            </w:r>
          </w:p>
        </w:tc>
        <w:tc>
          <w:tcPr>
            <w:tcW w:w="14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bCs/>
                <w:color w:val="000000"/>
                <w:kern w:val="24"/>
                <w:sz w:val="21"/>
                <w:szCs w:val="21"/>
                <w:bdr w:val="none" w:color="auto" w:sz="0" w:space="0"/>
                <w:vertAlign w:val="baseline"/>
                <w:lang/>
              </w:rPr>
            </w:pPr>
            <w:r>
              <w:rPr>
                <w:rFonts w:hint="default" w:ascii="Times New Roman" w:hAnsi="Times New Roman" w:cs="Times New Roman"/>
                <w:color w:val="000000"/>
                <w:kern w:val="24"/>
                <w:sz w:val="21"/>
                <w:szCs w:val="21"/>
                <w:bdr w:val="none" w:color="auto" w:sz="0" w:space="0"/>
                <w:vertAlign w:val="baseline"/>
                <w:lang w:val="en-US"/>
              </w:rPr>
              <w:t>24000</w:t>
            </w:r>
            <w:r>
              <w:rPr>
                <w:bdr w:val="none" w:color="auto" w:sz="0" w:space="0"/>
                <w:vertAlign w:val="baseline"/>
              </w:rPr>
              <w:fldChar w:fldCharType="begin"/>
            </w:r>
            <w:r>
              <w:rPr>
                <w:rFonts w:hint="default" w:ascii="Times New Roman" w:hAnsi="Times New Roman" w:cs="Times New Roman"/>
                <w:bCs/>
                <w:color w:val="000000"/>
                <w:kern w:val="24"/>
                <w:sz w:val="21"/>
                <w:szCs w:val="21"/>
                <w:bdr w:val="none" w:color="auto" w:sz="0" w:space="0"/>
                <w:vertAlign w:val="superscript"/>
                <w:lang/>
              </w:rPr>
              <w:instrText xml:space="preserve">= 1 \* GB3</w:instrText>
            </w:r>
            <w:r>
              <w:rPr>
                <w:rFonts w:hint="default" w:ascii="Times New Roman" w:hAnsi="Times New Roman" w:cs="Times New Roman"/>
                <w:bCs/>
                <w:color w:val="000000"/>
                <w:kern w:val="24"/>
                <w:sz w:val="21"/>
                <w:szCs w:val="21"/>
                <w:bdr w:val="none" w:color="auto" w:sz="0" w:space="0"/>
                <w:vertAlign w:val="superscript"/>
                <w:lang/>
              </w:rPr>
              <w:fldChar w:fldCharType="separate"/>
            </w:r>
            <w:r>
              <w:rPr>
                <w:bCs/>
                <w:color w:val="000000"/>
                <w:kern w:val="24"/>
                <w:sz w:val="21"/>
                <w:szCs w:val="21"/>
                <w:bdr w:val="none" w:color="auto" w:sz="0" w:space="0"/>
                <w:vertAlign w:val="superscript"/>
                <w:lang/>
              </w:rPr>
              <w:t>①</w:t>
            </w:r>
            <w:r>
              <w:rPr>
                <w:bdr w:val="none" w:color="auto" w:sz="0" w:space="0"/>
                <w:vertAlign w:val="baseline"/>
              </w:rPr>
              <w:fldChar w:fldCharType="end"/>
            </w:r>
            <w:r>
              <w:rPr>
                <w:rFonts w:hint="default" w:ascii="Times New Roman" w:hAnsi="Times New Roman" w:cs="Times New Roman"/>
                <w:bCs/>
                <w:color w:val="000000"/>
                <w:kern w:val="24"/>
                <w:sz w:val="21"/>
                <w:szCs w:val="21"/>
                <w:bdr w:val="none" w:color="auto" w:sz="0" w:space="0"/>
                <w:vertAlign w:val="baseline"/>
                <w:lang/>
              </w:rPr>
              <w:t>/0</w:t>
            </w:r>
            <w:r>
              <w:rPr>
                <w:bdr w:val="none" w:color="auto" w:sz="0" w:space="0"/>
                <w:vertAlign w:val="baseline"/>
              </w:rPr>
              <w:fldChar w:fldCharType="begin"/>
            </w:r>
            <w:r>
              <w:rPr>
                <w:rFonts w:hint="default" w:ascii="Times New Roman" w:hAnsi="Times New Roman" w:cs="Times New Roman"/>
                <w:bCs/>
                <w:color w:val="000000"/>
                <w:kern w:val="24"/>
                <w:sz w:val="21"/>
                <w:szCs w:val="21"/>
                <w:bdr w:val="none" w:color="auto" w:sz="0" w:space="0"/>
                <w:vertAlign w:val="superscript"/>
                <w:lang/>
              </w:rPr>
              <w:instrText xml:space="preserve">= 2 \* GB3</w:instrText>
            </w:r>
            <w:r>
              <w:rPr>
                <w:rFonts w:hint="default" w:ascii="Times New Roman" w:hAnsi="Times New Roman" w:cs="Times New Roman"/>
                <w:bCs/>
                <w:color w:val="000000"/>
                <w:kern w:val="24"/>
                <w:sz w:val="21"/>
                <w:szCs w:val="21"/>
                <w:bdr w:val="none" w:color="auto" w:sz="0" w:space="0"/>
                <w:vertAlign w:val="superscript"/>
                <w:lang/>
              </w:rPr>
              <w:fldChar w:fldCharType="separate"/>
            </w:r>
            <w:r>
              <w:rPr>
                <w:bCs/>
                <w:color w:val="000000"/>
                <w:kern w:val="24"/>
                <w:sz w:val="21"/>
                <w:szCs w:val="21"/>
                <w:bdr w:val="none" w:color="auto" w:sz="0" w:space="0"/>
                <w:vertAlign w:val="superscript"/>
                <w:lang/>
              </w:rPr>
              <w:t>②</w:t>
            </w:r>
            <w:r>
              <w:rPr>
                <w:bdr w:val="none" w:color="auto" w:sz="0" w:space="0"/>
                <w:vertAlign w:val="baseline"/>
              </w:rPr>
              <w:fldChar w:fldCharType="end"/>
            </w:r>
          </w:p>
        </w:tc>
        <w:tc>
          <w:tcPr>
            <w:tcW w:w="16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w:t>
            </w:r>
          </w:p>
        </w:tc>
        <w:tc>
          <w:tcPr>
            <w:tcW w:w="2106"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236" w:type="dxa"/>
          <w:cantSplit/>
          <w:trHeight w:val="340" w:hRule="atLeast"/>
          <w:jc w:val="center"/>
        </w:trPr>
        <w:tc>
          <w:tcPr>
            <w:tcW w:w="77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45"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210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rPr>
            </w:pPr>
            <w:r>
              <w:rPr>
                <w:rFonts w:ascii="Times New Roman" w:hAnsi="Times New Roman" w:cs="Times New Roman"/>
                <w:color w:val="000000"/>
                <w:sz w:val="21"/>
                <w:szCs w:val="24"/>
                <w:bdr w:val="none" w:color="auto" w:sz="0" w:space="0"/>
                <w:vertAlign w:val="baseline"/>
              </w:rPr>
              <w:t>厂房遮挡粉尘</w:t>
            </w:r>
          </w:p>
        </w:tc>
        <w:tc>
          <w:tcPr>
            <w:tcW w:w="2859" w:type="dxa"/>
            <w:gridSpan w:val="2"/>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回用于生产</w:t>
            </w:r>
          </w:p>
        </w:tc>
        <w:tc>
          <w:tcPr>
            <w:tcW w:w="143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bCs/>
                <w:color w:val="000000"/>
                <w:sz w:val="21"/>
                <w:szCs w:val="21"/>
                <w:bdr w:val="none" w:color="auto" w:sz="0" w:space="0"/>
                <w:lang w:val="en-US"/>
              </w:rPr>
              <w:t>--</w:t>
            </w:r>
          </w:p>
        </w:tc>
        <w:tc>
          <w:tcPr>
            <w:tcW w:w="14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bCs/>
                <w:color w:val="000000"/>
                <w:kern w:val="24"/>
                <w:sz w:val="21"/>
                <w:szCs w:val="21"/>
                <w:bdr w:val="none" w:color="auto" w:sz="0" w:space="0"/>
                <w:vertAlign w:val="baseline"/>
                <w:lang/>
              </w:rPr>
            </w:pPr>
            <w:r>
              <w:rPr>
                <w:rFonts w:hint="default" w:ascii="Times New Roman" w:hAnsi="Times New Roman" w:cs="Times New Roman"/>
                <w:color w:val="000000"/>
                <w:kern w:val="24"/>
                <w:sz w:val="21"/>
                <w:szCs w:val="21"/>
                <w:bdr w:val="none" w:color="auto" w:sz="0" w:space="0"/>
                <w:vertAlign w:val="baseline"/>
                <w:lang w:val="en-US"/>
              </w:rPr>
              <w:t>34.84</w:t>
            </w:r>
            <w:r>
              <w:rPr>
                <w:bdr w:val="none" w:color="auto" w:sz="0" w:space="0"/>
                <w:vertAlign w:val="baseline"/>
              </w:rPr>
              <w:fldChar w:fldCharType="begin"/>
            </w:r>
            <w:r>
              <w:rPr>
                <w:rFonts w:hint="default" w:ascii="Times New Roman" w:hAnsi="Times New Roman" w:cs="Times New Roman"/>
                <w:bCs/>
                <w:color w:val="000000"/>
                <w:kern w:val="24"/>
                <w:sz w:val="21"/>
                <w:szCs w:val="21"/>
                <w:bdr w:val="none" w:color="auto" w:sz="0" w:space="0"/>
                <w:vertAlign w:val="superscript"/>
                <w:lang/>
              </w:rPr>
              <w:instrText xml:space="preserve">= 1 \* GB3</w:instrText>
            </w:r>
            <w:r>
              <w:rPr>
                <w:rFonts w:hint="default" w:ascii="Times New Roman" w:hAnsi="Times New Roman" w:cs="Times New Roman"/>
                <w:bCs/>
                <w:color w:val="000000"/>
                <w:kern w:val="24"/>
                <w:sz w:val="21"/>
                <w:szCs w:val="21"/>
                <w:bdr w:val="none" w:color="auto" w:sz="0" w:space="0"/>
                <w:vertAlign w:val="superscript"/>
                <w:lang/>
              </w:rPr>
              <w:fldChar w:fldCharType="separate"/>
            </w:r>
            <w:r>
              <w:rPr>
                <w:bCs/>
                <w:color w:val="000000"/>
                <w:kern w:val="24"/>
                <w:sz w:val="21"/>
                <w:szCs w:val="21"/>
                <w:bdr w:val="none" w:color="auto" w:sz="0" w:space="0"/>
                <w:vertAlign w:val="superscript"/>
                <w:lang/>
              </w:rPr>
              <w:t>①</w:t>
            </w:r>
            <w:r>
              <w:rPr>
                <w:bdr w:val="none" w:color="auto" w:sz="0" w:space="0"/>
                <w:vertAlign w:val="baseline"/>
              </w:rPr>
              <w:fldChar w:fldCharType="end"/>
            </w:r>
            <w:r>
              <w:rPr>
                <w:rFonts w:hint="default" w:ascii="Times New Roman" w:hAnsi="Times New Roman" w:cs="Times New Roman"/>
                <w:bCs/>
                <w:color w:val="000000"/>
                <w:kern w:val="24"/>
                <w:sz w:val="21"/>
                <w:szCs w:val="21"/>
                <w:bdr w:val="none" w:color="auto" w:sz="0" w:space="0"/>
                <w:vertAlign w:val="baseline"/>
                <w:lang/>
              </w:rPr>
              <w:t>/0</w:t>
            </w:r>
            <w:r>
              <w:rPr>
                <w:bdr w:val="none" w:color="auto" w:sz="0" w:space="0"/>
                <w:vertAlign w:val="baseline"/>
              </w:rPr>
              <w:fldChar w:fldCharType="begin"/>
            </w:r>
            <w:r>
              <w:rPr>
                <w:rFonts w:hint="default" w:ascii="Times New Roman" w:hAnsi="Times New Roman" w:cs="Times New Roman"/>
                <w:bCs/>
                <w:color w:val="000000"/>
                <w:kern w:val="24"/>
                <w:sz w:val="21"/>
                <w:szCs w:val="21"/>
                <w:bdr w:val="none" w:color="auto" w:sz="0" w:space="0"/>
                <w:vertAlign w:val="superscript"/>
                <w:lang/>
              </w:rPr>
              <w:instrText xml:space="preserve">= 2 \* GB3</w:instrText>
            </w:r>
            <w:r>
              <w:rPr>
                <w:rFonts w:hint="default" w:ascii="Times New Roman" w:hAnsi="Times New Roman" w:cs="Times New Roman"/>
                <w:bCs/>
                <w:color w:val="000000"/>
                <w:kern w:val="24"/>
                <w:sz w:val="21"/>
                <w:szCs w:val="21"/>
                <w:bdr w:val="none" w:color="auto" w:sz="0" w:space="0"/>
                <w:vertAlign w:val="superscript"/>
                <w:lang/>
              </w:rPr>
              <w:fldChar w:fldCharType="separate"/>
            </w:r>
            <w:r>
              <w:rPr>
                <w:bCs/>
                <w:color w:val="000000"/>
                <w:kern w:val="24"/>
                <w:sz w:val="21"/>
                <w:szCs w:val="21"/>
                <w:bdr w:val="none" w:color="auto" w:sz="0" w:space="0"/>
                <w:vertAlign w:val="superscript"/>
                <w:lang/>
              </w:rPr>
              <w:t>②</w:t>
            </w:r>
            <w:r>
              <w:rPr>
                <w:bdr w:val="none" w:color="auto" w:sz="0" w:space="0"/>
                <w:vertAlign w:val="baseline"/>
              </w:rPr>
              <w:fldChar w:fldCharType="end"/>
            </w:r>
          </w:p>
        </w:tc>
        <w:tc>
          <w:tcPr>
            <w:tcW w:w="16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w:t>
            </w:r>
          </w:p>
        </w:tc>
        <w:tc>
          <w:tcPr>
            <w:tcW w:w="2106"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236" w:type="dxa"/>
          <w:cantSplit/>
          <w:trHeight w:val="340" w:hRule="atLeast"/>
          <w:jc w:val="center"/>
        </w:trPr>
        <w:tc>
          <w:tcPr>
            <w:tcW w:w="77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45" w:type="dxa"/>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210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rPr>
            </w:pPr>
            <w:r>
              <w:rPr>
                <w:color w:val="000000"/>
                <w:sz w:val="21"/>
                <w:szCs w:val="24"/>
                <w:bdr w:val="none" w:color="auto" w:sz="0" w:space="0"/>
                <w:vertAlign w:val="baseline"/>
              </w:rPr>
              <w:t>废含油抹布</w:t>
            </w:r>
          </w:p>
        </w:tc>
        <w:tc>
          <w:tcPr>
            <w:tcW w:w="2859" w:type="dxa"/>
            <w:gridSpan w:val="2"/>
            <w:vMerge w:val="restart"/>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ascii="Times New Roman" w:hAnsi="Times New Roman" w:cs="Times New Roman"/>
                <w:color w:val="000000"/>
                <w:sz w:val="21"/>
                <w:szCs w:val="21"/>
                <w:bdr w:val="none" w:color="auto" w:sz="0" w:space="0"/>
              </w:rPr>
              <w:t>环卫清运</w:t>
            </w:r>
          </w:p>
        </w:tc>
        <w:tc>
          <w:tcPr>
            <w:tcW w:w="143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bCs/>
                <w:color w:val="000000"/>
                <w:sz w:val="21"/>
                <w:szCs w:val="21"/>
                <w:bdr w:val="none" w:color="auto" w:sz="0" w:space="0"/>
                <w:lang w:val="en-US"/>
              </w:rPr>
              <w:t>--</w:t>
            </w:r>
          </w:p>
        </w:tc>
        <w:tc>
          <w:tcPr>
            <w:tcW w:w="14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bCs/>
                <w:color w:val="000000"/>
                <w:kern w:val="24"/>
                <w:sz w:val="21"/>
                <w:szCs w:val="21"/>
                <w:bdr w:val="none" w:color="auto" w:sz="0" w:space="0"/>
                <w:vertAlign w:val="baseline"/>
                <w:lang/>
              </w:rPr>
            </w:pPr>
            <w:r>
              <w:rPr>
                <w:rFonts w:hint="default" w:ascii="Times New Roman" w:hAnsi="Times New Roman" w:cs="Times New Roman"/>
                <w:color w:val="000000"/>
                <w:kern w:val="24"/>
                <w:sz w:val="21"/>
                <w:szCs w:val="21"/>
                <w:bdr w:val="none" w:color="auto" w:sz="0" w:space="0"/>
                <w:vertAlign w:val="baseline"/>
                <w:lang w:val="en-US"/>
              </w:rPr>
              <w:t>0.002</w:t>
            </w:r>
          </w:p>
        </w:tc>
        <w:tc>
          <w:tcPr>
            <w:tcW w:w="16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w:t>
            </w:r>
          </w:p>
        </w:tc>
        <w:tc>
          <w:tcPr>
            <w:tcW w:w="2106" w:type="dxa"/>
            <w:vMerge w:val="continue"/>
            <w:tcBorders>
              <w:top w:val="single" w:color="auto" w:sz="4" w:space="0"/>
              <w:left w:val="single" w:color="auto" w:sz="4" w:space="0"/>
              <w:bottom w:val="single" w:color="auto" w:sz="4" w:space="0"/>
              <w:right w:val="nil"/>
            </w:tcBorders>
            <w:shd w:val="clear"/>
            <w:vAlign w:val="center"/>
          </w:tcPr>
          <w:p>
            <w:pPr>
              <w:rPr>
                <w:rFonts w:hint="default" w:ascii="Times New Roman" w:hAnsi="Times New Roman" w:cs="Times New Roman"/>
                <w:sz w:val="20"/>
                <w:szCs w:val="20"/>
              </w:rPr>
            </w:pP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gridAfter w:val="1"/>
          <w:wAfter w:w="236" w:type="dxa"/>
          <w:cantSplit/>
          <w:trHeight w:val="340" w:hRule="atLeast"/>
          <w:jc w:val="center"/>
        </w:trPr>
        <w:tc>
          <w:tcPr>
            <w:tcW w:w="777" w:type="dxa"/>
            <w:vMerge w:val="continue"/>
            <w:tcBorders>
              <w:top w:val="single" w:color="auto" w:sz="4" w:space="0"/>
              <w:left w:val="nil"/>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45"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生活垃圾</w:t>
            </w:r>
          </w:p>
        </w:tc>
        <w:tc>
          <w:tcPr>
            <w:tcW w:w="2101"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color w:val="000000"/>
                <w:sz w:val="21"/>
                <w:szCs w:val="21"/>
                <w:bdr w:val="none" w:color="auto" w:sz="0" w:space="0"/>
                <w:vertAlign w:val="baseline"/>
                <w:lang/>
              </w:rPr>
            </w:pPr>
            <w:r>
              <w:rPr>
                <w:rFonts w:ascii="Times New Roman" w:hAnsi="Times New Roman" w:cs="Times New Roman"/>
                <w:color w:val="000000"/>
                <w:sz w:val="21"/>
                <w:szCs w:val="21"/>
                <w:bdr w:val="none" w:color="auto" w:sz="0" w:space="0"/>
                <w:vertAlign w:val="baseline"/>
              </w:rPr>
              <w:t>生活垃圾</w:t>
            </w:r>
          </w:p>
        </w:tc>
        <w:tc>
          <w:tcPr>
            <w:tcW w:w="2859" w:type="dxa"/>
            <w:gridSpan w:val="2"/>
            <w:vMerge w:val="continue"/>
            <w:tcBorders>
              <w:top w:val="single" w:color="auto" w:sz="4" w:space="0"/>
              <w:left w:val="single" w:color="auto" w:sz="4" w:space="0"/>
              <w:bottom w:val="single" w:color="auto" w:sz="4" w:space="0"/>
              <w:right w:val="single" w:color="auto" w:sz="4" w:space="0"/>
            </w:tcBorders>
            <w:shd w:val="clear"/>
            <w:vAlign w:val="center"/>
          </w:tcPr>
          <w:p>
            <w:pPr>
              <w:rPr>
                <w:rFonts w:hint="default" w:ascii="Times New Roman" w:hAnsi="Times New Roman" w:cs="Times New Roman"/>
                <w:sz w:val="20"/>
                <w:szCs w:val="20"/>
              </w:rPr>
            </w:pPr>
          </w:p>
        </w:tc>
        <w:tc>
          <w:tcPr>
            <w:tcW w:w="1436"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rPr>
            </w:pPr>
            <w:r>
              <w:rPr>
                <w:rFonts w:hint="default" w:ascii="Times New Roman" w:hAnsi="Times New Roman" w:cs="Times New Roman"/>
                <w:bCs/>
                <w:color w:val="000000"/>
                <w:sz w:val="21"/>
                <w:szCs w:val="21"/>
                <w:bdr w:val="none" w:color="auto" w:sz="0" w:space="0"/>
                <w:lang w:val="en-US"/>
              </w:rPr>
              <w:t>--</w:t>
            </w:r>
          </w:p>
        </w:tc>
        <w:tc>
          <w:tcPr>
            <w:tcW w:w="14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bCs/>
                <w:color w:val="000000"/>
                <w:kern w:val="24"/>
                <w:sz w:val="21"/>
                <w:szCs w:val="21"/>
                <w:bdr w:val="none" w:color="auto" w:sz="0" w:space="0"/>
                <w:vertAlign w:val="baseline"/>
                <w:lang/>
              </w:rPr>
            </w:pPr>
            <w:r>
              <w:rPr>
                <w:rFonts w:hint="default" w:ascii="Times New Roman" w:hAnsi="Times New Roman" w:cs="Times New Roman"/>
                <w:bCs/>
                <w:color w:val="000000"/>
                <w:kern w:val="24"/>
                <w:sz w:val="21"/>
                <w:szCs w:val="21"/>
                <w:bdr w:val="none" w:color="auto" w:sz="0" w:space="0"/>
                <w:vertAlign w:val="baseline"/>
                <w:lang/>
              </w:rPr>
              <w:t>12</w:t>
            </w:r>
          </w:p>
        </w:tc>
        <w:tc>
          <w:tcPr>
            <w:tcW w:w="163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w:t>
            </w:r>
          </w:p>
        </w:tc>
        <w:tc>
          <w:tcPr>
            <w:tcW w:w="2106" w:type="dxa"/>
            <w:tcBorders>
              <w:top w:val="single" w:color="auto" w:sz="4" w:space="0"/>
              <w:left w:val="single" w:color="auto" w:sz="4" w:space="0"/>
              <w:bottom w:val="single" w:color="auto" w:sz="4" w:space="0"/>
              <w:right w:val="nil"/>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w:t>
            </w:r>
          </w:p>
        </w:tc>
      </w:tr>
      <w:tr>
        <w:tblPrEx>
          <w:tblBorders>
            <w:top w:val="thinThickSmallGap" w:color="auto" w:sz="12" w:space="0"/>
            <w:left w:val="none" w:color="auto" w:sz="6" w:space="0"/>
            <w:bottom w:val="thickThinSmallGap"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77" w:type="dxa"/>
            <w:tcBorders>
              <w:top w:val="single" w:color="auto" w:sz="4" w:space="0"/>
              <w:left w:val="nil"/>
              <w:bottom w:val="thickThinSmallGap" w:color="auto" w:sz="12" w:space="0"/>
              <w:right w:val="single" w:color="auto" w:sz="4"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噪声</w:t>
            </w:r>
          </w:p>
        </w:tc>
        <w:tc>
          <w:tcPr>
            <w:tcW w:w="1445"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生产设备</w:t>
            </w:r>
          </w:p>
        </w:tc>
        <w:tc>
          <w:tcPr>
            <w:tcW w:w="2101"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bCs/>
                <w:color w:val="000000"/>
                <w:kern w:val="24"/>
                <w:sz w:val="21"/>
                <w:szCs w:val="21"/>
                <w:bdr w:val="none" w:color="auto" w:sz="0" w:space="0"/>
                <w:vertAlign w:val="baseline"/>
                <w:lang/>
              </w:rPr>
            </w:pPr>
            <w:r>
              <w:rPr>
                <w:rFonts w:hint="default" w:ascii="Times New Roman" w:hAnsi="Times New Roman" w:cs="Times New Roman"/>
                <w:bCs/>
                <w:color w:val="000000"/>
                <w:kern w:val="24"/>
                <w:sz w:val="21"/>
                <w:szCs w:val="21"/>
                <w:bdr w:val="none" w:color="auto" w:sz="0" w:space="0"/>
                <w:vertAlign w:val="baseline"/>
                <w:lang/>
              </w:rPr>
              <w:t>Leq</w:t>
            </w:r>
          </w:p>
        </w:tc>
        <w:tc>
          <w:tcPr>
            <w:tcW w:w="2859" w:type="dxa"/>
            <w:gridSpan w:val="2"/>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bCs/>
                <w:color w:val="000000"/>
                <w:kern w:val="24"/>
                <w:sz w:val="21"/>
                <w:szCs w:val="21"/>
                <w:bdr w:val="none" w:color="auto" w:sz="0" w:space="0"/>
                <w:vertAlign w:val="baseline"/>
                <w:lang/>
              </w:rPr>
            </w:pPr>
            <w:r>
              <w:rPr>
                <w:rFonts w:ascii="Times New Roman" w:hAnsi="Times New Roman" w:cs="Times New Roman"/>
                <w:bCs/>
                <w:color w:val="000000"/>
                <w:kern w:val="24"/>
                <w:sz w:val="21"/>
                <w:szCs w:val="21"/>
                <w:bdr w:val="none" w:color="auto" w:sz="0" w:space="0"/>
                <w:vertAlign w:val="baseline"/>
              </w:rPr>
              <w:t>低噪声设备、</w:t>
            </w:r>
            <w:r>
              <w:rPr>
                <w:rFonts w:ascii="Times New Roman" w:hAnsi="Times New Roman" w:cs="Times New Roman"/>
                <w:bCs/>
                <w:color w:val="000000"/>
                <w:kern w:val="24"/>
                <w:sz w:val="21"/>
                <w:szCs w:val="21"/>
                <w:bdr w:val="none" w:color="auto" w:sz="0" w:space="0"/>
                <w:vertAlign w:val="baseline"/>
                <w:lang/>
              </w:rPr>
              <w:t>厂房隔声、</w:t>
            </w:r>
            <w:r>
              <w:rPr>
                <w:rFonts w:ascii="Times New Roman" w:hAnsi="Times New Roman" w:cs="Times New Roman"/>
                <w:bCs/>
                <w:color w:val="000000"/>
                <w:kern w:val="24"/>
                <w:sz w:val="21"/>
                <w:szCs w:val="21"/>
                <w:bdr w:val="none" w:color="auto" w:sz="0" w:space="0"/>
                <w:vertAlign w:val="baseline"/>
              </w:rPr>
              <w:t>消声、</w:t>
            </w:r>
            <w:r>
              <w:rPr>
                <w:rFonts w:ascii="Times New Roman" w:hAnsi="Times New Roman" w:cs="Times New Roman"/>
                <w:bCs/>
                <w:color w:val="000000"/>
                <w:kern w:val="24"/>
                <w:sz w:val="21"/>
                <w:szCs w:val="21"/>
                <w:bdr w:val="none" w:color="auto" w:sz="0" w:space="0"/>
                <w:vertAlign w:val="baseline"/>
                <w:lang/>
              </w:rPr>
              <w:t>减振等</w:t>
            </w:r>
          </w:p>
        </w:tc>
        <w:tc>
          <w:tcPr>
            <w:tcW w:w="1436"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bCs/>
                <w:color w:val="000000"/>
                <w:kern w:val="24"/>
                <w:sz w:val="21"/>
                <w:szCs w:val="21"/>
                <w:bdr w:val="none" w:color="auto" w:sz="0" w:space="0"/>
                <w:vertAlign w:val="baseline"/>
                <w:lang/>
              </w:rPr>
            </w:pPr>
            <w:r>
              <w:rPr>
                <w:rFonts w:hint="default" w:ascii="Times New Roman" w:hAnsi="Times New Roman" w:cs="Times New Roman"/>
                <w:bCs/>
                <w:color w:val="000000"/>
                <w:kern w:val="24"/>
                <w:sz w:val="21"/>
                <w:szCs w:val="21"/>
                <w:bdr w:val="none" w:color="auto" w:sz="0" w:space="0"/>
                <w:vertAlign w:val="baseline"/>
                <w:lang/>
              </w:rPr>
              <w:t>2</w:t>
            </w:r>
            <w:r>
              <w:rPr>
                <w:rFonts w:ascii="Times New Roman" w:hAnsi="Times New Roman" w:cs="Times New Roman"/>
                <w:bCs/>
                <w:color w:val="000000"/>
                <w:kern w:val="24"/>
                <w:sz w:val="21"/>
                <w:szCs w:val="21"/>
                <w:bdr w:val="none" w:color="auto" w:sz="0" w:space="0"/>
                <w:vertAlign w:val="baseline"/>
                <w:lang/>
              </w:rPr>
              <w:t>类</w:t>
            </w:r>
          </w:p>
        </w:tc>
        <w:tc>
          <w:tcPr>
            <w:tcW w:w="143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adjustRightInd w:val="0"/>
              <w:spacing w:before="0" w:beforeAutospacing="0" w:after="0" w:afterAutospacing="0"/>
              <w:ind w:left="0" w:right="0"/>
              <w:jc w:val="center"/>
              <w:textAlignment w:val="baseline"/>
              <w:rPr>
                <w:rFonts w:hint="default" w:ascii="Times New Roman" w:hAnsi="Times New Roman" w:cs="Times New Roman"/>
                <w:bCs/>
                <w:color w:val="000000"/>
                <w:kern w:val="24"/>
                <w:sz w:val="21"/>
                <w:szCs w:val="21"/>
                <w:bdr w:val="none" w:color="auto" w:sz="0" w:space="0"/>
                <w:vertAlign w:val="baseline"/>
                <w:lang/>
              </w:rPr>
            </w:pPr>
            <w:r>
              <w:rPr>
                <w:rFonts w:hint="default" w:ascii="Times New Roman" w:hAnsi="Times New Roman" w:cs="Times New Roman"/>
                <w:bCs/>
                <w:color w:val="000000"/>
                <w:kern w:val="24"/>
                <w:sz w:val="21"/>
                <w:szCs w:val="21"/>
                <w:bdr w:val="none" w:color="auto" w:sz="0" w:space="0"/>
                <w:vertAlign w:val="baseline"/>
                <w:lang/>
              </w:rPr>
              <w:t>--</w:t>
            </w:r>
          </w:p>
        </w:tc>
        <w:tc>
          <w:tcPr>
            <w:tcW w:w="1638" w:type="dxa"/>
            <w:tcBorders>
              <w:top w:val="single" w:color="auto" w:sz="4" w:space="0"/>
              <w:left w:val="single" w:color="auto" w:sz="4" w:space="0"/>
              <w:bottom w:val="thickThinSmallGap" w:color="auto" w:sz="12" w:space="0"/>
              <w:right w:val="single" w:color="auto" w:sz="4"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bCs/>
                <w:color w:val="000000"/>
                <w:sz w:val="21"/>
                <w:szCs w:val="21"/>
                <w:bdr w:val="none" w:color="auto" w:sz="0" w:space="0"/>
                <w:lang w:val="en-US"/>
              </w:rPr>
            </w:pPr>
            <w:r>
              <w:rPr>
                <w:rFonts w:hint="default" w:ascii="Times New Roman" w:hAnsi="Times New Roman" w:cs="Times New Roman"/>
                <w:bCs/>
                <w:color w:val="000000"/>
                <w:sz w:val="21"/>
                <w:szCs w:val="21"/>
                <w:bdr w:val="none" w:color="auto" w:sz="0" w:space="0"/>
                <w:lang w:val="en-US"/>
              </w:rPr>
              <w:t>--</w:t>
            </w:r>
          </w:p>
        </w:tc>
        <w:tc>
          <w:tcPr>
            <w:tcW w:w="2124" w:type="dxa"/>
            <w:gridSpan w:val="2"/>
            <w:tcBorders>
              <w:top w:val="single" w:color="auto" w:sz="4" w:space="0"/>
              <w:left w:val="single" w:color="auto" w:sz="4" w:space="0"/>
              <w:bottom w:val="thickThinSmallGap" w:color="auto" w:sz="12" w:space="0"/>
              <w:right w:val="nil"/>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eastAsia="宋体" w:cs="Times New Roman"/>
                <w:color w:val="000000"/>
                <w:kern w:val="0"/>
                <w:sz w:val="21"/>
                <w:szCs w:val="21"/>
                <w:bdr w:val="none" w:color="auto" w:sz="0" w:space="0"/>
                <w:lang w:val="en-US" w:eastAsia="zh-CN" w:bidi="ar"/>
              </w:rPr>
              <w:t>GB12348-2008</w:t>
            </w:r>
          </w:p>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hint="default" w:ascii="Times New Roman" w:hAnsi="Times New Roman" w:cs="Times New Roman"/>
                <w:color w:val="000000"/>
                <w:sz w:val="21"/>
                <w:szCs w:val="21"/>
                <w:bdr w:val="none" w:color="auto" w:sz="0" w:space="0"/>
                <w:lang w:val="en-US"/>
              </w:rPr>
              <w:t>2</w:t>
            </w:r>
            <w:r>
              <w:rPr>
                <w:rFonts w:ascii="Times New Roman" w:hAnsi="Times New Roman" w:cs="Times New Roman"/>
                <w:color w:val="000000"/>
                <w:sz w:val="21"/>
                <w:szCs w:val="21"/>
                <w:bdr w:val="none" w:color="auto" w:sz="0" w:space="0"/>
              </w:rPr>
              <w:t>类区</w:t>
            </w:r>
          </w:p>
        </w:tc>
      </w:tr>
    </w:tbl>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lang w:val="en-US"/>
        </w:rPr>
      </w:pPr>
      <w:r>
        <w:rPr>
          <w:rFonts w:hint="eastAsia" w:ascii="Times New Roman" w:hAnsi="Times New Roman" w:eastAsia="宋体" w:cs="Times New Roman"/>
          <w:b/>
          <w:bCs w:val="0"/>
          <w:color w:val="000000"/>
          <w:kern w:val="0"/>
          <w:sz w:val="21"/>
          <w:szCs w:val="21"/>
          <w:lang w:val="en-US" w:eastAsia="zh-CN" w:bidi="ar"/>
        </w:rPr>
        <w:t>注：</w:t>
      </w: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b/>
          <w:bCs w:val="0"/>
          <w:color w:val="000000"/>
          <w:kern w:val="0"/>
          <w:sz w:val="21"/>
          <w:szCs w:val="21"/>
          <w:lang w:val="en-US" w:eastAsia="zh-CN" w:bidi="ar"/>
        </w:rPr>
        <w:instrText xml:space="preserve">= 1 \* GB3</w:instrText>
      </w:r>
      <w:r>
        <w:rPr>
          <w:rFonts w:hint="default" w:ascii="Times New Roman" w:hAnsi="Times New Roman" w:eastAsia="宋体" w:cs="Times New Roman"/>
          <w:b/>
          <w:bCs w:val="0"/>
          <w:color w:val="000000"/>
          <w:kern w:val="0"/>
          <w:sz w:val="21"/>
          <w:szCs w:val="21"/>
          <w:lang w:val="en-US" w:eastAsia="zh-CN" w:bidi="ar"/>
        </w:rPr>
        <w:fldChar w:fldCharType="separate"/>
      </w:r>
      <w:r>
        <w:rPr>
          <w:rFonts w:hint="eastAsia" w:ascii="宋体" w:hAnsi="宋体" w:eastAsia="宋体" w:cs="宋体"/>
          <w:b/>
          <w:bCs w:val="0"/>
          <w:color w:val="000000"/>
          <w:kern w:val="0"/>
          <w:sz w:val="21"/>
          <w:szCs w:val="21"/>
          <w:lang w:val="en-US" w:eastAsia="zh-CN" w:bidi="ar"/>
        </w:rPr>
        <w:t>①</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b/>
          <w:bCs w:val="0"/>
          <w:color w:val="000000"/>
          <w:kern w:val="0"/>
          <w:sz w:val="21"/>
          <w:szCs w:val="21"/>
          <w:lang w:val="en-US" w:eastAsia="zh-CN" w:bidi="ar"/>
        </w:rPr>
        <w:t>为固废产生量；</w:t>
      </w:r>
      <w:r>
        <w:rPr>
          <w:rFonts w:hint="eastAsia" w:ascii="宋体" w:hAnsi="宋体" w:eastAsia="宋体" w:cs="宋体"/>
          <w:kern w:val="0"/>
          <w:sz w:val="24"/>
          <w:szCs w:val="24"/>
          <w:lang w:val="en-US" w:eastAsia="zh-CN" w:bidi="ar"/>
        </w:rPr>
        <w:fldChar w:fldCharType="begin"/>
      </w:r>
      <w:r>
        <w:rPr>
          <w:rFonts w:hint="default" w:ascii="Times New Roman" w:hAnsi="Times New Roman" w:eastAsia="宋体" w:cs="Times New Roman"/>
          <w:b/>
          <w:bCs w:val="0"/>
          <w:color w:val="000000"/>
          <w:kern w:val="0"/>
          <w:sz w:val="21"/>
          <w:szCs w:val="21"/>
          <w:lang w:val="en-US" w:eastAsia="zh-CN" w:bidi="ar"/>
        </w:rPr>
        <w:instrText xml:space="preserve">= 2 \* GB3</w:instrText>
      </w:r>
      <w:r>
        <w:rPr>
          <w:rFonts w:hint="default" w:ascii="Times New Roman" w:hAnsi="Times New Roman" w:eastAsia="宋体" w:cs="Times New Roman"/>
          <w:b/>
          <w:bCs w:val="0"/>
          <w:color w:val="000000"/>
          <w:kern w:val="0"/>
          <w:sz w:val="21"/>
          <w:szCs w:val="21"/>
          <w:lang w:val="en-US" w:eastAsia="zh-CN" w:bidi="ar"/>
        </w:rPr>
        <w:fldChar w:fldCharType="separate"/>
      </w:r>
      <w:r>
        <w:rPr>
          <w:rFonts w:hint="eastAsia" w:ascii="宋体" w:hAnsi="宋体" w:eastAsia="宋体" w:cs="宋体"/>
          <w:b/>
          <w:bCs w:val="0"/>
          <w:color w:val="000000"/>
          <w:kern w:val="0"/>
          <w:sz w:val="21"/>
          <w:szCs w:val="21"/>
          <w:lang w:val="en-US" w:eastAsia="zh-CN" w:bidi="ar"/>
        </w:rPr>
        <w:t>②</w:t>
      </w:r>
      <w:r>
        <w:rPr>
          <w:rFonts w:hint="eastAsia" w:ascii="宋体" w:hAnsi="宋体" w:eastAsia="宋体" w:cs="宋体"/>
          <w:kern w:val="0"/>
          <w:sz w:val="24"/>
          <w:szCs w:val="24"/>
          <w:lang w:val="en-US" w:eastAsia="zh-CN" w:bidi="ar"/>
        </w:rPr>
        <w:fldChar w:fldCharType="end"/>
      </w:r>
      <w:r>
        <w:rPr>
          <w:rFonts w:hint="eastAsia" w:ascii="Times New Roman" w:hAnsi="Times New Roman" w:eastAsia="宋体" w:cs="Times New Roman"/>
          <w:b/>
          <w:bCs w:val="0"/>
          <w:color w:val="000000"/>
          <w:kern w:val="0"/>
          <w:sz w:val="21"/>
          <w:szCs w:val="21"/>
          <w:lang w:val="en-US" w:eastAsia="zh-CN" w:bidi="ar"/>
        </w:rPr>
        <w:t>为固废排放量。</w:t>
      </w:r>
    </w:p>
    <w:p>
      <w:pPr>
        <w:rPr>
          <w:rFonts w:hint="default" w:ascii="Times New Roman" w:hAnsi="Times New Roman" w:eastAsia="宋体" w:cs="Times New Roman"/>
          <w:color w:val="000000"/>
          <w:sz w:val="24"/>
          <w:szCs w:val="24"/>
          <w:lang w:val="en-US" w:eastAsia="zh-CN" w:bidi="ar"/>
        </w:rPr>
        <w:sectPr>
          <w:pgSz w:w="16840" w:h="11915" w:orient="landscape"/>
          <w:pgMar w:top="1702" w:right="1702" w:bottom="1702" w:left="1702" w:header="851" w:footer="1077" w:gutter="0"/>
          <w:paperSrc/>
          <w:cols w:space="425" w:num="1"/>
          <w:docGrid w:type="lines" w:linePitch="479" w:charSpace="0"/>
        </w:sectPr>
      </w:pPr>
    </w:p>
    <w:p>
      <w:pPr>
        <w:pStyle w:val="8"/>
        <w:widowControl/>
        <w:rPr>
          <w:color w:val="000000"/>
          <w:lang/>
        </w:rPr>
      </w:pPr>
      <w:bookmarkStart w:id="258" w:name="_Toc41656160"/>
      <w:r>
        <w:rPr>
          <w:color w:val="000000"/>
          <w:lang/>
        </w:rPr>
        <w:t xml:space="preserve">8.3 </w:t>
      </w:r>
      <w:r>
        <w:rPr>
          <w:rFonts w:hint="eastAsia" w:ascii="Times New Roman" w:hAnsi="Times New Roman" w:eastAsia="宋体" w:cs="宋体"/>
          <w:color w:val="000000"/>
          <w:lang w:eastAsia="zh-CN"/>
        </w:rPr>
        <w:t>总量控制指标</w:t>
      </w:r>
      <w:bookmarkEnd w:id="258"/>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根据本工程污染物的具体排放情况及有关总量控制要求，</w:t>
      </w:r>
      <w:r>
        <w:rPr>
          <w:rFonts w:hint="eastAsia" w:ascii="Times New Roman" w:hAnsi="Times New Roman" w:eastAsia="宋体" w:cs="Times New Roman"/>
          <w:color w:val="000000"/>
          <w:kern w:val="0"/>
          <w:sz w:val="24"/>
          <w:szCs w:val="24"/>
          <w:lang w:val="en-US" w:eastAsia="zh-CN" w:bidi="ar"/>
        </w:rPr>
        <w:t>确定本项目的污染物总量控制指标为：颗粒物。</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eastAsia="zh-CN"/>
        </w:rPr>
      </w:pPr>
      <w:r>
        <w:rPr>
          <w:rFonts w:hint="eastAsia" w:ascii="Times New Roman" w:hAnsi="Times New Roman" w:eastAsia="宋体" w:cs="Times New Roman"/>
          <w:color w:val="000000"/>
          <w:kern w:val="0"/>
          <w:sz w:val="24"/>
          <w:szCs w:val="24"/>
          <w:lang w:val="en-US" w:eastAsia="zh-CN" w:bidi="ar"/>
        </w:rPr>
        <w:t>本项目颗粒物总量指标为</w:t>
      </w:r>
      <w:r>
        <w:rPr>
          <w:rFonts w:hint="default" w:ascii="Times New Roman" w:hAnsi="Times New Roman" w:eastAsia="宋体" w:cs="Times New Roman"/>
          <w:color w:val="000000"/>
          <w:kern w:val="0"/>
          <w:sz w:val="24"/>
          <w:szCs w:val="24"/>
          <w:lang w:val="en-US" w:eastAsia="zh-CN" w:bidi="ar"/>
        </w:rPr>
        <w:t>10.97</w:t>
      </w:r>
      <w:r>
        <w:rPr>
          <w:rFonts w:hint="default" w:ascii="Times New Roman" w:hAnsi="Times New Roman" w:eastAsia="宋体" w:cs="Times New Roman"/>
          <w:bCs/>
          <w:color w:val="000000"/>
          <w:kern w:val="0"/>
          <w:sz w:val="24"/>
          <w:szCs w:val="24"/>
          <w:lang w:eastAsia="zh-CN" w:bidi="ar"/>
        </w:rPr>
        <w:t>t/a</w:t>
      </w:r>
      <w:r>
        <w:rPr>
          <w:rFonts w:hint="eastAsia" w:ascii="Times New Roman" w:hAnsi="Times New Roman" w:eastAsia="宋体" w:cs="Times New Roman"/>
          <w:bCs/>
          <w:color w:val="000000"/>
          <w:kern w:val="0"/>
          <w:sz w:val="24"/>
          <w:szCs w:val="24"/>
          <w:lang w:val="en-US" w:eastAsia="zh-CN" w:bidi="ar"/>
        </w:rPr>
        <w:t>，其中有组织颗粒物</w:t>
      </w:r>
      <w:r>
        <w:rPr>
          <w:rFonts w:hint="default" w:ascii="Times New Roman" w:hAnsi="Times New Roman" w:eastAsia="宋体" w:cs="Times New Roman"/>
          <w:color w:val="000000"/>
          <w:kern w:val="0"/>
          <w:sz w:val="24"/>
          <w:szCs w:val="24"/>
          <w:lang w:val="en-US" w:eastAsia="zh-CN" w:bidi="ar"/>
        </w:rPr>
        <w:t>2.26</w:t>
      </w:r>
      <w:r>
        <w:rPr>
          <w:rFonts w:hint="default" w:ascii="Times New Roman" w:hAnsi="Times New Roman" w:eastAsia="宋体" w:cs="Times New Roman"/>
          <w:bCs/>
          <w:color w:val="000000"/>
          <w:kern w:val="0"/>
          <w:sz w:val="24"/>
          <w:szCs w:val="24"/>
          <w:lang w:eastAsia="zh-CN" w:bidi="ar"/>
        </w:rPr>
        <w:t>t/a</w:t>
      </w:r>
      <w:r>
        <w:rPr>
          <w:rFonts w:hint="eastAsia" w:ascii="Times New Roman" w:hAnsi="Times New Roman" w:eastAsia="宋体" w:cs="Times New Roman"/>
          <w:bCs/>
          <w:color w:val="000000"/>
          <w:kern w:val="0"/>
          <w:sz w:val="24"/>
          <w:szCs w:val="24"/>
          <w:lang w:val="en-US" w:eastAsia="zh-CN" w:bidi="ar"/>
        </w:rPr>
        <w:t>，无组织颗粒物</w:t>
      </w:r>
      <w:r>
        <w:rPr>
          <w:rFonts w:hint="default" w:ascii="Times New Roman" w:hAnsi="Times New Roman" w:eastAsia="宋体" w:cs="Times New Roman"/>
          <w:color w:val="000000"/>
          <w:kern w:val="0"/>
          <w:sz w:val="24"/>
          <w:szCs w:val="24"/>
          <w:lang w:val="en-US" w:eastAsia="zh-CN" w:bidi="ar"/>
        </w:rPr>
        <w:t>8.71</w:t>
      </w:r>
      <w:r>
        <w:rPr>
          <w:rFonts w:hint="default" w:ascii="Times New Roman" w:hAnsi="Times New Roman" w:eastAsia="宋体" w:cs="Times New Roman"/>
          <w:bCs/>
          <w:color w:val="000000"/>
          <w:kern w:val="0"/>
          <w:sz w:val="24"/>
          <w:szCs w:val="24"/>
          <w:lang w:eastAsia="zh-CN" w:bidi="ar"/>
        </w:rPr>
        <w:t>t/a</w:t>
      </w:r>
      <w:r>
        <w:rPr>
          <w:rFonts w:hint="eastAsia"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现有工程颗粒物总量指标为</w:t>
      </w:r>
      <w:r>
        <w:rPr>
          <w:rFonts w:hint="default" w:ascii="Times New Roman" w:hAnsi="Times New Roman" w:eastAsia="宋体" w:cs="Times New Roman"/>
          <w:color w:val="000000"/>
          <w:kern w:val="0"/>
          <w:sz w:val="24"/>
          <w:szCs w:val="24"/>
          <w:lang w:val="en-US" w:eastAsia="zh-CN" w:bidi="ar"/>
        </w:rPr>
        <w:t>2.34</w:t>
      </w:r>
      <w:r>
        <w:rPr>
          <w:rFonts w:hint="default" w:ascii="Times New Roman" w:hAnsi="Times New Roman" w:eastAsia="宋体" w:cs="Times New Roman"/>
          <w:bCs/>
          <w:color w:val="000000"/>
          <w:kern w:val="0"/>
          <w:sz w:val="24"/>
          <w:szCs w:val="24"/>
          <w:lang w:eastAsia="zh-CN" w:bidi="ar"/>
        </w:rPr>
        <w:t>t/a</w:t>
      </w:r>
      <w:r>
        <w:rPr>
          <w:rFonts w:hint="eastAsia" w:ascii="Times New Roman" w:hAnsi="Times New Roman" w:eastAsia="宋体" w:cs="Times New Roman"/>
          <w:bCs/>
          <w:color w:val="000000"/>
          <w:kern w:val="0"/>
          <w:sz w:val="24"/>
          <w:szCs w:val="24"/>
          <w:lang w:val="en-US" w:eastAsia="zh-CN" w:bidi="ar"/>
        </w:rPr>
        <w:t>，均为无组织颗粒物。本项目投产后全厂</w:t>
      </w:r>
      <w:r>
        <w:rPr>
          <w:rFonts w:hint="eastAsia" w:ascii="Times New Roman" w:hAnsi="Times New Roman" w:eastAsia="宋体" w:cs="Times New Roman"/>
          <w:color w:val="000000"/>
          <w:kern w:val="0"/>
          <w:sz w:val="24"/>
          <w:szCs w:val="24"/>
          <w:lang w:val="en-US" w:eastAsia="zh-CN" w:bidi="ar"/>
        </w:rPr>
        <w:t>颗粒物总量指标为</w:t>
      </w:r>
      <w:r>
        <w:rPr>
          <w:rFonts w:hint="default" w:ascii="Times New Roman" w:hAnsi="Times New Roman" w:eastAsia="宋体" w:cs="Times New Roman"/>
          <w:color w:val="000000"/>
          <w:kern w:val="0"/>
          <w:sz w:val="24"/>
          <w:szCs w:val="24"/>
          <w:lang w:val="en-US" w:eastAsia="zh-CN" w:bidi="ar"/>
        </w:rPr>
        <w:t>13.31</w:t>
      </w:r>
      <w:r>
        <w:rPr>
          <w:rFonts w:hint="default" w:ascii="Times New Roman" w:hAnsi="Times New Roman" w:eastAsia="宋体" w:cs="Times New Roman"/>
          <w:bCs/>
          <w:color w:val="000000"/>
          <w:kern w:val="0"/>
          <w:sz w:val="24"/>
          <w:szCs w:val="24"/>
          <w:lang w:eastAsia="zh-CN" w:bidi="ar"/>
        </w:rPr>
        <w:t>t/a</w:t>
      </w:r>
      <w:r>
        <w:rPr>
          <w:rFonts w:hint="eastAsia" w:ascii="Times New Roman" w:hAnsi="Times New Roman" w:eastAsia="宋体" w:cs="Times New Roman"/>
          <w:bCs/>
          <w:color w:val="000000"/>
          <w:kern w:val="0"/>
          <w:sz w:val="24"/>
          <w:szCs w:val="24"/>
          <w:lang w:val="en-US" w:eastAsia="zh-CN" w:bidi="ar"/>
        </w:rPr>
        <w:t>，其中有组织颗粒物</w:t>
      </w:r>
      <w:r>
        <w:rPr>
          <w:rFonts w:hint="default" w:ascii="Times New Roman" w:hAnsi="Times New Roman" w:eastAsia="宋体" w:cs="Times New Roman"/>
          <w:color w:val="000000"/>
          <w:kern w:val="0"/>
          <w:sz w:val="24"/>
          <w:szCs w:val="24"/>
          <w:lang w:val="en-US" w:eastAsia="zh-CN" w:bidi="ar"/>
        </w:rPr>
        <w:t>2.26</w:t>
      </w:r>
      <w:r>
        <w:rPr>
          <w:rFonts w:hint="default" w:ascii="Times New Roman" w:hAnsi="Times New Roman" w:eastAsia="宋体" w:cs="Times New Roman"/>
          <w:bCs/>
          <w:color w:val="000000"/>
          <w:kern w:val="0"/>
          <w:sz w:val="24"/>
          <w:szCs w:val="24"/>
          <w:lang w:eastAsia="zh-CN" w:bidi="ar"/>
        </w:rPr>
        <w:t>t/a</w:t>
      </w:r>
      <w:r>
        <w:rPr>
          <w:rFonts w:hint="eastAsia" w:ascii="Times New Roman" w:hAnsi="Times New Roman" w:eastAsia="宋体" w:cs="Times New Roman"/>
          <w:bCs/>
          <w:color w:val="000000"/>
          <w:kern w:val="0"/>
          <w:sz w:val="24"/>
          <w:szCs w:val="24"/>
          <w:lang w:val="en-US" w:eastAsia="zh-CN" w:bidi="ar"/>
        </w:rPr>
        <w:t>，无组织颗粒物</w:t>
      </w:r>
      <w:r>
        <w:rPr>
          <w:rFonts w:hint="default" w:ascii="Times New Roman" w:hAnsi="Times New Roman" w:eastAsia="宋体" w:cs="Times New Roman"/>
          <w:color w:val="000000"/>
          <w:kern w:val="0"/>
          <w:sz w:val="24"/>
          <w:szCs w:val="24"/>
          <w:lang w:val="en-US" w:eastAsia="zh-CN" w:bidi="ar"/>
        </w:rPr>
        <w:t>11.08</w:t>
      </w:r>
      <w:r>
        <w:rPr>
          <w:rFonts w:hint="default" w:ascii="Times New Roman" w:hAnsi="Times New Roman" w:eastAsia="宋体" w:cs="Times New Roman"/>
          <w:bCs/>
          <w:color w:val="000000"/>
          <w:kern w:val="0"/>
          <w:sz w:val="24"/>
          <w:szCs w:val="24"/>
          <w:lang w:eastAsia="zh-CN" w:bidi="ar"/>
        </w:rPr>
        <w:t>t/a</w:t>
      </w:r>
      <w:r>
        <w:rPr>
          <w:rFonts w:hint="eastAsia" w:ascii="Times New Roman" w:hAnsi="Times New Roman" w:eastAsia="宋体" w:cs="Times New Roman"/>
          <w:bCs/>
          <w:color w:val="000000"/>
          <w:kern w:val="0"/>
          <w:sz w:val="24"/>
          <w:szCs w:val="24"/>
          <w:lang w:val="en-US" w:eastAsia="zh-CN" w:bidi="ar"/>
        </w:rPr>
        <w:t>。</w:t>
      </w:r>
    </w:p>
    <w:p>
      <w:pPr>
        <w:pStyle w:val="27"/>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lang w:val="en-US" w:eastAsia="zh-CN"/>
        </w:rPr>
      </w:pPr>
      <w:r>
        <w:rPr>
          <w:rFonts w:hint="eastAsia" w:ascii="Times New Roman" w:hAnsi="Times New Roman" w:eastAsia="宋体" w:cs="Times New Roman"/>
          <w:color w:val="000000"/>
          <w:kern w:val="0"/>
          <w:sz w:val="24"/>
          <w:szCs w:val="24"/>
          <w:lang w:val="en-US" w:eastAsia="zh-CN" w:bidi="ar"/>
        </w:rPr>
        <w:t>综上分析，本项目的总量控制指标见表</w:t>
      </w:r>
      <w:r>
        <w:rPr>
          <w:rFonts w:hint="default" w:ascii="Times New Roman" w:hAnsi="Times New Roman" w:eastAsia="宋体" w:cs="Times New Roman"/>
          <w:color w:val="000000"/>
          <w:kern w:val="0"/>
          <w:sz w:val="24"/>
          <w:szCs w:val="24"/>
          <w:lang w:val="en-US" w:eastAsia="zh-CN" w:bidi="ar"/>
        </w:rPr>
        <w:t>8.3-1</w:t>
      </w:r>
      <w:r>
        <w:rPr>
          <w:rFonts w:hint="eastAsia" w:ascii="Times New Roman" w:hAnsi="Times New Roman" w:eastAsia="宋体" w:cs="Times New Roman"/>
          <w:color w:val="000000"/>
          <w:kern w:val="0"/>
          <w:sz w:val="24"/>
          <w:szCs w:val="24"/>
          <w:lang w:val="en-US" w:eastAsia="zh-CN" w:bidi="ar"/>
        </w:rPr>
        <w:t>。</w:t>
      </w:r>
    </w:p>
    <w:p>
      <w:pPr>
        <w:pStyle w:val="56"/>
        <w:widowControl/>
        <w:snapToGrid/>
        <w:rPr>
          <w:color w:val="000000"/>
          <w:lang w:val="en-US"/>
        </w:rPr>
      </w:pPr>
      <w:r>
        <w:rPr>
          <w:color w:val="000000"/>
          <w:lang w:val="en-US"/>
        </w:rPr>
        <w:t xml:space="preserve">    </w:t>
      </w:r>
      <w:r>
        <w:rPr>
          <w:rFonts w:hint="eastAsia" w:ascii="Times New Roman" w:hAnsi="Times New Roman" w:eastAsia="黑体" w:cs="黑体"/>
          <w:color w:val="000000"/>
          <w:lang w:eastAsia="zh-CN"/>
        </w:rPr>
        <w:t>表</w:t>
      </w:r>
      <w:r>
        <w:rPr>
          <w:color w:val="000000"/>
          <w:lang w:val="en-US"/>
        </w:rPr>
        <w:t xml:space="preserve">8.3-1  </w:t>
      </w:r>
      <w:r>
        <w:rPr>
          <w:rFonts w:hint="eastAsia" w:ascii="Times New Roman" w:hAnsi="Times New Roman" w:eastAsia="黑体" w:cs="黑体"/>
          <w:color w:val="000000"/>
          <w:lang w:eastAsia="zh-CN"/>
        </w:rPr>
        <w:t>本项目投产后全厂污染物排放总量控制指标一览表</w:t>
      </w:r>
      <w:r>
        <w:rPr>
          <w:color w:val="000000"/>
          <w:lang w:eastAsia="zh-CN"/>
        </w:rPr>
        <w:t xml:space="preserve"> </w:t>
      </w:r>
      <w:r>
        <w:rPr>
          <w:color w:val="000000"/>
          <w:lang w:val="en-US"/>
        </w:rPr>
        <w:t xml:space="preserve">   </w:t>
      </w:r>
      <w:r>
        <w:rPr>
          <w:rFonts w:hint="eastAsia" w:ascii="Times New Roman" w:hAnsi="Times New Roman" w:eastAsia="黑体" w:cs="黑体"/>
          <w:color w:val="000000"/>
          <w:sz w:val="21"/>
          <w:szCs w:val="21"/>
          <w:lang w:eastAsia="zh-CN"/>
        </w:rPr>
        <w:t>单位：</w:t>
      </w:r>
      <w:r>
        <w:rPr>
          <w:color w:val="000000"/>
          <w:sz w:val="21"/>
          <w:szCs w:val="21"/>
          <w:lang w:val="en-US"/>
        </w:rPr>
        <w:t>t/a</w:t>
      </w:r>
    </w:p>
    <w:tbl>
      <w:tblPr>
        <w:tblStyle w:val="32"/>
        <w:tblW w:w="5000"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1303"/>
        <w:gridCol w:w="1040"/>
        <w:gridCol w:w="969"/>
        <w:gridCol w:w="969"/>
        <w:gridCol w:w="1245"/>
        <w:gridCol w:w="1247"/>
        <w:gridCol w:w="976"/>
        <w:gridCol w:w="978"/>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89" w:hRule="atLeast"/>
          <w:jc w:val="center"/>
        </w:trPr>
        <w:tc>
          <w:tcPr>
            <w:tcW w:w="1343" w:type="pct"/>
            <w:gridSpan w:val="2"/>
            <w:tcBorders>
              <w:top w:val="thinThickSmallGap" w:color="auto" w:sz="12" w:space="0"/>
              <w:left w:val="nil"/>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总量控制因子</w:t>
            </w:r>
          </w:p>
        </w:tc>
        <w:tc>
          <w:tcPr>
            <w:tcW w:w="1110" w:type="pct"/>
            <w:gridSpan w:val="2"/>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本项目</w:t>
            </w:r>
          </w:p>
        </w:tc>
        <w:tc>
          <w:tcPr>
            <w:tcW w:w="1427" w:type="pct"/>
            <w:gridSpan w:val="2"/>
            <w:tcBorders>
              <w:top w:val="thinThickSmallGap" w:color="auto" w:sz="12" w:space="0"/>
              <w:left w:val="single" w:color="auto" w:sz="6" w:space="0"/>
              <w:bottom w:val="single" w:color="auto" w:sz="6" w:space="0"/>
              <w:right w:val="single" w:color="auto" w:sz="6" w:space="0"/>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pacing w:val="-20"/>
                <w:sz w:val="21"/>
                <w:szCs w:val="24"/>
                <w:bdr w:val="none" w:color="auto" w:sz="0" w:space="0"/>
                <w:lang w:val="en-US"/>
              </w:rPr>
            </w:pPr>
            <w:r>
              <w:rPr>
                <w:rFonts w:ascii="Times New Roman" w:hAnsi="Times New Roman" w:cs="Times New Roman"/>
                <w:color w:val="000000"/>
                <w:sz w:val="21"/>
                <w:szCs w:val="24"/>
                <w:bdr w:val="none" w:color="auto" w:sz="0" w:space="0"/>
              </w:rPr>
              <w:t>现有工程</w:t>
            </w:r>
          </w:p>
        </w:tc>
        <w:tc>
          <w:tcPr>
            <w:tcW w:w="1119" w:type="pct"/>
            <w:gridSpan w:val="2"/>
            <w:tcBorders>
              <w:top w:val="thinThickSmallGap" w:color="auto" w:sz="12" w:space="0"/>
              <w:left w:val="single" w:color="auto" w:sz="6" w:space="0"/>
              <w:bottom w:val="single" w:color="auto" w:sz="6" w:space="0"/>
              <w:right w:val="nil"/>
            </w:tcBorders>
            <w:shd w:val="clear" w:color="auto" w:fill="E0E0E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铧宇全厂</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89" w:hRule="atLeast"/>
          <w:jc w:val="center"/>
        </w:trPr>
        <w:tc>
          <w:tcPr>
            <w:tcW w:w="747" w:type="pct"/>
            <w:vMerge w:val="restar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tabs>
                <w:tab w:val="left" w:pos="1506"/>
              </w:tabs>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颗粒物</w:t>
            </w:r>
          </w:p>
        </w:tc>
        <w:tc>
          <w:tcPr>
            <w:tcW w:w="596"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tabs>
                <w:tab w:val="left" w:pos="1506"/>
              </w:tabs>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有组织</w:t>
            </w:r>
          </w:p>
        </w:tc>
        <w:tc>
          <w:tcPr>
            <w:tcW w:w="555" w:type="pct"/>
            <w:vMerge w:val="restar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10.97</w:t>
            </w:r>
          </w:p>
        </w:tc>
        <w:tc>
          <w:tcPr>
            <w:tcW w:w="555"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2.26</w:t>
            </w:r>
          </w:p>
        </w:tc>
        <w:tc>
          <w:tcPr>
            <w:tcW w:w="713" w:type="pct"/>
            <w:vMerge w:val="restar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2.34</w:t>
            </w:r>
          </w:p>
        </w:tc>
        <w:tc>
          <w:tcPr>
            <w:tcW w:w="713"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0</w:t>
            </w:r>
          </w:p>
        </w:tc>
        <w:tc>
          <w:tcPr>
            <w:tcW w:w="559" w:type="pct"/>
            <w:vMerge w:val="restar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13.31</w:t>
            </w:r>
          </w:p>
        </w:tc>
        <w:tc>
          <w:tcPr>
            <w:tcW w:w="559"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2.26</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89" w:hRule="atLeast"/>
          <w:jc w:val="center"/>
        </w:trPr>
        <w:tc>
          <w:tcPr>
            <w:tcW w:w="747" w:type="pct"/>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596"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tabs>
                <w:tab w:val="left" w:pos="1506"/>
              </w:tabs>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ascii="Times New Roman" w:hAnsi="Times New Roman" w:cs="Times New Roman"/>
                <w:color w:val="000000"/>
                <w:sz w:val="21"/>
                <w:szCs w:val="24"/>
                <w:bdr w:val="none" w:color="auto" w:sz="0" w:space="0"/>
              </w:rPr>
              <w:t>无组织</w:t>
            </w:r>
          </w:p>
        </w:tc>
        <w:tc>
          <w:tcPr>
            <w:tcW w:w="555" w:type="pct"/>
            <w:vMerge w:val="continue"/>
            <w:tcBorders>
              <w:top w:val="single" w:color="auto" w:sz="6" w:space="0"/>
              <w:left w:val="single" w:color="auto" w:sz="6" w:space="0"/>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555"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8.71</w:t>
            </w:r>
          </w:p>
        </w:tc>
        <w:tc>
          <w:tcPr>
            <w:tcW w:w="713" w:type="pct"/>
            <w:vMerge w:val="continue"/>
            <w:tcBorders>
              <w:top w:val="single" w:color="auto" w:sz="6" w:space="0"/>
              <w:left w:val="single" w:color="auto" w:sz="6" w:space="0"/>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713"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2.34</w:t>
            </w:r>
          </w:p>
        </w:tc>
        <w:tc>
          <w:tcPr>
            <w:tcW w:w="559" w:type="pct"/>
            <w:vMerge w:val="continue"/>
            <w:tcBorders>
              <w:top w:val="single" w:color="auto" w:sz="6" w:space="0"/>
              <w:left w:val="single" w:color="auto" w:sz="6" w:space="0"/>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559"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4"/>
                <w:bdr w:val="none" w:color="auto" w:sz="0" w:space="0"/>
                <w:lang w:val="en-US"/>
              </w:rPr>
            </w:pPr>
            <w:r>
              <w:rPr>
                <w:rFonts w:hint="default" w:ascii="Times New Roman" w:hAnsi="Times New Roman" w:cs="Times New Roman"/>
                <w:color w:val="000000"/>
                <w:sz w:val="21"/>
                <w:szCs w:val="24"/>
                <w:bdr w:val="none" w:color="auto" w:sz="0" w:space="0"/>
                <w:lang w:val="en-US"/>
              </w:rPr>
              <w:t>11.08</w:t>
            </w:r>
          </w:p>
        </w:tc>
      </w:tr>
    </w:tbl>
    <w:p>
      <w:pPr>
        <w:keepNext w:val="0"/>
        <w:keepLines w:val="0"/>
        <w:widowControl/>
        <w:suppressLineNumbers w:val="0"/>
        <w:spacing w:before="0" w:beforeAutospacing="0" w:after="0" w:afterAutospacing="0"/>
        <w:ind w:left="0" w:right="0" w:firstLine="420" w:firstLineChars="200"/>
        <w:jc w:val="left"/>
        <w:rPr>
          <w:color w:val="000000"/>
          <w:lang w:val="en-US"/>
        </w:rPr>
      </w:pPr>
    </w:p>
    <w:p>
      <w:pPr>
        <w:keepNext w:val="0"/>
        <w:keepLines w:val="0"/>
        <w:widowControl/>
        <w:suppressLineNumbers w:val="0"/>
        <w:spacing w:before="0" w:beforeAutospacing="0" w:after="0" w:afterAutospacing="0"/>
        <w:ind w:left="0" w:right="0" w:firstLine="480" w:firstLineChars="200"/>
        <w:jc w:val="left"/>
        <w:rPr>
          <w:color w:val="000000"/>
          <w:lang/>
        </w:rPr>
      </w:pPr>
      <w:r>
        <w:rPr>
          <w:rFonts w:hint="eastAsia" w:ascii="宋体" w:hAnsi="宋体" w:eastAsia="宋体" w:cs="宋体"/>
          <w:color w:val="000000"/>
          <w:kern w:val="0"/>
          <w:sz w:val="24"/>
          <w:szCs w:val="24"/>
          <w:lang w:val="en-US" w:eastAsia="zh-CN" w:bidi="ar"/>
        </w:rPr>
        <w:t>根据镁制品项目建设第五次联合审议会议纪要，本项目为浮选项目，不需要产能置换，生产排放的颗粒物不需要总量置换。</w:t>
      </w:r>
    </w:p>
    <w:p>
      <w:pPr>
        <w:pStyle w:val="8"/>
        <w:widowControl/>
        <w:rPr>
          <w:color w:val="000000"/>
          <w:lang/>
        </w:rPr>
      </w:pPr>
      <w:bookmarkStart w:id="259" w:name="_Toc41656161"/>
      <w:r>
        <w:rPr>
          <w:color w:val="000000"/>
          <w:lang/>
        </w:rPr>
        <w:t xml:space="preserve">8.4 </w:t>
      </w:r>
      <w:r>
        <w:rPr>
          <w:rFonts w:hint="eastAsia" w:ascii="Times New Roman" w:hAnsi="Times New Roman" w:eastAsia="宋体" w:cs="宋体"/>
          <w:color w:val="000000"/>
          <w:lang w:eastAsia="zh-CN"/>
        </w:rPr>
        <w:t>监测计划</w:t>
      </w:r>
      <w:bookmarkEnd w:id="259"/>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企业应制定环境监测年度计划，建立和健全规章制度；完成环境监测计划规定的各项监控任务，按有关规定编制各种报告、报表，并负责呈报工作。其目的是为了监督各项措施的落实，以便根据监测结果适时调整环境保护措施，为环保措施的实施时间和实施方案提供依据。</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由于企业没有监测机构，建议委托有资质的监测机构进行监测。</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根据《排污单位自行监测技术指南</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总则》等相关要求，确定本项目营运期污染源监测计划见表</w:t>
      </w:r>
      <w:r>
        <w:rPr>
          <w:rFonts w:hint="default" w:ascii="Times New Roman" w:hAnsi="Times New Roman" w:eastAsia="宋体" w:cs="Times New Roman"/>
          <w:color w:val="000000"/>
          <w:kern w:val="0"/>
          <w:sz w:val="24"/>
          <w:szCs w:val="24"/>
          <w:lang w:val="en-US" w:eastAsia="zh-CN" w:bidi="ar"/>
        </w:rPr>
        <w:t>8.4-1</w:t>
      </w:r>
      <w:r>
        <w:rPr>
          <w:rFonts w:hint="eastAsia" w:ascii="Times New Roman" w:hAnsi="Times New Roman" w:eastAsia="宋体" w:cs="Times New Roman"/>
          <w:color w:val="000000"/>
          <w:kern w:val="0"/>
          <w:sz w:val="24"/>
          <w:szCs w:val="24"/>
          <w:lang w:val="en-US" w:eastAsia="zh-CN" w:bidi="ar"/>
        </w:rPr>
        <w:t>，环境质量监测计划见表</w:t>
      </w:r>
      <w:r>
        <w:rPr>
          <w:rFonts w:hint="default" w:ascii="Times New Roman" w:hAnsi="Times New Roman" w:eastAsia="宋体" w:cs="Times New Roman"/>
          <w:color w:val="000000"/>
          <w:kern w:val="0"/>
          <w:sz w:val="24"/>
          <w:szCs w:val="24"/>
          <w:lang w:val="en-US" w:eastAsia="zh-CN" w:bidi="ar"/>
        </w:rPr>
        <w:t>8.4-2</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tabs>
          <w:tab w:val="left" w:pos="0"/>
        </w:tabs>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宋体" w:cs="Times New Roman"/>
          <w:color w:val="000000"/>
          <w:kern w:val="0"/>
          <w:sz w:val="24"/>
          <w:szCs w:val="24"/>
          <w:lang w:val="en-US" w:eastAsia="zh-CN" w:bidi="ar"/>
        </w:rPr>
        <w:t>8.4-1</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4"/>
          <w:szCs w:val="24"/>
          <w:lang w:val="en-US" w:eastAsia="zh-CN" w:bidi="ar"/>
        </w:rPr>
        <w:t>营运期污染源监测计划一览表</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664"/>
        <w:gridCol w:w="3361"/>
        <w:gridCol w:w="2720"/>
        <w:gridCol w:w="1669"/>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97" w:hRule="atLeast"/>
          <w:tblHeader/>
          <w:jc w:val="center"/>
        </w:trPr>
        <w:tc>
          <w:tcPr>
            <w:tcW w:w="664" w:type="dxa"/>
            <w:tcBorders>
              <w:top w:val="thinThickSmallGap" w:color="auto" w:sz="12" w:space="0"/>
              <w:left w:val="nil"/>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项目</w:t>
            </w:r>
          </w:p>
        </w:tc>
        <w:tc>
          <w:tcPr>
            <w:tcW w:w="3361" w:type="dxa"/>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监测点位</w:t>
            </w:r>
          </w:p>
        </w:tc>
        <w:tc>
          <w:tcPr>
            <w:tcW w:w="2720" w:type="dxa"/>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监测内容</w:t>
            </w:r>
          </w:p>
        </w:tc>
        <w:tc>
          <w:tcPr>
            <w:tcW w:w="1669" w:type="dxa"/>
            <w:tcBorders>
              <w:top w:val="thinThickSmallGap" w:color="auto" w:sz="12" w:space="0"/>
              <w:left w:val="single" w:color="auto" w:sz="6" w:space="0"/>
              <w:bottom w:val="single" w:color="auto" w:sz="6" w:space="0"/>
              <w:right w:val="nil"/>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监测频次</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68" w:hRule="atLeast"/>
          <w:jc w:val="center"/>
        </w:trPr>
        <w:tc>
          <w:tcPr>
            <w:tcW w:w="664" w:type="dxa"/>
            <w:vMerge w:val="restart"/>
            <w:tcBorders>
              <w:top w:val="single" w:color="auto" w:sz="6" w:space="0"/>
              <w:left w:val="nil"/>
              <w:bottom w:val="single" w:color="auto" w:sz="4"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废气</w:t>
            </w:r>
          </w:p>
        </w:tc>
        <w:tc>
          <w:tcPr>
            <w:tcW w:w="336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破碎筛分转运配套排气筒</w:t>
            </w:r>
            <w:r>
              <w:rPr>
                <w:rFonts w:hint="default" w:ascii="Times New Roman" w:hAnsi="Times New Roman" w:cs="Times New Roman"/>
                <w:color w:val="000000"/>
                <w:sz w:val="21"/>
                <w:szCs w:val="21"/>
                <w:bdr w:val="none" w:color="auto" w:sz="0" w:space="0"/>
                <w:lang w:val="en-US"/>
              </w:rPr>
              <w:t>P1</w:t>
            </w:r>
          </w:p>
        </w:tc>
        <w:tc>
          <w:tcPr>
            <w:tcW w:w="2720" w:type="dxa"/>
            <w:tcBorders>
              <w:top w:val="single" w:color="auto" w:sz="6" w:space="0"/>
              <w:left w:val="single" w:color="auto" w:sz="6" w:space="0"/>
              <w:bottom w:val="single" w:color="auto" w:sz="6" w:space="0"/>
              <w:right w:val="single" w:color="auto" w:sz="6" w:space="0"/>
            </w:tcBorders>
            <w:shd w:val="clear"/>
            <w:vAlign w:val="center"/>
          </w:tcPr>
          <w:p>
            <w:pPr>
              <w:pStyle w:val="111"/>
              <w:widowControl/>
              <w:rPr>
                <w:rFonts w:hint="default" w:ascii="Times New Roman" w:hAnsi="Times New Roman" w:cs="Times New Roman"/>
                <w:bCs/>
                <w:color w:val="000000"/>
                <w:szCs w:val="21"/>
                <w:bdr w:val="none" w:color="auto" w:sz="0" w:space="0"/>
                <w:lang w:val="en-US"/>
              </w:rPr>
            </w:pPr>
            <w:r>
              <w:rPr>
                <w:rFonts w:ascii="Times New Roman" w:hAnsi="Times New Roman" w:cs="Times New Roman"/>
                <w:bCs/>
                <w:color w:val="000000"/>
                <w:szCs w:val="21"/>
                <w:bdr w:val="none" w:color="auto" w:sz="0" w:space="0"/>
              </w:rPr>
              <w:t>颗粒物、废气量</w:t>
            </w:r>
          </w:p>
        </w:tc>
        <w:tc>
          <w:tcPr>
            <w:tcW w:w="1669"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000000"/>
                <w:sz w:val="21"/>
                <w:szCs w:val="21"/>
                <w:bdr w:val="none" w:color="auto" w:sz="0" w:space="0"/>
                <w:lang w:val="en-US"/>
              </w:rPr>
            </w:pPr>
            <w:r>
              <w:rPr>
                <w:rFonts w:ascii="Times New Roman" w:hAnsi="Times New Roman" w:cs="Times New Roman"/>
                <w:bCs/>
                <w:color w:val="000000"/>
                <w:sz w:val="21"/>
                <w:szCs w:val="21"/>
                <w:bdr w:val="none" w:color="auto" w:sz="0" w:space="0"/>
              </w:rPr>
              <w:t>一次</w:t>
            </w:r>
            <w:r>
              <w:rPr>
                <w:rFonts w:hint="default" w:ascii="Times New Roman" w:hAnsi="Times New Roman" w:cs="Times New Roman"/>
                <w:bCs/>
                <w:color w:val="000000"/>
                <w:sz w:val="21"/>
                <w:szCs w:val="21"/>
                <w:bdr w:val="none" w:color="auto" w:sz="0" w:space="0"/>
                <w:lang w:val="en-US"/>
              </w:rPr>
              <w:t>/</w:t>
            </w:r>
            <w:r>
              <w:rPr>
                <w:rFonts w:ascii="Times New Roman" w:hAnsi="Times New Roman" w:cs="Times New Roman"/>
                <w:bCs/>
                <w:color w:val="000000"/>
                <w:sz w:val="21"/>
                <w:szCs w:val="21"/>
                <w:bdr w:val="none" w:color="auto" w:sz="0" w:space="0"/>
              </w:rPr>
              <w:t>半年</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68" w:hRule="atLeast"/>
          <w:jc w:val="center"/>
        </w:trPr>
        <w:tc>
          <w:tcPr>
            <w:tcW w:w="664" w:type="dxa"/>
            <w:vMerge w:val="continue"/>
            <w:tcBorders>
              <w:top w:val="single" w:color="auto" w:sz="6" w:space="0"/>
              <w:left w:val="nil"/>
              <w:bottom w:val="single" w:color="auto" w:sz="4" w:space="0"/>
              <w:right w:val="single" w:color="auto" w:sz="6" w:space="0"/>
            </w:tcBorders>
            <w:shd w:val="clear"/>
            <w:vAlign w:val="center"/>
          </w:tcPr>
          <w:p>
            <w:pPr>
              <w:rPr>
                <w:rFonts w:hint="default" w:ascii="Times New Roman" w:hAnsi="Times New Roman" w:cs="Times New Roman"/>
                <w:sz w:val="20"/>
                <w:szCs w:val="20"/>
              </w:rPr>
            </w:pPr>
          </w:p>
        </w:tc>
        <w:tc>
          <w:tcPr>
            <w:tcW w:w="336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adjustRightInd w:val="0"/>
              <w:snapToGrid w:val="0"/>
              <w:spacing w:before="0" w:beforeAutospacing="0" w:after="0" w:afterAutospacing="0" w:line="240" w:lineRule="exac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主导风向上风向</w:t>
            </w:r>
            <w:r>
              <w:rPr>
                <w:rFonts w:hint="default" w:ascii="Times New Roman" w:hAnsi="Times New Roman" w:cs="Times New Roman"/>
                <w:color w:val="000000"/>
                <w:sz w:val="21"/>
                <w:szCs w:val="21"/>
                <w:bdr w:val="none" w:color="auto" w:sz="0" w:space="0"/>
                <w:lang w:val="en-US"/>
              </w:rPr>
              <w:t>1</w:t>
            </w:r>
            <w:r>
              <w:rPr>
                <w:rFonts w:ascii="Times New Roman" w:hAnsi="Times New Roman" w:cs="Times New Roman"/>
                <w:color w:val="000000"/>
                <w:sz w:val="21"/>
                <w:szCs w:val="21"/>
                <w:bdr w:val="none" w:color="auto" w:sz="0" w:space="0"/>
              </w:rPr>
              <w:t>个点位及下风向厂界外</w:t>
            </w:r>
            <w:r>
              <w:rPr>
                <w:rFonts w:hint="default" w:ascii="Times New Roman" w:hAnsi="Times New Roman" w:cs="Times New Roman"/>
                <w:color w:val="000000"/>
                <w:sz w:val="21"/>
                <w:szCs w:val="21"/>
                <w:bdr w:val="none" w:color="auto" w:sz="0" w:space="0"/>
                <w:lang w:val="en-US"/>
              </w:rPr>
              <w:t>10m</w:t>
            </w:r>
            <w:r>
              <w:rPr>
                <w:rFonts w:ascii="Times New Roman" w:hAnsi="Times New Roman" w:cs="Times New Roman"/>
                <w:color w:val="000000"/>
                <w:sz w:val="21"/>
                <w:szCs w:val="21"/>
                <w:bdr w:val="none" w:color="auto" w:sz="0" w:space="0"/>
              </w:rPr>
              <w:t>处，</w:t>
            </w:r>
            <w:r>
              <w:rPr>
                <w:rFonts w:hint="default" w:ascii="Times New Roman" w:hAnsi="Times New Roman" w:cs="Times New Roman"/>
                <w:color w:val="000000"/>
                <w:sz w:val="21"/>
                <w:szCs w:val="21"/>
                <w:bdr w:val="none" w:color="auto" w:sz="0" w:space="0"/>
                <w:lang w:val="en-US"/>
              </w:rPr>
              <w:t>2</w:t>
            </w:r>
            <w:r>
              <w:rPr>
                <w:rFonts w:ascii="Times New Roman" w:hAnsi="Times New Roman" w:cs="Times New Roman"/>
                <w:color w:val="000000"/>
                <w:sz w:val="21"/>
                <w:szCs w:val="21"/>
                <w:bdr w:val="none" w:color="auto" w:sz="0" w:space="0"/>
              </w:rPr>
              <w:t>个点位，共</w:t>
            </w:r>
            <w:r>
              <w:rPr>
                <w:rFonts w:hint="default" w:ascii="Times New Roman" w:hAnsi="Times New Roman" w:cs="Times New Roman"/>
                <w:color w:val="000000"/>
                <w:sz w:val="21"/>
                <w:szCs w:val="21"/>
                <w:bdr w:val="none" w:color="auto" w:sz="0" w:space="0"/>
                <w:lang w:val="en-US"/>
              </w:rPr>
              <w:t>3</w:t>
            </w:r>
            <w:r>
              <w:rPr>
                <w:rFonts w:ascii="Times New Roman" w:hAnsi="Times New Roman" w:cs="Times New Roman"/>
                <w:color w:val="000000"/>
                <w:sz w:val="21"/>
                <w:szCs w:val="21"/>
                <w:bdr w:val="none" w:color="auto" w:sz="0" w:space="0"/>
              </w:rPr>
              <w:t>个点位</w:t>
            </w:r>
          </w:p>
        </w:tc>
        <w:tc>
          <w:tcPr>
            <w:tcW w:w="2720" w:type="dxa"/>
            <w:tcBorders>
              <w:top w:val="single" w:color="auto" w:sz="6" w:space="0"/>
              <w:left w:val="single" w:color="auto" w:sz="6" w:space="0"/>
              <w:bottom w:val="single" w:color="auto" w:sz="6" w:space="0"/>
              <w:right w:val="single" w:color="auto" w:sz="6" w:space="0"/>
            </w:tcBorders>
            <w:shd w:val="clear"/>
            <w:vAlign w:val="center"/>
          </w:tcPr>
          <w:p>
            <w:pPr>
              <w:pStyle w:val="111"/>
              <w:widowControl/>
              <w:rPr>
                <w:rFonts w:hint="default" w:ascii="Times New Roman" w:hAnsi="Times New Roman" w:cs="Times New Roman"/>
                <w:color w:val="000000"/>
                <w:szCs w:val="21"/>
                <w:bdr w:val="none" w:color="auto" w:sz="0" w:space="0"/>
                <w:lang w:val="en-US"/>
              </w:rPr>
            </w:pPr>
            <w:r>
              <w:rPr>
                <w:rFonts w:ascii="Times New Roman" w:hAnsi="Times New Roman" w:cs="Times New Roman"/>
                <w:color w:val="000000"/>
                <w:szCs w:val="21"/>
                <w:bdr w:val="none" w:color="auto" w:sz="0" w:space="0"/>
              </w:rPr>
              <w:t>颗粒物</w:t>
            </w:r>
          </w:p>
        </w:tc>
        <w:tc>
          <w:tcPr>
            <w:tcW w:w="1669"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bCs/>
                <w:color w:val="000000"/>
                <w:sz w:val="21"/>
                <w:szCs w:val="21"/>
                <w:bdr w:val="none" w:color="auto" w:sz="0" w:space="0"/>
              </w:rPr>
              <w:t>一次</w:t>
            </w:r>
            <w:r>
              <w:rPr>
                <w:rFonts w:hint="default" w:ascii="Times New Roman" w:hAnsi="Times New Roman" w:cs="Times New Roman"/>
                <w:bCs/>
                <w:color w:val="000000"/>
                <w:sz w:val="21"/>
                <w:szCs w:val="21"/>
                <w:bdr w:val="none" w:color="auto" w:sz="0" w:space="0"/>
                <w:lang w:val="en-US"/>
              </w:rPr>
              <w:t>/</w:t>
            </w:r>
            <w:r>
              <w:rPr>
                <w:rFonts w:ascii="Times New Roman" w:hAnsi="Times New Roman" w:cs="Times New Roman"/>
                <w:bCs/>
                <w:color w:val="000000"/>
                <w:sz w:val="21"/>
                <w:szCs w:val="21"/>
                <w:bdr w:val="none" w:color="auto" w:sz="0" w:space="0"/>
              </w:rPr>
              <w:t>半年</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68" w:hRule="atLeast"/>
          <w:jc w:val="center"/>
        </w:trPr>
        <w:tc>
          <w:tcPr>
            <w:tcW w:w="664" w:type="dxa"/>
            <w:tcBorders>
              <w:top w:val="single" w:color="auto" w:sz="4"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固废</w:t>
            </w:r>
          </w:p>
        </w:tc>
        <w:tc>
          <w:tcPr>
            <w:tcW w:w="3361"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全厂各类固废</w:t>
            </w:r>
          </w:p>
        </w:tc>
        <w:tc>
          <w:tcPr>
            <w:tcW w:w="2720" w:type="dxa"/>
            <w:tcBorders>
              <w:top w:val="single" w:color="auto" w:sz="6" w:space="0"/>
              <w:left w:val="single" w:color="auto" w:sz="6" w:space="0"/>
              <w:bottom w:val="single" w:color="auto" w:sz="6" w:space="0"/>
              <w:right w:val="single" w:color="auto" w:sz="6" w:space="0"/>
            </w:tcBorders>
            <w:shd w:val="clear"/>
            <w:vAlign w:val="center"/>
          </w:tcPr>
          <w:p>
            <w:pPr>
              <w:pStyle w:val="111"/>
              <w:widowControl/>
              <w:rPr>
                <w:rFonts w:hint="default" w:ascii="Times New Roman" w:hAnsi="Times New Roman" w:cs="Times New Roman"/>
                <w:color w:val="000000"/>
                <w:szCs w:val="21"/>
                <w:bdr w:val="none" w:color="auto" w:sz="0" w:space="0"/>
                <w:lang w:val="en-US"/>
              </w:rPr>
            </w:pPr>
            <w:r>
              <w:rPr>
                <w:rFonts w:ascii="Times New Roman" w:hAnsi="Times New Roman" w:cs="Times New Roman"/>
                <w:color w:val="000000"/>
                <w:szCs w:val="21"/>
                <w:bdr w:val="none" w:color="auto" w:sz="0" w:space="0"/>
              </w:rPr>
              <w:t>统计产生量、处置方式</w:t>
            </w:r>
          </w:p>
        </w:tc>
        <w:tc>
          <w:tcPr>
            <w:tcW w:w="1669"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每年一次</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68" w:hRule="atLeast"/>
          <w:jc w:val="center"/>
        </w:trPr>
        <w:tc>
          <w:tcPr>
            <w:tcW w:w="664" w:type="dxa"/>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噪声</w:t>
            </w:r>
          </w:p>
        </w:tc>
        <w:tc>
          <w:tcPr>
            <w:tcW w:w="3361"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四个厂界外</w:t>
            </w:r>
            <w:r>
              <w:rPr>
                <w:rFonts w:hint="default" w:ascii="Times New Roman" w:hAnsi="Times New Roman" w:cs="Times New Roman"/>
                <w:color w:val="000000"/>
                <w:sz w:val="21"/>
                <w:szCs w:val="21"/>
                <w:bdr w:val="none" w:color="auto" w:sz="0" w:space="0"/>
                <w:lang w:val="en-US"/>
              </w:rPr>
              <w:t>1m</w:t>
            </w:r>
            <w:r>
              <w:rPr>
                <w:rFonts w:ascii="Times New Roman" w:hAnsi="Times New Roman" w:cs="Times New Roman"/>
                <w:color w:val="000000"/>
                <w:sz w:val="21"/>
                <w:szCs w:val="21"/>
                <w:bdr w:val="none" w:color="auto" w:sz="0" w:space="0"/>
              </w:rPr>
              <w:t>处</w:t>
            </w:r>
          </w:p>
        </w:tc>
        <w:tc>
          <w:tcPr>
            <w:tcW w:w="2720" w:type="dxa"/>
            <w:tcBorders>
              <w:top w:val="single" w:color="auto" w:sz="6" w:space="0"/>
              <w:left w:val="single" w:color="auto" w:sz="6" w:space="0"/>
              <w:bottom w:val="thickThinSmallGap" w:color="auto" w:sz="12" w:space="0"/>
              <w:right w:val="single" w:color="auto" w:sz="6" w:space="0"/>
            </w:tcBorders>
            <w:shd w:val="clear"/>
            <w:vAlign w:val="center"/>
          </w:tcPr>
          <w:p>
            <w:pPr>
              <w:pStyle w:val="111"/>
              <w:widowControl/>
              <w:rPr>
                <w:rFonts w:hint="default" w:ascii="Times New Roman" w:hAnsi="Times New Roman" w:cs="Times New Roman"/>
                <w:color w:val="000000"/>
                <w:szCs w:val="21"/>
                <w:bdr w:val="none" w:color="auto" w:sz="0" w:space="0"/>
                <w:lang w:val="en-US"/>
              </w:rPr>
            </w:pPr>
            <w:r>
              <w:rPr>
                <w:rFonts w:ascii="Times New Roman" w:hAnsi="Times New Roman" w:cs="Times New Roman"/>
                <w:color w:val="000000"/>
                <w:szCs w:val="21"/>
                <w:bdr w:val="none" w:color="auto" w:sz="0" w:space="0"/>
              </w:rPr>
              <w:t>昼间、夜间等效连续</w:t>
            </w:r>
            <w:r>
              <w:rPr>
                <w:rFonts w:hint="default" w:ascii="Times New Roman" w:hAnsi="Times New Roman" w:cs="Times New Roman"/>
                <w:color w:val="000000"/>
                <w:szCs w:val="21"/>
                <w:bdr w:val="none" w:color="auto" w:sz="0" w:space="0"/>
                <w:lang w:val="en-US"/>
              </w:rPr>
              <w:t>A</w:t>
            </w:r>
            <w:r>
              <w:rPr>
                <w:rFonts w:ascii="Times New Roman" w:hAnsi="Times New Roman" w:cs="Times New Roman"/>
                <w:color w:val="000000"/>
                <w:szCs w:val="21"/>
                <w:bdr w:val="none" w:color="auto" w:sz="0" w:space="0"/>
              </w:rPr>
              <w:t>声级</w:t>
            </w:r>
          </w:p>
        </w:tc>
        <w:tc>
          <w:tcPr>
            <w:tcW w:w="1669" w:type="dxa"/>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每季一次</w:t>
            </w:r>
          </w:p>
        </w:tc>
      </w:tr>
    </w:tbl>
    <w:p>
      <w:pPr>
        <w:keepNext w:val="0"/>
        <w:keepLines w:val="0"/>
        <w:widowControl/>
        <w:suppressLineNumbers w:val="0"/>
        <w:tabs>
          <w:tab w:val="left" w:pos="0"/>
        </w:tabs>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宋体" w:cs="Times New Roman"/>
          <w:color w:val="000000"/>
          <w:kern w:val="0"/>
          <w:sz w:val="24"/>
          <w:szCs w:val="24"/>
          <w:lang w:val="en-US" w:eastAsia="zh-CN" w:bidi="ar"/>
        </w:rPr>
        <w:t>8.4-2</w:t>
      </w:r>
      <w:r>
        <w:rPr>
          <w:rFonts w:hint="default" w:ascii="Times New Roman" w:hAnsi="Times New Roman" w:eastAsia="黑体" w:cs="Times New Roman"/>
          <w:color w:val="000000"/>
          <w:kern w:val="0"/>
          <w:sz w:val="24"/>
          <w:szCs w:val="24"/>
          <w:lang w:val="en-US" w:eastAsia="zh-CN" w:bidi="ar"/>
        </w:rPr>
        <w:t xml:space="preserve">  </w:t>
      </w:r>
      <w:r>
        <w:rPr>
          <w:rFonts w:hint="eastAsia" w:ascii="Times New Roman" w:hAnsi="Times New Roman" w:eastAsia="黑体" w:cs="Times New Roman"/>
          <w:color w:val="000000"/>
          <w:kern w:val="0"/>
          <w:sz w:val="24"/>
          <w:szCs w:val="24"/>
          <w:lang w:val="en-US" w:eastAsia="zh-CN" w:bidi="ar"/>
        </w:rPr>
        <w:t>营运期环境监测计划一览表</w:t>
      </w:r>
    </w:p>
    <w:tbl>
      <w:tblPr>
        <w:tblStyle w:val="32"/>
        <w:tblW w:w="0" w:type="auto"/>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fixed"/>
        <w:tblCellMar>
          <w:top w:w="0" w:type="dxa"/>
          <w:left w:w="108" w:type="dxa"/>
          <w:bottom w:w="0" w:type="dxa"/>
          <w:right w:w="108" w:type="dxa"/>
        </w:tblCellMar>
      </w:tblPr>
      <w:tblGrid>
        <w:gridCol w:w="1192"/>
        <w:gridCol w:w="2833"/>
        <w:gridCol w:w="1459"/>
        <w:gridCol w:w="2931"/>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97" w:hRule="atLeast"/>
          <w:tblHeader/>
          <w:jc w:val="center"/>
        </w:trPr>
        <w:tc>
          <w:tcPr>
            <w:tcW w:w="1192" w:type="dxa"/>
            <w:tcBorders>
              <w:top w:val="thinThickSmallGap" w:color="auto" w:sz="12" w:space="0"/>
              <w:left w:val="nil"/>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项目</w:t>
            </w:r>
          </w:p>
        </w:tc>
        <w:tc>
          <w:tcPr>
            <w:tcW w:w="2833" w:type="dxa"/>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监测点位</w:t>
            </w:r>
          </w:p>
        </w:tc>
        <w:tc>
          <w:tcPr>
            <w:tcW w:w="1459" w:type="dxa"/>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监测内容</w:t>
            </w:r>
          </w:p>
        </w:tc>
        <w:tc>
          <w:tcPr>
            <w:tcW w:w="2931" w:type="dxa"/>
            <w:tcBorders>
              <w:top w:val="thinThickSmallGap" w:color="auto" w:sz="12" w:space="0"/>
              <w:left w:val="single" w:color="auto" w:sz="6" w:space="0"/>
              <w:bottom w:val="single" w:color="auto" w:sz="6" w:space="0"/>
              <w:right w:val="nil"/>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监测频次</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92"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环境空气</w:t>
            </w:r>
          </w:p>
        </w:tc>
        <w:tc>
          <w:tcPr>
            <w:tcW w:w="2833"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范家峪村</w:t>
            </w:r>
          </w:p>
        </w:tc>
        <w:tc>
          <w:tcPr>
            <w:tcW w:w="1459" w:type="dxa"/>
            <w:tcBorders>
              <w:top w:val="single" w:color="auto" w:sz="6" w:space="0"/>
              <w:left w:val="single" w:color="auto" w:sz="6" w:space="0"/>
              <w:bottom w:val="single" w:color="auto" w:sz="6" w:space="0"/>
              <w:right w:val="single" w:color="auto" w:sz="6" w:space="0"/>
            </w:tcBorders>
            <w:shd w:val="clear"/>
            <w:vAlign w:val="center"/>
          </w:tcPr>
          <w:p>
            <w:pPr>
              <w:pStyle w:val="111"/>
              <w:widowControl/>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TSP</w:t>
            </w:r>
          </w:p>
        </w:tc>
        <w:tc>
          <w:tcPr>
            <w:tcW w:w="2931"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bCs/>
                <w:color w:val="000000"/>
                <w:sz w:val="21"/>
                <w:szCs w:val="21"/>
                <w:bdr w:val="none" w:color="auto" w:sz="0" w:space="0"/>
              </w:rPr>
              <w:t>一次</w:t>
            </w:r>
            <w:r>
              <w:rPr>
                <w:rFonts w:hint="default" w:ascii="Times New Roman" w:hAnsi="Times New Roman" w:cs="Times New Roman"/>
                <w:bCs/>
                <w:color w:val="000000"/>
                <w:sz w:val="21"/>
                <w:szCs w:val="21"/>
                <w:bdr w:val="none" w:color="auto" w:sz="0" w:space="0"/>
                <w:lang w:val="en-US"/>
              </w:rPr>
              <w:t>/</w:t>
            </w:r>
            <w:r>
              <w:rPr>
                <w:rFonts w:ascii="Times New Roman" w:hAnsi="Times New Roman" w:cs="Times New Roman"/>
                <w:bCs/>
                <w:color w:val="000000"/>
                <w:sz w:val="21"/>
                <w:szCs w:val="21"/>
                <w:bdr w:val="none" w:color="auto" w:sz="0" w:space="0"/>
              </w:rPr>
              <w:t>半年</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92" w:type="dxa"/>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噪声</w:t>
            </w:r>
          </w:p>
        </w:tc>
        <w:tc>
          <w:tcPr>
            <w:tcW w:w="2833"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厂界噪声（厂界外</w:t>
            </w:r>
            <w:r>
              <w:rPr>
                <w:rFonts w:hint="default" w:ascii="Times New Roman" w:hAnsi="Times New Roman" w:cs="Times New Roman"/>
                <w:color w:val="000000"/>
                <w:sz w:val="21"/>
                <w:szCs w:val="21"/>
                <w:bdr w:val="none" w:color="auto" w:sz="0" w:space="0"/>
                <w:lang w:val="en-US"/>
              </w:rPr>
              <w:t>1m</w:t>
            </w:r>
            <w:r>
              <w:rPr>
                <w:rFonts w:ascii="Times New Roman" w:hAnsi="Times New Roman" w:cs="Times New Roman"/>
                <w:color w:val="000000"/>
                <w:sz w:val="21"/>
                <w:szCs w:val="21"/>
                <w:bdr w:val="none" w:color="auto" w:sz="0" w:space="0"/>
              </w:rPr>
              <w:t>、高度</w:t>
            </w:r>
            <w:r>
              <w:rPr>
                <w:rFonts w:hint="default" w:ascii="Times New Roman" w:hAnsi="Times New Roman" w:cs="Times New Roman"/>
                <w:color w:val="000000"/>
                <w:sz w:val="21"/>
                <w:szCs w:val="21"/>
                <w:bdr w:val="none" w:color="auto" w:sz="0" w:space="0"/>
                <w:lang w:val="en-US"/>
              </w:rPr>
              <w:t>1.2m</w:t>
            </w:r>
            <w:r>
              <w:rPr>
                <w:rFonts w:ascii="Times New Roman" w:hAnsi="Times New Roman" w:cs="Times New Roman"/>
                <w:color w:val="000000"/>
                <w:sz w:val="21"/>
                <w:szCs w:val="21"/>
                <w:bdr w:val="none" w:color="auto" w:sz="0" w:space="0"/>
              </w:rPr>
              <w:t>以上，有围墙处，高于围墙</w:t>
            </w:r>
            <w:r>
              <w:rPr>
                <w:rFonts w:hint="default" w:ascii="Times New Roman" w:hAnsi="Times New Roman" w:cs="Times New Roman"/>
                <w:color w:val="000000"/>
                <w:sz w:val="21"/>
                <w:szCs w:val="21"/>
                <w:bdr w:val="none" w:color="auto" w:sz="0" w:space="0"/>
                <w:lang w:val="en-US"/>
              </w:rPr>
              <w:t>0.5</w:t>
            </w:r>
            <w:r>
              <w:rPr>
                <w:rFonts w:ascii="Times New Roman" w:hAnsi="Times New Roman" w:cs="Times New Roman"/>
                <w:color w:val="000000"/>
                <w:sz w:val="21"/>
                <w:szCs w:val="21"/>
                <w:bdr w:val="none" w:color="auto" w:sz="0" w:space="0"/>
              </w:rPr>
              <w:t>以上，距离任一反射面距离不小于</w:t>
            </w:r>
            <w:r>
              <w:rPr>
                <w:rFonts w:hint="default" w:ascii="Times New Roman" w:hAnsi="Times New Roman" w:cs="Times New Roman"/>
                <w:color w:val="000000"/>
                <w:sz w:val="21"/>
                <w:szCs w:val="21"/>
                <w:bdr w:val="none" w:color="auto" w:sz="0" w:space="0"/>
                <w:lang w:val="en-US"/>
              </w:rPr>
              <w:t>1m</w:t>
            </w:r>
            <w:r>
              <w:rPr>
                <w:rFonts w:ascii="Times New Roman" w:hAnsi="Times New Roman" w:cs="Times New Roman"/>
                <w:color w:val="000000"/>
                <w:sz w:val="21"/>
                <w:szCs w:val="21"/>
                <w:bdr w:val="none" w:color="auto" w:sz="0" w:space="0"/>
              </w:rPr>
              <w:t>。）</w:t>
            </w:r>
          </w:p>
        </w:tc>
        <w:tc>
          <w:tcPr>
            <w:tcW w:w="1459" w:type="dxa"/>
            <w:tcBorders>
              <w:top w:val="single" w:color="auto" w:sz="6" w:space="0"/>
              <w:left w:val="single" w:color="auto" w:sz="6" w:space="0"/>
              <w:bottom w:val="single" w:color="auto" w:sz="6" w:space="0"/>
              <w:right w:val="single" w:color="auto" w:sz="6" w:space="0"/>
            </w:tcBorders>
            <w:shd w:val="clear"/>
            <w:vAlign w:val="center"/>
          </w:tcPr>
          <w:p>
            <w:pPr>
              <w:pStyle w:val="111"/>
              <w:widowControl/>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szCs w:val="21"/>
                <w:bdr w:val="none" w:color="auto" w:sz="0" w:space="0"/>
                <w:lang w:val="en-US"/>
              </w:rPr>
              <w:t>Leq(A)</w:t>
            </w:r>
          </w:p>
        </w:tc>
        <w:tc>
          <w:tcPr>
            <w:tcW w:w="2931" w:type="dxa"/>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每季度</w:t>
            </w:r>
            <w:r>
              <w:rPr>
                <w:rFonts w:hint="default" w:ascii="Times New Roman" w:hAnsi="Times New Roman" w:cs="Times New Roman"/>
                <w:color w:val="000000"/>
                <w:sz w:val="21"/>
                <w:szCs w:val="21"/>
                <w:bdr w:val="none" w:color="auto" w:sz="0" w:space="0"/>
                <w:lang w:val="en-US"/>
              </w:rPr>
              <w:t>1</w:t>
            </w:r>
            <w:r>
              <w:rPr>
                <w:rFonts w:ascii="Times New Roman" w:hAnsi="Times New Roman" w:cs="Times New Roman"/>
                <w:color w:val="000000"/>
                <w:sz w:val="21"/>
                <w:szCs w:val="21"/>
                <w:bdr w:val="none" w:color="auto" w:sz="0" w:space="0"/>
              </w:rPr>
              <w:t>次，每期连续监测</w:t>
            </w:r>
            <w:r>
              <w:rPr>
                <w:rFonts w:hint="default" w:ascii="Times New Roman" w:hAnsi="Times New Roman" w:cs="Times New Roman"/>
                <w:color w:val="000000"/>
                <w:sz w:val="21"/>
                <w:szCs w:val="21"/>
                <w:bdr w:val="none" w:color="auto" w:sz="0" w:space="0"/>
                <w:lang w:val="en-US"/>
              </w:rPr>
              <w:t>2</w:t>
            </w:r>
            <w:r>
              <w:rPr>
                <w:rFonts w:ascii="Times New Roman" w:hAnsi="Times New Roman" w:cs="Times New Roman"/>
                <w:color w:val="000000"/>
                <w:sz w:val="21"/>
                <w:szCs w:val="21"/>
                <w:bdr w:val="none" w:color="auto" w:sz="0" w:space="0"/>
              </w:rPr>
              <w:t>天，每天昼夜各测一次，测量时段应该在设备正常运行工况的条件下进行。</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92" w:type="dxa"/>
            <w:vMerge w:val="restar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地下水</w:t>
            </w:r>
          </w:p>
        </w:tc>
        <w:tc>
          <w:tcPr>
            <w:tcW w:w="2833" w:type="dxa"/>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场区东北侧</w:t>
            </w:r>
          </w:p>
        </w:tc>
        <w:tc>
          <w:tcPr>
            <w:tcW w:w="1459" w:type="dxa"/>
            <w:vMerge w:val="restart"/>
            <w:tcBorders>
              <w:top w:val="single" w:color="auto" w:sz="6" w:space="0"/>
              <w:left w:val="single" w:color="auto" w:sz="6" w:space="0"/>
              <w:bottom w:val="thickThinSmallGap" w:color="auto" w:sz="12" w:space="0"/>
              <w:right w:val="single" w:color="auto" w:sz="6" w:space="0"/>
            </w:tcBorders>
            <w:shd w:val="clear"/>
            <w:vAlign w:val="center"/>
          </w:tcPr>
          <w:p>
            <w:pPr>
              <w:pStyle w:val="111"/>
              <w:widowControl/>
              <w:rPr>
                <w:rFonts w:hint="default" w:ascii="Times New Roman" w:hAnsi="Times New Roman" w:cs="Times New Roman"/>
                <w:color w:val="000000"/>
                <w:szCs w:val="21"/>
                <w:bdr w:val="none" w:color="auto" w:sz="0" w:space="0"/>
                <w:lang w:val="en-US"/>
              </w:rPr>
            </w:pPr>
            <w:r>
              <w:rPr>
                <w:rFonts w:hint="default" w:ascii="Times New Roman" w:hAnsi="Times New Roman" w:cs="Times New Roman"/>
                <w:color w:val="000000"/>
                <w:bdr w:val="none" w:color="auto" w:sz="0" w:space="0"/>
                <w:lang w:val="en-US"/>
              </w:rPr>
              <w:t>pH</w:t>
            </w:r>
            <w:r>
              <w:rPr>
                <w:rFonts w:ascii="Times New Roman" w:hAnsi="Times New Roman" w:cs="Times New Roman"/>
                <w:color w:val="000000"/>
                <w:bdr w:val="none" w:color="auto" w:sz="0" w:space="0"/>
              </w:rPr>
              <w:t>、</w:t>
            </w:r>
            <w:r>
              <w:rPr>
                <w:rFonts w:ascii="Times New Roman" w:hAnsi="Times New Roman" w:cs="Times New Roman"/>
                <w:color w:val="000000"/>
                <w:szCs w:val="21"/>
                <w:bdr w:val="none" w:color="auto" w:sz="0" w:space="0"/>
              </w:rPr>
              <w:t>氨氮、耗氧量、石油类</w:t>
            </w:r>
            <w:r>
              <w:rPr>
                <w:rFonts w:ascii="Times New Roman" w:hAnsi="Times New Roman" w:cs="Times New Roman"/>
                <w:color w:val="000000"/>
                <w:bdr w:val="none" w:color="auto" w:sz="0" w:space="0"/>
              </w:rPr>
              <w:t>、</w:t>
            </w:r>
            <w:r>
              <w:rPr>
                <w:rFonts w:hint="default" w:ascii="Times New Roman" w:hAnsi="Times New Roman" w:cs="Times New Roman"/>
                <w:color w:val="000000"/>
                <w:bdr w:val="none" w:color="auto" w:sz="0" w:space="0"/>
                <w:lang w:val="en-US"/>
              </w:rPr>
              <w:t>Mg</w:t>
            </w:r>
            <w:r>
              <w:rPr>
                <w:rFonts w:hint="default" w:ascii="Times New Roman" w:hAnsi="Times New Roman" w:cs="Times New Roman"/>
                <w:color w:val="000000"/>
                <w:bdr w:val="none" w:color="auto" w:sz="0" w:space="0"/>
                <w:vertAlign w:val="superscript"/>
                <w:lang w:val="en-US"/>
              </w:rPr>
              <w:t>2+</w:t>
            </w:r>
            <w:r>
              <w:rPr>
                <w:rFonts w:ascii="Times New Roman" w:hAnsi="Times New Roman" w:cs="Times New Roman"/>
                <w:color w:val="000000"/>
                <w:szCs w:val="21"/>
                <w:bdr w:val="none" w:color="auto" w:sz="0" w:space="0"/>
              </w:rPr>
              <w:t>等</w:t>
            </w:r>
          </w:p>
        </w:tc>
        <w:tc>
          <w:tcPr>
            <w:tcW w:w="2931" w:type="dxa"/>
            <w:vMerge w:val="restar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4"/>
                <w:bdr w:val="none" w:color="auto" w:sz="0" w:space="0"/>
              </w:rPr>
              <w:t>每年枯水期采样一次</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92" w:type="dxa"/>
            <w:vMerge w:val="continue"/>
            <w:tcBorders>
              <w:top w:val="single" w:color="auto" w:sz="6" w:space="0"/>
              <w:left w:val="nil"/>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2833" w:type="dxa"/>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场区西侧</w:t>
            </w:r>
          </w:p>
        </w:tc>
        <w:tc>
          <w:tcPr>
            <w:tcW w:w="1459" w:type="dxa"/>
            <w:vMerge w:val="continue"/>
            <w:tcBorders>
              <w:top w:val="single" w:color="auto" w:sz="6" w:space="0"/>
              <w:left w:val="single" w:color="auto" w:sz="6" w:space="0"/>
              <w:bottom w:val="thickThinSmallGap" w:color="auto" w:sz="12" w:space="0"/>
              <w:right w:val="single" w:color="auto" w:sz="6" w:space="0"/>
            </w:tcBorders>
            <w:shd w:val="clear"/>
            <w:vAlign w:val="center"/>
          </w:tcPr>
          <w:p>
            <w:pPr>
              <w:rPr>
                <w:rFonts w:hint="default" w:ascii="Times New Roman" w:hAnsi="Times New Roman" w:cs="Times New Roman"/>
                <w:sz w:val="20"/>
                <w:szCs w:val="20"/>
              </w:rPr>
            </w:pPr>
          </w:p>
        </w:tc>
        <w:tc>
          <w:tcPr>
            <w:tcW w:w="2931" w:type="dxa"/>
            <w:vMerge w:val="continue"/>
            <w:tcBorders>
              <w:top w:val="single" w:color="auto" w:sz="6" w:space="0"/>
              <w:left w:val="single" w:color="auto" w:sz="6" w:space="0"/>
              <w:bottom w:val="thickThinSmallGap" w:color="auto" w:sz="12" w:space="0"/>
              <w:right w:val="nil"/>
            </w:tcBorders>
            <w:shd w:val="clear"/>
            <w:vAlign w:val="center"/>
          </w:tcPr>
          <w:p>
            <w:pPr>
              <w:rPr>
                <w:rFonts w:hint="default" w:ascii="Times New Roman" w:hAnsi="Times New Roman" w:cs="Times New Roman"/>
                <w:sz w:val="20"/>
                <w:szCs w:val="20"/>
              </w:rPr>
            </w:pPr>
          </w:p>
        </w:tc>
      </w:tr>
    </w:tbl>
    <w:p>
      <w:pPr>
        <w:pStyle w:val="8"/>
        <w:widowControl/>
        <w:rPr>
          <w:color w:val="000000"/>
          <w:lang/>
        </w:rPr>
      </w:pPr>
      <w:bookmarkStart w:id="260" w:name="_Toc41656162"/>
      <w:r>
        <w:rPr>
          <w:color w:val="000000"/>
          <w:lang/>
        </w:rPr>
        <w:t xml:space="preserve">8.5 </w:t>
      </w:r>
      <w:r>
        <w:rPr>
          <w:rFonts w:hint="eastAsia" w:ascii="Times New Roman" w:hAnsi="Times New Roman" w:eastAsia="宋体" w:cs="宋体"/>
          <w:color w:val="000000"/>
          <w:lang w:eastAsia="zh-CN"/>
        </w:rPr>
        <w:t>环境信息公开制度</w:t>
      </w:r>
      <w:bookmarkEnd w:id="260"/>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8</w:t>
      </w:r>
      <w:r>
        <w:rPr>
          <w:rFonts w:hint="default" w:ascii="Times New Roman" w:hAnsi="Times New Roman" w:cs="Times New Roman"/>
          <w:color w:val="000000"/>
          <w:lang/>
        </w:rPr>
        <w:t>.</w:t>
      </w:r>
      <w:r>
        <w:rPr>
          <w:rFonts w:hint="default" w:ascii="Times New Roman" w:hAnsi="Times New Roman" w:cs="Times New Roman"/>
          <w:color w:val="000000"/>
          <w:lang w:eastAsia="zh-CN"/>
        </w:rPr>
        <w:t>5</w:t>
      </w:r>
      <w:r>
        <w:rPr>
          <w:rFonts w:hint="default" w:ascii="Times New Roman" w:hAnsi="Times New Roman" w:cs="Times New Roman"/>
          <w:color w:val="000000"/>
          <w:lang/>
        </w:rPr>
        <w:t xml:space="preserve">.1 </w:t>
      </w:r>
      <w:r>
        <w:rPr>
          <w:rFonts w:ascii="Times New Roman" w:hAnsi="Times New Roman" w:cs="Times New Roman"/>
          <w:color w:val="000000"/>
          <w:lang/>
        </w:rPr>
        <w:t>环境信息公开内容</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按照环保部《企业事业单位环境信息公开办法》、《环境信息公开办法（试行）》等的相关要求，建设单位应制定相应的环境信息公开制度，定期向公众公布企业的环境信息，包括的内容如下：</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（一）基础信息，包括单位名称、组织机构代码、法定代表人、生产地址、联系方式，以及生产经营和管理服务的主要内容、产品及规模；</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（二）排污信息，包括主要污染物及特征污染物的名称、排放方式、排放口数量和分布情况、排放浓度和总量、超标情况，以及执行的污染物排放标准、核定的排放总量；</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（三）防治污染设施的建设和运行情况；</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（四）建设项目环境影响评价及其他环境保护行政许可情况；</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（五）突发环境事件应急预案；</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（六）环境自行监测方案；</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（七）其他应当公开的环境信息。</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8</w:t>
      </w:r>
      <w:r>
        <w:rPr>
          <w:rFonts w:hint="default" w:ascii="Times New Roman" w:hAnsi="Times New Roman" w:cs="Times New Roman"/>
          <w:color w:val="000000"/>
          <w:lang/>
        </w:rPr>
        <w:t>.</w:t>
      </w:r>
      <w:r>
        <w:rPr>
          <w:rFonts w:hint="default" w:ascii="Times New Roman" w:hAnsi="Times New Roman" w:cs="Times New Roman"/>
          <w:color w:val="000000"/>
          <w:lang w:eastAsia="zh-CN"/>
        </w:rPr>
        <w:t>5</w:t>
      </w:r>
      <w:r>
        <w:rPr>
          <w:rFonts w:hint="default" w:ascii="Times New Roman" w:hAnsi="Times New Roman" w:cs="Times New Roman"/>
          <w:color w:val="000000"/>
          <w:lang/>
        </w:rPr>
        <w:t xml:space="preserve">.2 </w:t>
      </w:r>
      <w:r>
        <w:rPr>
          <w:rFonts w:ascii="Times New Roman" w:hAnsi="Times New Roman" w:cs="Times New Roman"/>
          <w:color w:val="000000"/>
          <w:lang/>
        </w:rPr>
        <w:t>环境信息公开方式</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环境信息公开可以通过其网站、企业事业单位环境信息公开平台或者当地报刊等便于公众知晓的方式公开环境信息，同时可以采取以下一种或者几种方式予以公开：</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（一）公告或者公开发行的信息专刊；</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（二）广播、电视等新闻媒体；</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（三）信息公开服务、监督热线电话；</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（四）本单位的资料索取点、信息公开栏、信息亭、电子屏幕、电子触摸屏等场所或者设施；</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（五）其他便于公众及时、准确获得信息的方式。</w:t>
      </w:r>
    </w:p>
    <w:p>
      <w:pPr>
        <w:pStyle w:val="8"/>
        <w:widowControl/>
        <w:rPr>
          <w:color w:val="000000"/>
          <w:lang/>
        </w:rPr>
      </w:pPr>
      <w:bookmarkStart w:id="261" w:name="_Toc41656163"/>
      <w:r>
        <w:rPr>
          <w:color w:val="000000"/>
          <w:lang/>
        </w:rPr>
        <w:t xml:space="preserve">8.6 </w:t>
      </w:r>
      <w:r>
        <w:rPr>
          <w:rFonts w:hint="eastAsia" w:ascii="Times New Roman" w:hAnsi="Times New Roman" w:eastAsia="宋体" w:cs="宋体"/>
          <w:color w:val="000000"/>
          <w:lang w:eastAsia="zh-CN"/>
        </w:rPr>
        <w:t>排污口规范化管理</w:t>
      </w:r>
      <w:bookmarkEnd w:id="261"/>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排污口是污染物进入环境、对环境产生影响的通道。强化排污口的管理是实施污染物总量控制的基础工作之一，也是区域环境管理逐步实现污染物排放科学化、定量化的重要手段。</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8</w:t>
      </w:r>
      <w:r>
        <w:rPr>
          <w:rFonts w:hint="default" w:ascii="Times New Roman" w:hAnsi="Times New Roman" w:cs="Times New Roman"/>
          <w:color w:val="000000"/>
          <w:lang/>
        </w:rPr>
        <w:t>.</w:t>
      </w:r>
      <w:r>
        <w:rPr>
          <w:rFonts w:hint="default" w:ascii="Times New Roman" w:hAnsi="Times New Roman" w:cs="Times New Roman"/>
          <w:color w:val="000000"/>
          <w:lang w:eastAsia="zh-CN"/>
        </w:rPr>
        <w:t>6</w:t>
      </w:r>
      <w:r>
        <w:rPr>
          <w:rFonts w:hint="default" w:ascii="Times New Roman" w:hAnsi="Times New Roman" w:cs="Times New Roman"/>
          <w:color w:val="000000"/>
          <w:lang/>
        </w:rPr>
        <w:t xml:space="preserve">.1 </w:t>
      </w:r>
      <w:r>
        <w:rPr>
          <w:rFonts w:ascii="Times New Roman" w:hAnsi="Times New Roman" w:cs="Times New Roman"/>
          <w:color w:val="000000"/>
          <w:lang/>
        </w:rPr>
        <w:t>排污口规范化要求</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根据国家环保总局环发</w:t>
      </w:r>
      <w:r>
        <w:rPr>
          <w:rFonts w:hint="default" w:ascii="Times New Roman" w:hAnsi="Times New Roman" w:eastAsia="宋体" w:cs="Times New Roman"/>
          <w:bCs/>
          <w:color w:val="000000"/>
          <w:kern w:val="0"/>
          <w:sz w:val="24"/>
          <w:szCs w:val="24"/>
          <w:lang w:val="en-US" w:eastAsia="zh-CN" w:bidi="ar"/>
        </w:rPr>
        <w:t>[1999]24</w:t>
      </w:r>
      <w:r>
        <w:rPr>
          <w:rFonts w:hint="eastAsia" w:ascii="Times New Roman" w:hAnsi="Times New Roman" w:eastAsia="宋体" w:cs="Times New Roman"/>
          <w:bCs/>
          <w:color w:val="000000"/>
          <w:kern w:val="0"/>
          <w:sz w:val="24"/>
          <w:szCs w:val="24"/>
          <w:lang w:val="en-US" w:eastAsia="zh-CN" w:bidi="ar"/>
        </w:rPr>
        <w:t>号文《关于开展排污口规范化整治工作的通知》精神，一切新建、扩建、改建的排污单位必须在建设污染防治设施的同时，建设规范化排污口，作为落实环境保护三同时制度的必要组成和项目验收内容之一，本次评价对项目排污口提出以下要求：</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color w:val="000000"/>
          <w:lang w:val="en-US"/>
        </w:rPr>
      </w:pPr>
      <w:r>
        <w:rPr>
          <w:rFonts w:hint="eastAsia" w:ascii="Times New Roman" w:hAnsi="Times New Roman" w:eastAsia="宋体" w:cs="Times New Roman"/>
          <w:b/>
          <w:color w:val="000000"/>
          <w:kern w:val="0"/>
          <w:sz w:val="24"/>
          <w:szCs w:val="24"/>
          <w:lang w:val="en-US" w:eastAsia="zh-CN" w:bidi="ar"/>
        </w:rPr>
        <w:t>（</w:t>
      </w:r>
      <w:r>
        <w:rPr>
          <w:rFonts w:hint="default" w:ascii="Times New Roman" w:hAnsi="Times New Roman" w:eastAsia="宋体" w:cs="Times New Roman"/>
          <w:b/>
          <w:color w:val="000000"/>
          <w:kern w:val="0"/>
          <w:sz w:val="24"/>
          <w:szCs w:val="24"/>
          <w:lang w:val="en-US" w:eastAsia="zh-CN" w:bidi="ar"/>
        </w:rPr>
        <w:t>1</w:t>
      </w:r>
      <w:r>
        <w:rPr>
          <w:rFonts w:hint="eastAsia" w:ascii="Times New Roman" w:hAnsi="Times New Roman" w:eastAsia="宋体" w:cs="Times New Roman"/>
          <w:b/>
          <w:color w:val="000000"/>
          <w:kern w:val="0"/>
          <w:sz w:val="24"/>
          <w:szCs w:val="24"/>
          <w:lang w:val="en-US" w:eastAsia="zh-CN" w:bidi="ar"/>
        </w:rPr>
        <w:t>）排污口规范</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烟气排放口、除尘器及其它环保设施进出口应设置采样口，采样口的设置应符合《固定源废气监测技术规范》（</w:t>
      </w:r>
      <w:r>
        <w:rPr>
          <w:rFonts w:hint="default" w:ascii="Times New Roman" w:hAnsi="Times New Roman" w:eastAsia="宋体" w:cs="Times New Roman"/>
          <w:bCs/>
          <w:color w:val="000000"/>
          <w:kern w:val="0"/>
          <w:sz w:val="24"/>
          <w:szCs w:val="24"/>
          <w:lang w:val="en-US" w:eastAsia="zh-CN" w:bidi="ar"/>
        </w:rPr>
        <w:t>HJ/T397-2007</w:t>
      </w:r>
      <w:r>
        <w:rPr>
          <w:rFonts w:hint="eastAsia" w:ascii="Times New Roman" w:hAnsi="Times New Roman" w:eastAsia="宋体" w:cs="Times New Roman"/>
          <w:bCs/>
          <w:color w:val="000000"/>
          <w:kern w:val="0"/>
          <w:sz w:val="24"/>
          <w:szCs w:val="24"/>
          <w:lang w:val="en-US" w:eastAsia="zh-CN" w:bidi="ar"/>
        </w:rPr>
        <w:t>）以及固定污染源废气、烟气等监测规范中的相关要求，同时设置环境图形标志。</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color w:val="000000"/>
          <w:lang w:val="en-US"/>
        </w:rPr>
      </w:pPr>
      <w:r>
        <w:rPr>
          <w:rFonts w:hint="eastAsia" w:ascii="Times New Roman" w:hAnsi="Times New Roman" w:eastAsia="宋体" w:cs="Times New Roman"/>
          <w:b/>
          <w:color w:val="000000"/>
          <w:kern w:val="0"/>
          <w:sz w:val="24"/>
          <w:szCs w:val="24"/>
          <w:lang w:val="en-US" w:eastAsia="zh-CN" w:bidi="ar"/>
        </w:rPr>
        <w:t>（</w:t>
      </w:r>
      <w:r>
        <w:rPr>
          <w:rFonts w:hint="default" w:ascii="Times New Roman" w:hAnsi="Times New Roman" w:eastAsia="宋体" w:cs="Times New Roman"/>
          <w:b/>
          <w:color w:val="000000"/>
          <w:kern w:val="0"/>
          <w:sz w:val="24"/>
          <w:szCs w:val="24"/>
          <w:lang w:val="en-US" w:eastAsia="zh-CN" w:bidi="ar"/>
        </w:rPr>
        <w:t>2</w:t>
      </w:r>
      <w:r>
        <w:rPr>
          <w:rFonts w:hint="eastAsia" w:ascii="Times New Roman" w:hAnsi="Times New Roman" w:eastAsia="宋体" w:cs="Times New Roman"/>
          <w:b/>
          <w:color w:val="000000"/>
          <w:kern w:val="0"/>
          <w:sz w:val="24"/>
          <w:szCs w:val="24"/>
          <w:lang w:val="en-US" w:eastAsia="zh-CN" w:bidi="ar"/>
        </w:rPr>
        <w:t>）排污口立标要求</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污染物排放口的环保图形标志牌均应设置在靠近采样点，且醒目处，标志牌设置高度为其上边缘，距离地面约</w:t>
      </w:r>
      <w:r>
        <w:rPr>
          <w:rFonts w:hint="default" w:ascii="Times New Roman" w:hAnsi="Times New Roman" w:eastAsia="宋体" w:cs="Times New Roman"/>
          <w:bCs/>
          <w:color w:val="000000"/>
          <w:kern w:val="0"/>
          <w:sz w:val="24"/>
          <w:szCs w:val="24"/>
          <w:lang w:val="en-US" w:eastAsia="zh-CN" w:bidi="ar"/>
        </w:rPr>
        <w:t>2m</w:t>
      </w:r>
      <w:r>
        <w:rPr>
          <w:rFonts w:hint="eastAsia" w:ascii="Times New Roman" w:hAnsi="Times New Roman" w:eastAsia="宋体" w:cs="Times New Roman"/>
          <w:bCs/>
          <w:color w:val="000000"/>
          <w:kern w:val="0"/>
          <w:sz w:val="24"/>
          <w:szCs w:val="24"/>
          <w:lang w:val="en-US" w:eastAsia="zh-CN" w:bidi="ar"/>
        </w:rPr>
        <w:t>。以上环保标志图形应按照</w:t>
      </w:r>
      <w:r>
        <w:rPr>
          <w:rFonts w:hint="default" w:ascii="Times New Roman" w:hAnsi="Times New Roman" w:eastAsia="宋体" w:cs="Times New Roman"/>
          <w:bCs/>
          <w:color w:val="000000"/>
          <w:kern w:val="0"/>
          <w:sz w:val="24"/>
          <w:szCs w:val="24"/>
          <w:lang w:val="en-US" w:eastAsia="zh-CN" w:bidi="ar"/>
        </w:rPr>
        <w:t>GB15562.1</w:t>
      </w:r>
      <w:r>
        <w:rPr>
          <w:rFonts w:hint="eastAsia" w:ascii="Times New Roman" w:hAnsi="Times New Roman" w:eastAsia="宋体" w:cs="Times New Roman"/>
          <w:bCs/>
          <w:color w:val="000000"/>
          <w:kern w:val="0"/>
          <w:sz w:val="24"/>
          <w:szCs w:val="24"/>
          <w:lang w:val="en-US" w:eastAsia="zh-CN" w:bidi="ar"/>
        </w:rPr>
        <w:t>、</w:t>
      </w:r>
      <w:r>
        <w:rPr>
          <w:rFonts w:hint="default" w:ascii="Times New Roman" w:hAnsi="Times New Roman" w:eastAsia="宋体" w:cs="Times New Roman"/>
          <w:bCs/>
          <w:color w:val="000000"/>
          <w:kern w:val="0"/>
          <w:sz w:val="24"/>
          <w:szCs w:val="24"/>
          <w:lang w:val="en-US" w:eastAsia="zh-CN" w:bidi="ar"/>
        </w:rPr>
        <w:t>GB15562.2</w:t>
      </w:r>
      <w:r>
        <w:rPr>
          <w:rFonts w:hint="eastAsia" w:ascii="Times New Roman" w:hAnsi="Times New Roman" w:eastAsia="宋体" w:cs="Times New Roman"/>
          <w:bCs/>
          <w:color w:val="000000"/>
          <w:kern w:val="0"/>
          <w:sz w:val="24"/>
          <w:szCs w:val="24"/>
          <w:lang w:val="en-US" w:eastAsia="zh-CN" w:bidi="ar"/>
        </w:rPr>
        <w:t>规定进行制作和安装。</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color w:val="000000"/>
          <w:lang w:val="en-US"/>
        </w:rPr>
      </w:pPr>
      <w:r>
        <w:rPr>
          <w:rFonts w:hint="eastAsia" w:ascii="Times New Roman" w:hAnsi="Times New Roman" w:eastAsia="宋体" w:cs="Times New Roman"/>
          <w:b/>
          <w:color w:val="000000"/>
          <w:kern w:val="0"/>
          <w:sz w:val="24"/>
          <w:szCs w:val="24"/>
          <w:lang w:val="en-US" w:eastAsia="zh-CN" w:bidi="ar"/>
        </w:rPr>
        <w:t>（</w:t>
      </w:r>
      <w:r>
        <w:rPr>
          <w:rFonts w:hint="default" w:ascii="Times New Roman" w:hAnsi="Times New Roman" w:eastAsia="宋体" w:cs="Times New Roman"/>
          <w:b/>
          <w:color w:val="000000"/>
          <w:kern w:val="0"/>
          <w:sz w:val="24"/>
          <w:szCs w:val="24"/>
          <w:lang w:val="en-US" w:eastAsia="zh-CN" w:bidi="ar"/>
        </w:rPr>
        <w:t>3</w:t>
      </w:r>
      <w:r>
        <w:rPr>
          <w:rFonts w:hint="eastAsia" w:ascii="Times New Roman" w:hAnsi="Times New Roman" w:eastAsia="宋体" w:cs="Times New Roman"/>
          <w:b/>
          <w:color w:val="000000"/>
          <w:kern w:val="0"/>
          <w:sz w:val="24"/>
          <w:szCs w:val="24"/>
          <w:lang w:val="en-US" w:eastAsia="zh-CN" w:bidi="ar"/>
        </w:rPr>
        <w:t>）排污口设置图形标志的要求</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eastAsia" w:ascii="宋体" w:hAnsi="宋体" w:eastAsia="宋体" w:cs="宋体"/>
          <w:bCs/>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本项目建设的同时，应在各个废气排放口和重点噪声源处设置相应环保图形标志。</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eastAsia" w:ascii="宋体" w:hAnsi="宋体" w:eastAsia="宋体" w:cs="宋体"/>
          <w:bCs/>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污染物排放口的环保图形标志牌均应设置在靠近采样点，应满足</w:t>
      </w:r>
      <w:r>
        <w:rPr>
          <w:rFonts w:hint="default"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一明显，二合理，三便于</w:t>
      </w:r>
      <w:r>
        <w:rPr>
          <w:rFonts w:hint="default"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的要求。</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eastAsia" w:ascii="宋体" w:hAnsi="宋体" w:eastAsia="宋体" w:cs="宋体"/>
          <w:bCs/>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重点排污单位的污染物排放口以设置立式标志牌为主，一般排污单位的污染物排放口，可根据情况设置立式或平面固定式标志牌。</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排放口图形标志牌见图</w:t>
      </w:r>
      <w:r>
        <w:rPr>
          <w:rFonts w:hint="default" w:ascii="Times New Roman" w:hAnsi="Times New Roman" w:eastAsia="宋体" w:cs="Times New Roman"/>
          <w:bCs/>
          <w:color w:val="000000"/>
          <w:kern w:val="0"/>
          <w:sz w:val="24"/>
          <w:szCs w:val="24"/>
          <w:lang w:val="en-US" w:eastAsia="zh-CN" w:bidi="ar"/>
        </w:rPr>
        <w:t>8-1</w:t>
      </w:r>
      <w:r>
        <w:rPr>
          <w:rFonts w:hint="eastAsia" w:ascii="Times New Roman" w:hAnsi="Times New Roman" w:eastAsia="宋体" w:cs="Times New Roman"/>
          <w:bCs/>
          <w:color w:val="000000"/>
          <w:kern w:val="0"/>
          <w:sz w:val="24"/>
          <w:szCs w:val="24"/>
          <w:lang w:val="en-US" w:eastAsia="zh-CN" w:bidi="ar"/>
        </w:rPr>
        <w:t>，环境保护图形标志排放口（源）的形状及颜色说明见表</w:t>
      </w:r>
      <w:r>
        <w:rPr>
          <w:rFonts w:hint="default" w:ascii="Times New Roman" w:hAnsi="Times New Roman" w:eastAsia="宋体" w:cs="Times New Roman"/>
          <w:bCs/>
          <w:color w:val="000000"/>
          <w:kern w:val="0"/>
          <w:sz w:val="24"/>
          <w:szCs w:val="24"/>
          <w:lang w:val="en-US" w:eastAsia="zh-CN" w:bidi="ar"/>
        </w:rPr>
        <w:t>8.6-1</w:t>
      </w:r>
      <w:r>
        <w:rPr>
          <w:rFonts w:hint="eastAsia" w:ascii="Times New Roman" w:hAnsi="Times New Roman" w:eastAsia="宋体" w:cs="Times New Roman"/>
          <w:bCs/>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bCs/>
          <w:color w:val="000000"/>
          <w:lang w:val="en-US"/>
        </w:rPr>
      </w:pP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bCs/>
          <w:color w:val="000000"/>
          <w:lang w:val="en-US"/>
        </w:rPr>
      </w:pP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bCs/>
          <w:color w:val="000000"/>
          <w:lang w:val="en-US"/>
        </w:rPr>
      </w:pP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bCs/>
          <w:color w:val="000000"/>
          <w:lang w:val="en-US"/>
        </w:rPr>
      </w:pP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bCs/>
          <w:color w:val="000000"/>
          <w:lang w:val="en-US"/>
        </w:rPr>
      </w:pPr>
    </w:p>
    <w:p>
      <w:pPr>
        <w:keepNext w:val="0"/>
        <w:keepLines w:val="0"/>
        <w:widowControl/>
        <w:suppressLineNumbers w:val="0"/>
        <w:spacing w:before="0" w:beforeAutospacing="0" w:after="0" w:afterAutospacing="0" w:line="500" w:lineRule="exact"/>
        <w:ind w:left="0" w:right="0" w:firstLine="420" w:firstLineChars="200"/>
        <w:jc w:val="left"/>
        <w:rPr>
          <w:rFonts w:hint="default" w:ascii="Times New Roman" w:hAnsi="Times New Roman" w:cs="Times New Roman"/>
          <w:bCs/>
          <w:color w:val="000000"/>
          <w:lang w:val="en-US"/>
        </w:rPr>
      </w:pPr>
    </w:p>
    <w:p>
      <w:pPr>
        <w:keepNext w:val="0"/>
        <w:keepLines w:val="0"/>
        <w:widowControl/>
        <w:suppressLineNumbers w:val="0"/>
        <w:snapToGrid w:val="0"/>
        <w:spacing w:before="0" w:beforeAutospacing="0" w:after="0" w:afterAutospacing="0"/>
        <w:ind w:left="0" w:right="0"/>
        <w:jc w:val="left"/>
        <w:rPr>
          <w:rFonts w:hint="default" w:ascii="Times New Roman" w:hAnsi="Times New Roman" w:cs="Times New Roman"/>
          <w:color w:val="000000"/>
          <w:lang w:val="en-US"/>
        </w:rPr>
      </w:pPr>
    </w:p>
    <w:tbl>
      <w:tblPr>
        <w:tblStyle w:val="32"/>
        <w:tblW w:w="4687" w:type="pct"/>
        <w:jc w:val="center"/>
        <w:tblCellSpacing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2027"/>
        <w:gridCol w:w="2024"/>
        <w:gridCol w:w="2024"/>
        <w:gridCol w:w="19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1541" w:hRule="atLeast"/>
          <w:tblCellSpacing w:w="0" w:type="dxa"/>
          <w:jc w:val="center"/>
        </w:trPr>
        <w:tc>
          <w:tcPr>
            <w:tcW w:w="1263" w:type="pct"/>
            <w:tcBorders>
              <w:top w:val="single" w:color="auto" w:sz="4" w:space="0"/>
              <w:left w:val="single" w:color="auto" w:sz="4" w:space="0"/>
              <w:bottom w:val="single" w:color="auto" w:sz="4" w:space="0"/>
              <w:right w:val="single" w:color="auto" w:sz="4" w:space="0"/>
            </w:tcBorders>
            <w:shd w:val="clear"/>
            <w:tcMar>
              <w:top w:w="15" w:type="dxa"/>
              <w:left w:w="15" w:type="dxa"/>
              <w:bottom w:w="15" w:type="dxa"/>
              <w:right w:w="15" w:type="dxa"/>
            </w:tcMar>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15"/>
                <w:szCs w:val="15"/>
                <w:bdr w:val="none" w:color="auto" w:sz="0" w:space="0"/>
                <w:lang w:val="en-US"/>
              </w:rPr>
            </w:pPr>
            <w:r>
              <w:rPr>
                <w:rFonts w:hint="default" w:ascii="Times New Roman" w:hAnsi="Times New Roman" w:cs="Times New Roman"/>
                <w:color w:val="000000"/>
                <w:sz w:val="15"/>
                <w:szCs w:val="15"/>
                <w:bdr w:val="none" w:color="auto" w:sz="0" w:space="0"/>
                <w:lang w:val="en-US"/>
              </w:rPr>
              <w:drawing>
                <wp:inline distT="0" distB="0" distL="114300" distR="114300">
                  <wp:extent cx="1000125" cy="1000125"/>
                  <wp:effectExtent l="0" t="0" r="9525" b="9525"/>
                  <wp:docPr id="9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2"/>
                          <pic:cNvPicPr>
                            <a:picLocks noChangeAspect="1"/>
                          </pic:cNvPicPr>
                        </pic:nvPicPr>
                        <pic:blipFill>
                          <a:blip r:embed="rId82" r:link="rId83"/>
                          <a:stretch>
                            <a:fillRect/>
                          </a:stretch>
                        </pic:blipFill>
                        <pic:spPr>
                          <a:xfrm>
                            <a:off x="0" y="0"/>
                            <a:ext cx="1000125" cy="1000125"/>
                          </a:xfrm>
                          <a:prstGeom prst="rect">
                            <a:avLst/>
                          </a:prstGeom>
                          <a:noFill/>
                          <a:ln>
                            <a:noFill/>
                          </a:ln>
                        </pic:spPr>
                      </pic:pic>
                    </a:graphicData>
                  </a:graphic>
                </wp:inline>
              </w:drawing>
            </w:r>
          </w:p>
        </w:tc>
        <w:tc>
          <w:tcPr>
            <w:tcW w:w="1261" w:type="pct"/>
            <w:tcBorders>
              <w:top w:val="single" w:color="auto" w:sz="4" w:space="0"/>
              <w:left w:val="single" w:color="auto" w:sz="4" w:space="0"/>
              <w:bottom w:val="single" w:color="auto" w:sz="4" w:space="0"/>
              <w:right w:val="single" w:color="auto" w:sz="4" w:space="0"/>
            </w:tcBorders>
            <w:shd w:val="clear"/>
            <w:tcMar>
              <w:top w:w="15" w:type="dxa"/>
              <w:left w:w="15" w:type="dxa"/>
              <w:bottom w:w="15" w:type="dxa"/>
              <w:right w:w="15" w:type="dxa"/>
            </w:tcMar>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15"/>
                <w:szCs w:val="15"/>
                <w:bdr w:val="none" w:color="auto" w:sz="0" w:space="0"/>
                <w:lang w:val="en-US"/>
              </w:rPr>
            </w:pPr>
            <w:r>
              <w:rPr>
                <w:rFonts w:hint="default" w:ascii="Times New Roman" w:hAnsi="Times New Roman" w:cs="Times New Roman"/>
                <w:color w:val="000000"/>
                <w:sz w:val="15"/>
                <w:szCs w:val="15"/>
                <w:bdr w:val="none" w:color="auto" w:sz="0" w:space="0"/>
                <w:lang w:val="en-US"/>
              </w:rPr>
              <w:drawing>
                <wp:inline distT="0" distB="0" distL="114300" distR="114300">
                  <wp:extent cx="1000125" cy="885825"/>
                  <wp:effectExtent l="0" t="0" r="9525" b="9525"/>
                  <wp:docPr id="9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3"/>
                          <pic:cNvPicPr>
                            <a:picLocks noChangeAspect="1"/>
                          </pic:cNvPicPr>
                        </pic:nvPicPr>
                        <pic:blipFill>
                          <a:blip r:embed="rId84" r:link="rId85"/>
                          <a:stretch>
                            <a:fillRect/>
                          </a:stretch>
                        </pic:blipFill>
                        <pic:spPr>
                          <a:xfrm>
                            <a:off x="0" y="0"/>
                            <a:ext cx="1000125" cy="885825"/>
                          </a:xfrm>
                          <a:prstGeom prst="rect">
                            <a:avLst/>
                          </a:prstGeom>
                          <a:noFill/>
                          <a:ln>
                            <a:noFill/>
                          </a:ln>
                        </pic:spPr>
                      </pic:pic>
                    </a:graphicData>
                  </a:graphic>
                </wp:inline>
              </w:drawing>
            </w:r>
          </w:p>
        </w:tc>
        <w:tc>
          <w:tcPr>
            <w:tcW w:w="1261" w:type="pct"/>
            <w:tcBorders>
              <w:top w:val="single" w:color="auto" w:sz="4" w:space="0"/>
              <w:left w:val="single" w:color="auto" w:sz="4" w:space="0"/>
              <w:bottom w:val="single" w:color="auto" w:sz="4" w:space="0"/>
              <w:right w:val="single" w:color="auto" w:sz="4" w:space="0"/>
            </w:tcBorders>
            <w:shd w:val="clear"/>
            <w:tcMar>
              <w:top w:w="15" w:type="dxa"/>
              <w:left w:w="15" w:type="dxa"/>
              <w:bottom w:w="15" w:type="dxa"/>
              <w:right w:w="15" w:type="dxa"/>
            </w:tcMar>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15"/>
                <w:szCs w:val="15"/>
                <w:bdr w:val="none" w:color="auto" w:sz="0" w:space="0"/>
                <w:lang w:val="en-US"/>
              </w:rPr>
            </w:pPr>
            <w:r>
              <w:rPr>
                <w:rFonts w:hint="default" w:ascii="Times New Roman" w:hAnsi="Times New Roman" w:cs="Times New Roman"/>
                <w:color w:val="000000"/>
                <w:sz w:val="15"/>
                <w:szCs w:val="15"/>
                <w:bdr w:val="none" w:color="auto" w:sz="0" w:space="0"/>
                <w:lang w:val="en-US"/>
              </w:rPr>
              <w:drawing>
                <wp:inline distT="0" distB="0" distL="114300" distR="114300">
                  <wp:extent cx="1000125" cy="1000125"/>
                  <wp:effectExtent l="0" t="0" r="9525" b="9525"/>
                  <wp:docPr id="9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4"/>
                          <pic:cNvPicPr>
                            <a:picLocks noChangeAspect="1"/>
                          </pic:cNvPicPr>
                        </pic:nvPicPr>
                        <pic:blipFill>
                          <a:blip r:embed="rId86" r:link="rId87"/>
                          <a:stretch>
                            <a:fillRect/>
                          </a:stretch>
                        </pic:blipFill>
                        <pic:spPr>
                          <a:xfrm>
                            <a:off x="0" y="0"/>
                            <a:ext cx="1000125" cy="1000125"/>
                          </a:xfrm>
                          <a:prstGeom prst="rect">
                            <a:avLst/>
                          </a:prstGeom>
                          <a:noFill/>
                          <a:ln>
                            <a:noFill/>
                          </a:ln>
                        </pic:spPr>
                      </pic:pic>
                    </a:graphicData>
                  </a:graphic>
                </wp:inline>
              </w:drawing>
            </w:r>
          </w:p>
        </w:tc>
        <w:tc>
          <w:tcPr>
            <w:tcW w:w="1215" w:type="pct"/>
            <w:tcBorders>
              <w:top w:val="single" w:color="auto" w:sz="4" w:space="0"/>
              <w:left w:val="single" w:color="auto" w:sz="4" w:space="0"/>
              <w:bottom w:val="single" w:color="auto" w:sz="4" w:space="0"/>
              <w:right w:val="single" w:color="auto" w:sz="4" w:space="0"/>
            </w:tcBorders>
            <w:shd w:val="clear"/>
            <w:tcMar>
              <w:top w:w="15" w:type="dxa"/>
              <w:left w:w="15" w:type="dxa"/>
              <w:bottom w:w="15" w:type="dxa"/>
              <w:right w:w="15" w:type="dxa"/>
            </w:tcMar>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15"/>
                <w:szCs w:val="15"/>
                <w:bdr w:val="none" w:color="auto" w:sz="0" w:space="0"/>
                <w:lang w:val="en-US"/>
              </w:rPr>
            </w:pPr>
            <w:r>
              <w:rPr>
                <w:rFonts w:hint="default" w:ascii="Times New Roman" w:hAnsi="Times New Roman" w:cs="Times New Roman"/>
                <w:color w:val="000000"/>
                <w:sz w:val="15"/>
                <w:szCs w:val="15"/>
                <w:bdr w:val="none" w:color="auto" w:sz="0" w:space="0"/>
                <w:lang w:val="en-US"/>
              </w:rPr>
              <w:drawing>
                <wp:inline distT="0" distB="0" distL="114300" distR="114300">
                  <wp:extent cx="1000125" cy="885825"/>
                  <wp:effectExtent l="0" t="0" r="9525" b="9525"/>
                  <wp:docPr id="9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5"/>
                          <pic:cNvPicPr>
                            <a:picLocks noChangeAspect="1"/>
                          </pic:cNvPicPr>
                        </pic:nvPicPr>
                        <pic:blipFill>
                          <a:blip r:embed="rId88" r:link="rId89"/>
                          <a:stretch>
                            <a:fillRect/>
                          </a:stretch>
                        </pic:blipFill>
                        <pic:spPr>
                          <a:xfrm>
                            <a:off x="0" y="0"/>
                            <a:ext cx="1000125" cy="8858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blCellSpacing w:w="0" w:type="dxa"/>
          <w:jc w:val="center"/>
        </w:trPr>
        <w:tc>
          <w:tcPr>
            <w:tcW w:w="1263" w:type="pct"/>
            <w:tcBorders>
              <w:top w:val="single" w:color="auto" w:sz="4" w:space="0"/>
              <w:left w:val="single" w:color="auto" w:sz="4" w:space="0"/>
              <w:bottom w:val="single" w:color="auto" w:sz="4" w:space="0"/>
              <w:right w:val="single" w:color="auto" w:sz="4" w:space="0"/>
            </w:tcBorders>
            <w:shd w:val="clear"/>
            <w:tcMar>
              <w:top w:w="15" w:type="dxa"/>
              <w:left w:w="15" w:type="dxa"/>
              <w:bottom w:w="15" w:type="dxa"/>
              <w:right w:w="15" w:type="dxa"/>
            </w:tcMar>
            <w:vAlign w:val="top"/>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废气排放口</w:t>
            </w:r>
          </w:p>
        </w:tc>
        <w:tc>
          <w:tcPr>
            <w:tcW w:w="1261" w:type="pct"/>
            <w:tcBorders>
              <w:top w:val="single" w:color="auto" w:sz="4" w:space="0"/>
              <w:left w:val="single" w:color="auto" w:sz="4" w:space="0"/>
              <w:bottom w:val="single" w:color="auto" w:sz="4" w:space="0"/>
              <w:right w:val="single" w:color="auto" w:sz="4" w:space="0"/>
            </w:tcBorders>
            <w:shd w:val="clear"/>
            <w:tcMar>
              <w:top w:w="15" w:type="dxa"/>
              <w:left w:w="15" w:type="dxa"/>
              <w:bottom w:w="15" w:type="dxa"/>
              <w:right w:w="15" w:type="dxa"/>
            </w:tcMar>
            <w:vAlign w:val="top"/>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废气排放口</w:t>
            </w:r>
          </w:p>
        </w:tc>
        <w:tc>
          <w:tcPr>
            <w:tcW w:w="1261" w:type="pct"/>
            <w:tcBorders>
              <w:top w:val="single" w:color="auto" w:sz="4" w:space="0"/>
              <w:left w:val="single" w:color="auto" w:sz="4" w:space="0"/>
              <w:bottom w:val="single" w:color="auto" w:sz="4" w:space="0"/>
              <w:right w:val="single" w:color="auto" w:sz="4" w:space="0"/>
            </w:tcBorders>
            <w:shd w:val="clear"/>
            <w:tcMar>
              <w:top w:w="15" w:type="dxa"/>
              <w:left w:w="15" w:type="dxa"/>
              <w:bottom w:w="15" w:type="dxa"/>
              <w:right w:w="15" w:type="dxa"/>
            </w:tcMar>
            <w:vAlign w:val="top"/>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噪声排放源</w:t>
            </w:r>
          </w:p>
        </w:tc>
        <w:tc>
          <w:tcPr>
            <w:tcW w:w="1215" w:type="pct"/>
            <w:tcBorders>
              <w:top w:val="single" w:color="auto" w:sz="4" w:space="0"/>
              <w:left w:val="single" w:color="auto" w:sz="4" w:space="0"/>
              <w:bottom w:val="single" w:color="auto" w:sz="4" w:space="0"/>
              <w:right w:val="single" w:color="auto" w:sz="4" w:space="0"/>
            </w:tcBorders>
            <w:shd w:val="clear"/>
            <w:tcMar>
              <w:top w:w="15" w:type="dxa"/>
              <w:left w:w="15" w:type="dxa"/>
              <w:bottom w:w="15" w:type="dxa"/>
              <w:right w:w="15" w:type="dxa"/>
            </w:tcMar>
            <w:vAlign w:val="top"/>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噪声排放源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2" w:hRule="atLeast"/>
          <w:tblCellSpacing w:w="0" w:type="dxa"/>
          <w:jc w:val="center"/>
        </w:trPr>
        <w:tc>
          <w:tcPr>
            <w:tcW w:w="2523" w:type="pct"/>
            <w:gridSpan w:val="2"/>
            <w:tcBorders>
              <w:top w:val="single" w:color="auto" w:sz="4" w:space="0"/>
              <w:left w:val="single" w:color="auto" w:sz="4" w:space="0"/>
              <w:bottom w:val="single" w:color="auto" w:sz="4" w:space="0"/>
              <w:right w:val="single" w:color="auto" w:sz="4" w:space="0"/>
            </w:tcBorders>
            <w:shd w:val="clear"/>
            <w:tcMar>
              <w:top w:w="15" w:type="dxa"/>
              <w:left w:w="15" w:type="dxa"/>
              <w:bottom w:w="15" w:type="dxa"/>
              <w:right w:w="15" w:type="dxa"/>
            </w:tcMar>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15"/>
                <w:szCs w:val="15"/>
                <w:bdr w:val="none" w:color="auto" w:sz="0" w:space="0"/>
                <w:lang w:val="en-US"/>
              </w:rPr>
            </w:pPr>
            <w:r>
              <w:rPr>
                <w:rFonts w:hint="default" w:ascii="Times New Roman" w:hAnsi="Times New Roman" w:cs="Times New Roman"/>
                <w:color w:val="000000"/>
                <w:sz w:val="15"/>
                <w:szCs w:val="15"/>
                <w:bdr w:val="none" w:color="auto" w:sz="0" w:space="0"/>
                <w:lang w:val="en-US"/>
              </w:rPr>
              <w:drawing>
                <wp:inline distT="0" distB="0" distL="114300" distR="114300">
                  <wp:extent cx="1000125" cy="1000125"/>
                  <wp:effectExtent l="0" t="0" r="9525" b="9525"/>
                  <wp:docPr id="9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6"/>
                          <pic:cNvPicPr>
                            <a:picLocks noChangeAspect="1"/>
                          </pic:cNvPicPr>
                        </pic:nvPicPr>
                        <pic:blipFill>
                          <a:blip r:embed="rId90" r:link="rId91"/>
                          <a:stretch>
                            <a:fillRect/>
                          </a:stretch>
                        </pic:blipFill>
                        <pic:spPr>
                          <a:xfrm>
                            <a:off x="0" y="0"/>
                            <a:ext cx="1000125" cy="1000125"/>
                          </a:xfrm>
                          <a:prstGeom prst="rect">
                            <a:avLst/>
                          </a:prstGeom>
                          <a:noFill/>
                          <a:ln>
                            <a:noFill/>
                          </a:ln>
                        </pic:spPr>
                      </pic:pic>
                    </a:graphicData>
                  </a:graphic>
                </wp:inline>
              </w:drawing>
            </w:r>
          </w:p>
        </w:tc>
        <w:tc>
          <w:tcPr>
            <w:tcW w:w="2476" w:type="pct"/>
            <w:gridSpan w:val="2"/>
            <w:tcBorders>
              <w:top w:val="single" w:color="auto" w:sz="4" w:space="0"/>
              <w:left w:val="single" w:color="auto" w:sz="4" w:space="0"/>
              <w:bottom w:val="single" w:color="auto" w:sz="4" w:space="0"/>
              <w:right w:val="single" w:color="auto" w:sz="4" w:space="0"/>
            </w:tcBorders>
            <w:shd w:val="clear"/>
            <w:tcMar>
              <w:top w:w="15" w:type="dxa"/>
              <w:left w:w="15" w:type="dxa"/>
              <w:bottom w:w="15" w:type="dxa"/>
              <w:right w:w="15" w:type="dxa"/>
            </w:tcMar>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15"/>
                <w:szCs w:val="15"/>
                <w:bdr w:val="none" w:color="auto" w:sz="0" w:space="0"/>
                <w:lang w:val="en-US"/>
              </w:rPr>
            </w:pPr>
            <w:r>
              <w:rPr>
                <w:rFonts w:hint="default" w:ascii="Times New Roman" w:hAnsi="Times New Roman" w:cs="Times New Roman"/>
                <w:color w:val="000000"/>
                <w:sz w:val="15"/>
                <w:szCs w:val="15"/>
                <w:bdr w:val="none" w:color="auto" w:sz="0" w:space="0"/>
                <w:lang w:val="en-US"/>
              </w:rPr>
              <w:drawing>
                <wp:inline distT="0" distB="0" distL="114300" distR="114300">
                  <wp:extent cx="1000125" cy="885825"/>
                  <wp:effectExtent l="0" t="0" r="9525" b="9525"/>
                  <wp:docPr id="10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7"/>
                          <pic:cNvPicPr>
                            <a:picLocks noChangeAspect="1"/>
                          </pic:cNvPicPr>
                        </pic:nvPicPr>
                        <pic:blipFill>
                          <a:blip r:embed="rId92" r:link="rId93"/>
                          <a:stretch>
                            <a:fillRect/>
                          </a:stretch>
                        </pic:blipFill>
                        <pic:spPr>
                          <a:xfrm>
                            <a:off x="0" y="0"/>
                            <a:ext cx="1000125" cy="8858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blCellSpacing w:w="0" w:type="dxa"/>
          <w:jc w:val="center"/>
        </w:trPr>
        <w:tc>
          <w:tcPr>
            <w:tcW w:w="2523" w:type="pct"/>
            <w:gridSpan w:val="2"/>
            <w:tcBorders>
              <w:top w:val="single" w:color="auto" w:sz="4" w:space="0"/>
              <w:left w:val="single" w:color="auto" w:sz="4" w:space="0"/>
              <w:bottom w:val="single" w:color="auto" w:sz="4" w:space="0"/>
              <w:right w:val="single" w:color="auto" w:sz="4" w:space="0"/>
            </w:tcBorders>
            <w:shd w:val="clear"/>
            <w:tcMar>
              <w:top w:w="15" w:type="dxa"/>
              <w:left w:w="15" w:type="dxa"/>
              <w:bottom w:w="15" w:type="dxa"/>
              <w:right w:w="15" w:type="dxa"/>
            </w:tcMar>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一般固体废物</w:t>
            </w:r>
          </w:p>
        </w:tc>
        <w:tc>
          <w:tcPr>
            <w:tcW w:w="2476" w:type="pct"/>
            <w:gridSpan w:val="2"/>
            <w:tcBorders>
              <w:top w:val="single" w:color="auto" w:sz="4" w:space="0"/>
              <w:left w:val="single" w:color="auto" w:sz="4" w:space="0"/>
              <w:bottom w:val="single" w:color="auto" w:sz="4" w:space="0"/>
              <w:right w:val="single" w:color="auto" w:sz="4" w:space="0"/>
            </w:tcBorders>
            <w:shd w:val="clear"/>
            <w:tcMar>
              <w:top w:w="15" w:type="dxa"/>
              <w:left w:w="15" w:type="dxa"/>
              <w:bottom w:w="15" w:type="dxa"/>
              <w:right w:w="15" w:type="dxa"/>
            </w:tcMar>
            <w:vAlign w:val="center"/>
          </w:tcPr>
          <w:p>
            <w:pPr>
              <w:keepNext w:val="0"/>
              <w:keepLines w:val="0"/>
              <w:widowControl/>
              <w:suppressLineNumbers w:val="0"/>
              <w:spacing w:before="0" w:beforeAutospacing="0" w:after="0" w:afterAutospacing="0" w:line="240" w:lineRule="atLeast"/>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一般固体废物</w:t>
            </w:r>
          </w:p>
        </w:tc>
      </w:tr>
    </w:tbl>
    <w:p>
      <w:pPr>
        <w:keepNext w:val="0"/>
        <w:keepLines w:val="0"/>
        <w:widowControl/>
        <w:suppressLineNumbers w:val="0"/>
        <w:tabs>
          <w:tab w:val="left" w:pos="851"/>
          <w:tab w:val="left" w:pos="1141"/>
          <w:tab w:val="left" w:pos="4335"/>
        </w:tabs>
        <w:adjustRightInd w:val="0"/>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图</w:t>
      </w:r>
      <w:r>
        <w:rPr>
          <w:rFonts w:hint="default" w:ascii="Times New Roman" w:hAnsi="Times New Roman" w:eastAsia="黑体" w:cs="Times New Roman"/>
          <w:color w:val="000000"/>
          <w:kern w:val="0"/>
          <w:sz w:val="24"/>
          <w:szCs w:val="24"/>
          <w:lang w:val="en-US" w:eastAsia="zh-CN" w:bidi="ar"/>
        </w:rPr>
        <w:t xml:space="preserve">8-1  </w:t>
      </w:r>
      <w:r>
        <w:rPr>
          <w:rFonts w:hint="eastAsia" w:ascii="Times New Roman" w:hAnsi="Times New Roman" w:eastAsia="黑体" w:cs="Times New Roman"/>
          <w:color w:val="000000"/>
          <w:kern w:val="0"/>
          <w:sz w:val="24"/>
          <w:szCs w:val="24"/>
          <w:lang w:val="en-US" w:eastAsia="zh-CN" w:bidi="ar"/>
        </w:rPr>
        <w:t>环境保护图形标志</w:t>
      </w:r>
      <w:r>
        <w:rPr>
          <w:rFonts w:hint="default" w:ascii="Times New Roman" w:hAnsi="Times New Roman" w:eastAsia="黑体" w:cs="Times New Roman"/>
          <w:color w:val="000000"/>
          <w:kern w:val="0"/>
          <w:sz w:val="24"/>
          <w:szCs w:val="24"/>
          <w:lang w:val="en-US" w:eastAsia="zh-CN" w:bidi="ar"/>
        </w:rPr>
        <w:t>—</w:t>
      </w:r>
      <w:r>
        <w:rPr>
          <w:rFonts w:hint="eastAsia" w:ascii="Times New Roman" w:hAnsi="Times New Roman" w:eastAsia="黑体" w:cs="Times New Roman"/>
          <w:color w:val="000000"/>
          <w:kern w:val="0"/>
          <w:sz w:val="24"/>
          <w:szCs w:val="24"/>
          <w:lang w:val="en-US" w:eastAsia="zh-CN" w:bidi="ar"/>
        </w:rPr>
        <w:t>排放口（源）</w:t>
      </w:r>
    </w:p>
    <w:p>
      <w:pPr>
        <w:keepNext w:val="0"/>
        <w:keepLines w:val="0"/>
        <w:widowControl/>
        <w:suppressLineNumbers w:val="0"/>
        <w:tabs>
          <w:tab w:val="left" w:pos="851"/>
          <w:tab w:val="left" w:pos="1141"/>
          <w:tab w:val="left" w:pos="4335"/>
        </w:tabs>
        <w:adjustRightInd w:val="0"/>
        <w:spacing w:before="0" w:beforeAutospacing="0" w:after="0" w:afterAutospacing="0"/>
        <w:ind w:left="0" w:right="0"/>
        <w:jc w:val="center"/>
        <w:rPr>
          <w:rFonts w:hint="default" w:ascii="Times New Roman" w:hAnsi="Times New Roman" w:eastAsia="黑体" w:cs="Times New Roman"/>
          <w:color w:val="000000"/>
          <w:lang w:val="en-US"/>
        </w:rPr>
      </w:pPr>
    </w:p>
    <w:p>
      <w:pPr>
        <w:keepNext w:val="0"/>
        <w:keepLines w:val="0"/>
        <w:widowControl/>
        <w:suppressLineNumbers w:val="0"/>
        <w:tabs>
          <w:tab w:val="left" w:pos="0"/>
        </w:tabs>
        <w:spacing w:before="0" w:beforeAutospacing="0" w:after="0" w:afterAutospacing="0"/>
        <w:ind w:left="0" w:right="0"/>
        <w:jc w:val="center"/>
        <w:rPr>
          <w:rFonts w:hint="default" w:ascii="Times New Roman" w:hAnsi="Times New Roman" w:eastAsia="黑体" w:cs="Times New Roman"/>
          <w:color w:val="000000"/>
          <w:lang w:val="en-US"/>
        </w:rPr>
      </w:pPr>
      <w:r>
        <w:rPr>
          <w:rFonts w:hint="eastAsia" w:ascii="Times New Roman" w:hAnsi="Times New Roman" w:eastAsia="黑体" w:cs="Times New Roman"/>
          <w:color w:val="000000"/>
          <w:kern w:val="0"/>
          <w:sz w:val="24"/>
          <w:szCs w:val="24"/>
          <w:lang w:val="en-US" w:eastAsia="zh-CN" w:bidi="ar"/>
        </w:rPr>
        <w:t>表</w:t>
      </w:r>
      <w:r>
        <w:rPr>
          <w:rFonts w:hint="default" w:ascii="Times New Roman" w:hAnsi="Times New Roman" w:eastAsia="黑体" w:cs="Times New Roman"/>
          <w:color w:val="000000"/>
          <w:kern w:val="0"/>
          <w:sz w:val="24"/>
          <w:szCs w:val="24"/>
          <w:lang w:val="en-US" w:eastAsia="zh-CN" w:bidi="ar"/>
        </w:rPr>
        <w:t xml:space="preserve">8.6-1  </w:t>
      </w:r>
      <w:r>
        <w:rPr>
          <w:rFonts w:hint="eastAsia" w:ascii="Times New Roman" w:hAnsi="Times New Roman" w:eastAsia="黑体" w:cs="Times New Roman"/>
          <w:color w:val="000000"/>
          <w:kern w:val="0"/>
          <w:sz w:val="24"/>
          <w:szCs w:val="24"/>
          <w:lang w:val="en-US" w:eastAsia="zh-CN" w:bidi="ar"/>
        </w:rPr>
        <w:t>标志的形状及颜色说明一览表</w:t>
      </w:r>
    </w:p>
    <w:tbl>
      <w:tblPr>
        <w:tblStyle w:val="32"/>
        <w:tblW w:w="4875" w:type="pct"/>
        <w:jc w:val="center"/>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Layout w:type="autofit"/>
        <w:tblCellMar>
          <w:top w:w="0" w:type="dxa"/>
          <w:left w:w="108" w:type="dxa"/>
          <w:bottom w:w="0" w:type="dxa"/>
          <w:right w:w="108" w:type="dxa"/>
        </w:tblCellMar>
      </w:tblPr>
      <w:tblGrid>
        <w:gridCol w:w="2179"/>
        <w:gridCol w:w="2182"/>
        <w:gridCol w:w="2182"/>
        <w:gridCol w:w="1966"/>
      </w:tblGrid>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shd w:val="clear"/>
          <w:tblCellMar>
            <w:top w:w="0" w:type="dxa"/>
            <w:left w:w="108" w:type="dxa"/>
            <w:bottom w:w="0" w:type="dxa"/>
            <w:right w:w="108" w:type="dxa"/>
          </w:tblCellMar>
        </w:tblPrEx>
        <w:trPr>
          <w:trHeight w:val="397" w:hRule="atLeast"/>
          <w:jc w:val="center"/>
        </w:trPr>
        <w:tc>
          <w:tcPr>
            <w:tcW w:w="1281" w:type="pct"/>
            <w:tcBorders>
              <w:top w:val="thinThickSmallGap" w:color="auto" w:sz="12" w:space="0"/>
              <w:left w:val="nil"/>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标志</w:t>
            </w:r>
          </w:p>
        </w:tc>
        <w:tc>
          <w:tcPr>
            <w:tcW w:w="1282" w:type="pct"/>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形状</w:t>
            </w:r>
          </w:p>
        </w:tc>
        <w:tc>
          <w:tcPr>
            <w:tcW w:w="1282" w:type="pct"/>
            <w:tcBorders>
              <w:top w:val="thinThickSmallGap" w:color="auto" w:sz="12" w:space="0"/>
              <w:left w:val="single" w:color="auto" w:sz="6" w:space="0"/>
              <w:bottom w:val="single" w:color="auto" w:sz="6" w:space="0"/>
              <w:right w:val="single" w:color="auto" w:sz="6" w:space="0"/>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背景颜色</w:t>
            </w:r>
          </w:p>
        </w:tc>
        <w:tc>
          <w:tcPr>
            <w:tcW w:w="1155" w:type="pct"/>
            <w:tcBorders>
              <w:top w:val="thinThickSmallGap" w:color="auto" w:sz="12" w:space="0"/>
              <w:left w:val="single" w:color="auto" w:sz="6" w:space="0"/>
              <w:bottom w:val="single" w:color="auto" w:sz="6" w:space="0"/>
              <w:right w:val="nil"/>
            </w:tcBorders>
            <w:shd w:val="clear" w:color="auto" w:fill="DDDDDD"/>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图形颜色</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PrEx>
        <w:trPr>
          <w:trHeight w:val="397" w:hRule="atLeast"/>
          <w:jc w:val="center"/>
        </w:trPr>
        <w:tc>
          <w:tcPr>
            <w:tcW w:w="1281" w:type="pct"/>
            <w:tcBorders>
              <w:top w:val="single" w:color="auto" w:sz="6" w:space="0"/>
              <w:left w:val="nil"/>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警告标志</w:t>
            </w:r>
          </w:p>
        </w:tc>
        <w:tc>
          <w:tcPr>
            <w:tcW w:w="1282"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三角形边框</w:t>
            </w:r>
          </w:p>
        </w:tc>
        <w:tc>
          <w:tcPr>
            <w:tcW w:w="1282" w:type="pct"/>
            <w:tcBorders>
              <w:top w:val="single" w:color="auto" w:sz="6" w:space="0"/>
              <w:left w:val="single" w:color="auto" w:sz="6" w:space="0"/>
              <w:bottom w:val="single" w:color="auto" w:sz="6"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黄色</w:t>
            </w:r>
          </w:p>
        </w:tc>
        <w:tc>
          <w:tcPr>
            <w:tcW w:w="1155" w:type="pct"/>
            <w:tcBorders>
              <w:top w:val="single" w:color="auto" w:sz="6" w:space="0"/>
              <w:left w:val="single" w:color="auto" w:sz="6" w:space="0"/>
              <w:bottom w:val="single" w:color="auto" w:sz="6"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黑色</w:t>
            </w:r>
          </w:p>
        </w:tc>
      </w:tr>
      <w:tr>
        <w:tblPrEx>
          <w:tblBorders>
            <w:top w:val="thinThickSmallGap" w:color="auto" w:sz="12" w:space="0"/>
            <w:left w:val="none" w:color="auto" w:sz="6" w:space="0"/>
            <w:bottom w:val="thickThinSmallGap"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81" w:type="pct"/>
            <w:tcBorders>
              <w:top w:val="single" w:color="auto" w:sz="6" w:space="0"/>
              <w:left w:val="nil"/>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提示标志</w:t>
            </w:r>
          </w:p>
        </w:tc>
        <w:tc>
          <w:tcPr>
            <w:tcW w:w="1282"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正方形边框</w:t>
            </w:r>
          </w:p>
        </w:tc>
        <w:tc>
          <w:tcPr>
            <w:tcW w:w="1282" w:type="pct"/>
            <w:tcBorders>
              <w:top w:val="single" w:color="auto" w:sz="6" w:space="0"/>
              <w:left w:val="single" w:color="auto" w:sz="6" w:space="0"/>
              <w:bottom w:val="thickThinSmallGap" w:color="auto" w:sz="12" w:space="0"/>
              <w:right w:val="single" w:color="auto" w:sz="6" w:space="0"/>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绿色</w:t>
            </w:r>
          </w:p>
        </w:tc>
        <w:tc>
          <w:tcPr>
            <w:tcW w:w="1155" w:type="pct"/>
            <w:tcBorders>
              <w:top w:val="single" w:color="auto" w:sz="6" w:space="0"/>
              <w:left w:val="single" w:color="auto" w:sz="6" w:space="0"/>
              <w:bottom w:val="thickThinSmallGap" w:color="auto" w:sz="12" w:space="0"/>
              <w:right w:val="nil"/>
            </w:tcBorders>
            <w:shd w:val="cle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bdr w:val="none" w:color="auto" w:sz="0" w:space="0"/>
                <w:lang w:val="en-US"/>
              </w:rPr>
            </w:pPr>
            <w:r>
              <w:rPr>
                <w:rFonts w:ascii="Times New Roman" w:hAnsi="Times New Roman" w:cs="Times New Roman"/>
                <w:color w:val="000000"/>
                <w:sz w:val="21"/>
                <w:szCs w:val="21"/>
                <w:bdr w:val="none" w:color="auto" w:sz="0" w:space="0"/>
              </w:rPr>
              <w:t>白色</w:t>
            </w:r>
          </w:p>
        </w:tc>
      </w:tr>
    </w:tbl>
    <w:p>
      <w:pPr>
        <w:keepNext w:val="0"/>
        <w:keepLines w:val="0"/>
        <w:widowControl/>
        <w:suppressLineNumbers w:val="0"/>
        <w:spacing w:before="0" w:beforeAutospacing="0" w:after="0" w:afterAutospacing="0" w:line="500" w:lineRule="exact"/>
        <w:ind w:left="0" w:right="0" w:firstLine="422" w:firstLineChars="200"/>
        <w:jc w:val="left"/>
        <w:rPr>
          <w:rFonts w:hint="default" w:ascii="Times New Roman" w:hAnsi="Times New Roman" w:cs="Times New Roman"/>
          <w:b/>
          <w:color w:val="000000"/>
          <w:lang w:val="en-US"/>
        </w:rPr>
      </w:pP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color w:val="000000"/>
          <w:lang w:val="en-US"/>
        </w:rPr>
      </w:pPr>
      <w:r>
        <w:rPr>
          <w:rFonts w:hint="eastAsia" w:ascii="Times New Roman" w:hAnsi="Times New Roman" w:eastAsia="宋体" w:cs="Times New Roman"/>
          <w:b/>
          <w:color w:val="000000"/>
          <w:kern w:val="0"/>
          <w:sz w:val="24"/>
          <w:szCs w:val="24"/>
          <w:lang w:val="en-US" w:eastAsia="zh-CN" w:bidi="ar"/>
        </w:rPr>
        <w:t>（</w:t>
      </w:r>
      <w:r>
        <w:rPr>
          <w:rFonts w:hint="default" w:ascii="Times New Roman" w:hAnsi="Times New Roman" w:eastAsia="宋体" w:cs="Times New Roman"/>
          <w:b/>
          <w:color w:val="000000"/>
          <w:kern w:val="0"/>
          <w:sz w:val="24"/>
          <w:szCs w:val="24"/>
          <w:lang w:val="en-US" w:eastAsia="zh-CN" w:bidi="ar"/>
        </w:rPr>
        <w:t>4</w:t>
      </w:r>
      <w:r>
        <w:rPr>
          <w:rFonts w:hint="eastAsia" w:ascii="Times New Roman" w:hAnsi="Times New Roman" w:eastAsia="宋体" w:cs="Times New Roman"/>
          <w:b/>
          <w:color w:val="000000"/>
          <w:kern w:val="0"/>
          <w:sz w:val="24"/>
          <w:szCs w:val="24"/>
          <w:lang w:val="en-US" w:eastAsia="zh-CN" w:bidi="ar"/>
        </w:rPr>
        <w:t>）排污口管理</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eastAsia" w:ascii="宋体" w:hAnsi="宋体" w:eastAsia="宋体" w:cs="宋体"/>
          <w:bCs/>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管理原则</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强化排污口管理是实施企业污染物总量控制的基础工作之一，也是区域环境管理逐步实现污染物排放科学化、定量化的重要手段。具体管理原则如下：</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default"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列入总量控制的污染物排放源列为管理的重点；</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default"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如实向环境保护管理部门申报登记排污口数量、位置及所排放的主要污染物的种类、数量、浓度、排放去向等情况；</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default"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废气排放装置应设置便于采样、监测的采样孔和采样平台，设置符合《污染源监测技术规范》。</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default"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工程固废堆存时，应设置专用堆放场地，并有防扬散、防流失、对有毒有害固废采取防渗漏措施。</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default"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排污口规范化建设要与主体工程及环保工程同时设计、同时施工、同时投入使用。另外，未经环保部门的许可，不得擅自设置、移动和扩大排污口。</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eastAsia" w:ascii="宋体" w:hAnsi="宋体" w:eastAsia="宋体" w:cs="宋体"/>
          <w:bCs/>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污染排放源建档</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bCs/>
          <w:color w:val="000000"/>
          <w:lang w:val="en-US"/>
        </w:rPr>
      </w:pPr>
      <w:r>
        <w:rPr>
          <w:rFonts w:hint="default"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本项目应使用国家环保部统一印制的《中华人民共和国规范化排污口标志登记证》，并按要求填写有关内容。</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default" w:ascii="Times New Roman" w:hAnsi="Times New Roman" w:eastAsia="宋体" w:cs="Times New Roman"/>
          <w:bCs/>
          <w:color w:val="000000"/>
          <w:kern w:val="0"/>
          <w:sz w:val="24"/>
          <w:szCs w:val="24"/>
          <w:lang w:val="en-US" w:eastAsia="zh-CN" w:bidi="ar"/>
        </w:rPr>
        <w:t>——</w:t>
      </w:r>
      <w:r>
        <w:rPr>
          <w:rFonts w:hint="eastAsia" w:ascii="Times New Roman" w:hAnsi="Times New Roman" w:eastAsia="宋体" w:cs="Times New Roman"/>
          <w:bCs/>
          <w:color w:val="000000"/>
          <w:kern w:val="0"/>
          <w:sz w:val="24"/>
          <w:szCs w:val="24"/>
          <w:lang w:val="en-US" w:eastAsia="zh-CN" w:bidi="ar"/>
        </w:rPr>
        <w:t>根据排污口管理内容要求，项目建成投产后，应将主要污染物种类、数量、浓度、排放去向、立标情况及设施运行情况记录于档案。</w:t>
      </w: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8</w:t>
      </w:r>
      <w:r>
        <w:rPr>
          <w:rFonts w:hint="default" w:ascii="Times New Roman" w:hAnsi="Times New Roman" w:cs="Times New Roman"/>
          <w:color w:val="000000"/>
          <w:lang/>
        </w:rPr>
        <w:t>.</w:t>
      </w:r>
      <w:r>
        <w:rPr>
          <w:rFonts w:hint="default" w:ascii="Times New Roman" w:hAnsi="Times New Roman" w:cs="Times New Roman"/>
          <w:color w:val="000000"/>
          <w:lang w:eastAsia="zh-CN"/>
        </w:rPr>
        <w:t>6</w:t>
      </w:r>
      <w:r>
        <w:rPr>
          <w:rFonts w:hint="default" w:ascii="Times New Roman" w:hAnsi="Times New Roman" w:cs="Times New Roman"/>
          <w:color w:val="000000"/>
          <w:lang/>
        </w:rPr>
        <w:t xml:space="preserve">.2 </w:t>
      </w:r>
      <w:r>
        <w:rPr>
          <w:rFonts w:ascii="Times New Roman" w:hAnsi="Times New Roman" w:cs="Times New Roman"/>
          <w:color w:val="000000"/>
          <w:lang/>
        </w:rPr>
        <w:t>排污口规范化设置</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）废气</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本项目拟在排气筒处新设置废气标志牌，应按规定制作相应标牌，以便监督管理。废气排放口必须符合规定的高度和按《污染源监测技术规范》便于采样、监测要求，设置直径不小于</w:t>
      </w:r>
      <w:r>
        <w:rPr>
          <w:rFonts w:hint="default" w:ascii="Times New Roman" w:hAnsi="Times New Roman" w:eastAsia="宋体" w:cs="Times New Roman"/>
          <w:color w:val="000000"/>
          <w:kern w:val="0"/>
          <w:sz w:val="24"/>
          <w:szCs w:val="24"/>
          <w:lang w:val="en-US" w:eastAsia="zh-CN" w:bidi="ar"/>
        </w:rPr>
        <w:t>75mm</w:t>
      </w:r>
      <w:r>
        <w:rPr>
          <w:rFonts w:hint="eastAsia" w:ascii="Times New Roman" w:hAnsi="Times New Roman" w:eastAsia="宋体" w:cs="Times New Roman"/>
          <w:color w:val="000000"/>
          <w:kern w:val="0"/>
          <w:sz w:val="24"/>
          <w:szCs w:val="24"/>
          <w:lang w:val="en-US" w:eastAsia="zh-CN" w:bidi="ar"/>
        </w:rPr>
        <w:t>的采样口。</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）噪声</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噪声排放源设置</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个噪声标志牌，标志牌设在噪声对外界影响最大处。</w:t>
      </w:r>
    </w:p>
    <w:p>
      <w:pPr>
        <w:keepNext w:val="0"/>
        <w:keepLines w:val="0"/>
        <w:widowControl/>
        <w:suppressLineNumbers w:val="0"/>
        <w:spacing w:before="0" w:beforeAutospacing="0" w:after="0" w:afterAutospacing="0" w:line="460" w:lineRule="exact"/>
        <w:ind w:left="0" w:right="0" w:firstLine="420" w:firstLineChars="200"/>
        <w:jc w:val="left"/>
        <w:rPr>
          <w:rFonts w:hint="default" w:ascii="Times New Roman" w:hAnsi="Times New Roman" w:cs="Times New Roman"/>
          <w:color w:val="000000"/>
          <w:lang w:val="en-US"/>
        </w:rPr>
      </w:pPr>
    </w:p>
    <w:p>
      <w:pPr>
        <w:rPr>
          <w:rFonts w:hint="default" w:ascii="Times New Roman" w:hAnsi="Times New Roman" w:eastAsia="宋体" w:cs="Times New Roman"/>
          <w:color w:val="000000"/>
          <w:sz w:val="24"/>
          <w:szCs w:val="24"/>
          <w:lang w:val="en-US" w:eastAsia="zh-CN" w:bidi="ar"/>
        </w:rPr>
        <w:sectPr>
          <w:pgSz w:w="11915" w:h="16840"/>
          <w:pgMar w:top="1702" w:right="1702" w:bottom="1702" w:left="1702" w:header="851" w:footer="1077" w:gutter="0"/>
          <w:paperSrc/>
          <w:cols w:space="425" w:num="1"/>
          <w:docGrid w:type="lines" w:linePitch="479" w:charSpace="0"/>
        </w:sectPr>
      </w:pPr>
    </w:p>
    <w:bookmarkEnd w:id="249"/>
    <w:bookmarkEnd w:id="250"/>
    <w:bookmarkEnd w:id="251"/>
    <w:p>
      <w:pPr>
        <w:pStyle w:val="7"/>
        <w:widowControl/>
        <w:rPr>
          <w:rFonts w:hint="default" w:ascii="Times New Roman" w:hAnsi="Times New Roman" w:cs="Times New Roman"/>
          <w:color w:val="000000"/>
          <w:lang/>
        </w:rPr>
      </w:pPr>
      <w:bookmarkStart w:id="262" w:name="_Toc41656164"/>
      <w:bookmarkStart w:id="263" w:name="_Toc24527046"/>
      <w:bookmarkStart w:id="264" w:name="_Toc175714298"/>
      <w:bookmarkStart w:id="265" w:name="_Toc175711465"/>
      <w:bookmarkStart w:id="266" w:name="_Toc166464766"/>
      <w:bookmarkStart w:id="267" w:name="_Toc158523451"/>
      <w:bookmarkStart w:id="268" w:name="_Toc154570289"/>
      <w:bookmarkStart w:id="269" w:name="_Toc154569902"/>
      <w:bookmarkStart w:id="270" w:name="_Toc153878498"/>
      <w:bookmarkStart w:id="271" w:name="_Toc153007162"/>
      <w:bookmarkStart w:id="272" w:name="_Toc151278963"/>
      <w:bookmarkStart w:id="273" w:name="_Toc151276257"/>
      <w:bookmarkStart w:id="274" w:name="_Toc151200364"/>
      <w:bookmarkStart w:id="275" w:name="_Toc151200204"/>
      <w:r>
        <w:rPr>
          <w:rFonts w:hint="default" w:ascii="Times New Roman" w:hAnsi="Times New Roman" w:cs="Times New Roman"/>
          <w:color w:val="000000"/>
          <w:lang w:eastAsia="zh-CN"/>
        </w:rPr>
        <w:t>9</w:t>
      </w:r>
      <w:r>
        <w:rPr>
          <w:rFonts w:hint="default" w:ascii="Times New Roman" w:hAnsi="Times New Roman" w:cs="Times New Roman"/>
          <w:color w:val="000000"/>
          <w:lang/>
        </w:rPr>
        <w:t xml:space="preserve">. </w:t>
      </w:r>
      <w:r>
        <w:rPr>
          <w:rFonts w:ascii="Times New Roman" w:hAnsi="Times New Roman" w:cs="Times New Roman"/>
          <w:color w:val="000000"/>
          <w:lang/>
        </w:rPr>
        <w:t>评价结论</w:t>
      </w:r>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p>
    <w:p>
      <w:pPr>
        <w:pStyle w:val="8"/>
        <w:widowControl/>
        <w:spacing w:before="120" w:beforeAutospacing="0"/>
        <w:rPr>
          <w:color w:val="000000"/>
          <w:lang/>
        </w:rPr>
      </w:pPr>
      <w:bookmarkStart w:id="276" w:name="_Toc41656165"/>
      <w:bookmarkStart w:id="277" w:name="_Toc24527047"/>
      <w:r>
        <w:rPr>
          <w:color w:val="000000"/>
          <w:lang/>
        </w:rPr>
        <w:t xml:space="preserve">9.1 </w:t>
      </w:r>
      <w:r>
        <w:rPr>
          <w:rFonts w:hint="eastAsia" w:ascii="Times New Roman" w:hAnsi="Times New Roman" w:eastAsia="宋体" w:cs="宋体"/>
          <w:color w:val="000000"/>
          <w:lang w:eastAsia="zh-CN"/>
        </w:rPr>
        <w:t>项目概况</w:t>
      </w:r>
      <w:bookmarkEnd w:id="276"/>
      <w:bookmarkEnd w:id="277"/>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本项目位于辽宁省鞍山市海城市八里镇铧子峪村，在华宇集团现有厂区内扩建浮选生产线，年处理菱镁矿石</w:t>
      </w:r>
      <w:r>
        <w:rPr>
          <w:rFonts w:hint="default" w:ascii="Times New Roman" w:hAnsi="Times New Roman" w:eastAsia="宋体" w:cs="Times New Roman"/>
          <w:color w:val="000000"/>
          <w:kern w:val="0"/>
          <w:sz w:val="24"/>
          <w:szCs w:val="24"/>
          <w:lang w:val="en-US" w:eastAsia="zh-CN" w:bidi="ar"/>
        </w:rPr>
        <w:t>125</w:t>
      </w:r>
      <w:r>
        <w:rPr>
          <w:rFonts w:hint="eastAsia" w:ascii="Times New Roman" w:hAnsi="Times New Roman" w:eastAsia="宋体" w:cs="Times New Roman"/>
          <w:color w:val="000000"/>
          <w:kern w:val="0"/>
          <w:sz w:val="24"/>
          <w:szCs w:val="24"/>
          <w:lang w:val="en-US" w:eastAsia="zh-CN" w:bidi="ar"/>
        </w:rPr>
        <w:t>万吨，已于</w:t>
      </w:r>
      <w:r>
        <w:rPr>
          <w:rFonts w:hint="default" w:ascii="Times New Roman" w:hAnsi="Times New Roman" w:eastAsia="宋体" w:cs="Times New Roman"/>
          <w:color w:val="000000"/>
          <w:kern w:val="0"/>
          <w:sz w:val="24"/>
          <w:szCs w:val="24"/>
          <w:lang w:val="en-US" w:eastAsia="zh-CN" w:bidi="ar"/>
        </w:rPr>
        <w:t>2019</w:t>
      </w:r>
      <w:r>
        <w:rPr>
          <w:rFonts w:hint="eastAsia" w:ascii="Times New Roman" w:hAnsi="Times New Roman" w:eastAsia="宋体" w:cs="Times New Roman"/>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8</w:t>
      </w:r>
      <w:r>
        <w:rPr>
          <w:rFonts w:hint="eastAsia" w:ascii="Times New Roman" w:hAnsi="Times New Roman" w:eastAsia="宋体" w:cs="Times New Roman"/>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26</w:t>
      </w:r>
      <w:r>
        <w:rPr>
          <w:rFonts w:hint="eastAsia" w:ascii="Times New Roman" w:hAnsi="Times New Roman" w:eastAsia="宋体" w:cs="Times New Roman"/>
          <w:color w:val="000000"/>
          <w:kern w:val="0"/>
          <w:sz w:val="24"/>
          <w:szCs w:val="24"/>
          <w:lang w:val="en-US" w:eastAsia="zh-CN" w:bidi="ar"/>
        </w:rPr>
        <w:t>日以海发改备</w:t>
      </w:r>
      <w:r>
        <w:rPr>
          <w:rFonts w:hint="default" w:ascii="Times New Roman" w:hAnsi="Times New Roman" w:eastAsia="宋体" w:cs="Times New Roman"/>
          <w:color w:val="000000"/>
          <w:kern w:val="0"/>
          <w:sz w:val="24"/>
          <w:szCs w:val="24"/>
          <w:lang w:val="en-US" w:eastAsia="zh-CN" w:bidi="ar"/>
        </w:rPr>
        <w:t>[2019]94</w:t>
      </w:r>
      <w:r>
        <w:rPr>
          <w:rFonts w:hint="eastAsia" w:ascii="Times New Roman" w:hAnsi="Times New Roman" w:eastAsia="宋体" w:cs="Times New Roman"/>
          <w:color w:val="000000"/>
          <w:kern w:val="0"/>
          <w:sz w:val="24"/>
          <w:szCs w:val="24"/>
          <w:lang w:val="en-US" w:eastAsia="zh-CN" w:bidi="ar"/>
        </w:rPr>
        <w:t>号文件</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关于《辽宁铧宇废旧金属再生利用有限公司年处理</w:t>
      </w:r>
      <w:r>
        <w:rPr>
          <w:rFonts w:hint="default" w:ascii="Times New Roman" w:hAnsi="Times New Roman" w:eastAsia="宋体" w:cs="Times New Roman"/>
          <w:color w:val="000000"/>
          <w:kern w:val="0"/>
          <w:sz w:val="24"/>
          <w:szCs w:val="24"/>
          <w:lang w:val="en-US" w:eastAsia="zh-CN" w:bidi="ar"/>
        </w:rPr>
        <w:t>125</w:t>
      </w:r>
      <w:r>
        <w:rPr>
          <w:rFonts w:hint="eastAsia" w:ascii="Times New Roman" w:hAnsi="Times New Roman" w:eastAsia="宋体" w:cs="Times New Roman"/>
          <w:color w:val="000000"/>
          <w:kern w:val="0"/>
          <w:sz w:val="24"/>
          <w:szCs w:val="24"/>
          <w:lang w:val="en-US" w:eastAsia="zh-CN" w:bidi="ar"/>
        </w:rPr>
        <w:t>万吨菱镁矿石浮选建设项目》项目备案证明</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取得备案批件。根据备案内容，本项目占地面积</w:t>
      </w:r>
      <w:r>
        <w:rPr>
          <w:rFonts w:hint="default" w:ascii="Times New Roman" w:hAnsi="Times New Roman" w:eastAsia="宋体" w:cs="Times New Roman"/>
          <w:color w:val="000000"/>
          <w:kern w:val="0"/>
          <w:sz w:val="24"/>
          <w:szCs w:val="24"/>
          <w:lang w:val="en-US" w:eastAsia="zh-CN" w:bidi="ar"/>
        </w:rPr>
        <w:t>30000m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Times New Roman" w:hAnsi="Times New Roman" w:eastAsia="宋体" w:cs="Times New Roman"/>
          <w:color w:val="000000"/>
          <w:kern w:val="0"/>
          <w:sz w:val="24"/>
          <w:szCs w:val="24"/>
          <w:lang w:val="en-US" w:eastAsia="zh-CN" w:bidi="ar"/>
        </w:rPr>
        <w:t>，建设菱镁矿石浮选生产线，设置浮选机、尾矿浓缩机、精矿过滤机、球磨机等设备，项目总投资</w:t>
      </w:r>
      <w:r>
        <w:rPr>
          <w:rFonts w:hint="default" w:ascii="Times New Roman" w:hAnsi="Times New Roman" w:eastAsia="宋体" w:cs="Times New Roman"/>
          <w:color w:val="000000"/>
          <w:kern w:val="0"/>
          <w:sz w:val="24"/>
          <w:szCs w:val="24"/>
          <w:lang w:val="en-US" w:eastAsia="zh-CN" w:bidi="ar"/>
        </w:rPr>
        <w:t>6000</w:t>
      </w:r>
      <w:r>
        <w:rPr>
          <w:rFonts w:hint="eastAsia" w:ascii="Times New Roman" w:hAnsi="Times New Roman" w:eastAsia="宋体" w:cs="Times New Roman"/>
          <w:color w:val="000000"/>
          <w:kern w:val="0"/>
          <w:sz w:val="24"/>
          <w:szCs w:val="24"/>
          <w:lang w:val="en-US" w:eastAsia="zh-CN" w:bidi="ar"/>
        </w:rPr>
        <w:t>万元。其中环保投资</w:t>
      </w:r>
      <w:r>
        <w:rPr>
          <w:rFonts w:hint="default" w:ascii="Times New Roman" w:hAnsi="Times New Roman" w:eastAsia="宋体" w:cs="Times New Roman"/>
          <w:color w:val="000000"/>
          <w:kern w:val="0"/>
          <w:sz w:val="24"/>
          <w:szCs w:val="24"/>
          <w:lang w:val="en-US" w:eastAsia="zh-CN" w:bidi="ar"/>
        </w:rPr>
        <w:t>626</w:t>
      </w:r>
      <w:r>
        <w:rPr>
          <w:rFonts w:hint="eastAsia" w:ascii="Times New Roman" w:hAnsi="Times New Roman" w:eastAsia="宋体" w:cs="Times New Roman"/>
          <w:color w:val="000000"/>
          <w:kern w:val="0"/>
          <w:sz w:val="24"/>
          <w:szCs w:val="24"/>
          <w:lang w:val="en-US" w:eastAsia="zh-CN" w:bidi="ar"/>
        </w:rPr>
        <w:t>万元，约占投资总额的</w:t>
      </w:r>
      <w:r>
        <w:rPr>
          <w:rFonts w:hint="default" w:ascii="Times New Roman" w:hAnsi="Times New Roman" w:eastAsia="宋体" w:cs="Times New Roman"/>
          <w:color w:val="000000"/>
          <w:kern w:val="0"/>
          <w:sz w:val="24"/>
          <w:szCs w:val="24"/>
          <w:lang w:val="en-US" w:eastAsia="zh-CN" w:bidi="ar"/>
        </w:rPr>
        <w:t>10.4%</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本项目选用的生产工艺及设备均属于《产业结构调整指导目录</w:t>
      </w:r>
      <w:r>
        <w:rPr>
          <w:rFonts w:hint="default" w:ascii="Times New Roman" w:hAnsi="Times New Roman" w:eastAsia="宋体" w:cs="Times New Roman"/>
          <w:color w:val="000000"/>
          <w:kern w:val="0"/>
          <w:sz w:val="24"/>
          <w:szCs w:val="24"/>
          <w:lang w:val="en-US" w:eastAsia="zh-CN" w:bidi="ar"/>
        </w:rPr>
        <w:t>(2019</w:t>
      </w:r>
      <w:r>
        <w:rPr>
          <w:rFonts w:hint="eastAsia" w:ascii="Times New Roman" w:hAnsi="Times New Roman" w:eastAsia="宋体" w:cs="Times New Roman"/>
          <w:color w:val="000000"/>
          <w:kern w:val="0"/>
          <w:sz w:val="24"/>
          <w:szCs w:val="24"/>
          <w:lang w:val="en-US" w:eastAsia="zh-CN" w:bidi="ar"/>
        </w:rPr>
        <w:t>年本</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中的鼓励类，项目符合国家、地方的产业政策。根据海城市生态保护红线范围，本项目不在生态保护红线内，满足环境质量底线、资源利用上限的要求。本项目位于海城市八里镇铧子峪村，已取得八里镇镇府出具的关于项目规划选址情况说明，根据该说明，本项目用地符合八里镇镇区规划，同意项目建设。</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的建设可行性已通过专家论证，并经海城市镁制品项目建设联合审议领导小组第五次联合审议会议同意该项目立项，根据镁制品项目建设第五次联合审议会议纪要，本项目为浮选类项目，不需要产能和主要污染物排放总量指标置换。</w:t>
      </w:r>
    </w:p>
    <w:p>
      <w:pPr>
        <w:pStyle w:val="8"/>
        <w:widowControl/>
        <w:spacing w:before="120" w:beforeAutospacing="0"/>
        <w:rPr>
          <w:color w:val="000000"/>
          <w:lang/>
        </w:rPr>
      </w:pPr>
      <w:bookmarkStart w:id="278" w:name="_Toc41656166"/>
      <w:bookmarkStart w:id="279" w:name="_Toc27659032"/>
      <w:r>
        <w:rPr>
          <w:color w:val="000000"/>
          <w:lang/>
        </w:rPr>
        <w:t xml:space="preserve">9.2 </w:t>
      </w:r>
      <w:r>
        <w:rPr>
          <w:rFonts w:hint="eastAsia" w:ascii="Times New Roman" w:hAnsi="Times New Roman" w:eastAsia="宋体" w:cs="宋体"/>
          <w:color w:val="000000"/>
          <w:lang w:eastAsia="zh-CN"/>
        </w:rPr>
        <w:t>环境质量现状评价结论</w:t>
      </w:r>
      <w:bookmarkEnd w:id="278"/>
      <w:bookmarkEnd w:id="279"/>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b/>
          <w:color w:val="000000"/>
          <w:lang w:val="en-US"/>
        </w:rPr>
      </w:pPr>
      <w:r>
        <w:rPr>
          <w:rFonts w:hint="eastAsia" w:ascii="Times New Roman" w:hAnsi="Times New Roman" w:eastAsia="宋体" w:cs="Times New Roman"/>
          <w:b/>
          <w:color w:val="000000"/>
          <w:kern w:val="0"/>
          <w:sz w:val="24"/>
          <w:szCs w:val="24"/>
          <w:lang w:val="en-US" w:eastAsia="zh-CN" w:bidi="ar"/>
        </w:rPr>
        <w:t>（</w:t>
      </w:r>
      <w:r>
        <w:rPr>
          <w:rFonts w:hint="default" w:ascii="Times New Roman" w:hAnsi="Times New Roman" w:eastAsia="宋体" w:cs="Times New Roman"/>
          <w:b/>
          <w:color w:val="000000"/>
          <w:kern w:val="0"/>
          <w:sz w:val="24"/>
          <w:szCs w:val="24"/>
          <w:lang w:val="en-US" w:eastAsia="zh-CN" w:bidi="ar"/>
        </w:rPr>
        <w:t>1</w:t>
      </w:r>
      <w:r>
        <w:rPr>
          <w:rFonts w:hint="eastAsia" w:ascii="Times New Roman" w:hAnsi="Times New Roman" w:eastAsia="宋体" w:cs="Times New Roman"/>
          <w:b/>
          <w:color w:val="000000"/>
          <w:kern w:val="0"/>
          <w:sz w:val="24"/>
          <w:szCs w:val="24"/>
          <w:lang w:val="en-US" w:eastAsia="zh-CN" w:bidi="ar"/>
        </w:rPr>
        <w:t>）环境空气质量现状</w:t>
      </w:r>
    </w:p>
    <w:p>
      <w:pPr>
        <w:keepNext w:val="0"/>
        <w:keepLines w:val="0"/>
        <w:widowControl/>
        <w:suppressLineNumbers w:val="0"/>
        <w:autoSpaceDE w:val="0"/>
        <w:autoSpaceDN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根据《</w:t>
      </w:r>
      <w:r>
        <w:rPr>
          <w:rFonts w:hint="default" w:ascii="Times New Roman" w:hAnsi="Times New Roman" w:eastAsia="宋体" w:cs="Times New Roman"/>
          <w:color w:val="000000"/>
          <w:kern w:val="0"/>
          <w:sz w:val="24"/>
          <w:szCs w:val="24"/>
          <w:lang w:val="en-US" w:eastAsia="zh-CN" w:bidi="ar"/>
        </w:rPr>
        <w:t>2018</w:t>
      </w:r>
      <w:r>
        <w:rPr>
          <w:rFonts w:hint="eastAsia" w:ascii="Times New Roman" w:hAnsi="Times New Roman" w:eastAsia="宋体" w:cs="Times New Roman"/>
          <w:color w:val="000000"/>
          <w:kern w:val="0"/>
          <w:sz w:val="24"/>
          <w:szCs w:val="24"/>
          <w:lang w:val="en-US" w:eastAsia="zh-CN" w:bidi="ar"/>
        </w:rPr>
        <w:t>年鞍山市环境质量报告书》中的空气质量数据，鞍山市环境空气</w:t>
      </w:r>
      <w:r>
        <w:rPr>
          <w:rFonts w:hint="default" w:ascii="Times New Roman" w:hAnsi="Times New Roman" w:eastAsia="宋体" w:cs="Times New Roman"/>
          <w:color w:val="000000"/>
          <w:kern w:val="0"/>
          <w:sz w:val="24"/>
          <w:szCs w:val="24"/>
          <w:lang w:eastAsia="zh-CN" w:bidi="ar"/>
        </w:rPr>
        <w:t>PM</w:t>
      </w:r>
      <w:r>
        <w:rPr>
          <w:rFonts w:hint="default" w:ascii="Times New Roman" w:hAnsi="Times New Roman" w:eastAsia="宋体" w:cs="Times New Roman"/>
          <w:color w:val="000000"/>
          <w:kern w:val="0"/>
          <w:sz w:val="24"/>
          <w:szCs w:val="24"/>
          <w:vertAlign w:val="subscript"/>
          <w:lang w:eastAsia="zh-CN" w:bidi="ar"/>
        </w:rPr>
        <w:t>10</w:t>
      </w:r>
      <w:r>
        <w:rPr>
          <w:rFonts w:hint="eastAsia" w:ascii="Times New Roman" w:hAnsi="Times New Roman" w:eastAsia="宋体" w:cs="Times New Roman"/>
          <w:color w:val="000000"/>
          <w:kern w:val="0"/>
          <w:sz w:val="24"/>
          <w:szCs w:val="24"/>
          <w:lang w:val="en-US" w:eastAsia="zh-CN" w:bidi="ar"/>
        </w:rPr>
        <w:t>的年平均浓度、</w:t>
      </w:r>
      <w:r>
        <w:rPr>
          <w:rFonts w:hint="default" w:ascii="Times New Roman" w:hAnsi="Times New Roman" w:eastAsia="宋体" w:cs="Times New Roman"/>
          <w:color w:val="000000"/>
          <w:kern w:val="0"/>
          <w:sz w:val="24"/>
          <w:szCs w:val="24"/>
          <w:lang w:eastAsia="zh-CN" w:bidi="ar"/>
        </w:rPr>
        <w:t>PM</w:t>
      </w:r>
      <w:r>
        <w:rPr>
          <w:rFonts w:hint="default" w:ascii="Times New Roman" w:hAnsi="Times New Roman" w:eastAsia="宋体" w:cs="Times New Roman"/>
          <w:color w:val="000000"/>
          <w:kern w:val="0"/>
          <w:sz w:val="24"/>
          <w:szCs w:val="24"/>
          <w:vertAlign w:val="subscript"/>
          <w:lang w:eastAsia="zh-CN" w:bidi="ar"/>
        </w:rPr>
        <w:t>2.5</w:t>
      </w:r>
      <w:r>
        <w:rPr>
          <w:rFonts w:hint="eastAsia" w:ascii="Times New Roman" w:hAnsi="Times New Roman" w:eastAsia="宋体" w:cs="Times New Roman"/>
          <w:color w:val="000000"/>
          <w:kern w:val="0"/>
          <w:sz w:val="24"/>
          <w:szCs w:val="24"/>
          <w:lang w:val="en-US" w:eastAsia="zh-CN" w:bidi="ar"/>
        </w:rPr>
        <w:t>年平均浓度和第</w:t>
      </w:r>
      <w:r>
        <w:rPr>
          <w:rFonts w:hint="default" w:ascii="Times New Roman" w:hAnsi="Times New Roman" w:eastAsia="宋体" w:cs="Times New Roman"/>
          <w:color w:val="000000"/>
          <w:kern w:val="0"/>
          <w:sz w:val="24"/>
          <w:szCs w:val="24"/>
          <w:lang w:eastAsia="zh-CN" w:bidi="ar"/>
        </w:rPr>
        <w:t>95</w:t>
      </w:r>
      <w:r>
        <w:rPr>
          <w:rFonts w:hint="eastAsia" w:ascii="Times New Roman" w:hAnsi="Times New Roman" w:eastAsia="宋体" w:cs="Times New Roman"/>
          <w:color w:val="000000"/>
          <w:kern w:val="0"/>
          <w:sz w:val="24"/>
          <w:szCs w:val="24"/>
          <w:lang w:val="en-US" w:eastAsia="zh-CN" w:bidi="ar"/>
        </w:rPr>
        <w:t>百分位数日平均浓度均不能满足《环境空气质量标准》（</w:t>
      </w:r>
      <w:r>
        <w:rPr>
          <w:rFonts w:hint="default" w:ascii="Times New Roman" w:hAnsi="Times New Roman" w:eastAsia="宋体" w:cs="Times New Roman"/>
          <w:color w:val="000000"/>
          <w:kern w:val="0"/>
          <w:sz w:val="24"/>
          <w:szCs w:val="24"/>
          <w:lang w:eastAsia="zh-CN" w:bidi="ar"/>
        </w:rPr>
        <w:t>GB3095-2012</w:t>
      </w:r>
      <w:r>
        <w:rPr>
          <w:rFonts w:hint="eastAsia" w:ascii="Times New Roman" w:hAnsi="Times New Roman" w:eastAsia="宋体" w:cs="Times New Roman"/>
          <w:color w:val="000000"/>
          <w:kern w:val="0"/>
          <w:sz w:val="24"/>
          <w:szCs w:val="24"/>
          <w:lang w:val="en-US" w:eastAsia="zh-CN" w:bidi="ar"/>
        </w:rPr>
        <w:t>）及其修改单中的二级标准，其余常规因子均满足相应环境质量标准限值，属于不达标区。</w:t>
      </w:r>
    </w:p>
    <w:p>
      <w:pPr>
        <w:keepNext w:val="0"/>
        <w:keepLines w:val="0"/>
        <w:widowControl/>
        <w:suppressLineNumbers w:val="0"/>
        <w:autoSpaceDE w:val="0"/>
        <w:autoSpaceDN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由</w:t>
      </w:r>
      <w:r>
        <w:rPr>
          <w:rFonts w:hint="default" w:ascii="Times New Roman" w:hAnsi="Times New Roman" w:eastAsia="宋体" w:cs="Times New Roman"/>
          <w:color w:val="000000"/>
          <w:kern w:val="0"/>
          <w:sz w:val="24"/>
          <w:szCs w:val="24"/>
          <w:lang w:val="en-US" w:eastAsia="zh-CN" w:bidi="ar"/>
        </w:rPr>
        <w:t>TSP</w:t>
      </w:r>
      <w:r>
        <w:rPr>
          <w:rFonts w:hint="eastAsia" w:ascii="Times New Roman" w:hAnsi="Times New Roman" w:eastAsia="宋体" w:cs="Times New Roman"/>
          <w:color w:val="000000"/>
          <w:kern w:val="0"/>
          <w:sz w:val="24"/>
          <w:szCs w:val="24"/>
          <w:lang w:val="en-US" w:eastAsia="zh-CN" w:bidi="ar"/>
        </w:rPr>
        <w:t>特</w:t>
      </w:r>
      <w:r>
        <w:rPr>
          <w:rFonts w:hint="eastAsia" w:ascii="宋体" w:hAnsi="宋体" w:eastAsia="宋体" w:cs="宋体"/>
          <w:color w:val="000000"/>
          <w:kern w:val="0"/>
          <w:sz w:val="24"/>
          <w:szCs w:val="24"/>
          <w:lang w:val="en-US" w:eastAsia="zh-CN" w:bidi="ar"/>
        </w:rPr>
        <w:t>征因子监测结果可知</w:t>
      </w:r>
      <w:r>
        <w:rPr>
          <w:rFonts w:hint="eastAsia" w:ascii="Times New Roman" w:hAnsi="Times New Roman" w:eastAsia="宋体" w:cs="Times New Roman"/>
          <w:color w:val="000000"/>
          <w:kern w:val="0"/>
          <w:sz w:val="24"/>
          <w:szCs w:val="24"/>
          <w:lang w:val="en-US" w:eastAsia="zh-CN" w:bidi="ar"/>
        </w:rPr>
        <w:t>，评价区域内特征因子满足相应环境空气质量标准。</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b/>
          <w:color w:val="000000"/>
          <w:lang w:val="en-US"/>
        </w:rPr>
      </w:pPr>
      <w:r>
        <w:rPr>
          <w:rFonts w:hint="eastAsia" w:ascii="Times New Roman" w:hAnsi="Times New Roman" w:eastAsia="宋体" w:cs="Times New Roman"/>
          <w:b/>
          <w:color w:val="000000"/>
          <w:kern w:val="0"/>
          <w:sz w:val="24"/>
          <w:szCs w:val="24"/>
          <w:lang w:val="en-US" w:eastAsia="zh-CN" w:bidi="ar"/>
        </w:rPr>
        <w:t>（</w:t>
      </w:r>
      <w:r>
        <w:rPr>
          <w:rFonts w:hint="default" w:ascii="Times New Roman" w:hAnsi="Times New Roman" w:eastAsia="宋体" w:cs="Times New Roman"/>
          <w:b/>
          <w:color w:val="000000"/>
          <w:kern w:val="0"/>
          <w:sz w:val="24"/>
          <w:szCs w:val="24"/>
          <w:lang w:val="en-US" w:eastAsia="zh-CN" w:bidi="ar"/>
        </w:rPr>
        <w:t>2</w:t>
      </w:r>
      <w:r>
        <w:rPr>
          <w:rFonts w:hint="eastAsia" w:ascii="Times New Roman" w:hAnsi="Times New Roman" w:eastAsia="宋体" w:cs="Times New Roman"/>
          <w:b/>
          <w:color w:val="000000"/>
          <w:kern w:val="0"/>
          <w:sz w:val="24"/>
          <w:szCs w:val="24"/>
          <w:lang w:val="en-US" w:eastAsia="zh-CN" w:bidi="ar"/>
        </w:rPr>
        <w:t>）声环境质量现状</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本次评价在厂界设置</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个噪声监测点位，监测结果表明，厂界噪声昼间、夜间监测值均可满足《工业企业厂界环境噪声排放标准》（</w:t>
      </w:r>
      <w:r>
        <w:rPr>
          <w:rFonts w:hint="default" w:ascii="Times New Roman" w:hAnsi="Times New Roman" w:eastAsia="宋体" w:cs="Times New Roman"/>
          <w:color w:val="000000"/>
          <w:kern w:val="0"/>
          <w:sz w:val="24"/>
          <w:szCs w:val="24"/>
          <w:lang w:val="en-US" w:eastAsia="zh-CN" w:bidi="ar"/>
        </w:rPr>
        <w:t>GB12348-2008</w:t>
      </w:r>
      <w:r>
        <w:rPr>
          <w:rFonts w:hint="eastAsia" w:ascii="Times New Roman" w:hAnsi="Times New Roman" w:eastAsia="宋体" w:cs="Times New Roman"/>
          <w:color w:val="000000"/>
          <w:kern w:val="0"/>
          <w:sz w:val="24"/>
          <w:szCs w:val="24"/>
          <w:lang w:val="en-US" w:eastAsia="zh-CN" w:bidi="ar"/>
        </w:rPr>
        <w:t>）中</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类区标准。</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）地下水环境质量现状</w:t>
      </w:r>
    </w:p>
    <w:p>
      <w:pPr>
        <w:keepNext w:val="0"/>
        <w:keepLines w:val="0"/>
        <w:widowControl/>
        <w:suppressLineNumbers w:val="0"/>
        <w:spacing w:before="0" w:beforeAutospacing="0" w:after="0" w:afterAutospacing="0" w:line="500" w:lineRule="exact"/>
        <w:ind w:left="0" w:right="0" w:firstLine="48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由监测结果可知，由于区域地质原因各监测点位总硬度均超标，其余指标（含</w:t>
      </w:r>
      <w:r>
        <w:rPr>
          <w:rFonts w:hint="eastAsia" w:ascii="Times New Roman" w:hAnsi="Times New Roman" w:eastAsia="宋体" w:cs="Times New Roman"/>
          <w:color w:val="000000"/>
          <w:kern w:val="0"/>
          <w:sz w:val="24"/>
          <w:szCs w:val="24"/>
          <w:lang w:val="en-US" w:eastAsia="zh-CN" w:bidi="ar"/>
        </w:rPr>
        <w:t>铅、铁、锰、砷、汞、氨氮、耗氧量、挥发性酚类、石油类、亚硝酸盐、硝酸盐氮、溶解性总固体、总大肠菌群、细菌总数等</w:t>
      </w:r>
      <w:r>
        <w:rPr>
          <w:rFonts w:hint="eastAsia" w:ascii="宋体" w:hAnsi="宋体" w:eastAsia="宋体" w:cs="宋体"/>
          <w:color w:val="000000"/>
          <w:kern w:val="0"/>
          <w:sz w:val="24"/>
          <w:szCs w:val="24"/>
          <w:lang w:val="en-US" w:eastAsia="zh-CN" w:bidi="ar"/>
        </w:rPr>
        <w:t>）均满足《地下水质量标准》（GB/T 14848-2017）Ⅲ类标准。</w:t>
      </w:r>
      <w:r>
        <w:rPr>
          <w:rFonts w:hint="eastAsia" w:ascii="Times New Roman" w:hAnsi="Times New Roman" w:eastAsia="宋体" w:cs="Times New Roman"/>
          <w:color w:val="000000"/>
          <w:kern w:val="0"/>
          <w:sz w:val="24"/>
          <w:szCs w:val="24"/>
          <w:lang w:val="en-US" w:eastAsia="zh-CN" w:bidi="ar"/>
        </w:rPr>
        <w:t>该区域地下水质量较好，综合类别定为</w:t>
      </w:r>
      <w:r>
        <w:rPr>
          <w:rFonts w:hint="default" w:ascii="Times New Roman" w:hAnsi="Times New Roman" w:eastAsia="宋体" w:cs="Times New Roman"/>
          <w:color w:val="000000"/>
          <w:kern w:val="0"/>
          <w:sz w:val="24"/>
          <w:szCs w:val="24"/>
          <w:lang w:val="en-US" w:eastAsia="zh-CN" w:bidi="ar"/>
        </w:rPr>
        <w:t>Ⅲ</w:t>
      </w:r>
      <w:r>
        <w:rPr>
          <w:rFonts w:hint="eastAsia" w:ascii="Times New Roman" w:hAnsi="Times New Roman" w:eastAsia="宋体" w:cs="Times New Roman"/>
          <w:color w:val="000000"/>
          <w:kern w:val="0"/>
          <w:sz w:val="24"/>
          <w:szCs w:val="24"/>
          <w:lang w:val="en-US" w:eastAsia="zh-CN" w:bidi="ar"/>
        </w:rPr>
        <w:t>类。</w:t>
      </w:r>
    </w:p>
    <w:p>
      <w:pPr>
        <w:pStyle w:val="8"/>
        <w:widowControl/>
        <w:spacing w:before="120" w:beforeAutospacing="0"/>
        <w:rPr>
          <w:color w:val="000000"/>
          <w:lang/>
        </w:rPr>
      </w:pPr>
      <w:bookmarkStart w:id="280" w:name="_Toc41656167"/>
      <w:bookmarkStart w:id="281" w:name="_Toc27659033"/>
      <w:r>
        <w:rPr>
          <w:color w:val="000000"/>
          <w:lang/>
        </w:rPr>
        <w:t xml:space="preserve">9.3 </w:t>
      </w:r>
      <w:r>
        <w:rPr>
          <w:rFonts w:hint="eastAsia" w:ascii="Times New Roman" w:hAnsi="Times New Roman" w:eastAsia="宋体" w:cs="宋体"/>
          <w:color w:val="000000"/>
          <w:lang w:eastAsia="zh-CN"/>
        </w:rPr>
        <w:t>环境影响源及污染物排放情况结论</w:t>
      </w:r>
      <w:bookmarkEnd w:id="280"/>
      <w:bookmarkEnd w:id="281"/>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9</w:t>
      </w:r>
      <w:r>
        <w:rPr>
          <w:rFonts w:hint="default" w:ascii="Times New Roman" w:hAnsi="Times New Roman" w:cs="Times New Roman"/>
          <w:color w:val="000000"/>
          <w:lang/>
        </w:rPr>
        <w:t xml:space="preserve">.3.1 </w:t>
      </w:r>
      <w:r>
        <w:rPr>
          <w:rFonts w:ascii="Times New Roman" w:hAnsi="Times New Roman" w:cs="Times New Roman"/>
          <w:color w:val="000000"/>
          <w:lang/>
        </w:rPr>
        <w:t>施工期污染物排放情况</w:t>
      </w:r>
    </w:p>
    <w:p>
      <w:pPr>
        <w:pStyle w:val="27"/>
        <w:keepNext w:val="0"/>
        <w:keepLines w:val="0"/>
        <w:widowControl/>
        <w:suppressLineNumbers w:val="0"/>
        <w:adjustRightInd w:val="0"/>
        <w:snapToGrid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eastAsia="zh-CN" w:bidi="ar"/>
        </w:rPr>
        <w:t>1</w:t>
      </w:r>
      <w:r>
        <w:rPr>
          <w:rFonts w:hint="eastAsia" w:ascii="Times New Roman" w:hAnsi="Times New Roman" w:eastAsia="宋体" w:cs="Times New Roman"/>
          <w:b/>
          <w:bCs w:val="0"/>
          <w:color w:val="000000"/>
          <w:kern w:val="0"/>
          <w:sz w:val="24"/>
          <w:szCs w:val="24"/>
          <w:lang w:val="en-US" w:eastAsia="zh-CN" w:bidi="ar"/>
        </w:rPr>
        <w:t>）</w:t>
      </w:r>
      <w:r>
        <w:rPr>
          <w:rFonts w:hint="eastAsia" w:ascii="Times New Roman" w:hAnsi="Times New Roman" w:eastAsia="宋体" w:cs="Times New Roman"/>
          <w:b/>
          <w:bCs w:val="0"/>
          <w:color w:val="000000"/>
          <w:kern w:val="0"/>
          <w:sz w:val="24"/>
          <w:szCs w:val="24"/>
          <w:lang w:eastAsia="zh-CN" w:bidi="ar"/>
        </w:rPr>
        <w:t>废气</w:t>
      </w: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大气污染主要是施工扬尘和施工车辆产生的扬尘及尾气等，但因扬尘的辐射范围较小，随着距离的增加而很快降低，施工期扬尘能够满足《施工及堆料场地扬尘排放标准》（</w:t>
      </w:r>
      <w:r>
        <w:rPr>
          <w:rFonts w:hint="default" w:ascii="Times New Roman" w:hAnsi="Times New Roman" w:eastAsia="宋体" w:cs="Times New Roman"/>
          <w:color w:val="000000"/>
          <w:kern w:val="0"/>
          <w:sz w:val="24"/>
          <w:szCs w:val="24"/>
          <w:lang w:eastAsia="zh-CN" w:bidi="ar"/>
        </w:rPr>
        <w:t>DB21/2642-2016</w:t>
      </w:r>
      <w:r>
        <w:rPr>
          <w:rFonts w:hint="eastAsia" w:ascii="Times New Roman" w:hAnsi="Times New Roman" w:eastAsia="宋体" w:cs="Times New Roman"/>
          <w:color w:val="000000"/>
          <w:kern w:val="0"/>
          <w:sz w:val="24"/>
          <w:szCs w:val="24"/>
          <w:lang w:eastAsia="zh-CN" w:bidi="ar"/>
        </w:rPr>
        <w:t>）</w:t>
      </w:r>
      <w:r>
        <w:rPr>
          <w:rFonts w:hint="eastAsia" w:ascii="Times New Roman" w:hAnsi="Times New Roman" w:eastAsia="宋体" w:cs="Times New Roman"/>
          <w:color w:val="000000"/>
          <w:kern w:val="0"/>
          <w:sz w:val="24"/>
          <w:szCs w:val="24"/>
          <w:lang w:val="en-US" w:eastAsia="zh-CN" w:bidi="ar"/>
        </w:rPr>
        <w:t>标准</w:t>
      </w:r>
      <w:r>
        <w:rPr>
          <w:rFonts w:hint="eastAsia" w:ascii="Times New Roman" w:hAnsi="Times New Roman" w:eastAsia="宋体" w:cs="Times New Roman"/>
          <w:color w:val="000000"/>
          <w:kern w:val="0"/>
          <w:sz w:val="24"/>
          <w:szCs w:val="24"/>
          <w:lang w:eastAsia="zh-CN" w:bidi="ar"/>
        </w:rPr>
        <w:t>。</w:t>
      </w:r>
    </w:p>
    <w:p>
      <w:pPr>
        <w:pStyle w:val="27"/>
        <w:keepNext w:val="0"/>
        <w:keepLines w:val="0"/>
        <w:widowControl/>
        <w:suppressLineNumbers w:val="0"/>
        <w:adjustRightInd w:val="0"/>
        <w:snapToGrid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eastAsia="zh-CN" w:bidi="ar"/>
        </w:rPr>
        <w:t>2</w:t>
      </w:r>
      <w:r>
        <w:rPr>
          <w:rFonts w:hint="eastAsia" w:ascii="Times New Roman" w:hAnsi="Times New Roman" w:eastAsia="宋体" w:cs="Times New Roman"/>
          <w:b/>
          <w:bCs w:val="0"/>
          <w:color w:val="000000"/>
          <w:kern w:val="0"/>
          <w:sz w:val="24"/>
          <w:szCs w:val="24"/>
          <w:lang w:val="en-US" w:eastAsia="zh-CN" w:bidi="ar"/>
        </w:rPr>
        <w:t>）</w:t>
      </w:r>
      <w:r>
        <w:rPr>
          <w:rFonts w:hint="eastAsia" w:ascii="Times New Roman" w:hAnsi="Times New Roman" w:eastAsia="宋体" w:cs="Times New Roman"/>
          <w:b/>
          <w:bCs w:val="0"/>
          <w:color w:val="000000"/>
          <w:kern w:val="0"/>
          <w:sz w:val="24"/>
          <w:szCs w:val="24"/>
          <w:lang w:eastAsia="zh-CN" w:bidi="ar"/>
        </w:rPr>
        <w:t>废水</w:t>
      </w: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施工期废水主要为施工人员所排放的生活污水及施工工地泥浆废水。施工废水沉淀后用于洒水抑尘；施工人员的生活污水排入化粪池处理。</w:t>
      </w:r>
    </w:p>
    <w:p>
      <w:pPr>
        <w:pStyle w:val="27"/>
        <w:keepNext w:val="0"/>
        <w:keepLines w:val="0"/>
        <w:widowControl/>
        <w:suppressLineNumbers w:val="0"/>
        <w:adjustRightInd w:val="0"/>
        <w:snapToGrid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eastAsia="zh-CN" w:bidi="ar"/>
        </w:rPr>
        <w:t>3</w:t>
      </w:r>
      <w:r>
        <w:rPr>
          <w:rFonts w:hint="eastAsia" w:ascii="Times New Roman" w:hAnsi="Times New Roman" w:eastAsia="宋体" w:cs="Times New Roman"/>
          <w:b/>
          <w:bCs w:val="0"/>
          <w:color w:val="000000"/>
          <w:kern w:val="0"/>
          <w:sz w:val="24"/>
          <w:szCs w:val="24"/>
          <w:lang w:val="en-US" w:eastAsia="zh-CN" w:bidi="ar"/>
        </w:rPr>
        <w:t>）</w:t>
      </w:r>
      <w:r>
        <w:rPr>
          <w:rFonts w:hint="eastAsia" w:ascii="Times New Roman" w:hAnsi="Times New Roman" w:eastAsia="宋体" w:cs="Times New Roman"/>
          <w:b/>
          <w:bCs w:val="0"/>
          <w:color w:val="000000"/>
          <w:kern w:val="0"/>
          <w:sz w:val="24"/>
          <w:szCs w:val="24"/>
          <w:lang w:eastAsia="zh-CN" w:bidi="ar"/>
        </w:rPr>
        <w:t>噪声</w:t>
      </w: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eastAsia="zh-CN" w:bidi="ar"/>
        </w:rPr>
        <w:t>施工期噪声主要是在施工现场的机械设备运行及作业中产生的噪声，以及车辆运输产生的噪声。项目在施工中会对环境会造成一定的影响，但是这种影响是暂时的，随着工程的结束而消失。经减缓措施后，可满足《建筑施工场界环境噪声排放标准》（</w:t>
      </w:r>
      <w:r>
        <w:rPr>
          <w:rFonts w:hint="default" w:ascii="Times New Roman" w:hAnsi="Times New Roman" w:eastAsia="宋体" w:cs="Times New Roman"/>
          <w:color w:val="000000"/>
          <w:kern w:val="0"/>
          <w:sz w:val="24"/>
          <w:szCs w:val="24"/>
          <w:lang w:eastAsia="zh-CN" w:bidi="ar"/>
        </w:rPr>
        <w:t>GB12523-2011</w:t>
      </w:r>
      <w:r>
        <w:rPr>
          <w:rFonts w:hint="eastAsia" w:ascii="Times New Roman" w:hAnsi="Times New Roman" w:eastAsia="宋体" w:cs="Times New Roman"/>
          <w:color w:val="000000"/>
          <w:kern w:val="0"/>
          <w:sz w:val="24"/>
          <w:szCs w:val="24"/>
          <w:lang w:eastAsia="zh-CN" w:bidi="ar"/>
        </w:rPr>
        <w:t>）中的排放限值要求。</w:t>
      </w:r>
    </w:p>
    <w:p>
      <w:pPr>
        <w:pStyle w:val="27"/>
        <w:keepNext w:val="0"/>
        <w:keepLines w:val="0"/>
        <w:widowControl/>
        <w:suppressLineNumbers w:val="0"/>
        <w:adjustRightInd w:val="0"/>
        <w:snapToGrid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eastAsia="zh-CN" w:bidi="ar"/>
        </w:rPr>
        <w:t>4</w:t>
      </w:r>
      <w:r>
        <w:rPr>
          <w:rFonts w:hint="eastAsia" w:ascii="Times New Roman" w:hAnsi="Times New Roman" w:eastAsia="宋体" w:cs="Times New Roman"/>
          <w:b/>
          <w:bCs w:val="0"/>
          <w:color w:val="000000"/>
          <w:kern w:val="0"/>
          <w:sz w:val="24"/>
          <w:szCs w:val="24"/>
          <w:lang w:val="en-US" w:eastAsia="zh-CN" w:bidi="ar"/>
        </w:rPr>
        <w:t>）</w:t>
      </w:r>
      <w:r>
        <w:rPr>
          <w:rFonts w:hint="eastAsia" w:ascii="Times New Roman" w:hAnsi="Times New Roman" w:eastAsia="宋体" w:cs="Times New Roman"/>
          <w:b/>
          <w:bCs w:val="0"/>
          <w:color w:val="000000"/>
          <w:kern w:val="0"/>
          <w:sz w:val="24"/>
          <w:szCs w:val="24"/>
          <w:lang w:eastAsia="zh-CN" w:bidi="ar"/>
        </w:rPr>
        <w:t>固废</w:t>
      </w:r>
    </w:p>
    <w:p>
      <w:pPr>
        <w:keepNext w:val="0"/>
        <w:keepLines w:val="0"/>
        <w:widowControl/>
        <w:suppressLineNumbers w:val="0"/>
        <w:tabs>
          <w:tab w:val="left" w:pos="1506"/>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施工期产生的固体废物主要是土建工程中产生的废土石方、废建筑材料和施工人员生活垃圾等。</w:t>
      </w:r>
    </w:p>
    <w:p>
      <w:pPr>
        <w:keepNext w:val="0"/>
        <w:keepLines w:val="0"/>
        <w:widowControl/>
        <w:suppressLineNumbers w:val="0"/>
        <w:tabs>
          <w:tab w:val="left" w:pos="1506"/>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土石方</w:t>
      </w:r>
      <w:r>
        <w:rPr>
          <w:rFonts w:hint="eastAsia" w:ascii="Times New Roman" w:hAnsi="Times New Roman" w:eastAsia="宋体" w:cs="Times New Roman"/>
          <w:color w:val="000000"/>
          <w:kern w:val="0"/>
          <w:sz w:val="24"/>
          <w:szCs w:val="32"/>
          <w:lang w:val="en-US" w:eastAsia="zh-CN" w:bidi="ar"/>
        </w:rPr>
        <w:t>全部用于厂区内的场地平整，不外排；废建筑材料和生活垃圾集中收集后由环卫部门统一处理。</w:t>
      </w:r>
    </w:p>
    <w:p>
      <w:pPr>
        <w:pStyle w:val="9"/>
        <w:widowControl/>
        <w:spacing w:before="120" w:beforeLines="50" w:beforeAutospacing="0"/>
        <w:rPr>
          <w:rFonts w:hint="default" w:ascii="Times New Roman" w:hAnsi="Times New Roman" w:cs="Times New Roman"/>
          <w:color w:val="000000"/>
          <w:lang/>
        </w:rPr>
      </w:pPr>
      <w:r>
        <w:rPr>
          <w:rFonts w:hint="default" w:ascii="Times New Roman" w:hAnsi="Times New Roman" w:cs="Times New Roman"/>
          <w:color w:val="000000"/>
          <w:lang w:eastAsia="zh-CN"/>
        </w:rPr>
        <w:t>9</w:t>
      </w:r>
      <w:r>
        <w:rPr>
          <w:rFonts w:hint="default" w:ascii="Times New Roman" w:hAnsi="Times New Roman" w:cs="Times New Roman"/>
          <w:color w:val="000000"/>
          <w:lang/>
        </w:rPr>
        <w:t xml:space="preserve">.3.2 </w:t>
      </w:r>
      <w:r>
        <w:rPr>
          <w:rFonts w:ascii="Times New Roman" w:hAnsi="Times New Roman" w:cs="Times New Roman"/>
          <w:color w:val="000000"/>
          <w:lang/>
        </w:rPr>
        <w:t>营运期污染物排放情况</w:t>
      </w:r>
    </w:p>
    <w:p>
      <w:pPr>
        <w:keepNext w:val="0"/>
        <w:keepLines w:val="0"/>
        <w:widowControl/>
        <w:suppressLineNumbers w:val="0"/>
        <w:tabs>
          <w:tab w:val="left" w:pos="1506"/>
        </w:tabs>
        <w:spacing w:before="0" w:beforeAutospacing="0" w:after="0" w:afterAutospacing="0" w:line="500" w:lineRule="exact"/>
        <w:ind w:left="0" w:right="0" w:firstLine="482" w:firstLineChars="200"/>
        <w:jc w:val="left"/>
        <w:rPr>
          <w:rFonts w:hint="default" w:ascii="Times New Roman" w:hAnsi="Times New Roman" w:cs="Times New Roman"/>
          <w:b/>
          <w:bCs w:val="0"/>
          <w:color w:val="000000"/>
          <w:szCs w:val="32"/>
          <w:lang w:val="en-US"/>
        </w:rPr>
      </w:pPr>
      <w:r>
        <w:rPr>
          <w:rFonts w:hint="eastAsia" w:ascii="Times New Roman" w:hAnsi="Times New Roman" w:eastAsia="宋体" w:cs="Times New Roman"/>
          <w:b/>
          <w:bCs w:val="0"/>
          <w:color w:val="000000"/>
          <w:kern w:val="0"/>
          <w:sz w:val="24"/>
          <w:szCs w:val="32"/>
          <w:lang w:val="en-US" w:eastAsia="zh-CN" w:bidi="ar"/>
        </w:rPr>
        <w:t>（</w:t>
      </w:r>
      <w:r>
        <w:rPr>
          <w:rFonts w:hint="default" w:ascii="Times New Roman" w:hAnsi="Times New Roman" w:eastAsia="宋体" w:cs="Times New Roman"/>
          <w:b/>
          <w:bCs w:val="0"/>
          <w:color w:val="000000"/>
          <w:kern w:val="0"/>
          <w:sz w:val="24"/>
          <w:szCs w:val="32"/>
          <w:lang w:val="en-US" w:eastAsia="zh-CN" w:bidi="ar"/>
        </w:rPr>
        <w:t>1</w:t>
      </w:r>
      <w:r>
        <w:rPr>
          <w:rFonts w:hint="eastAsia" w:ascii="Times New Roman" w:hAnsi="Times New Roman" w:eastAsia="宋体" w:cs="Times New Roman"/>
          <w:b/>
          <w:bCs w:val="0"/>
          <w:color w:val="000000"/>
          <w:kern w:val="0"/>
          <w:sz w:val="24"/>
          <w:szCs w:val="32"/>
          <w:lang w:val="en-US" w:eastAsia="zh-CN" w:bidi="ar"/>
        </w:rPr>
        <w:t>）废气</w:t>
      </w:r>
    </w:p>
    <w:p>
      <w:pPr>
        <w:keepNext w:val="0"/>
        <w:keepLines w:val="0"/>
        <w:widowControl/>
        <w:suppressLineNumbers w:val="0"/>
        <w:tabs>
          <w:tab w:val="left" w:pos="1506"/>
        </w:tabs>
        <w:spacing w:before="0" w:beforeAutospacing="0" w:after="0" w:afterAutospacing="0" w:line="500" w:lineRule="exact"/>
        <w:ind w:left="0" w:right="0" w:firstLine="480" w:firstLineChars="200"/>
        <w:jc w:val="both"/>
        <w:rPr>
          <w:rFonts w:hint="default" w:ascii="Times New Roman" w:hAnsi="Times New Roman" w:cs="Times New Roman"/>
          <w:color w:val="000000"/>
          <w:szCs w:val="32"/>
          <w:lang w:val="en-US"/>
        </w:rPr>
      </w:pPr>
      <w:r>
        <w:rPr>
          <w:rFonts w:hint="eastAsia" w:ascii="Times New Roman" w:hAnsi="Times New Roman" w:eastAsia="宋体" w:cs="Times New Roman"/>
          <w:color w:val="000000"/>
          <w:kern w:val="0"/>
          <w:sz w:val="24"/>
          <w:szCs w:val="32"/>
          <w:lang w:val="en-US" w:eastAsia="zh-CN" w:bidi="ar"/>
        </w:rPr>
        <w:t>本工程浮选生产线破碎、筛分工序及供料仓产生的粉尘通过捕集罩收集后通过引风机抽至布袋除尘器除尘，净化后由</w:t>
      </w:r>
      <w:r>
        <w:rPr>
          <w:rFonts w:hint="default" w:ascii="Times New Roman" w:hAnsi="Times New Roman" w:eastAsia="宋体" w:cs="Times New Roman"/>
          <w:color w:val="000000"/>
          <w:kern w:val="0"/>
          <w:sz w:val="24"/>
          <w:szCs w:val="32"/>
          <w:lang w:val="en-US" w:eastAsia="zh-CN" w:bidi="ar"/>
        </w:rPr>
        <w:t>15m</w:t>
      </w:r>
      <w:r>
        <w:rPr>
          <w:rFonts w:hint="eastAsia" w:ascii="Times New Roman" w:hAnsi="Times New Roman" w:eastAsia="宋体" w:cs="Times New Roman"/>
          <w:color w:val="000000"/>
          <w:kern w:val="0"/>
          <w:sz w:val="24"/>
          <w:szCs w:val="32"/>
          <w:lang w:val="en-US" w:eastAsia="zh-CN" w:bidi="ar"/>
        </w:rPr>
        <w:t>高排气筒排放，除尘效率为</w:t>
      </w:r>
      <w:r>
        <w:rPr>
          <w:rFonts w:hint="default" w:ascii="Times New Roman" w:hAnsi="Times New Roman" w:eastAsia="宋体" w:cs="Times New Roman"/>
          <w:color w:val="000000"/>
          <w:kern w:val="0"/>
          <w:sz w:val="24"/>
          <w:szCs w:val="32"/>
          <w:lang w:val="en-US" w:eastAsia="zh-CN" w:bidi="ar"/>
        </w:rPr>
        <w:t>99.5%</w:t>
      </w:r>
      <w:r>
        <w:rPr>
          <w:rFonts w:hint="eastAsia" w:ascii="Times New Roman" w:hAnsi="Times New Roman" w:eastAsia="宋体" w:cs="Times New Roman"/>
          <w:color w:val="000000"/>
          <w:kern w:val="0"/>
          <w:sz w:val="24"/>
          <w:szCs w:val="32"/>
          <w:lang w:val="en-US" w:eastAsia="zh-CN" w:bidi="ar"/>
        </w:rPr>
        <w:t>，处理后排放浓度＜</w:t>
      </w:r>
      <w:r>
        <w:rPr>
          <w:rFonts w:hint="default" w:ascii="Times New Roman" w:hAnsi="Times New Roman" w:eastAsia="宋体" w:cs="Times New Roman"/>
          <w:color w:val="000000"/>
          <w:kern w:val="0"/>
          <w:sz w:val="24"/>
          <w:szCs w:val="32"/>
          <w:lang w:val="en-US" w:eastAsia="zh-CN" w:bidi="ar"/>
        </w:rPr>
        <w:t>10mg/m</w:t>
      </w:r>
      <w:r>
        <w:rPr>
          <w:rFonts w:hint="default" w:ascii="Times New Roman" w:hAnsi="Times New Roman" w:eastAsia="宋体" w:cs="Times New Roman"/>
          <w:color w:val="000000"/>
          <w:kern w:val="0"/>
          <w:sz w:val="24"/>
          <w:szCs w:val="32"/>
          <w:vertAlign w:val="superscript"/>
          <w:lang w:val="en-US" w:eastAsia="zh-CN" w:bidi="ar"/>
        </w:rPr>
        <w:t>3</w:t>
      </w:r>
      <w:r>
        <w:rPr>
          <w:rFonts w:hint="eastAsia" w:ascii="Times New Roman" w:hAnsi="Times New Roman" w:eastAsia="宋体" w:cs="Times New Roman"/>
          <w:color w:val="000000"/>
          <w:kern w:val="0"/>
          <w:sz w:val="24"/>
          <w:szCs w:val="32"/>
          <w:lang w:val="en-US" w:eastAsia="zh-CN" w:bidi="ar"/>
        </w:rPr>
        <w:t>，符合《镁质耐火材料工业大气污染物排放标准》（</w:t>
      </w:r>
      <w:r>
        <w:rPr>
          <w:rFonts w:hint="default" w:ascii="Times New Roman" w:hAnsi="Times New Roman" w:eastAsia="宋体" w:cs="Times New Roman"/>
          <w:color w:val="000000"/>
          <w:kern w:val="0"/>
          <w:sz w:val="24"/>
          <w:szCs w:val="32"/>
          <w:lang w:val="en-US" w:eastAsia="zh-CN" w:bidi="ar"/>
        </w:rPr>
        <w:t>DB21/3011-2018</w:t>
      </w:r>
      <w:r>
        <w:rPr>
          <w:rFonts w:hint="eastAsia" w:ascii="Times New Roman" w:hAnsi="Times New Roman" w:eastAsia="宋体" w:cs="Times New Roman"/>
          <w:color w:val="000000"/>
          <w:kern w:val="0"/>
          <w:sz w:val="24"/>
          <w:szCs w:val="32"/>
          <w:lang w:val="en-US" w:eastAsia="zh-CN" w:bidi="ar"/>
        </w:rPr>
        <w:t>）中的表</w:t>
      </w:r>
      <w:r>
        <w:rPr>
          <w:rFonts w:hint="default" w:ascii="Times New Roman" w:hAnsi="Times New Roman" w:eastAsia="宋体" w:cs="Times New Roman"/>
          <w:color w:val="000000"/>
          <w:kern w:val="0"/>
          <w:sz w:val="24"/>
          <w:szCs w:val="32"/>
          <w:lang w:val="en-US" w:eastAsia="zh-CN" w:bidi="ar"/>
        </w:rPr>
        <w:t>2</w:t>
      </w:r>
      <w:r>
        <w:rPr>
          <w:rFonts w:hint="eastAsia" w:ascii="Times New Roman" w:hAnsi="Times New Roman" w:eastAsia="宋体" w:cs="Times New Roman"/>
          <w:color w:val="000000"/>
          <w:kern w:val="0"/>
          <w:sz w:val="24"/>
          <w:szCs w:val="32"/>
          <w:lang w:val="en-US" w:eastAsia="zh-CN" w:bidi="ar"/>
        </w:rPr>
        <w:t>标准（颗粒物≤</w:t>
      </w:r>
      <w:r>
        <w:rPr>
          <w:rFonts w:hint="default" w:ascii="Times New Roman" w:hAnsi="Times New Roman" w:eastAsia="宋体" w:cs="Times New Roman"/>
          <w:color w:val="000000"/>
          <w:kern w:val="0"/>
          <w:sz w:val="24"/>
          <w:szCs w:val="32"/>
          <w:lang w:val="en-US" w:eastAsia="zh-CN" w:bidi="ar"/>
        </w:rPr>
        <w:t>30mg/m</w:t>
      </w:r>
      <w:r>
        <w:rPr>
          <w:rFonts w:hint="default" w:ascii="Times New Roman" w:hAnsi="Times New Roman" w:eastAsia="宋体" w:cs="Times New Roman"/>
          <w:color w:val="000000"/>
          <w:kern w:val="0"/>
          <w:sz w:val="24"/>
          <w:szCs w:val="32"/>
          <w:vertAlign w:val="superscript"/>
          <w:lang w:val="en-US" w:eastAsia="zh-CN" w:bidi="ar"/>
        </w:rPr>
        <w:t>3</w:t>
      </w:r>
      <w:r>
        <w:rPr>
          <w:rFonts w:hint="eastAsia" w:ascii="Times New Roman" w:hAnsi="Times New Roman" w:eastAsia="宋体" w:cs="Times New Roman"/>
          <w:color w:val="000000"/>
          <w:kern w:val="0"/>
          <w:sz w:val="24"/>
          <w:szCs w:val="32"/>
          <w:lang w:val="en-US" w:eastAsia="zh-CN" w:bidi="ar"/>
        </w:rPr>
        <w:t>）。</w:t>
      </w:r>
    </w:p>
    <w:p>
      <w:pPr>
        <w:keepNext w:val="0"/>
        <w:keepLines w:val="0"/>
        <w:widowControl/>
        <w:suppressLineNumbers w:val="0"/>
        <w:tabs>
          <w:tab w:val="left" w:pos="1506"/>
        </w:tabs>
        <w:spacing w:before="0" w:beforeAutospacing="0" w:after="0" w:afterAutospacing="0" w:line="500" w:lineRule="exact"/>
        <w:ind w:left="0" w:right="0" w:firstLine="480" w:firstLineChars="200"/>
        <w:jc w:val="left"/>
        <w:rPr>
          <w:rFonts w:hint="default" w:ascii="Times New Roman" w:hAnsi="Times New Roman" w:cs="Times New Roman"/>
          <w:color w:val="000000"/>
          <w:szCs w:val="32"/>
          <w:lang w:val="en-US"/>
        </w:rPr>
      </w:pPr>
      <w:r>
        <w:rPr>
          <w:rFonts w:hint="eastAsia" w:ascii="宋体" w:hAnsi="宋体" w:eastAsia="宋体" w:cs="宋体"/>
          <w:color w:val="000000"/>
          <w:kern w:val="0"/>
          <w:sz w:val="24"/>
          <w:szCs w:val="24"/>
          <w:lang w:val="en-US" w:eastAsia="zh-CN" w:bidi="ar"/>
        </w:rPr>
        <w:t>破碎车间、原料库、精矿库、尾矿库各生产车间库房等均为封闭厂房，对无</w:t>
      </w:r>
      <w:r>
        <w:rPr>
          <w:rFonts w:hint="eastAsia" w:ascii="Times New Roman" w:hAnsi="Times New Roman" w:eastAsia="宋体" w:cs="Times New Roman"/>
          <w:color w:val="000000"/>
          <w:kern w:val="0"/>
          <w:sz w:val="24"/>
          <w:szCs w:val="24"/>
          <w:lang w:val="en-US" w:eastAsia="zh-CN" w:bidi="ar"/>
        </w:rPr>
        <w:t>组织粉尘采取厂房遮挡、洒水抑尘、吸尘车除尘等措施后厂界无组织颗粒物排放限值＜</w:t>
      </w:r>
      <w:r>
        <w:rPr>
          <w:rFonts w:hint="default" w:ascii="Times New Roman" w:hAnsi="Times New Roman" w:eastAsia="宋体" w:cs="Times New Roman"/>
          <w:color w:val="000000"/>
          <w:kern w:val="0"/>
          <w:sz w:val="24"/>
          <w:szCs w:val="24"/>
          <w:lang w:val="en-US" w:eastAsia="zh-CN" w:bidi="ar"/>
        </w:rPr>
        <w:t>0.8mg/m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，满足《镁质耐火材料工业大气污染物排放标准》（</w:t>
      </w:r>
      <w:r>
        <w:rPr>
          <w:rFonts w:hint="default" w:ascii="Times New Roman" w:hAnsi="Times New Roman" w:eastAsia="宋体" w:cs="Times New Roman"/>
          <w:color w:val="000000"/>
          <w:kern w:val="0"/>
          <w:sz w:val="24"/>
          <w:szCs w:val="24"/>
          <w:lang w:val="en-US" w:eastAsia="zh-CN" w:bidi="ar"/>
        </w:rPr>
        <w:t>DB21/3011-2018</w:t>
      </w:r>
      <w:r>
        <w:rPr>
          <w:rFonts w:hint="eastAsia" w:ascii="Times New Roman" w:hAnsi="Times New Roman" w:eastAsia="宋体" w:cs="Times New Roman"/>
          <w:color w:val="000000"/>
          <w:kern w:val="0"/>
          <w:sz w:val="24"/>
          <w:szCs w:val="24"/>
          <w:lang w:val="en-US" w:eastAsia="zh-CN" w:bidi="ar"/>
        </w:rPr>
        <w:t>）表</w:t>
      </w:r>
      <w:r>
        <w:rPr>
          <w:rFonts w:hint="default" w:ascii="Times New Roman" w:hAnsi="Times New Roman" w:eastAsia="TimesNewRomanPSMT" w:cs="Times New Roman"/>
          <w:color w:val="000000"/>
          <w:kern w:val="0"/>
          <w:sz w:val="24"/>
          <w:szCs w:val="24"/>
          <w:lang w:val="en-US" w:eastAsia="zh-CN" w:bidi="ar"/>
        </w:rPr>
        <w:t xml:space="preserve">3 </w:t>
      </w:r>
      <w:r>
        <w:rPr>
          <w:rFonts w:hint="eastAsia" w:ascii="Times New Roman" w:hAnsi="Times New Roman" w:eastAsia="宋体" w:cs="Times New Roman"/>
          <w:color w:val="000000"/>
          <w:kern w:val="0"/>
          <w:sz w:val="24"/>
          <w:szCs w:val="24"/>
          <w:lang w:val="en-US" w:eastAsia="zh-CN" w:bidi="ar"/>
        </w:rPr>
        <w:t>对应的无组织排放限值（颗粒物</w:t>
      </w:r>
      <w:r>
        <w:rPr>
          <w:rFonts w:hint="default" w:ascii="Times New Roman" w:hAnsi="Times New Roman" w:eastAsia="宋体" w:cs="Times New Roman"/>
          <w:color w:val="000000"/>
          <w:kern w:val="0"/>
          <w:sz w:val="24"/>
          <w:szCs w:val="24"/>
          <w:lang w:val="en-US" w:eastAsia="zh-CN" w:bidi="ar"/>
        </w:rPr>
        <w:t>≤0.8mg/m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）废水</w:t>
      </w:r>
    </w:p>
    <w:p>
      <w:pPr>
        <w:keepNext w:val="0"/>
        <w:keepLines w:val="0"/>
        <w:widowControl/>
        <w:suppressLineNumbers w:val="0"/>
        <w:spacing w:before="0" w:beforeAutospacing="0" w:after="0" w:afterAutospacing="0" w:line="500" w:lineRule="exact"/>
        <w:ind w:left="0" w:right="6" w:firstLine="480" w:firstLineChars="200"/>
        <w:jc w:val="left"/>
        <w:rPr>
          <w:rFonts w:hint="default" w:ascii="Times New Roman" w:hAnsi="Times New Roman" w:cs="Times New Roman"/>
          <w:bCs/>
          <w:color w:val="000000"/>
          <w:lang w:val="en-US"/>
        </w:rPr>
      </w:pPr>
      <w:r>
        <w:rPr>
          <w:rFonts w:hint="eastAsia" w:ascii="宋体" w:hAnsi="宋体" w:eastAsia="宋体" w:cs="宋体"/>
          <w:color w:val="000000"/>
          <w:kern w:val="0"/>
          <w:sz w:val="24"/>
          <w:szCs w:val="24"/>
          <w:lang w:val="en-US" w:eastAsia="zh-CN" w:bidi="ar"/>
        </w:rPr>
        <w:t>本项目生产废水主要为浮选生产工艺废水，由于浮选生产对水质要求不高，工艺用水除蒸发、产品及尾矿带走等少量损失外，全部实现循环利用，不外排；生活污水排入化粪池，</w:t>
      </w:r>
      <w:r>
        <w:rPr>
          <w:rFonts w:hint="eastAsia" w:ascii="Times New Roman" w:hAnsi="Times New Roman" w:eastAsia="宋体" w:cs="Times New Roman"/>
          <w:color w:val="000000"/>
          <w:kern w:val="0"/>
          <w:sz w:val="24"/>
          <w:szCs w:val="24"/>
          <w:lang w:val="en-US" w:eastAsia="zh-CN" w:bidi="ar"/>
        </w:rPr>
        <w:t>定期清掏，堆沤腐熟、就地就近就农利用，满足《农业农村部办公厅</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国家卫生健康委办公厅</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生态环境部办公厅关于印发</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农村厕所粪污无害化处理与资源化利用指南</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和</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农村厕所粪污处理及资源化利用典型模式</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的通知》（农办社</w:t>
      </w:r>
      <w:r>
        <w:rPr>
          <w:rFonts w:hint="default" w:ascii="Times New Roman" w:hAnsi="Times New Roman" w:eastAsia="宋体" w:cs="Times New Roman"/>
          <w:color w:val="000000"/>
          <w:kern w:val="0"/>
          <w:sz w:val="24"/>
          <w:szCs w:val="24"/>
          <w:lang w:val="en-US" w:eastAsia="zh-CN" w:bidi="ar"/>
        </w:rPr>
        <w:t>[2020]7</w:t>
      </w:r>
      <w:r>
        <w:rPr>
          <w:rFonts w:hint="eastAsia" w:ascii="Times New Roman" w:hAnsi="Times New Roman" w:eastAsia="宋体" w:cs="Times New Roman"/>
          <w:color w:val="000000"/>
          <w:kern w:val="0"/>
          <w:sz w:val="24"/>
          <w:szCs w:val="24"/>
          <w:lang w:val="en-US" w:eastAsia="zh-CN" w:bidi="ar"/>
        </w:rPr>
        <w:t>号）中关于水冲式厕所粪污分散处理利用的要求。</w:t>
      </w:r>
    </w:p>
    <w:p>
      <w:pPr>
        <w:keepNext w:val="0"/>
        <w:keepLines w:val="0"/>
        <w:widowControl/>
        <w:suppressLineNumbers w:val="0"/>
        <w:adjustRightInd w:val="0"/>
        <w:snapToGrid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）固体废物</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eastAsia="方正书宋简体" w:cs="Times New Roman"/>
          <w:color w:val="000000"/>
          <w:lang w:val="en-US"/>
        </w:rPr>
      </w:pPr>
      <w:r>
        <w:rPr>
          <w:rFonts w:hint="eastAsia" w:ascii="宋体" w:hAnsi="宋体" w:eastAsia="宋体" w:cs="宋体"/>
          <w:color w:val="000000"/>
          <w:kern w:val="0"/>
          <w:sz w:val="24"/>
          <w:szCs w:val="24"/>
          <w:lang w:val="en-US" w:eastAsia="zh-CN" w:bidi="ar"/>
        </w:rPr>
        <w:t>本项目产生的一般固废</w:t>
      </w:r>
      <w:r>
        <w:rPr>
          <w:rFonts w:hint="eastAsia" w:ascii="Times New Roman" w:hAnsi="Times New Roman" w:eastAsia="宋体" w:cs="Times New Roman"/>
          <w:snapToGrid w:val="0"/>
          <w:color w:val="000000"/>
          <w:kern w:val="0"/>
          <w:sz w:val="24"/>
          <w:szCs w:val="24"/>
          <w:lang w:val="en-US" w:eastAsia="zh-CN" w:bidi="ar"/>
        </w:rPr>
        <w:t>振动筛废筛网、球磨机废钢球定期由厂家回收，不外排，布袋除尘器收尘灰、</w:t>
      </w:r>
      <w:r>
        <w:rPr>
          <w:rFonts w:hint="eastAsia" w:ascii="宋体" w:hAnsi="宋体" w:eastAsia="宋体" w:cs="Times New Roman"/>
          <w:snapToGrid w:val="0"/>
          <w:color w:val="000000"/>
          <w:kern w:val="0"/>
          <w:sz w:val="24"/>
          <w:szCs w:val="24"/>
          <w:lang w:val="en-US" w:eastAsia="zh-CN" w:bidi="ar"/>
        </w:rPr>
        <w:t>厂房遮挡粉尘、</w:t>
      </w:r>
      <w:r>
        <w:rPr>
          <w:rFonts w:hint="eastAsia" w:ascii="Times New Roman" w:hAnsi="Times New Roman" w:eastAsia="宋体" w:cs="Times New Roman"/>
          <w:snapToGrid w:val="0"/>
          <w:color w:val="000000"/>
          <w:kern w:val="0"/>
          <w:sz w:val="24"/>
          <w:szCs w:val="24"/>
          <w:lang w:val="en-US" w:eastAsia="zh-CN" w:bidi="ar"/>
        </w:rPr>
        <w:t>循环水池矿泥回用于生产，不外排；危险废物废润滑油桶、浮选药剂包装桶暂存于厂内危废暂存间，定期送有资质单位进行无害化处理；废含油抹布和生活垃圾由环卫部门定期清运到指定地点统一处理</w:t>
      </w:r>
      <w:r>
        <w:rPr>
          <w:rFonts w:hint="eastAsia" w:ascii="Times New Roman" w:hAnsi="Times New Roman" w:eastAsia="方正书宋简体" w:cs="Times New Roman"/>
          <w:color w:val="000000"/>
          <w:kern w:val="0"/>
          <w:sz w:val="24"/>
          <w:szCs w:val="24"/>
          <w:lang w:val="en-US" w:eastAsia="zh-CN" w:bidi="ar"/>
        </w:rPr>
        <w:t>。</w:t>
      </w:r>
    </w:p>
    <w:p>
      <w:pPr>
        <w:keepNext w:val="0"/>
        <w:keepLines w:val="0"/>
        <w:widowControl/>
        <w:suppressLineNumbers w:val="0"/>
        <w:adjustRightInd w:val="0"/>
        <w:snapToGrid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4</w:t>
      </w:r>
      <w:r>
        <w:rPr>
          <w:rFonts w:hint="eastAsia" w:ascii="Times New Roman" w:hAnsi="Times New Roman" w:eastAsia="宋体" w:cs="Times New Roman"/>
          <w:b/>
          <w:bCs w:val="0"/>
          <w:color w:val="000000"/>
          <w:kern w:val="0"/>
          <w:sz w:val="24"/>
          <w:szCs w:val="24"/>
          <w:lang w:val="en-US" w:eastAsia="zh-CN" w:bidi="ar"/>
        </w:rPr>
        <w:t>）噪声</w:t>
      </w:r>
    </w:p>
    <w:p>
      <w:pPr>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eastAsia="方正书宋简体"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主要噪声源为破碎机、筛分机、球磨机、浮选机、过滤机、风机及各类泵，设备选型均选用同类产品中低噪声设备，对于强噪声源采取车间隔声、加装消声器、减振基础等治理措施，可以满足《工业企业厂界环境噪声排放标准》（</w:t>
      </w:r>
      <w:r>
        <w:rPr>
          <w:rFonts w:hint="default" w:ascii="Times New Roman" w:hAnsi="Times New Roman" w:eastAsia="宋体" w:cs="Times New Roman"/>
          <w:color w:val="000000"/>
          <w:kern w:val="0"/>
          <w:sz w:val="24"/>
          <w:szCs w:val="24"/>
          <w:lang w:val="en-US" w:eastAsia="zh-CN" w:bidi="ar"/>
        </w:rPr>
        <w:t>GB12348-2008</w:t>
      </w:r>
      <w:r>
        <w:rPr>
          <w:rFonts w:hint="eastAsia" w:ascii="Times New Roman" w:hAnsi="Times New Roman" w:eastAsia="宋体" w:cs="Times New Roman"/>
          <w:color w:val="000000"/>
          <w:kern w:val="0"/>
          <w:sz w:val="24"/>
          <w:szCs w:val="24"/>
          <w:lang w:val="en-US" w:eastAsia="zh-CN" w:bidi="ar"/>
        </w:rPr>
        <w:t>）中</w:t>
      </w:r>
      <w:r>
        <w:rPr>
          <w:rFonts w:hint="default" w:ascii="Times New Roman" w:hAnsi="Times New Roman" w:eastAsia="宋体"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类区标准，即昼间</w:t>
      </w:r>
      <w:r>
        <w:rPr>
          <w:rFonts w:hint="default" w:ascii="Times New Roman" w:hAnsi="Times New Roman" w:eastAsia="宋体" w:cs="Times New Roman"/>
          <w:color w:val="000000"/>
          <w:kern w:val="0"/>
          <w:sz w:val="24"/>
          <w:szCs w:val="24"/>
          <w:lang w:val="en-US" w:eastAsia="zh-CN" w:bidi="ar"/>
        </w:rPr>
        <w:t>60dB(A)</w:t>
      </w:r>
      <w:r>
        <w:rPr>
          <w:rFonts w:hint="eastAsia" w:ascii="Times New Roman" w:hAnsi="Times New Roman" w:eastAsia="宋体" w:cs="Times New Roman"/>
          <w:color w:val="000000"/>
          <w:kern w:val="0"/>
          <w:sz w:val="24"/>
          <w:szCs w:val="24"/>
          <w:lang w:val="en-US" w:eastAsia="zh-CN" w:bidi="ar"/>
        </w:rPr>
        <w:t>、夜间</w:t>
      </w:r>
      <w:r>
        <w:rPr>
          <w:rFonts w:hint="default" w:ascii="Times New Roman" w:hAnsi="Times New Roman" w:eastAsia="宋体" w:cs="Times New Roman"/>
          <w:color w:val="000000"/>
          <w:kern w:val="0"/>
          <w:sz w:val="24"/>
          <w:szCs w:val="24"/>
          <w:lang w:val="en-US" w:eastAsia="zh-CN" w:bidi="ar"/>
        </w:rPr>
        <w:t>50dB(A)</w:t>
      </w:r>
      <w:r>
        <w:rPr>
          <w:rFonts w:hint="eastAsia" w:ascii="Times New Roman" w:hAnsi="Times New Roman" w:eastAsia="宋体" w:cs="Times New Roman"/>
          <w:color w:val="000000"/>
          <w:kern w:val="0"/>
          <w:sz w:val="24"/>
          <w:szCs w:val="24"/>
          <w:lang w:val="en-US" w:eastAsia="zh-CN" w:bidi="ar"/>
        </w:rPr>
        <w:t>。</w:t>
      </w:r>
    </w:p>
    <w:p>
      <w:pPr>
        <w:pStyle w:val="8"/>
        <w:widowControl/>
        <w:spacing w:before="120" w:beforeAutospacing="0"/>
        <w:rPr>
          <w:color w:val="000000"/>
          <w:lang/>
        </w:rPr>
      </w:pPr>
      <w:bookmarkStart w:id="282" w:name="_Toc41656168"/>
      <w:bookmarkStart w:id="283" w:name="_Toc27659034"/>
      <w:r>
        <w:rPr>
          <w:color w:val="000000"/>
          <w:lang/>
        </w:rPr>
        <w:t xml:space="preserve">9.4 </w:t>
      </w:r>
      <w:r>
        <w:rPr>
          <w:rFonts w:hint="eastAsia" w:ascii="Times New Roman" w:hAnsi="Times New Roman" w:eastAsia="宋体" w:cs="宋体"/>
          <w:color w:val="000000"/>
          <w:lang w:eastAsia="zh-CN"/>
        </w:rPr>
        <w:t>环境影响预测评价结论</w:t>
      </w:r>
      <w:bookmarkEnd w:id="282"/>
      <w:bookmarkEnd w:id="283"/>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）大气环境影响预测与分析结论</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在正常排放条件下，各新增污染源在评价区域内短期贡献值和长期贡献值的最大浓度均达标，且年均浓度最大贡献值＜</w:t>
      </w:r>
      <w:r>
        <w:rPr>
          <w:rFonts w:hint="default" w:ascii="Times New Roman" w:hAnsi="Times New Roman" w:eastAsia="宋体" w:cs="Times New Roman"/>
          <w:color w:val="000000"/>
          <w:kern w:val="0"/>
          <w:sz w:val="24"/>
          <w:szCs w:val="24"/>
          <w:lang w:val="en-US" w:eastAsia="zh-CN" w:bidi="ar"/>
        </w:rPr>
        <w:t>30%</w:t>
      </w:r>
      <w:r>
        <w:rPr>
          <w:rFonts w:hint="eastAsia" w:ascii="Times New Roman" w:hAnsi="Times New Roman" w:eastAsia="宋体" w:cs="Times New Roman"/>
          <w:color w:val="000000"/>
          <w:kern w:val="0"/>
          <w:sz w:val="24"/>
          <w:szCs w:val="24"/>
          <w:lang w:val="en-US" w:eastAsia="zh-CN" w:bidi="ar"/>
        </w:rPr>
        <w:t>。扩散到各敏感点处的短期贡献值和长期贡献值的最大浓度均达标，且年均浓度最大贡献值＜</w:t>
      </w:r>
      <w:r>
        <w:rPr>
          <w:rFonts w:hint="default" w:ascii="Times New Roman" w:hAnsi="Times New Roman" w:eastAsia="宋体" w:cs="Times New Roman"/>
          <w:color w:val="000000"/>
          <w:kern w:val="0"/>
          <w:sz w:val="24"/>
          <w:szCs w:val="24"/>
          <w:lang w:val="en-US" w:eastAsia="zh-CN" w:bidi="ar"/>
        </w:rPr>
        <w:t>30%</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常规因子在评价区域内及扩散到各敏感点处的贡献值叠加现状和削减、在建后的保证率日平均质量浓度满足相应的环境空气质量标准限值；特征因子在评价区域内及扩散到各敏感点处的贡献值叠加现状和削减、在建后的短期环境质量浓度满足相应环境空气质量标准限值。</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b/>
          <w:color w:val="000000"/>
          <w:lang w:val="en-US"/>
        </w:rPr>
      </w:pPr>
      <w:r>
        <w:rPr>
          <w:rFonts w:hint="eastAsia" w:ascii="Times New Roman" w:hAnsi="Times New Roman" w:eastAsia="宋体" w:cs="Times New Roman"/>
          <w:color w:val="000000"/>
          <w:kern w:val="0"/>
          <w:sz w:val="24"/>
          <w:szCs w:val="24"/>
          <w:lang w:val="en-US" w:eastAsia="zh-CN" w:bidi="ar"/>
        </w:rPr>
        <w:t>本项目评价范围鞍山市为不达标区，本次评价对年均值超标的</w:t>
      </w:r>
      <w:r>
        <w:rPr>
          <w:rFonts w:hint="default" w:ascii="Times New Roman" w:hAnsi="Times New Roman" w:eastAsia="宋体" w:cs="Times New Roman"/>
          <w:color w:val="000000"/>
          <w:kern w:val="0"/>
          <w:sz w:val="24"/>
          <w:szCs w:val="24"/>
          <w:lang w:val="en-US" w:eastAsia="zh-CN" w:bidi="ar"/>
        </w:rPr>
        <w:t>PM</w:t>
      </w:r>
      <w:r>
        <w:rPr>
          <w:rFonts w:hint="default" w:ascii="Times New Roman" w:hAnsi="Times New Roman" w:eastAsia="宋体" w:cs="Times New Roman"/>
          <w:color w:val="000000"/>
          <w:kern w:val="0"/>
          <w:sz w:val="24"/>
          <w:szCs w:val="24"/>
          <w:vertAlign w:val="subscript"/>
          <w:lang w:val="en-US" w:eastAsia="zh-CN" w:bidi="ar"/>
        </w:rPr>
        <w:t>10</w:t>
      </w:r>
      <w:r>
        <w:rPr>
          <w:rFonts w:hint="eastAsia" w:ascii="Times New Roman" w:hAnsi="Times New Roman" w:eastAsia="宋体" w:cs="Times New Roman"/>
          <w:color w:val="000000"/>
          <w:kern w:val="0"/>
          <w:sz w:val="24"/>
          <w:szCs w:val="24"/>
          <w:lang w:val="en-US" w:eastAsia="zh-CN" w:bidi="ar"/>
        </w:rPr>
        <w:t>采用计算削减后预测范围的年平均质量浓度变化率</w:t>
      </w:r>
      <w:r>
        <w:rPr>
          <w:rFonts w:hint="default" w:ascii="Times New Roman" w:hAnsi="Times New Roman" w:eastAsia="宋体" w:cs="Times New Roman"/>
          <w:color w:val="000000"/>
          <w:kern w:val="0"/>
          <w:sz w:val="24"/>
          <w:szCs w:val="24"/>
          <w:lang w:val="en-US" w:eastAsia="zh-CN" w:bidi="ar"/>
        </w:rPr>
        <w:t>K</w:t>
      </w:r>
      <w:r>
        <w:rPr>
          <w:rFonts w:hint="eastAsia" w:ascii="Times New Roman" w:hAnsi="Times New Roman" w:eastAsia="宋体" w:cs="Times New Roman"/>
          <w:color w:val="000000"/>
          <w:kern w:val="0"/>
          <w:sz w:val="24"/>
          <w:szCs w:val="24"/>
          <w:lang w:val="en-US" w:eastAsia="zh-CN" w:bidi="ar"/>
        </w:rPr>
        <w:t>值进行评价。本项目实施替代削减后，</w:t>
      </w:r>
      <w:r>
        <w:rPr>
          <w:rFonts w:hint="default" w:ascii="Times New Roman" w:hAnsi="Times New Roman" w:eastAsia="宋体" w:cs="Times New Roman"/>
          <w:color w:val="000000"/>
          <w:kern w:val="0"/>
          <w:sz w:val="24"/>
          <w:szCs w:val="24"/>
          <w:lang w:val="en-US" w:eastAsia="zh-CN" w:bidi="ar"/>
        </w:rPr>
        <w:t>PM</w:t>
      </w:r>
      <w:r>
        <w:rPr>
          <w:rFonts w:hint="default" w:ascii="Times New Roman" w:hAnsi="Times New Roman" w:eastAsia="宋体" w:cs="Times New Roman"/>
          <w:color w:val="000000"/>
          <w:kern w:val="0"/>
          <w:sz w:val="24"/>
          <w:szCs w:val="24"/>
          <w:vertAlign w:val="subscript"/>
          <w:lang w:val="en-US" w:eastAsia="zh-CN" w:bidi="ar"/>
        </w:rPr>
        <w:t>10</w:t>
      </w:r>
      <w:r>
        <w:rPr>
          <w:rFonts w:hint="eastAsia" w:ascii="Times New Roman" w:hAnsi="Times New Roman" w:eastAsia="宋体" w:cs="Times New Roman"/>
          <w:color w:val="000000"/>
          <w:kern w:val="0"/>
          <w:sz w:val="24"/>
          <w:szCs w:val="24"/>
          <w:lang w:val="en-US" w:eastAsia="zh-CN" w:bidi="ar"/>
        </w:rPr>
        <w:t>的</w:t>
      </w:r>
      <w:r>
        <w:rPr>
          <w:rFonts w:hint="default" w:ascii="Times New Roman" w:hAnsi="Times New Roman" w:eastAsia="宋体" w:cs="Times New Roman"/>
          <w:color w:val="000000"/>
          <w:kern w:val="0"/>
          <w:sz w:val="24"/>
          <w:szCs w:val="24"/>
          <w:lang w:val="en-US" w:eastAsia="zh-CN" w:bidi="ar"/>
        </w:rPr>
        <w:t>K</w:t>
      </w:r>
      <w:r>
        <w:rPr>
          <w:rFonts w:hint="eastAsia" w:ascii="Times New Roman" w:hAnsi="Times New Roman" w:eastAsia="宋体" w:cs="Times New Roman"/>
          <w:color w:val="000000"/>
          <w:kern w:val="0"/>
          <w:sz w:val="24"/>
          <w:szCs w:val="24"/>
          <w:lang w:val="en-US" w:eastAsia="zh-CN" w:bidi="ar"/>
        </w:rPr>
        <w:t>值为</w:t>
      </w:r>
      <w:r>
        <w:rPr>
          <w:rFonts w:hint="default" w:ascii="Times New Roman" w:hAnsi="Times New Roman" w:eastAsia="宋体" w:cs="Times New Roman"/>
          <w:color w:val="000000"/>
          <w:kern w:val="0"/>
          <w:sz w:val="24"/>
          <w:szCs w:val="24"/>
          <w:lang w:val="en-US" w:eastAsia="zh-CN" w:bidi="ar"/>
        </w:rPr>
        <w:t>-75.5%</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≤-20%</w:t>
      </w:r>
      <w:r>
        <w:rPr>
          <w:rFonts w:hint="eastAsia" w:ascii="Times New Roman" w:hAnsi="Times New Roman" w:eastAsia="宋体" w:cs="Times New Roman"/>
          <w:color w:val="000000"/>
          <w:kern w:val="0"/>
          <w:sz w:val="24"/>
          <w:szCs w:val="24"/>
          <w:lang w:val="en-US" w:eastAsia="zh-CN" w:bidi="ar"/>
        </w:rPr>
        <w:t>，可判定项目建设后区域环境质量得到整体改善。因此本项目营运后，通过削减替代，大幅削减区域超标污染物的排放量及浓度，可使区域环境质量得到改善，</w:t>
      </w:r>
      <w:r>
        <w:rPr>
          <w:rFonts w:hint="eastAsia" w:ascii="Times New Roman" w:hAnsi="Times New Roman" w:eastAsia="宋体" w:cs="Times New Roman"/>
          <w:b/>
          <w:color w:val="000000"/>
          <w:kern w:val="0"/>
          <w:sz w:val="24"/>
          <w:szCs w:val="24"/>
          <w:lang w:val="en-US" w:eastAsia="zh-CN" w:bidi="ar"/>
        </w:rPr>
        <w:t>本次评价认为大气环境影响可接受。</w:t>
      </w:r>
    </w:p>
    <w:p>
      <w:pPr>
        <w:pStyle w:val="27"/>
        <w:keepNext w:val="0"/>
        <w:keepLines w:val="0"/>
        <w:widowControl/>
        <w:suppressLineNumbers w:val="0"/>
        <w:adjustRightInd w:val="0"/>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eastAsia="zh-CN"/>
        </w:rPr>
      </w:pPr>
      <w:r>
        <w:rPr>
          <w:rFonts w:hint="eastAsia" w:ascii="Times New Roman" w:hAnsi="Times New Roman" w:eastAsia="宋体" w:cs="Times New Roman"/>
          <w:color w:val="000000"/>
          <w:kern w:val="0"/>
          <w:sz w:val="24"/>
          <w:szCs w:val="24"/>
          <w:lang w:eastAsia="zh-CN" w:bidi="ar"/>
        </w:rPr>
        <w:t>本项目无组织排放颗粒物在周界外</w:t>
      </w:r>
      <w:r>
        <w:rPr>
          <w:rFonts w:hint="default" w:ascii="Times New Roman" w:hAnsi="Times New Roman" w:eastAsia="宋体" w:cs="Times New Roman"/>
          <w:color w:val="000000"/>
          <w:kern w:val="0"/>
          <w:sz w:val="24"/>
          <w:szCs w:val="24"/>
          <w:lang w:eastAsia="zh-CN" w:bidi="ar"/>
        </w:rPr>
        <w:t>10m</w:t>
      </w:r>
      <w:r>
        <w:rPr>
          <w:rFonts w:hint="eastAsia" w:ascii="Times New Roman" w:hAnsi="Times New Roman" w:eastAsia="宋体" w:cs="Times New Roman"/>
          <w:color w:val="000000"/>
          <w:kern w:val="0"/>
          <w:sz w:val="24"/>
          <w:szCs w:val="24"/>
          <w:lang w:eastAsia="zh-CN" w:bidi="ar"/>
        </w:rPr>
        <w:t>范围内的最高浓度出现在</w:t>
      </w:r>
      <w:r>
        <w:rPr>
          <w:rFonts w:hint="eastAsia" w:ascii="Times New Roman" w:hAnsi="Times New Roman" w:eastAsia="宋体" w:cs="Times New Roman"/>
          <w:color w:val="000000"/>
          <w:kern w:val="0"/>
          <w:sz w:val="24"/>
          <w:szCs w:val="24"/>
          <w:lang w:val="en-US" w:eastAsia="zh-CN" w:bidi="ar"/>
        </w:rPr>
        <w:t>西</w:t>
      </w:r>
      <w:r>
        <w:rPr>
          <w:rFonts w:hint="eastAsia" w:ascii="Times New Roman" w:hAnsi="Times New Roman" w:eastAsia="宋体" w:cs="Times New Roman"/>
          <w:color w:val="000000"/>
          <w:kern w:val="0"/>
          <w:sz w:val="24"/>
          <w:szCs w:val="24"/>
          <w:lang w:eastAsia="zh-CN" w:bidi="ar"/>
        </w:rPr>
        <w:t>厂界，为</w:t>
      </w:r>
      <w:r>
        <w:rPr>
          <w:rFonts w:hint="default" w:ascii="Times New Roman" w:hAnsi="Times New Roman" w:eastAsia="宋体" w:cs="Times New Roman"/>
          <w:color w:val="000000"/>
          <w:kern w:val="0"/>
          <w:sz w:val="24"/>
          <w:szCs w:val="24"/>
          <w:lang w:eastAsia="zh-CN" w:bidi="ar"/>
        </w:rPr>
        <w:t>0.60mg/m</w:t>
      </w:r>
      <w:r>
        <w:rPr>
          <w:rFonts w:hint="default" w:ascii="Times New Roman" w:hAnsi="Times New Roman" w:eastAsia="宋体" w:cs="Times New Roman"/>
          <w:color w:val="000000"/>
          <w:kern w:val="0"/>
          <w:sz w:val="24"/>
          <w:szCs w:val="24"/>
          <w:vertAlign w:val="superscript"/>
          <w:lang w:eastAsia="zh-CN" w:bidi="ar"/>
        </w:rPr>
        <w:t>3</w:t>
      </w:r>
      <w:r>
        <w:rPr>
          <w:rFonts w:hint="eastAsia" w:ascii="Times New Roman" w:hAnsi="Times New Roman" w:eastAsia="宋体" w:cs="Times New Roman"/>
          <w:color w:val="000000"/>
          <w:kern w:val="0"/>
          <w:sz w:val="24"/>
          <w:szCs w:val="24"/>
          <w:lang w:eastAsia="zh-CN" w:bidi="ar"/>
        </w:rPr>
        <w:t>，满足</w:t>
      </w:r>
      <w:r>
        <w:rPr>
          <w:rFonts w:hint="eastAsia" w:ascii="宋体" w:hAnsi="宋体" w:eastAsia="宋体" w:cs="宋体"/>
          <w:color w:val="000000"/>
          <w:kern w:val="0"/>
          <w:sz w:val="24"/>
          <w:szCs w:val="24"/>
          <w:lang w:eastAsia="zh-CN" w:bidi="ar"/>
        </w:rPr>
        <w:t>《镁质耐火材料工业大气污染物排放标准》</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DB21/3011-2018</w:t>
      </w:r>
      <w:r>
        <w:rPr>
          <w:rFonts w:hint="eastAsia" w:ascii="Times New Roman" w:hAnsi="Times New Roman" w:eastAsia="宋体" w:cs="Times New Roman"/>
          <w:color w:val="000000"/>
          <w:kern w:val="0"/>
          <w:sz w:val="24"/>
          <w:szCs w:val="24"/>
          <w:lang w:eastAsia="zh-CN" w:bidi="ar"/>
        </w:rPr>
        <w:t>）</w:t>
      </w:r>
      <w:r>
        <w:rPr>
          <w:rFonts w:hint="eastAsia" w:ascii="Times New Roman" w:hAnsi="Times New Roman" w:eastAsia="宋体" w:cs="Times New Roman"/>
          <w:color w:val="000000"/>
          <w:kern w:val="0"/>
          <w:sz w:val="24"/>
          <w:szCs w:val="24"/>
          <w:lang w:val="en-US" w:eastAsia="zh-CN" w:bidi="ar"/>
        </w:rPr>
        <w:t>无组织排放监控浓度限值</w:t>
      </w:r>
      <w:r>
        <w:rPr>
          <w:rFonts w:hint="default" w:ascii="Times New Roman" w:hAnsi="Times New Roman" w:eastAsia="宋体" w:cs="Times New Roman"/>
          <w:color w:val="000000"/>
          <w:kern w:val="0"/>
          <w:sz w:val="24"/>
          <w:szCs w:val="24"/>
          <w:lang w:eastAsia="zh-CN" w:bidi="ar"/>
        </w:rPr>
        <w:t>0.8mg/m</w:t>
      </w:r>
      <w:r>
        <w:rPr>
          <w:rFonts w:hint="default" w:ascii="Times New Roman" w:hAnsi="Times New Roman" w:eastAsia="宋体" w:cs="Times New Roman"/>
          <w:color w:val="000000"/>
          <w:kern w:val="0"/>
          <w:sz w:val="24"/>
          <w:szCs w:val="24"/>
          <w:vertAlign w:val="superscript"/>
          <w:lang w:eastAsia="zh-CN" w:bidi="ar"/>
        </w:rPr>
        <w:t>3</w:t>
      </w:r>
      <w:r>
        <w:rPr>
          <w:rFonts w:hint="eastAsia" w:ascii="Times New Roman" w:hAnsi="Times New Roman" w:eastAsia="宋体" w:cs="Times New Roman"/>
          <w:color w:val="000000"/>
          <w:kern w:val="0"/>
          <w:sz w:val="24"/>
          <w:szCs w:val="24"/>
          <w:lang w:val="en-US" w:eastAsia="zh-CN" w:bidi="ar"/>
        </w:rPr>
        <w:t>，能够达标排放。</w:t>
      </w:r>
    </w:p>
    <w:p>
      <w:pPr>
        <w:keepNext w:val="0"/>
        <w:keepLines w:val="0"/>
        <w:widowControl/>
        <w:suppressLineNumbers w:val="0"/>
        <w:adjustRightInd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本项目不设大气环境防护距离，卫生防护距离为原料</w:t>
      </w:r>
      <w:r>
        <w:rPr>
          <w:rFonts w:hint="default" w:ascii="Times New Roman" w:hAnsi="Times New Roman" w:eastAsia="宋体" w:cs="Times New Roman"/>
          <w:color w:val="000000"/>
          <w:kern w:val="0"/>
          <w:sz w:val="24"/>
          <w:szCs w:val="24"/>
          <w:lang w:val="en-US" w:eastAsia="zh-CN" w:bidi="ar"/>
        </w:rPr>
        <w:t>100m</w:t>
      </w:r>
      <w:r>
        <w:rPr>
          <w:rFonts w:hint="eastAsia" w:ascii="Times New Roman" w:hAnsi="Times New Roman" w:eastAsia="宋体" w:cs="Times New Roman"/>
          <w:color w:val="000000"/>
          <w:kern w:val="0"/>
          <w:sz w:val="24"/>
          <w:szCs w:val="24"/>
          <w:lang w:val="en-US" w:eastAsia="zh-CN" w:bidi="ar"/>
        </w:rPr>
        <w:t>，破碎车间、精矿库、尾矿库均为</w:t>
      </w:r>
      <w:r>
        <w:rPr>
          <w:rFonts w:hint="default" w:ascii="Times New Roman" w:hAnsi="Times New Roman" w:eastAsia="宋体" w:cs="Times New Roman"/>
          <w:color w:val="000000"/>
          <w:kern w:val="0"/>
          <w:sz w:val="24"/>
          <w:szCs w:val="24"/>
          <w:lang w:val="en-US" w:eastAsia="zh-CN" w:bidi="ar"/>
        </w:rPr>
        <w:t>50m</w:t>
      </w:r>
      <w:r>
        <w:rPr>
          <w:rFonts w:hint="eastAsia" w:ascii="Times New Roman" w:hAnsi="Times New Roman" w:eastAsia="宋体" w:cs="Times New Roman"/>
          <w:color w:val="000000"/>
          <w:kern w:val="0"/>
          <w:sz w:val="24"/>
          <w:szCs w:val="24"/>
          <w:lang w:val="en-US" w:eastAsia="zh-CN" w:bidi="ar"/>
        </w:rPr>
        <w:t>，根据本项目周围环境概况及卫生防护距离包络线范围图，本项目卫生防护距离范围内无居民等环境敏感目标，且今后不得新建居民、学校等环境敏感目标。</w:t>
      </w:r>
    </w:p>
    <w:p>
      <w:pPr>
        <w:keepNext w:val="0"/>
        <w:keepLines w:val="0"/>
        <w:widowControl/>
        <w:suppressLineNumbers w:val="0"/>
        <w:spacing w:before="0" w:beforeAutospacing="0" w:after="0" w:afterAutospacing="0" w:line="500" w:lineRule="exact"/>
        <w:ind w:left="0" w:right="0" w:firstLine="48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）噪声环境影响预测与分析结论</w:t>
      </w:r>
    </w:p>
    <w:p>
      <w:pPr>
        <w:pStyle w:val="27"/>
        <w:keepNext w:val="0"/>
        <w:keepLines w:val="0"/>
        <w:widowControl/>
        <w:suppressLineNumbers w:val="0"/>
        <w:adjustRightInd w:val="0"/>
        <w:snapToGrid w:val="0"/>
        <w:spacing w:before="0" w:beforeAutospacing="0" w:after="0" w:afterAutospacing="0" w:line="500" w:lineRule="exact"/>
        <w:ind w:left="0" w:right="0" w:firstLine="480" w:firstLineChars="200"/>
        <w:jc w:val="both"/>
        <w:rPr>
          <w:rFonts w:hint="default" w:ascii="Times New Roman" w:hAnsi="Times New Roman" w:cs="Times New Roman"/>
          <w:color w:val="000000"/>
          <w:lang/>
        </w:rPr>
      </w:pPr>
      <w:r>
        <w:rPr>
          <w:rFonts w:hint="eastAsia" w:ascii="Times New Roman" w:hAnsi="Times New Roman" w:eastAsia="宋体" w:cs="Times New Roman"/>
          <w:color w:val="000000"/>
          <w:kern w:val="0"/>
          <w:sz w:val="24"/>
          <w:szCs w:val="24"/>
          <w:lang w:val="en-US" w:eastAsia="zh-CN" w:bidi="ar"/>
        </w:rPr>
        <w:t>由预测结果可知，本项目实施后，采取相应隔声、消声、吸声等一系列措施，全厂噪声传播到各厂界处的昼间和夜间贡献值均满足《工业企业厂界环境噪声排放标准》（</w:t>
      </w:r>
      <w:r>
        <w:rPr>
          <w:rFonts w:hint="default" w:ascii="Times New Roman" w:hAnsi="Times New Roman" w:eastAsia="宋体" w:cs="Times New Roman"/>
          <w:color w:val="000000"/>
          <w:kern w:val="0"/>
          <w:sz w:val="24"/>
          <w:szCs w:val="24"/>
          <w:lang w:val="en-US" w:eastAsia="zh-CN" w:bidi="ar"/>
        </w:rPr>
        <w:t>GB12348-2008</w:t>
      </w:r>
      <w:r>
        <w:rPr>
          <w:rFonts w:hint="eastAsia" w:ascii="Times New Roman" w:hAnsi="Times New Roman" w:eastAsia="宋体" w:cs="Times New Roman"/>
          <w:color w:val="000000"/>
          <w:kern w:val="0"/>
          <w:sz w:val="24"/>
          <w:szCs w:val="24"/>
          <w:lang w:val="en-US" w:eastAsia="zh-CN" w:bidi="ar"/>
        </w:rPr>
        <w:t>）中</w:t>
      </w:r>
      <w:r>
        <w:rPr>
          <w:rFonts w:hint="default" w:ascii="Times New Roman" w:hAnsi="Times New Roman" w:eastAsia="宋体" w:cs="Times New Roman"/>
          <w:color w:val="000000"/>
          <w:kern w:val="0"/>
          <w:sz w:val="24"/>
          <w:szCs w:val="24"/>
          <w:lang w:eastAsia="zh-CN" w:bidi="ar"/>
        </w:rPr>
        <w:t>2</w:t>
      </w:r>
      <w:r>
        <w:rPr>
          <w:rFonts w:hint="eastAsia" w:ascii="Times New Roman" w:hAnsi="Times New Roman" w:eastAsia="宋体" w:cs="Times New Roman"/>
          <w:color w:val="000000"/>
          <w:kern w:val="0"/>
          <w:sz w:val="24"/>
          <w:szCs w:val="24"/>
          <w:lang w:val="en-US" w:eastAsia="zh-CN" w:bidi="ar"/>
        </w:rPr>
        <w:t>类区标准，即昼间</w:t>
      </w:r>
      <w:r>
        <w:rPr>
          <w:rFonts w:hint="default" w:ascii="Times New Roman" w:hAnsi="Times New Roman" w:eastAsia="宋体" w:cs="Times New Roman"/>
          <w:color w:val="000000"/>
          <w:kern w:val="0"/>
          <w:sz w:val="24"/>
          <w:szCs w:val="24"/>
          <w:lang w:val="en-US" w:eastAsia="zh-CN" w:bidi="ar"/>
        </w:rPr>
        <w:t>60dB(A)</w:t>
      </w:r>
      <w:r>
        <w:rPr>
          <w:rFonts w:hint="eastAsia" w:ascii="Times New Roman" w:hAnsi="Times New Roman" w:eastAsia="宋体" w:cs="Times New Roman"/>
          <w:color w:val="000000"/>
          <w:kern w:val="0"/>
          <w:sz w:val="24"/>
          <w:szCs w:val="24"/>
          <w:lang w:val="en-US" w:eastAsia="zh-CN" w:bidi="ar"/>
        </w:rPr>
        <w:t>、夜间</w:t>
      </w:r>
      <w:r>
        <w:rPr>
          <w:rFonts w:hint="default" w:ascii="Times New Roman" w:hAnsi="Times New Roman" w:eastAsia="宋体" w:cs="Times New Roman"/>
          <w:color w:val="000000"/>
          <w:kern w:val="0"/>
          <w:sz w:val="24"/>
          <w:szCs w:val="24"/>
          <w:lang w:val="en-US" w:eastAsia="zh-CN" w:bidi="ar"/>
        </w:rPr>
        <w:t>50dB(A)</w:t>
      </w:r>
      <w:r>
        <w:rPr>
          <w:rFonts w:hint="eastAsia"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eastAsia="zh-CN" w:bidi="ar"/>
        </w:rPr>
        <w:t>也可满足《声环境质量标准》（</w:t>
      </w:r>
      <w:r>
        <w:rPr>
          <w:rFonts w:hint="default" w:ascii="Times New Roman" w:hAnsi="Times New Roman" w:eastAsia="宋体" w:cs="Times New Roman"/>
          <w:color w:val="000000"/>
          <w:kern w:val="0"/>
          <w:sz w:val="24"/>
          <w:szCs w:val="24"/>
          <w:lang w:eastAsia="zh-CN" w:bidi="ar"/>
        </w:rPr>
        <w:t>GB3096-2008</w:t>
      </w:r>
      <w:r>
        <w:rPr>
          <w:rFonts w:hint="eastAsia" w:ascii="Times New Roman" w:hAnsi="Times New Roman" w:eastAsia="宋体" w:cs="Times New Roman"/>
          <w:color w:val="000000"/>
          <w:kern w:val="0"/>
          <w:sz w:val="24"/>
          <w:szCs w:val="24"/>
          <w:lang w:eastAsia="zh-CN" w:bidi="ar"/>
        </w:rPr>
        <w:t>）中</w:t>
      </w:r>
      <w:r>
        <w:rPr>
          <w:rFonts w:hint="default" w:ascii="Times New Roman" w:hAnsi="Times New Roman" w:eastAsia="宋体" w:cs="Times New Roman"/>
          <w:color w:val="000000"/>
          <w:kern w:val="0"/>
          <w:sz w:val="24"/>
          <w:szCs w:val="24"/>
          <w:lang w:eastAsia="zh-CN" w:bidi="ar"/>
        </w:rPr>
        <w:t>2</w:t>
      </w:r>
      <w:r>
        <w:rPr>
          <w:rFonts w:hint="eastAsia" w:ascii="Times New Roman" w:hAnsi="Times New Roman" w:eastAsia="宋体" w:cs="Times New Roman"/>
          <w:color w:val="000000"/>
          <w:kern w:val="0"/>
          <w:sz w:val="24"/>
          <w:szCs w:val="24"/>
          <w:lang w:eastAsia="zh-CN" w:bidi="ar"/>
        </w:rPr>
        <w:t>类声环境功能区标准要求。</w:t>
      </w:r>
    </w:p>
    <w:p>
      <w:pPr>
        <w:keepNext w:val="0"/>
        <w:keepLines w:val="0"/>
        <w:widowControl/>
        <w:suppressLineNumbers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运输车辆车速小于</w:t>
      </w:r>
      <w:r>
        <w:rPr>
          <w:rFonts w:hint="default" w:ascii="Times New Roman" w:hAnsi="Times New Roman" w:eastAsia="宋体" w:cs="Times New Roman"/>
          <w:color w:val="000000"/>
          <w:kern w:val="0"/>
          <w:sz w:val="24"/>
          <w:szCs w:val="24"/>
          <w:lang w:val="en-US" w:eastAsia="zh-CN" w:bidi="ar"/>
        </w:rPr>
        <w:t>20 km/h</w:t>
      </w:r>
      <w:r>
        <w:rPr>
          <w:rFonts w:hint="eastAsia" w:ascii="Times New Roman" w:hAnsi="Times New Roman" w:eastAsia="宋体" w:cs="Times New Roman"/>
          <w:color w:val="000000"/>
          <w:kern w:val="0"/>
          <w:sz w:val="24"/>
          <w:szCs w:val="24"/>
          <w:lang w:val="en-US" w:eastAsia="zh-CN" w:bidi="ar"/>
        </w:rPr>
        <w:t>时，道路两侧</w:t>
      </w:r>
      <w:r>
        <w:rPr>
          <w:rFonts w:hint="default" w:ascii="Times New Roman" w:hAnsi="Times New Roman" w:eastAsia="宋体" w:cs="Times New Roman"/>
          <w:color w:val="000000"/>
          <w:kern w:val="0"/>
          <w:sz w:val="24"/>
          <w:szCs w:val="24"/>
          <w:lang w:val="en-US" w:eastAsia="zh-CN" w:bidi="ar"/>
        </w:rPr>
        <w:t>10m</w:t>
      </w:r>
      <w:r>
        <w:rPr>
          <w:rFonts w:hint="eastAsia" w:ascii="Times New Roman" w:hAnsi="Times New Roman" w:eastAsia="宋体" w:cs="Times New Roman"/>
          <w:color w:val="000000"/>
          <w:kern w:val="0"/>
          <w:sz w:val="24"/>
          <w:szCs w:val="24"/>
          <w:lang w:val="en-US" w:eastAsia="zh-CN" w:bidi="ar"/>
        </w:rPr>
        <w:t>范围居民住户噪声可以满足《声环境质量标准》（</w:t>
      </w:r>
      <w:r>
        <w:rPr>
          <w:rFonts w:hint="default" w:ascii="Times New Roman" w:hAnsi="Times New Roman" w:eastAsia="宋体" w:cs="Times New Roman"/>
          <w:color w:val="000000"/>
          <w:kern w:val="0"/>
          <w:sz w:val="24"/>
          <w:szCs w:val="24"/>
          <w:lang w:val="en-US" w:eastAsia="zh-CN" w:bidi="ar"/>
        </w:rPr>
        <w:t>GB3096-2008</w:t>
      </w:r>
      <w:r>
        <w:rPr>
          <w:rFonts w:hint="eastAsia" w:ascii="Times New Roman" w:hAnsi="Times New Roman" w:eastAsia="宋体" w:cs="Times New Roman"/>
          <w:color w:val="000000"/>
          <w:kern w:val="0"/>
          <w:sz w:val="24"/>
          <w:szCs w:val="24"/>
          <w:lang w:val="en-US" w:eastAsia="zh-CN" w:bidi="ar"/>
        </w:rPr>
        <w:t>）中</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类标准。因此，车辆行经村庄时，应平稳低速行驶，控制车速在</w:t>
      </w:r>
      <w:r>
        <w:rPr>
          <w:rFonts w:hint="default" w:ascii="Times New Roman" w:hAnsi="Times New Roman" w:eastAsia="宋体" w:cs="Times New Roman"/>
          <w:color w:val="000000"/>
          <w:kern w:val="0"/>
          <w:sz w:val="24"/>
          <w:szCs w:val="24"/>
          <w:lang w:val="en-US" w:eastAsia="zh-CN" w:bidi="ar"/>
        </w:rPr>
        <w:t>20km/h</w:t>
      </w:r>
      <w:r>
        <w:rPr>
          <w:rFonts w:hint="eastAsia" w:ascii="Times New Roman" w:hAnsi="Times New Roman" w:eastAsia="宋体" w:cs="Times New Roman"/>
          <w:color w:val="000000"/>
          <w:kern w:val="0"/>
          <w:sz w:val="24"/>
          <w:szCs w:val="24"/>
          <w:lang w:val="en-US" w:eastAsia="zh-CN" w:bidi="ar"/>
        </w:rPr>
        <w:t>左右，且禁止鸣笛，当居民住户距离道路两侧小于</w:t>
      </w:r>
      <w:r>
        <w:rPr>
          <w:rFonts w:hint="default" w:ascii="Times New Roman" w:hAnsi="Times New Roman" w:eastAsia="宋体" w:cs="Times New Roman"/>
          <w:color w:val="000000"/>
          <w:kern w:val="0"/>
          <w:sz w:val="24"/>
          <w:szCs w:val="24"/>
          <w:lang w:val="en-US" w:eastAsia="zh-CN" w:bidi="ar"/>
        </w:rPr>
        <w:t>10m</w:t>
      </w:r>
      <w:r>
        <w:rPr>
          <w:rFonts w:hint="eastAsia" w:ascii="Times New Roman" w:hAnsi="Times New Roman" w:eastAsia="宋体" w:cs="Times New Roman"/>
          <w:color w:val="000000"/>
          <w:kern w:val="0"/>
          <w:sz w:val="24"/>
          <w:szCs w:val="24"/>
          <w:lang w:val="en-US" w:eastAsia="zh-CN" w:bidi="ar"/>
        </w:rPr>
        <w:t>时应控制车速在</w:t>
      </w:r>
      <w:r>
        <w:rPr>
          <w:rFonts w:hint="default" w:ascii="Times New Roman" w:hAnsi="Times New Roman" w:eastAsia="宋体" w:cs="Times New Roman"/>
          <w:color w:val="000000"/>
          <w:kern w:val="0"/>
          <w:sz w:val="24"/>
          <w:szCs w:val="24"/>
          <w:lang w:val="en-US" w:eastAsia="zh-CN" w:bidi="ar"/>
        </w:rPr>
        <w:t>10km/h</w:t>
      </w:r>
      <w:r>
        <w:rPr>
          <w:rFonts w:hint="eastAsia" w:ascii="Times New Roman" w:hAnsi="Times New Roman" w:eastAsia="宋体" w:cs="Times New Roman"/>
          <w:color w:val="000000"/>
          <w:kern w:val="0"/>
          <w:sz w:val="24"/>
          <w:szCs w:val="24"/>
          <w:lang w:val="en-US" w:eastAsia="zh-CN" w:bidi="ar"/>
        </w:rPr>
        <w:t>左右。此外，运输车辆必须按照规定进行日常维护、维修、对车辆零件进行润滑，保证车况符合要求。</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）水环境影响分析结论</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bCs/>
          <w:color w:val="000000"/>
          <w:kern w:val="0"/>
          <w:sz w:val="24"/>
          <w:szCs w:val="24"/>
          <w:lang w:val="en-US" w:eastAsia="zh-CN" w:bidi="ar"/>
        </w:rPr>
        <w:t>本项目最大限度地实现水循环利用，减少外排水量。</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bCs/>
          <w:color w:val="000000"/>
          <w:kern w:val="0"/>
          <w:sz w:val="24"/>
          <w:szCs w:val="24"/>
          <w:lang w:val="en-US" w:eastAsia="zh-CN" w:bidi="ar"/>
        </w:rPr>
        <w:t>根据工程分析，</w:t>
      </w:r>
      <w:r>
        <w:rPr>
          <w:rFonts w:hint="eastAsia" w:ascii="宋体" w:hAnsi="宋体" w:eastAsia="宋体" w:cs="宋体"/>
          <w:color w:val="000000"/>
          <w:kern w:val="0"/>
          <w:sz w:val="24"/>
          <w:szCs w:val="24"/>
          <w:lang w:val="en-US" w:eastAsia="zh-CN" w:bidi="ar"/>
        </w:rPr>
        <w:t>本项目生产废水主要为浮选生产工艺废水。生产废水在浓缩、过滤、</w:t>
      </w:r>
      <w:r>
        <w:rPr>
          <w:rFonts w:hint="eastAsia" w:ascii="Times New Roman" w:hAnsi="Times New Roman" w:eastAsia="宋体" w:cs="Times New Roman"/>
          <w:color w:val="000000"/>
          <w:kern w:val="0"/>
          <w:sz w:val="24"/>
          <w:szCs w:val="24"/>
          <w:lang w:val="en-US" w:eastAsia="zh-CN" w:bidi="ar"/>
        </w:rPr>
        <w:t>设备和地坪冲洗等</w:t>
      </w:r>
      <w:r>
        <w:rPr>
          <w:rFonts w:hint="eastAsia" w:ascii="宋体" w:hAnsi="宋体" w:eastAsia="宋体" w:cs="宋体"/>
          <w:color w:val="000000"/>
          <w:kern w:val="0"/>
          <w:sz w:val="24"/>
          <w:szCs w:val="24"/>
          <w:lang w:val="en-US" w:eastAsia="zh-CN" w:bidi="ar"/>
        </w:rPr>
        <w:t>环节中产生，主要含悬浮物为非金属矿泥，不含任何重金属物质，</w:t>
      </w:r>
      <w:r>
        <w:rPr>
          <w:rFonts w:hint="eastAsia" w:ascii="Times New Roman" w:hAnsi="Times New Roman" w:eastAsia="宋体" w:cs="Times New Roman"/>
          <w:color w:val="000000"/>
          <w:kern w:val="0"/>
          <w:sz w:val="24"/>
          <w:szCs w:val="24"/>
          <w:lang w:val="en-US" w:eastAsia="zh-CN" w:bidi="ar"/>
        </w:rPr>
        <w:t>全部进入循环水池沉淀。由于浮选生产对水质要求不高，浮选工艺排水经循环水池沉淀后，其水质满足浮选工艺补水要求，可全部</w:t>
      </w:r>
      <w:r>
        <w:rPr>
          <w:rFonts w:hint="eastAsia" w:ascii="宋体" w:hAnsi="宋体" w:eastAsia="宋体" w:cs="宋体"/>
          <w:color w:val="000000"/>
          <w:kern w:val="0"/>
          <w:sz w:val="24"/>
          <w:szCs w:val="24"/>
          <w:lang w:val="en-US" w:eastAsia="zh-CN" w:bidi="ar"/>
        </w:rPr>
        <w:t>返回生产系统循环使用，不外排。</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生活污水</w:t>
      </w:r>
      <w:r>
        <w:rPr>
          <w:rFonts w:hint="eastAsia" w:ascii="宋体" w:hAnsi="宋体" w:eastAsia="宋体" w:cs="宋体"/>
          <w:color w:val="000000"/>
          <w:kern w:val="0"/>
          <w:sz w:val="24"/>
          <w:szCs w:val="24"/>
          <w:lang w:val="en-US" w:eastAsia="zh-CN" w:bidi="ar"/>
        </w:rPr>
        <w:t>主要是职工饮用、卫生等用水，排入化粪池（容积约</w:t>
      </w:r>
      <w:r>
        <w:rPr>
          <w:rFonts w:hint="default" w:ascii="Times New Roman" w:hAnsi="Times New Roman" w:eastAsia="宋体" w:cs="Times New Roman"/>
          <w:color w:val="000000"/>
          <w:kern w:val="0"/>
          <w:sz w:val="24"/>
          <w:szCs w:val="24"/>
          <w:lang w:val="en-US" w:eastAsia="zh-CN" w:bidi="ar"/>
        </w:rPr>
        <w:t>40m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宋体" w:hAnsi="宋体" w:eastAsia="宋体" w:cs="宋体"/>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，定期清掏，堆沤腐熟、就地就近就农利用，满足《农业农村部办公厅</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国家卫生健康委办公厅</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生态环境部办公厅关于印发</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农村厕所粪污无害化处理与资源化利用指南</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和</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农村厕所粪污处理及资源化利用典型模式</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的通知》（农办社</w:t>
      </w:r>
      <w:r>
        <w:rPr>
          <w:rFonts w:hint="default" w:ascii="Times New Roman" w:hAnsi="Times New Roman" w:eastAsia="宋体" w:cs="Times New Roman"/>
          <w:color w:val="000000"/>
          <w:kern w:val="0"/>
          <w:sz w:val="24"/>
          <w:szCs w:val="24"/>
          <w:lang w:val="en-US" w:eastAsia="zh-CN" w:bidi="ar"/>
        </w:rPr>
        <w:t>[2020]7</w:t>
      </w:r>
      <w:r>
        <w:rPr>
          <w:rFonts w:hint="eastAsia" w:ascii="Times New Roman" w:hAnsi="Times New Roman" w:eastAsia="宋体" w:cs="Times New Roman"/>
          <w:color w:val="000000"/>
          <w:kern w:val="0"/>
          <w:sz w:val="24"/>
          <w:szCs w:val="24"/>
          <w:lang w:val="en-US" w:eastAsia="zh-CN" w:bidi="ar"/>
        </w:rPr>
        <w:t>号）中关于水冲式厕所粪污分散处理利用的要求，</w:t>
      </w:r>
      <w:r>
        <w:rPr>
          <w:rFonts w:hint="eastAsia" w:ascii="Times New Roman" w:hAnsi="Times New Roman" w:eastAsia="宋体" w:cs="Times New Roman"/>
          <w:bCs/>
          <w:color w:val="000000"/>
          <w:kern w:val="0"/>
          <w:sz w:val="24"/>
          <w:szCs w:val="24"/>
          <w:lang w:val="en-US" w:eastAsia="zh-CN" w:bidi="ar"/>
        </w:rPr>
        <w:t>对区域地表水环境影响较小。</w:t>
      </w:r>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4</w:t>
      </w:r>
      <w:r>
        <w:rPr>
          <w:rFonts w:hint="eastAsia" w:ascii="Times New Roman" w:hAnsi="Times New Roman" w:eastAsia="宋体" w:cs="Times New Roman"/>
          <w:b/>
          <w:bCs w:val="0"/>
          <w:color w:val="000000"/>
          <w:kern w:val="0"/>
          <w:sz w:val="24"/>
          <w:szCs w:val="24"/>
          <w:lang w:val="en-US" w:eastAsia="zh-CN" w:bidi="ar"/>
        </w:rPr>
        <w:t>）地下水环境影响分析结论</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根据本次评价期间进行的区域地下水环境质量现状调查可知，该区域地下水指标综合类别为</w:t>
      </w:r>
      <w:r>
        <w:rPr>
          <w:rFonts w:hint="default" w:ascii="Times New Roman" w:hAnsi="Times New Roman" w:eastAsia="宋体" w:cs="Times New Roman"/>
          <w:color w:val="000000"/>
          <w:kern w:val="0"/>
          <w:sz w:val="24"/>
          <w:szCs w:val="24"/>
          <w:lang w:val="en-US" w:eastAsia="zh-CN" w:bidi="ar"/>
        </w:rPr>
        <w:t>Ⅲ</w:t>
      </w:r>
      <w:r>
        <w:rPr>
          <w:rFonts w:hint="eastAsia" w:ascii="Times New Roman" w:hAnsi="Times New Roman" w:eastAsia="宋体" w:cs="Times New Roman"/>
          <w:color w:val="000000"/>
          <w:kern w:val="0"/>
          <w:sz w:val="24"/>
          <w:szCs w:val="24"/>
          <w:lang w:val="en-US" w:eastAsia="zh-CN" w:bidi="ar"/>
        </w:rPr>
        <w:t>类，区域地下水质量较好。</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本项目实施后，建设单位应根据</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源头控制、末端治理、污染监控、应急响应</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的地下水污染防治原则，严格按照分区防渗要求进行地下水污染防治工作等，定期维护防渗系统，并按本次评价确定的监测计划，对厂界下游地下水跟踪监控井进行定期监测。</w:t>
      </w:r>
    </w:p>
    <w:p>
      <w:pPr>
        <w:keepNext w:val="0"/>
        <w:keepLines w:val="0"/>
        <w:widowControl/>
        <w:suppressLineNumbers w:val="0"/>
        <w:spacing w:before="0" w:beforeAutospacing="0" w:after="0" w:afterAutospacing="0" w:line="500" w:lineRule="exact"/>
        <w:ind w:left="0" w:right="6"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5</w:t>
      </w:r>
      <w:r>
        <w:rPr>
          <w:rFonts w:hint="eastAsia" w:ascii="Times New Roman" w:hAnsi="Times New Roman" w:eastAsia="宋体" w:cs="Times New Roman"/>
          <w:b/>
          <w:bCs w:val="0"/>
          <w:color w:val="000000"/>
          <w:kern w:val="0"/>
          <w:sz w:val="24"/>
          <w:szCs w:val="24"/>
          <w:lang w:val="en-US" w:eastAsia="zh-CN" w:bidi="ar"/>
        </w:rPr>
        <w:t>）固体废物影响分析结论</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eastAsia="方正书宋简体" w:cs="Times New Roman"/>
          <w:color w:val="000000"/>
          <w:lang w:val="en-US"/>
        </w:rPr>
      </w:pPr>
      <w:r>
        <w:rPr>
          <w:rFonts w:hint="eastAsia" w:ascii="Times New Roman" w:hAnsi="Times New Roman" w:eastAsia="宋体" w:cs="Times New Roman"/>
          <w:color w:val="000000"/>
          <w:kern w:val="0"/>
          <w:sz w:val="24"/>
          <w:szCs w:val="24"/>
          <w:lang w:val="en-US" w:eastAsia="zh-CN" w:bidi="ar"/>
        </w:rPr>
        <w:t>本项目投产后产生的各类一般工业固废、危险废物均可得到有效处理或处置，基本不会对周围环境产生影响。</w:t>
      </w:r>
    </w:p>
    <w:p>
      <w:pPr>
        <w:pStyle w:val="8"/>
        <w:widowControl/>
        <w:spacing w:before="120" w:beforeAutospacing="0"/>
        <w:rPr>
          <w:color w:val="000000"/>
          <w:lang/>
        </w:rPr>
      </w:pPr>
      <w:bookmarkStart w:id="284" w:name="_Toc41656169"/>
      <w:bookmarkStart w:id="285" w:name="_Toc27659035"/>
      <w:r>
        <w:rPr>
          <w:color w:val="000000"/>
          <w:lang/>
        </w:rPr>
        <w:t xml:space="preserve">9.5 </w:t>
      </w:r>
      <w:r>
        <w:rPr>
          <w:rFonts w:hint="eastAsia" w:ascii="Times New Roman" w:hAnsi="Times New Roman" w:eastAsia="宋体" w:cs="宋体"/>
          <w:color w:val="000000"/>
          <w:lang w:eastAsia="zh-CN"/>
        </w:rPr>
        <w:t>环保措施可行性结论</w:t>
      </w:r>
      <w:bookmarkEnd w:id="284"/>
      <w:bookmarkEnd w:id="285"/>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1</w:t>
      </w:r>
      <w:r>
        <w:rPr>
          <w:rFonts w:hint="eastAsia" w:ascii="Times New Roman" w:hAnsi="Times New Roman" w:eastAsia="宋体" w:cs="Times New Roman"/>
          <w:b/>
          <w:bCs w:val="0"/>
          <w:color w:val="000000"/>
          <w:kern w:val="0"/>
          <w:sz w:val="24"/>
          <w:szCs w:val="24"/>
          <w:lang w:val="en-US" w:eastAsia="zh-CN" w:bidi="ar"/>
        </w:rPr>
        <w:t>）废气</w:t>
      </w:r>
    </w:p>
    <w:p>
      <w:pPr>
        <w:keepNext w:val="0"/>
        <w:keepLines w:val="0"/>
        <w:widowControl/>
        <w:suppressLineNumbers w:val="0"/>
        <w:tabs>
          <w:tab w:val="left" w:pos="1506"/>
        </w:tabs>
        <w:spacing w:before="0" w:beforeAutospacing="0" w:after="0" w:afterAutospacing="0" w:line="500" w:lineRule="exact"/>
        <w:ind w:left="0" w:right="0" w:firstLine="480" w:firstLineChars="200"/>
        <w:jc w:val="both"/>
        <w:rPr>
          <w:rFonts w:hint="default" w:ascii="Times New Roman" w:hAnsi="Times New Roman" w:cs="Times New Roman"/>
          <w:color w:val="000000"/>
          <w:szCs w:val="32"/>
          <w:lang w:val="en-US"/>
        </w:rPr>
      </w:pPr>
      <w:r>
        <w:rPr>
          <w:rFonts w:hint="eastAsia" w:ascii="Times New Roman" w:hAnsi="Times New Roman" w:eastAsia="宋体" w:cs="Times New Roman"/>
          <w:color w:val="000000"/>
          <w:kern w:val="0"/>
          <w:sz w:val="24"/>
          <w:szCs w:val="32"/>
          <w:lang w:val="en-US" w:eastAsia="zh-CN" w:bidi="ar"/>
        </w:rPr>
        <w:t>本工程浮选生产线破碎、筛分工序及供料仓产生的粉尘通过捕集罩收集后通过引风机抽至布袋除尘器除尘，净化后由</w:t>
      </w:r>
      <w:r>
        <w:rPr>
          <w:rFonts w:hint="default" w:ascii="Times New Roman" w:hAnsi="Times New Roman" w:eastAsia="宋体" w:cs="Times New Roman"/>
          <w:color w:val="000000"/>
          <w:kern w:val="0"/>
          <w:sz w:val="24"/>
          <w:szCs w:val="32"/>
          <w:lang w:val="en-US" w:eastAsia="zh-CN" w:bidi="ar"/>
        </w:rPr>
        <w:t>15m</w:t>
      </w:r>
      <w:r>
        <w:rPr>
          <w:rFonts w:hint="eastAsia" w:ascii="Times New Roman" w:hAnsi="Times New Roman" w:eastAsia="宋体" w:cs="Times New Roman"/>
          <w:color w:val="000000"/>
          <w:kern w:val="0"/>
          <w:sz w:val="24"/>
          <w:szCs w:val="32"/>
          <w:lang w:val="en-US" w:eastAsia="zh-CN" w:bidi="ar"/>
        </w:rPr>
        <w:t>高排气筒排放，除尘效率为</w:t>
      </w:r>
      <w:r>
        <w:rPr>
          <w:rFonts w:hint="default" w:ascii="Times New Roman" w:hAnsi="Times New Roman" w:eastAsia="宋体" w:cs="Times New Roman"/>
          <w:color w:val="000000"/>
          <w:kern w:val="0"/>
          <w:sz w:val="24"/>
          <w:szCs w:val="32"/>
          <w:lang w:val="en-US" w:eastAsia="zh-CN" w:bidi="ar"/>
        </w:rPr>
        <w:t>99.5%</w:t>
      </w:r>
      <w:r>
        <w:rPr>
          <w:rFonts w:hint="eastAsia" w:ascii="Times New Roman" w:hAnsi="Times New Roman" w:eastAsia="宋体" w:cs="Times New Roman"/>
          <w:color w:val="000000"/>
          <w:kern w:val="0"/>
          <w:sz w:val="24"/>
          <w:szCs w:val="32"/>
          <w:lang w:val="en-US" w:eastAsia="zh-CN" w:bidi="ar"/>
        </w:rPr>
        <w:t>，处理后排放浓度＜</w:t>
      </w:r>
      <w:r>
        <w:rPr>
          <w:rFonts w:hint="default" w:ascii="Times New Roman" w:hAnsi="Times New Roman" w:eastAsia="宋体" w:cs="Times New Roman"/>
          <w:color w:val="000000"/>
          <w:kern w:val="0"/>
          <w:sz w:val="24"/>
          <w:szCs w:val="32"/>
          <w:lang w:val="en-US" w:eastAsia="zh-CN" w:bidi="ar"/>
        </w:rPr>
        <w:t>10mg/m</w:t>
      </w:r>
      <w:r>
        <w:rPr>
          <w:rFonts w:hint="default" w:ascii="Times New Roman" w:hAnsi="Times New Roman" w:eastAsia="宋体" w:cs="Times New Roman"/>
          <w:color w:val="000000"/>
          <w:kern w:val="0"/>
          <w:sz w:val="24"/>
          <w:szCs w:val="32"/>
          <w:vertAlign w:val="superscript"/>
          <w:lang w:val="en-US" w:eastAsia="zh-CN" w:bidi="ar"/>
        </w:rPr>
        <w:t>3</w:t>
      </w:r>
      <w:r>
        <w:rPr>
          <w:rFonts w:hint="eastAsia" w:ascii="Times New Roman" w:hAnsi="Times New Roman" w:eastAsia="宋体" w:cs="Times New Roman"/>
          <w:color w:val="000000"/>
          <w:kern w:val="0"/>
          <w:sz w:val="24"/>
          <w:szCs w:val="32"/>
          <w:lang w:val="en-US" w:eastAsia="zh-CN" w:bidi="ar"/>
        </w:rPr>
        <w:t>，符合《镁质耐火材料工业大气污染物排放标准》（</w:t>
      </w:r>
      <w:r>
        <w:rPr>
          <w:rFonts w:hint="default" w:ascii="Times New Roman" w:hAnsi="Times New Roman" w:eastAsia="宋体" w:cs="Times New Roman"/>
          <w:color w:val="000000"/>
          <w:kern w:val="0"/>
          <w:sz w:val="24"/>
          <w:szCs w:val="32"/>
          <w:lang w:val="en-US" w:eastAsia="zh-CN" w:bidi="ar"/>
        </w:rPr>
        <w:t>DB21/3011-2018</w:t>
      </w:r>
      <w:r>
        <w:rPr>
          <w:rFonts w:hint="eastAsia" w:ascii="Times New Roman" w:hAnsi="Times New Roman" w:eastAsia="宋体" w:cs="Times New Roman"/>
          <w:color w:val="000000"/>
          <w:kern w:val="0"/>
          <w:sz w:val="24"/>
          <w:szCs w:val="32"/>
          <w:lang w:val="en-US" w:eastAsia="zh-CN" w:bidi="ar"/>
        </w:rPr>
        <w:t>）中的表</w:t>
      </w:r>
      <w:r>
        <w:rPr>
          <w:rFonts w:hint="default" w:ascii="Times New Roman" w:hAnsi="Times New Roman" w:eastAsia="宋体" w:cs="Times New Roman"/>
          <w:color w:val="000000"/>
          <w:kern w:val="0"/>
          <w:sz w:val="24"/>
          <w:szCs w:val="32"/>
          <w:lang w:val="en-US" w:eastAsia="zh-CN" w:bidi="ar"/>
        </w:rPr>
        <w:t>2</w:t>
      </w:r>
      <w:r>
        <w:rPr>
          <w:rFonts w:hint="eastAsia" w:ascii="Times New Roman" w:hAnsi="Times New Roman" w:eastAsia="宋体" w:cs="Times New Roman"/>
          <w:color w:val="000000"/>
          <w:kern w:val="0"/>
          <w:sz w:val="24"/>
          <w:szCs w:val="32"/>
          <w:lang w:val="en-US" w:eastAsia="zh-CN" w:bidi="ar"/>
        </w:rPr>
        <w:t>标准（颗粒物≤</w:t>
      </w:r>
      <w:r>
        <w:rPr>
          <w:rFonts w:hint="default" w:ascii="Times New Roman" w:hAnsi="Times New Roman" w:eastAsia="宋体" w:cs="Times New Roman"/>
          <w:color w:val="000000"/>
          <w:kern w:val="0"/>
          <w:sz w:val="24"/>
          <w:szCs w:val="32"/>
          <w:lang w:val="en-US" w:eastAsia="zh-CN" w:bidi="ar"/>
        </w:rPr>
        <w:t>30mg/m</w:t>
      </w:r>
      <w:r>
        <w:rPr>
          <w:rFonts w:hint="default" w:ascii="Times New Roman" w:hAnsi="Times New Roman" w:eastAsia="宋体" w:cs="Times New Roman"/>
          <w:color w:val="000000"/>
          <w:kern w:val="0"/>
          <w:sz w:val="24"/>
          <w:szCs w:val="32"/>
          <w:vertAlign w:val="superscript"/>
          <w:lang w:val="en-US" w:eastAsia="zh-CN" w:bidi="ar"/>
        </w:rPr>
        <w:t>3</w:t>
      </w:r>
      <w:r>
        <w:rPr>
          <w:rFonts w:hint="eastAsia" w:ascii="Times New Roman" w:hAnsi="Times New Roman" w:eastAsia="宋体" w:cs="Times New Roman"/>
          <w:color w:val="000000"/>
          <w:kern w:val="0"/>
          <w:sz w:val="24"/>
          <w:szCs w:val="32"/>
          <w:lang w:val="en-US" w:eastAsia="zh-CN" w:bidi="ar"/>
        </w:rPr>
        <w:t>）。</w:t>
      </w:r>
    </w:p>
    <w:p>
      <w:pPr>
        <w:keepNext w:val="0"/>
        <w:keepLines w:val="0"/>
        <w:widowControl/>
        <w:suppressLineNumbers w:val="0"/>
        <w:tabs>
          <w:tab w:val="left" w:pos="1506"/>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破碎车间、原料库、精矿库、尾矿库各生产车间库房等均为封闭厂房，对无</w:t>
      </w:r>
      <w:r>
        <w:rPr>
          <w:rFonts w:hint="eastAsia" w:ascii="Times New Roman" w:hAnsi="Times New Roman" w:eastAsia="宋体" w:cs="Times New Roman"/>
          <w:color w:val="000000"/>
          <w:kern w:val="0"/>
          <w:sz w:val="24"/>
          <w:szCs w:val="24"/>
          <w:lang w:val="en-US" w:eastAsia="zh-CN" w:bidi="ar"/>
        </w:rPr>
        <w:t>组织粉尘采取厂房遮挡、洒水抑尘、吸尘车除尘等措施后厂界无组织颗粒物排放限值＜</w:t>
      </w:r>
      <w:r>
        <w:rPr>
          <w:rFonts w:hint="default" w:ascii="Times New Roman" w:hAnsi="Times New Roman" w:eastAsia="宋体" w:cs="Times New Roman"/>
          <w:color w:val="000000"/>
          <w:kern w:val="0"/>
          <w:sz w:val="24"/>
          <w:szCs w:val="24"/>
          <w:lang w:val="en-US" w:eastAsia="zh-CN" w:bidi="ar"/>
        </w:rPr>
        <w:t>0.8mg/m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，满足《镁质耐火材料工业大气污染物排放标准》（</w:t>
      </w:r>
      <w:r>
        <w:rPr>
          <w:rFonts w:hint="default" w:ascii="Times New Roman" w:hAnsi="Times New Roman" w:eastAsia="宋体" w:cs="Times New Roman"/>
          <w:color w:val="000000"/>
          <w:kern w:val="0"/>
          <w:sz w:val="24"/>
          <w:szCs w:val="24"/>
          <w:lang w:val="en-US" w:eastAsia="zh-CN" w:bidi="ar"/>
        </w:rPr>
        <w:t>DB21/3011-2018</w:t>
      </w:r>
      <w:r>
        <w:rPr>
          <w:rFonts w:hint="eastAsia" w:ascii="Times New Roman" w:hAnsi="Times New Roman" w:eastAsia="宋体" w:cs="Times New Roman"/>
          <w:color w:val="000000"/>
          <w:kern w:val="0"/>
          <w:sz w:val="24"/>
          <w:szCs w:val="24"/>
          <w:lang w:val="en-US" w:eastAsia="zh-CN" w:bidi="ar"/>
        </w:rPr>
        <w:t>）表</w:t>
      </w:r>
      <w:r>
        <w:rPr>
          <w:rFonts w:hint="default" w:ascii="Times New Roman" w:hAnsi="Times New Roman" w:eastAsia="TimesNewRomanPSMT" w:cs="Times New Roman"/>
          <w:color w:val="000000"/>
          <w:kern w:val="0"/>
          <w:sz w:val="24"/>
          <w:szCs w:val="24"/>
          <w:lang w:val="en-US" w:eastAsia="zh-CN" w:bidi="ar"/>
        </w:rPr>
        <w:t xml:space="preserve">3 </w:t>
      </w:r>
      <w:r>
        <w:rPr>
          <w:rFonts w:hint="eastAsia" w:ascii="Times New Roman" w:hAnsi="Times New Roman" w:eastAsia="宋体" w:cs="Times New Roman"/>
          <w:color w:val="000000"/>
          <w:kern w:val="0"/>
          <w:sz w:val="24"/>
          <w:szCs w:val="24"/>
          <w:lang w:val="en-US" w:eastAsia="zh-CN" w:bidi="ar"/>
        </w:rPr>
        <w:t>对应的无组织排放限值（颗粒物</w:t>
      </w:r>
      <w:r>
        <w:rPr>
          <w:rFonts w:hint="default" w:ascii="Times New Roman" w:hAnsi="Times New Roman" w:eastAsia="宋体" w:cs="Times New Roman"/>
          <w:color w:val="000000"/>
          <w:kern w:val="0"/>
          <w:sz w:val="24"/>
          <w:szCs w:val="24"/>
          <w:lang w:val="en-US" w:eastAsia="zh-CN" w:bidi="ar"/>
        </w:rPr>
        <w:t>≤0.8mg/m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Times New Roman" w:hAnsi="Times New Roman" w:eastAsia="宋体" w:cs="Times New Roman"/>
          <w:color w:val="000000"/>
          <w:kern w:val="0"/>
          <w:sz w:val="24"/>
          <w:szCs w:val="24"/>
          <w:lang w:val="en-US" w:eastAsia="zh-CN" w:bidi="ar"/>
        </w:rPr>
        <w:t>）。</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经工程分析和环境影响预测，各污染物的最大地面浓度及到周边敏感点处的地面浓度均能够满足相应环境质量标准，可以做到达标排放，拟采取的大气污染防治措施可行。</w:t>
      </w:r>
    </w:p>
    <w:p>
      <w:pPr>
        <w:keepNext w:val="0"/>
        <w:keepLines w:val="0"/>
        <w:widowControl/>
        <w:suppressLineNumbers w:val="0"/>
        <w:spacing w:before="0" w:beforeAutospacing="0" w:after="0" w:afterAutospacing="0" w:line="500" w:lineRule="exact"/>
        <w:ind w:left="0" w:right="0" w:firstLine="482" w:firstLineChars="20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2</w:t>
      </w:r>
      <w:r>
        <w:rPr>
          <w:rFonts w:hint="eastAsia" w:ascii="Times New Roman" w:hAnsi="Times New Roman" w:eastAsia="宋体" w:cs="Times New Roman"/>
          <w:b/>
          <w:bCs w:val="0"/>
          <w:color w:val="000000"/>
          <w:kern w:val="0"/>
          <w:sz w:val="24"/>
          <w:szCs w:val="24"/>
          <w:lang w:val="en-US" w:eastAsia="zh-CN" w:bidi="ar"/>
        </w:rPr>
        <w:t>）废水</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本项目生产废水主要为浮选生产工艺废水。生产废水在浓缩、过滤、</w:t>
      </w:r>
      <w:r>
        <w:rPr>
          <w:rFonts w:hint="eastAsia" w:ascii="Times New Roman" w:hAnsi="Times New Roman" w:eastAsia="宋体" w:cs="Times New Roman"/>
          <w:color w:val="000000"/>
          <w:kern w:val="0"/>
          <w:sz w:val="24"/>
          <w:szCs w:val="24"/>
          <w:lang w:val="en-US" w:eastAsia="zh-CN" w:bidi="ar"/>
        </w:rPr>
        <w:t>设备和地坪冲洗等</w:t>
      </w:r>
      <w:r>
        <w:rPr>
          <w:rFonts w:hint="eastAsia" w:ascii="宋体" w:hAnsi="宋体" w:eastAsia="宋体" w:cs="宋体"/>
          <w:color w:val="000000"/>
          <w:kern w:val="0"/>
          <w:sz w:val="24"/>
          <w:szCs w:val="24"/>
          <w:lang w:val="en-US" w:eastAsia="zh-CN" w:bidi="ar"/>
        </w:rPr>
        <w:t>环节中产生，</w:t>
      </w:r>
      <w:r>
        <w:rPr>
          <w:rFonts w:hint="eastAsia" w:ascii="Times New Roman" w:hAnsi="Times New Roman" w:eastAsia="宋体" w:cs="Times New Roman"/>
          <w:color w:val="000000"/>
          <w:kern w:val="0"/>
          <w:sz w:val="24"/>
          <w:szCs w:val="24"/>
          <w:lang w:val="en-US" w:eastAsia="zh-CN" w:bidi="ar"/>
        </w:rPr>
        <w:t>排水经循环水池沉淀后，其水质满足浮选工艺补水要求，可全部</w:t>
      </w:r>
      <w:r>
        <w:rPr>
          <w:rFonts w:hint="eastAsia" w:ascii="宋体" w:hAnsi="宋体" w:eastAsia="宋体" w:cs="宋体"/>
          <w:color w:val="000000"/>
          <w:kern w:val="0"/>
          <w:sz w:val="24"/>
          <w:szCs w:val="24"/>
          <w:lang w:val="en-US" w:eastAsia="zh-CN" w:bidi="ar"/>
        </w:rPr>
        <w:t>返回生产系统循环使用，不外排。</w:t>
      </w:r>
    </w:p>
    <w:p>
      <w:pPr>
        <w:keepNext w:val="0"/>
        <w:keepLines w:val="0"/>
        <w:widowControl/>
        <w:suppressLineNumbers w:val="0"/>
        <w:spacing w:before="0" w:beforeAutospacing="0" w:after="0" w:afterAutospacing="0" w:line="500" w:lineRule="exact"/>
        <w:ind w:left="0" w:right="6" w:firstLine="480" w:firstLineChars="200"/>
        <w:jc w:val="both"/>
        <w:rPr>
          <w:rFonts w:hint="default" w:ascii="Times New Roman" w:hAnsi="Times New Roman" w:cs="Times New Roman"/>
          <w:bCs/>
          <w:color w:val="000000"/>
          <w:lang w:val="en-US"/>
        </w:rPr>
      </w:pPr>
      <w:r>
        <w:rPr>
          <w:rFonts w:hint="eastAsia" w:ascii="Times New Roman" w:hAnsi="Times New Roman" w:eastAsia="宋体" w:cs="Times New Roman"/>
          <w:color w:val="000000"/>
          <w:kern w:val="0"/>
          <w:sz w:val="24"/>
          <w:szCs w:val="24"/>
          <w:lang w:val="en-US" w:eastAsia="zh-CN" w:bidi="ar"/>
        </w:rPr>
        <w:t>生活污水</w:t>
      </w:r>
      <w:r>
        <w:rPr>
          <w:rFonts w:hint="eastAsia" w:ascii="宋体" w:hAnsi="宋体" w:eastAsia="宋体" w:cs="宋体"/>
          <w:color w:val="000000"/>
          <w:kern w:val="0"/>
          <w:sz w:val="24"/>
          <w:szCs w:val="24"/>
          <w:lang w:val="en-US" w:eastAsia="zh-CN" w:bidi="ar"/>
        </w:rPr>
        <w:t>主要是职工饮用、卫生等用水，排入化粪池（容积约</w:t>
      </w:r>
      <w:r>
        <w:rPr>
          <w:rFonts w:hint="default" w:ascii="Times New Roman" w:hAnsi="Times New Roman" w:eastAsia="宋体" w:cs="Times New Roman"/>
          <w:color w:val="000000"/>
          <w:kern w:val="0"/>
          <w:sz w:val="24"/>
          <w:szCs w:val="24"/>
          <w:lang w:val="en-US" w:eastAsia="zh-CN" w:bidi="ar"/>
        </w:rPr>
        <w:t>40m</w:t>
      </w:r>
      <w:r>
        <w:rPr>
          <w:rFonts w:hint="default" w:ascii="Times New Roman" w:hAnsi="Times New Roman" w:eastAsia="宋体" w:cs="Times New Roman"/>
          <w:color w:val="000000"/>
          <w:kern w:val="0"/>
          <w:sz w:val="24"/>
          <w:szCs w:val="24"/>
          <w:vertAlign w:val="superscript"/>
          <w:lang w:val="en-US" w:eastAsia="zh-CN" w:bidi="ar"/>
        </w:rPr>
        <w:t>3</w:t>
      </w:r>
      <w:r>
        <w:rPr>
          <w:rFonts w:hint="eastAsia" w:ascii="宋体" w:hAnsi="宋体" w:eastAsia="宋体" w:cs="宋体"/>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，定期清掏，堆沤腐熟、就地就近就农利用，满足《农业农村部办公厅</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国家卫生健康委办公厅</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生态环境部办公厅关于印发</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农村厕所粪污无害化处理与资源化利用指南</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和</w:t>
      </w:r>
      <w:r>
        <w:rPr>
          <w:rFonts w:hint="default" w:ascii="Times New Roman" w:hAnsi="Times New Roman" w:eastAsia="宋体" w:cs="Times New Roman"/>
          <w:color w:val="000000"/>
          <w:kern w:val="0"/>
          <w:sz w:val="24"/>
          <w:szCs w:val="24"/>
          <w:lang w:val="en-US" w:eastAsia="zh-CN" w:bidi="ar"/>
        </w:rPr>
        <w:t>&lt;</w:t>
      </w:r>
      <w:r>
        <w:rPr>
          <w:rFonts w:hint="eastAsia" w:ascii="Times New Roman" w:hAnsi="Times New Roman" w:eastAsia="宋体" w:cs="Times New Roman"/>
          <w:color w:val="000000"/>
          <w:kern w:val="0"/>
          <w:sz w:val="24"/>
          <w:szCs w:val="24"/>
          <w:lang w:val="en-US" w:eastAsia="zh-CN" w:bidi="ar"/>
        </w:rPr>
        <w:t>农村厕所粪污处理及资源化利用典型模式</w:t>
      </w:r>
      <w:r>
        <w:rPr>
          <w:rFonts w:hint="default" w:ascii="Times New Roman" w:hAnsi="Times New Roman" w:eastAsia="宋体" w:cs="Times New Roman"/>
          <w:color w:val="000000"/>
          <w:kern w:val="0"/>
          <w:sz w:val="24"/>
          <w:szCs w:val="24"/>
          <w:lang w:val="en-US" w:eastAsia="zh-CN" w:bidi="ar"/>
        </w:rPr>
        <w:t>&gt;</w:t>
      </w:r>
      <w:r>
        <w:rPr>
          <w:rFonts w:hint="eastAsia" w:ascii="Times New Roman" w:hAnsi="Times New Roman" w:eastAsia="宋体" w:cs="Times New Roman"/>
          <w:color w:val="000000"/>
          <w:kern w:val="0"/>
          <w:sz w:val="24"/>
          <w:szCs w:val="24"/>
          <w:lang w:val="en-US" w:eastAsia="zh-CN" w:bidi="ar"/>
        </w:rPr>
        <w:t>的通知》（农办社</w:t>
      </w:r>
      <w:r>
        <w:rPr>
          <w:rFonts w:hint="default" w:ascii="Times New Roman" w:hAnsi="Times New Roman" w:eastAsia="宋体" w:cs="Times New Roman"/>
          <w:color w:val="000000"/>
          <w:kern w:val="0"/>
          <w:sz w:val="24"/>
          <w:szCs w:val="24"/>
          <w:lang w:val="en-US" w:eastAsia="zh-CN" w:bidi="ar"/>
        </w:rPr>
        <w:t>[2020]7</w:t>
      </w:r>
      <w:r>
        <w:rPr>
          <w:rFonts w:hint="eastAsia" w:ascii="Times New Roman" w:hAnsi="Times New Roman" w:eastAsia="宋体" w:cs="Times New Roman"/>
          <w:color w:val="000000"/>
          <w:kern w:val="0"/>
          <w:sz w:val="24"/>
          <w:szCs w:val="24"/>
          <w:lang w:val="en-US" w:eastAsia="zh-CN" w:bidi="ar"/>
        </w:rPr>
        <w:t>号）中关于水冲式厕所粪污分散处理利用的要求，</w:t>
      </w:r>
      <w:r>
        <w:rPr>
          <w:rFonts w:hint="eastAsia" w:ascii="Times New Roman" w:hAnsi="Times New Roman" w:eastAsia="宋体" w:cs="Times New Roman"/>
          <w:bCs/>
          <w:color w:val="000000"/>
          <w:kern w:val="0"/>
          <w:sz w:val="24"/>
          <w:szCs w:val="24"/>
          <w:lang w:val="en-US" w:eastAsia="zh-CN" w:bidi="ar"/>
        </w:rPr>
        <w:t>废水污染防治措施可行。</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地下水污染防治方面拟采取源头控制和分区防渗措施，并制定地下水污染监控计划，确保地下水环境影响降至最低。</w:t>
      </w:r>
    </w:p>
    <w:p>
      <w:pPr>
        <w:keepNext w:val="0"/>
        <w:keepLines w:val="0"/>
        <w:widowControl/>
        <w:suppressLineNumbers w:val="0"/>
        <w:spacing w:before="0" w:beforeAutospacing="0" w:after="0" w:afterAutospacing="0" w:line="500" w:lineRule="exact"/>
        <w:ind w:left="0" w:right="0" w:firstLine="480"/>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3</w:t>
      </w:r>
      <w:r>
        <w:rPr>
          <w:rFonts w:hint="eastAsia" w:ascii="Times New Roman" w:hAnsi="Times New Roman" w:eastAsia="宋体" w:cs="Times New Roman"/>
          <w:b/>
          <w:bCs w:val="0"/>
          <w:color w:val="000000"/>
          <w:kern w:val="0"/>
          <w:sz w:val="24"/>
          <w:szCs w:val="24"/>
          <w:lang w:val="en-US" w:eastAsia="zh-CN" w:bidi="ar"/>
        </w:rPr>
        <w:t>）固体废物</w:t>
      </w:r>
    </w:p>
    <w:p>
      <w:pPr>
        <w:keepNext w:val="0"/>
        <w:keepLines w:val="0"/>
        <w:widowControl/>
        <w:suppressLineNumbers w:val="0"/>
        <w:adjustRightInd w:val="0"/>
        <w:snapToGri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本项目产生的一般固废</w:t>
      </w:r>
      <w:r>
        <w:rPr>
          <w:rFonts w:hint="eastAsia" w:ascii="Times New Roman" w:hAnsi="Times New Roman" w:eastAsia="宋体" w:cs="Times New Roman"/>
          <w:snapToGrid w:val="0"/>
          <w:color w:val="000000"/>
          <w:kern w:val="0"/>
          <w:sz w:val="24"/>
          <w:szCs w:val="24"/>
          <w:lang w:val="en-US" w:eastAsia="zh-CN" w:bidi="ar"/>
        </w:rPr>
        <w:t>振动筛废筛网、球磨机废钢球定期由厂家回收，不外排，布袋除尘器收尘灰、</w:t>
      </w:r>
      <w:r>
        <w:rPr>
          <w:rFonts w:hint="eastAsia" w:ascii="宋体" w:hAnsi="宋体" w:eastAsia="宋体" w:cs="Times New Roman"/>
          <w:snapToGrid w:val="0"/>
          <w:color w:val="000000"/>
          <w:kern w:val="0"/>
          <w:sz w:val="24"/>
          <w:szCs w:val="24"/>
          <w:lang w:val="en-US" w:eastAsia="zh-CN" w:bidi="ar"/>
        </w:rPr>
        <w:t>厂房遮挡粉尘、</w:t>
      </w:r>
      <w:r>
        <w:rPr>
          <w:rFonts w:hint="eastAsia" w:ascii="Times New Roman" w:hAnsi="Times New Roman" w:eastAsia="宋体" w:cs="Times New Roman"/>
          <w:snapToGrid w:val="0"/>
          <w:color w:val="000000"/>
          <w:kern w:val="0"/>
          <w:sz w:val="24"/>
          <w:szCs w:val="24"/>
          <w:lang w:val="en-US" w:eastAsia="zh-CN" w:bidi="ar"/>
        </w:rPr>
        <w:t>循环水池矿泥回用于生产，不外排；危险废物废润滑油桶、浮选药剂包装桶暂存于厂内危废暂存间，定期送有资质单位进行无害化处理；废含油抹布和生活垃圾由环卫部门定期清运到指定地点统一处理</w:t>
      </w:r>
      <w:r>
        <w:rPr>
          <w:rFonts w:hint="eastAsia" w:ascii="Times New Roman" w:hAnsi="Times New Roman" w:eastAsia="方正书宋简体" w:cs="Times New Roman"/>
          <w:color w:val="000000"/>
          <w:kern w:val="0"/>
          <w:sz w:val="24"/>
          <w:szCs w:val="24"/>
          <w:lang w:val="en-US" w:eastAsia="zh-CN" w:bidi="ar"/>
        </w:rPr>
        <w:t>。</w:t>
      </w:r>
    </w:p>
    <w:p>
      <w:pPr>
        <w:pStyle w:val="27"/>
        <w:keepNext w:val="0"/>
        <w:keepLines w:val="0"/>
        <w:widowControl/>
        <w:suppressLineNumbers w:val="0"/>
        <w:adjustRightInd/>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eastAsia="zh-CN"/>
        </w:rPr>
      </w:pPr>
      <w:r>
        <w:rPr>
          <w:rFonts w:hint="eastAsia" w:ascii="Times New Roman" w:hAnsi="Times New Roman" w:eastAsia="宋体" w:cs="Times New Roman"/>
          <w:color w:val="000000"/>
          <w:kern w:val="0"/>
          <w:sz w:val="24"/>
          <w:szCs w:val="24"/>
          <w:lang w:val="en-US" w:eastAsia="zh-CN" w:bidi="ar"/>
        </w:rPr>
        <w:t>对于危废暂存库，</w:t>
      </w:r>
      <w:r>
        <w:rPr>
          <w:rFonts w:hint="eastAsia" w:ascii="Times New Roman" w:hAnsi="Times New Roman" w:eastAsia="宋体" w:cs="Times New Roman"/>
          <w:color w:val="000000"/>
          <w:kern w:val="0"/>
          <w:sz w:val="24"/>
          <w:szCs w:val="24"/>
          <w:lang w:eastAsia="zh-CN" w:bidi="ar"/>
        </w:rPr>
        <w:t>建设单位</w:t>
      </w:r>
      <w:r>
        <w:rPr>
          <w:rFonts w:hint="eastAsia" w:ascii="Times New Roman" w:hAnsi="Times New Roman" w:eastAsia="宋体" w:cs="Times New Roman"/>
          <w:color w:val="000000"/>
          <w:kern w:val="0"/>
          <w:sz w:val="24"/>
          <w:szCs w:val="24"/>
          <w:lang w:val="en-US" w:eastAsia="zh-CN" w:bidi="ar"/>
        </w:rPr>
        <w:t>应对照</w:t>
      </w:r>
      <w:r>
        <w:rPr>
          <w:rFonts w:hint="eastAsia" w:ascii="Times New Roman" w:hAnsi="Times New Roman" w:eastAsia="宋体" w:cs="Times New Roman"/>
          <w:color w:val="000000"/>
          <w:kern w:val="0"/>
          <w:sz w:val="24"/>
          <w:szCs w:val="24"/>
          <w:lang w:eastAsia="zh-CN" w:bidi="ar"/>
        </w:rPr>
        <w:t>《危险废物贮存污染控制标准》（</w:t>
      </w:r>
      <w:r>
        <w:rPr>
          <w:rFonts w:hint="default" w:ascii="Times New Roman" w:hAnsi="Times New Roman" w:eastAsia="宋体" w:cs="Times New Roman"/>
          <w:color w:val="000000"/>
          <w:kern w:val="0"/>
          <w:sz w:val="24"/>
          <w:szCs w:val="24"/>
          <w:lang w:eastAsia="zh-CN" w:bidi="ar"/>
        </w:rPr>
        <w:t>GB18597-2001</w:t>
      </w:r>
      <w:r>
        <w:rPr>
          <w:rFonts w:hint="eastAsia" w:ascii="Times New Roman" w:hAnsi="Times New Roman" w:eastAsia="宋体" w:cs="Times New Roman"/>
          <w:color w:val="000000"/>
          <w:kern w:val="0"/>
          <w:sz w:val="24"/>
          <w:szCs w:val="24"/>
          <w:lang w:eastAsia="zh-CN" w:bidi="ar"/>
        </w:rPr>
        <w:t>，</w:t>
      </w:r>
      <w:r>
        <w:rPr>
          <w:rFonts w:hint="default" w:ascii="Times New Roman" w:hAnsi="Times New Roman" w:eastAsia="宋体" w:cs="Times New Roman"/>
          <w:color w:val="000000"/>
          <w:kern w:val="0"/>
          <w:sz w:val="24"/>
          <w:szCs w:val="24"/>
          <w:lang w:eastAsia="zh-CN" w:bidi="ar"/>
        </w:rPr>
        <w:t>2013</w:t>
      </w:r>
      <w:r>
        <w:rPr>
          <w:rFonts w:hint="eastAsia" w:ascii="Times New Roman" w:hAnsi="Times New Roman" w:eastAsia="宋体" w:cs="Times New Roman"/>
          <w:color w:val="000000"/>
          <w:kern w:val="0"/>
          <w:sz w:val="24"/>
          <w:szCs w:val="24"/>
          <w:lang w:eastAsia="zh-CN" w:bidi="ar"/>
        </w:rPr>
        <w:t>年修改单）的要求</w:t>
      </w:r>
      <w:r>
        <w:rPr>
          <w:rFonts w:hint="eastAsia" w:ascii="Times New Roman" w:hAnsi="Times New Roman" w:eastAsia="宋体" w:cs="Times New Roman"/>
          <w:color w:val="000000"/>
          <w:kern w:val="0"/>
          <w:sz w:val="24"/>
          <w:szCs w:val="24"/>
          <w:lang w:val="en-US" w:eastAsia="zh-CN" w:bidi="ar"/>
        </w:rPr>
        <w:t>做到</w:t>
      </w:r>
      <w:r>
        <w:rPr>
          <w:rFonts w:hint="default" w:ascii="Times New Roman" w:hAnsi="Times New Roman" w:eastAsia="宋体" w:cs="Times New Roman"/>
          <w:color w:val="000000"/>
          <w:kern w:val="0"/>
          <w:sz w:val="24"/>
          <w:szCs w:val="24"/>
          <w:lang w:eastAsia="zh-CN" w:bidi="ar"/>
        </w:rPr>
        <w:t>“</w:t>
      </w:r>
      <w:r>
        <w:rPr>
          <w:rFonts w:hint="eastAsia" w:ascii="Times New Roman" w:hAnsi="Times New Roman" w:eastAsia="宋体" w:cs="Times New Roman"/>
          <w:color w:val="000000"/>
          <w:kern w:val="0"/>
          <w:sz w:val="24"/>
          <w:szCs w:val="24"/>
          <w:lang w:val="en-US" w:eastAsia="zh-CN" w:bidi="ar"/>
        </w:rPr>
        <w:t>四防</w:t>
      </w:r>
      <w:r>
        <w:rPr>
          <w:rFonts w:hint="default" w:ascii="Times New Roman" w:hAnsi="Times New Roman" w:eastAsia="宋体" w:cs="Times New Roman"/>
          <w:color w:val="000000"/>
          <w:kern w:val="0"/>
          <w:sz w:val="24"/>
          <w:szCs w:val="24"/>
          <w:lang w:eastAsia="zh-CN" w:bidi="ar"/>
        </w:rPr>
        <w:t>”</w:t>
      </w:r>
      <w:r>
        <w:rPr>
          <w:rFonts w:hint="eastAsia" w:ascii="Times New Roman" w:hAnsi="Times New Roman" w:eastAsia="宋体" w:cs="Times New Roman"/>
          <w:color w:val="000000"/>
          <w:kern w:val="0"/>
          <w:sz w:val="24"/>
          <w:szCs w:val="24"/>
          <w:lang w:val="en-US" w:eastAsia="zh-CN" w:bidi="ar"/>
        </w:rPr>
        <w:t>（防风、防雨、防晒、防渗漏），并</w:t>
      </w:r>
      <w:r>
        <w:rPr>
          <w:rFonts w:hint="eastAsia" w:ascii="Times New Roman" w:hAnsi="Times New Roman" w:eastAsia="宋体" w:cs="Times New Roman"/>
          <w:color w:val="000000"/>
          <w:kern w:val="0"/>
          <w:sz w:val="24"/>
          <w:szCs w:val="24"/>
          <w:lang w:eastAsia="zh-CN" w:bidi="ar"/>
        </w:rPr>
        <w:t>与有处理资质的专业处理厂家签订安全处理协议，对产生的工程危废应严格按照危险废物的贮存和转移的相关规定进行管理，委托处置转移时填写《危险废物转移联单》，并向环保主管部门报告、备案等。</w:t>
      </w:r>
    </w:p>
    <w:p>
      <w:pPr>
        <w:pStyle w:val="27"/>
        <w:keepNext w:val="0"/>
        <w:keepLines w:val="0"/>
        <w:widowControl/>
        <w:suppressLineNumbers w:val="0"/>
        <w:adjustRightInd/>
        <w:snapToGrid/>
        <w:spacing w:before="0" w:beforeAutospacing="0" w:after="0" w:afterAutospacing="0" w:line="500" w:lineRule="exact"/>
        <w:ind w:left="0" w:right="0" w:firstLine="480" w:firstLineChars="200"/>
        <w:jc w:val="both"/>
        <w:rPr>
          <w:rFonts w:hint="default" w:ascii="Times New Roman" w:hAnsi="Times New Roman" w:cs="Times New Roman"/>
          <w:color w:val="000000"/>
          <w:lang w:eastAsia="zh-CN"/>
        </w:rPr>
      </w:pPr>
      <w:r>
        <w:rPr>
          <w:rFonts w:hint="eastAsia" w:ascii="Times New Roman" w:hAnsi="Times New Roman" w:eastAsia="宋体" w:cs="Times New Roman"/>
          <w:color w:val="000000"/>
          <w:kern w:val="0"/>
          <w:sz w:val="24"/>
          <w:szCs w:val="24"/>
          <w:lang w:val="en-US" w:eastAsia="zh-CN" w:bidi="ar"/>
        </w:rPr>
        <w:t>各类危险废物贮存周期不得超过一年。</w:t>
      </w:r>
    </w:p>
    <w:p>
      <w:pPr>
        <w:keepNext w:val="0"/>
        <w:keepLines w:val="0"/>
        <w:widowControl/>
        <w:suppressLineNumbers w:val="0"/>
        <w:spacing w:before="0" w:beforeAutospacing="0" w:after="0" w:afterAutospacing="0" w:line="500" w:lineRule="exact"/>
        <w:ind w:left="0" w:right="0" w:firstLine="482"/>
        <w:jc w:val="left"/>
        <w:rPr>
          <w:rFonts w:hint="default" w:ascii="Times New Roman" w:hAnsi="Times New Roman" w:cs="Times New Roman"/>
          <w:b/>
          <w:bCs w:val="0"/>
          <w:color w:val="000000"/>
          <w:lang w:val="en-US"/>
        </w:rPr>
      </w:pPr>
      <w:r>
        <w:rPr>
          <w:rFonts w:hint="eastAsia" w:ascii="Times New Roman" w:hAnsi="Times New Roman" w:eastAsia="宋体" w:cs="Times New Roman"/>
          <w:b/>
          <w:bCs w:val="0"/>
          <w:color w:val="000000"/>
          <w:kern w:val="0"/>
          <w:sz w:val="24"/>
          <w:szCs w:val="24"/>
          <w:lang w:val="en-US" w:eastAsia="zh-CN" w:bidi="ar"/>
        </w:rPr>
        <w:t>（</w:t>
      </w:r>
      <w:r>
        <w:rPr>
          <w:rFonts w:hint="default" w:ascii="Times New Roman" w:hAnsi="Times New Roman" w:eastAsia="宋体" w:cs="Times New Roman"/>
          <w:b/>
          <w:bCs w:val="0"/>
          <w:color w:val="000000"/>
          <w:kern w:val="0"/>
          <w:sz w:val="24"/>
          <w:szCs w:val="24"/>
          <w:lang w:val="en-US" w:eastAsia="zh-CN" w:bidi="ar"/>
        </w:rPr>
        <w:t>4</w:t>
      </w:r>
      <w:r>
        <w:rPr>
          <w:rFonts w:hint="eastAsia" w:ascii="Times New Roman" w:hAnsi="Times New Roman" w:eastAsia="宋体" w:cs="Times New Roman"/>
          <w:b/>
          <w:bCs w:val="0"/>
          <w:color w:val="000000"/>
          <w:kern w:val="0"/>
          <w:sz w:val="24"/>
          <w:szCs w:val="24"/>
          <w:lang w:val="en-US" w:eastAsia="zh-CN" w:bidi="ar"/>
        </w:rPr>
        <w:t>）噪声</w:t>
      </w:r>
    </w:p>
    <w:p>
      <w:pPr>
        <w:keepNext w:val="0"/>
        <w:keepLines w:val="0"/>
        <w:widowControl/>
        <w:suppressLineNumbers w:val="0"/>
        <w:spacing w:before="0" w:beforeAutospacing="0" w:after="0" w:afterAutospacing="0" w:line="500" w:lineRule="exact"/>
        <w:ind w:left="0" w:right="0" w:firstLine="472"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spacing w:val="-2"/>
          <w:kern w:val="0"/>
          <w:sz w:val="24"/>
          <w:szCs w:val="24"/>
          <w:lang w:val="en-US" w:eastAsia="zh-CN" w:bidi="ar"/>
        </w:rPr>
        <w:t>营运期</w:t>
      </w:r>
      <w:r>
        <w:rPr>
          <w:rFonts w:hint="eastAsia" w:ascii="Times New Roman" w:hAnsi="Times New Roman" w:eastAsia="宋体" w:cs="Times New Roman"/>
          <w:color w:val="000000"/>
          <w:kern w:val="0"/>
          <w:sz w:val="24"/>
          <w:szCs w:val="24"/>
          <w:lang w:val="en-US" w:eastAsia="zh-CN" w:bidi="ar"/>
        </w:rPr>
        <w:t>噪声的治理，通过合理布局、选择低噪声设备、关闭车间门窗切断噪声传播途径、吸声、减振等措施，确保满足以上条件下营运期噪声传至厂界处满足相应的标准。</w:t>
      </w:r>
    </w:p>
    <w:p>
      <w:pPr>
        <w:pStyle w:val="8"/>
        <w:widowControl/>
        <w:spacing w:before="120" w:beforeAutospacing="0"/>
        <w:rPr>
          <w:color w:val="000000"/>
          <w:lang/>
        </w:rPr>
      </w:pPr>
      <w:bookmarkStart w:id="286" w:name="_Toc41656170"/>
      <w:bookmarkStart w:id="287" w:name="_Toc27659036"/>
      <w:r>
        <w:rPr>
          <w:color w:val="000000"/>
          <w:lang/>
        </w:rPr>
        <w:t xml:space="preserve">9.6 </w:t>
      </w:r>
      <w:r>
        <w:rPr>
          <w:rFonts w:hint="eastAsia" w:ascii="Times New Roman" w:hAnsi="Times New Roman" w:eastAsia="宋体" w:cs="宋体"/>
          <w:color w:val="000000"/>
          <w:lang w:eastAsia="zh-CN"/>
        </w:rPr>
        <w:t>环境风险评价结论</w:t>
      </w:r>
      <w:bookmarkEnd w:id="286"/>
      <w:bookmarkEnd w:id="287"/>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9</w:t>
      </w:r>
      <w:r>
        <w:rPr>
          <w:rFonts w:hint="default" w:ascii="Times New Roman" w:hAnsi="Times New Roman" w:cs="Times New Roman"/>
          <w:color w:val="000000"/>
          <w:lang/>
        </w:rPr>
        <w:t>.</w:t>
      </w:r>
      <w:r>
        <w:rPr>
          <w:rFonts w:hint="default" w:ascii="Times New Roman" w:hAnsi="Times New Roman" w:cs="Times New Roman"/>
          <w:color w:val="000000"/>
          <w:lang w:eastAsia="zh-CN"/>
        </w:rPr>
        <w:t>6</w:t>
      </w:r>
      <w:r>
        <w:rPr>
          <w:rFonts w:hint="default" w:ascii="Times New Roman" w:hAnsi="Times New Roman" w:cs="Times New Roman"/>
          <w:color w:val="000000"/>
          <w:lang/>
        </w:rPr>
        <w:t xml:space="preserve">.1 </w:t>
      </w:r>
      <w:r>
        <w:rPr>
          <w:rFonts w:ascii="Times New Roman" w:hAnsi="Times New Roman" w:cs="Times New Roman"/>
          <w:color w:val="000000"/>
          <w:lang w:eastAsia="zh-CN"/>
        </w:rPr>
        <w:t>项目危险因素</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本项目危险物质主要为润滑油。危险因素为贮存桶破裂发生润滑油泄露及润滑油大量泄漏并遇高温和明火、火花发生火灾。</w:t>
      </w:r>
    </w:p>
    <w:p>
      <w:pPr>
        <w:pStyle w:val="9"/>
        <w:widowControl/>
        <w:spacing w:before="240" w:beforeAutospacing="0"/>
        <w:rPr>
          <w:rFonts w:hint="default" w:ascii="Times New Roman" w:hAnsi="Times New Roman" w:cs="Times New Roman"/>
          <w:color w:val="000000"/>
          <w:lang/>
        </w:rPr>
      </w:pPr>
      <w:r>
        <w:rPr>
          <w:rFonts w:hint="default" w:ascii="Times New Roman" w:hAnsi="Times New Roman" w:cs="Times New Roman"/>
          <w:color w:val="000000"/>
          <w:lang w:eastAsia="zh-CN"/>
        </w:rPr>
        <w:t>9</w:t>
      </w:r>
      <w:r>
        <w:rPr>
          <w:rFonts w:hint="default" w:ascii="Times New Roman" w:hAnsi="Times New Roman" w:cs="Times New Roman"/>
          <w:color w:val="000000"/>
          <w:lang/>
        </w:rPr>
        <w:t>.</w:t>
      </w:r>
      <w:r>
        <w:rPr>
          <w:rFonts w:hint="default" w:ascii="Times New Roman" w:hAnsi="Times New Roman" w:cs="Times New Roman"/>
          <w:color w:val="000000"/>
          <w:lang w:eastAsia="zh-CN"/>
        </w:rPr>
        <w:t>6</w:t>
      </w:r>
      <w:r>
        <w:rPr>
          <w:rFonts w:hint="default" w:ascii="Times New Roman" w:hAnsi="Times New Roman" w:cs="Times New Roman"/>
          <w:color w:val="000000"/>
          <w:lang/>
        </w:rPr>
        <w:t>.</w:t>
      </w:r>
      <w:r>
        <w:rPr>
          <w:rFonts w:hint="default" w:ascii="Times New Roman" w:hAnsi="Times New Roman" w:cs="Times New Roman"/>
          <w:color w:val="000000"/>
          <w:lang w:eastAsia="zh-CN"/>
        </w:rPr>
        <w:t>2</w:t>
      </w:r>
      <w:r>
        <w:rPr>
          <w:rFonts w:hint="default" w:ascii="Times New Roman" w:hAnsi="Times New Roman" w:cs="Times New Roman"/>
          <w:color w:val="000000"/>
          <w:lang/>
        </w:rPr>
        <w:t xml:space="preserve"> </w:t>
      </w:r>
      <w:r>
        <w:rPr>
          <w:rFonts w:ascii="Times New Roman" w:hAnsi="Times New Roman" w:cs="Times New Roman"/>
          <w:color w:val="000000"/>
          <w:lang w:eastAsia="zh-CN"/>
        </w:rPr>
        <w:t>环境风险防范措施和应急预案</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建设单位应采取如下环境风险防范措施：严格润滑油管理制度，定期检查贮存场所，发现破损及时更换。密切注意气象预报，如出现高温天气要严密监视，做好通风降温工作贮存设施应加强防震抗震措施等。在维修间门口建设缓坡或围堰，防止油品泄露时溢出库外。参考《石油化工工程防渗技术规范》（</w:t>
      </w:r>
      <w:r>
        <w:rPr>
          <w:rFonts w:hint="default" w:ascii="Times New Roman" w:hAnsi="Times New Roman" w:eastAsia="宋体" w:cs="Times New Roman"/>
          <w:color w:val="000000"/>
          <w:kern w:val="0"/>
          <w:sz w:val="24"/>
          <w:szCs w:val="24"/>
          <w:lang w:val="en-US" w:eastAsia="zh-CN" w:bidi="ar"/>
        </w:rPr>
        <w:t>GB/T 50934-2013</w:t>
      </w:r>
      <w:r>
        <w:rPr>
          <w:rFonts w:hint="eastAsia" w:ascii="Times New Roman" w:hAnsi="Times New Roman" w:eastAsia="宋体" w:cs="Times New Roman"/>
          <w:color w:val="000000"/>
          <w:kern w:val="0"/>
          <w:sz w:val="24"/>
          <w:szCs w:val="24"/>
          <w:lang w:val="en-US" w:eastAsia="zh-CN" w:bidi="ar"/>
        </w:rPr>
        <w:t>）中的相关要求对厂区进行分区防渗。</w:t>
      </w:r>
    </w:p>
    <w:p>
      <w:pPr>
        <w:keepNext w:val="0"/>
        <w:keepLines w:val="0"/>
        <w:widowControl/>
        <w:suppressLineNumbers w:val="0"/>
        <w:spacing w:before="0" w:beforeAutospacing="0" w:after="0" w:afterAutospacing="0" w:line="500" w:lineRule="exact"/>
        <w:ind w:left="0" w:right="0" w:firstLine="482"/>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建立健全环境</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安全管理制度，并严格予以执行。建立应急预案，并与当地的应急预案衔接，一旦出现事故可借助社会救援，把损失和对环境的污染降到最低。</w:t>
      </w:r>
    </w:p>
    <w:p>
      <w:pPr>
        <w:keepNext w:val="0"/>
        <w:keepLines w:val="0"/>
        <w:widowControl/>
        <w:suppressLineNumbers w:val="0"/>
        <w:adjustRightInd w:val="0"/>
        <w:spacing w:before="0" w:beforeAutospacing="0" w:after="0" w:afterAutospacing="0" w:line="500" w:lineRule="exact"/>
        <w:ind w:left="0" w:right="0" w:firstLine="420" w:firstLineChars="200"/>
        <w:jc w:val="left"/>
        <w:rPr>
          <w:rFonts w:hint="default" w:ascii="Times New Roman" w:hAnsi="Times New Roman" w:cs="Times New Roman"/>
          <w:color w:val="000000"/>
          <w:lang w:val="en-US"/>
        </w:rPr>
      </w:pPr>
    </w:p>
    <w:p>
      <w:pPr>
        <w:pStyle w:val="9"/>
        <w:widowControl/>
        <w:rPr>
          <w:rFonts w:hint="default" w:ascii="Times New Roman" w:hAnsi="Times New Roman" w:cs="Times New Roman"/>
          <w:color w:val="000000"/>
          <w:lang/>
        </w:rPr>
      </w:pPr>
      <w:r>
        <w:rPr>
          <w:rFonts w:hint="default" w:ascii="Times New Roman" w:hAnsi="Times New Roman" w:cs="Times New Roman"/>
          <w:color w:val="000000"/>
          <w:lang w:eastAsia="zh-CN"/>
        </w:rPr>
        <w:t>9</w:t>
      </w:r>
      <w:r>
        <w:rPr>
          <w:rFonts w:hint="default" w:ascii="Times New Roman" w:hAnsi="Times New Roman" w:cs="Times New Roman"/>
          <w:color w:val="000000"/>
          <w:lang/>
        </w:rPr>
        <w:t>.</w:t>
      </w:r>
      <w:r>
        <w:rPr>
          <w:rFonts w:hint="default" w:ascii="Times New Roman" w:hAnsi="Times New Roman" w:cs="Times New Roman"/>
          <w:color w:val="000000"/>
          <w:lang w:eastAsia="zh-CN"/>
        </w:rPr>
        <w:t>6</w:t>
      </w:r>
      <w:r>
        <w:rPr>
          <w:rFonts w:hint="default" w:ascii="Times New Roman" w:hAnsi="Times New Roman" w:cs="Times New Roman"/>
          <w:color w:val="000000"/>
          <w:lang/>
        </w:rPr>
        <w:t>.</w:t>
      </w:r>
      <w:r>
        <w:rPr>
          <w:rFonts w:hint="default" w:ascii="Times New Roman" w:hAnsi="Times New Roman" w:cs="Times New Roman"/>
          <w:color w:val="000000"/>
          <w:lang w:eastAsia="zh-CN"/>
        </w:rPr>
        <w:t>4</w:t>
      </w:r>
      <w:r>
        <w:rPr>
          <w:rFonts w:hint="default" w:ascii="Times New Roman" w:hAnsi="Times New Roman" w:cs="Times New Roman"/>
          <w:color w:val="000000"/>
          <w:lang/>
        </w:rPr>
        <w:t xml:space="preserve"> </w:t>
      </w:r>
      <w:r>
        <w:rPr>
          <w:rFonts w:ascii="Times New Roman" w:hAnsi="Times New Roman" w:cs="Times New Roman"/>
          <w:color w:val="000000"/>
          <w:lang w:eastAsia="zh-CN"/>
        </w:rPr>
        <w:t>环境风险评价结论与建议</w:t>
      </w:r>
    </w:p>
    <w:p>
      <w:pPr>
        <w:keepNext w:val="0"/>
        <w:keepLines w:val="0"/>
        <w:widowControl/>
        <w:suppressLineNumbers w:val="0"/>
        <w:adjustRightInd w:val="0"/>
        <w:spacing w:before="0" w:beforeAutospacing="0" w:after="0" w:afterAutospacing="0" w:line="500" w:lineRule="exact"/>
        <w:ind w:left="0" w:right="0" w:firstLine="480" w:firstLineChars="200"/>
        <w:jc w:val="both"/>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在严格按照国家有关技术标准、规范进行设计和实施，并落实本报告提出的风险防范措施及应急预案基础上，本项目所涉及的风险影响因素、风险危害程度可以达到同行业可接受水平，风险事故一旦发生，可将环境危害降到最低水平。综上所述，本项目环境风险可接受。</w:t>
      </w:r>
    </w:p>
    <w:p>
      <w:pPr>
        <w:pStyle w:val="8"/>
        <w:widowControl/>
        <w:spacing w:before="120" w:beforeAutospacing="0"/>
        <w:rPr>
          <w:color w:val="000000"/>
          <w:lang/>
        </w:rPr>
      </w:pPr>
      <w:bookmarkStart w:id="288" w:name="_Toc41656171"/>
      <w:bookmarkStart w:id="289" w:name="_Toc27659037"/>
      <w:r>
        <w:rPr>
          <w:color w:val="000000"/>
          <w:lang/>
        </w:rPr>
        <w:t xml:space="preserve">9.7 </w:t>
      </w:r>
      <w:r>
        <w:rPr>
          <w:rFonts w:hint="eastAsia" w:ascii="Times New Roman" w:hAnsi="Times New Roman" w:eastAsia="宋体" w:cs="宋体"/>
          <w:color w:val="000000"/>
          <w:lang w:eastAsia="zh-CN"/>
        </w:rPr>
        <w:t>公众参与结论</w:t>
      </w:r>
      <w:bookmarkEnd w:id="288"/>
      <w:bookmarkEnd w:id="289"/>
    </w:p>
    <w:p>
      <w:pPr>
        <w:keepNext w:val="0"/>
        <w:keepLines w:val="0"/>
        <w:widowControl/>
        <w:suppressLineNumbers w:val="0"/>
        <w:spacing w:before="0" w:beforeAutospacing="0" w:after="0" w:afterAutospacing="0" w:line="500" w:lineRule="exact"/>
        <w:ind w:left="0" w:right="0" w:firstLine="480" w:firstLineChars="200"/>
        <w:jc w:val="left"/>
        <w:rPr>
          <w:bCs/>
          <w:color w:val="000000"/>
          <w:lang w:val="en-US"/>
        </w:rPr>
      </w:pPr>
      <w:r>
        <w:rPr>
          <w:rFonts w:hint="eastAsia" w:ascii="宋体" w:hAnsi="宋体" w:eastAsia="宋体" w:cs="宋体"/>
          <w:color w:val="000000"/>
          <w:kern w:val="0"/>
          <w:sz w:val="24"/>
          <w:szCs w:val="24"/>
          <w:lang w:val="en-US" w:eastAsia="zh-CN" w:bidi="ar"/>
        </w:rPr>
        <w:t>在本次评价期间，建设单位按照《环境影响评价公众参与办法》要求，首次环评信息公开阶段在海城市人民政府网站发布第一次公示公告，在环境影响报告书征求意见稿编制过程中，</w:t>
      </w:r>
      <w:r>
        <w:rPr>
          <w:rFonts w:hint="eastAsia" w:ascii="宋体" w:hAnsi="宋体" w:eastAsia="宋体" w:cs="宋体"/>
          <w:bCs/>
          <w:color w:val="000000"/>
          <w:kern w:val="0"/>
          <w:sz w:val="24"/>
          <w:szCs w:val="24"/>
          <w:lang w:val="en-US" w:eastAsia="zh-CN" w:bidi="ar"/>
        </w:rPr>
        <w:t>未收到公众通过信函、邮件及来电等形式反馈对本项目建设及环评工作的相关意见。</w:t>
      </w:r>
    </w:p>
    <w:p>
      <w:pPr>
        <w:keepNext w:val="0"/>
        <w:keepLines w:val="0"/>
        <w:widowControl/>
        <w:suppressLineNumbers w:val="0"/>
        <w:adjustRightInd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环境影响报告书征求意见稿编制完成后，建设单位分别在</w:t>
      </w:r>
      <w:bookmarkStart w:id="290" w:name="_Hlk43193897"/>
      <w:r>
        <w:rPr>
          <w:rFonts w:hint="eastAsia" w:ascii="宋体" w:hAnsi="宋体" w:eastAsia="宋体" w:cs="宋体"/>
          <w:color w:val="000000"/>
          <w:kern w:val="0"/>
          <w:sz w:val="24"/>
          <w:szCs w:val="24"/>
          <w:lang w:val="en-US" w:eastAsia="zh-CN" w:bidi="ar"/>
        </w:rPr>
        <w:t>海城市人民政府网站</w:t>
      </w:r>
      <w:bookmarkEnd w:id="290"/>
      <w:r>
        <w:rPr>
          <w:rFonts w:hint="eastAsia" w:ascii="宋体" w:hAnsi="宋体" w:eastAsia="宋体" w:cs="宋体"/>
          <w:color w:val="000000"/>
          <w:kern w:val="0"/>
          <w:sz w:val="24"/>
          <w:szCs w:val="24"/>
          <w:lang w:val="en-US" w:eastAsia="zh-CN" w:bidi="ar"/>
        </w:rPr>
        <w:t>、</w:t>
      </w:r>
      <w:bookmarkStart w:id="291" w:name="_Hlk43194563"/>
      <w:r>
        <w:rPr>
          <w:rFonts w:hint="eastAsia" w:ascii="宋体" w:hAnsi="宋体" w:eastAsia="宋体" w:cs="宋体"/>
          <w:color w:val="000000"/>
          <w:kern w:val="0"/>
          <w:sz w:val="24"/>
          <w:szCs w:val="24"/>
          <w:lang w:val="en-US" w:eastAsia="zh-CN" w:bidi="ar"/>
        </w:rPr>
        <w:t>《海城工作》报</w:t>
      </w:r>
      <w:bookmarkEnd w:id="291"/>
      <w:r>
        <w:rPr>
          <w:rFonts w:hint="eastAsia" w:ascii="宋体" w:hAnsi="宋体" w:eastAsia="宋体" w:cs="宋体"/>
          <w:color w:val="000000"/>
          <w:kern w:val="0"/>
          <w:sz w:val="24"/>
          <w:szCs w:val="24"/>
          <w:lang w:val="en-US" w:eastAsia="zh-CN" w:bidi="ar"/>
        </w:rPr>
        <w:t>、采取网络公示、登报公示、张贴公告等三种方式进行同步公开，同时提供环境影响报告书征求意见稿全文网络链接及查阅纸质报告书的方式和途径，征求公众意见时间为10个工作日。</w:t>
      </w:r>
      <w:r>
        <w:rPr>
          <w:rFonts w:hint="eastAsia" w:ascii="宋体" w:hAnsi="宋体" w:eastAsia="宋体" w:cs="宋体"/>
          <w:bCs/>
          <w:color w:val="000000"/>
          <w:kern w:val="0"/>
          <w:sz w:val="24"/>
          <w:szCs w:val="24"/>
          <w:lang w:val="en-US" w:eastAsia="zh-CN" w:bidi="ar"/>
        </w:rPr>
        <w:t>截至公示期结束，未收到公众通过信函、邮件及来电等形式反馈对本项目建设及环评工作的相关意见。</w:t>
      </w:r>
    </w:p>
    <w:p>
      <w:pPr>
        <w:pStyle w:val="8"/>
        <w:widowControl/>
        <w:spacing w:before="120" w:beforeAutospacing="0"/>
        <w:rPr>
          <w:color w:val="000000"/>
          <w:lang/>
        </w:rPr>
      </w:pPr>
      <w:bookmarkStart w:id="292" w:name="_Toc41656172"/>
      <w:bookmarkStart w:id="293" w:name="_Toc27659039"/>
      <w:r>
        <w:rPr>
          <w:color w:val="000000"/>
          <w:lang/>
        </w:rPr>
        <w:t xml:space="preserve">9.8 </w:t>
      </w:r>
      <w:r>
        <w:rPr>
          <w:rFonts w:hint="eastAsia" w:ascii="Times New Roman" w:hAnsi="Times New Roman" w:eastAsia="宋体" w:cs="宋体"/>
          <w:color w:val="000000"/>
          <w:lang w:eastAsia="zh-CN"/>
        </w:rPr>
        <w:t>环境影响经济损益分析结论</w:t>
      </w:r>
      <w:bookmarkEnd w:id="292"/>
      <w:bookmarkEnd w:id="293"/>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由环境影响经济损益分析表明，企业通过采取切实有效的环保措施，对污染物排放量进一步削减，可大大减少上缴的环境保护税，可以获得较大经济效益，社会效益、环境效益也是良好的。本项目对社会、环境、企业都是有益的。</w:t>
      </w:r>
    </w:p>
    <w:p>
      <w:pPr>
        <w:pStyle w:val="8"/>
        <w:widowControl/>
        <w:spacing w:before="120" w:beforeAutospacing="0"/>
        <w:rPr>
          <w:color w:val="000000"/>
          <w:lang/>
        </w:rPr>
      </w:pPr>
      <w:bookmarkStart w:id="294" w:name="_Toc41656173"/>
      <w:bookmarkStart w:id="295" w:name="_Toc27659040"/>
      <w:r>
        <w:rPr>
          <w:color w:val="000000"/>
          <w:lang/>
        </w:rPr>
        <w:t xml:space="preserve">9.9 </w:t>
      </w:r>
      <w:r>
        <w:rPr>
          <w:rFonts w:hint="eastAsia" w:ascii="Times New Roman" w:hAnsi="Times New Roman" w:eastAsia="宋体" w:cs="宋体"/>
          <w:color w:val="000000"/>
          <w:lang w:eastAsia="zh-CN"/>
        </w:rPr>
        <w:t>环境管理与监测计划结论</w:t>
      </w:r>
      <w:bookmarkEnd w:id="294"/>
      <w:bookmarkEnd w:id="295"/>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企业建立了环境管理体制，设立了环境管理机构，采取了环境管理措施，本次评价提出了建设阶段、生产运行阶段和污染物排放的环境管理要求。依据建设项目运营后的污染物排放情况，制定了污染源监测计划，并结合影响范围、影响程度和环境保护目标分布，制定了环境质量定点监测方案。</w:t>
      </w:r>
    </w:p>
    <w:p>
      <w:pPr>
        <w:pStyle w:val="8"/>
        <w:widowControl/>
        <w:spacing w:before="120" w:beforeAutospacing="0"/>
        <w:rPr>
          <w:color w:val="000000"/>
          <w:lang/>
        </w:rPr>
      </w:pPr>
      <w:bookmarkStart w:id="296" w:name="_Toc41656174"/>
      <w:bookmarkStart w:id="297" w:name="_Toc34730323"/>
      <w:bookmarkStart w:id="298" w:name="_Toc27659041"/>
      <w:r>
        <w:rPr>
          <w:color w:val="000000"/>
          <w:lang/>
        </w:rPr>
        <w:t xml:space="preserve">9.10 </w:t>
      </w:r>
      <w:r>
        <w:rPr>
          <w:rFonts w:hint="eastAsia" w:ascii="Times New Roman" w:hAnsi="Times New Roman" w:eastAsia="宋体" w:cs="宋体"/>
          <w:color w:val="000000"/>
          <w:lang w:eastAsia="zh-CN"/>
        </w:rPr>
        <w:t>可行性评价结论</w:t>
      </w:r>
      <w:bookmarkEnd w:id="296"/>
      <w:bookmarkEnd w:id="297"/>
      <w:bookmarkEnd w:id="298"/>
      <w:bookmarkStart w:id="299" w:name="_Toc175714299"/>
      <w:bookmarkStart w:id="300" w:name="_Toc175711466"/>
      <w:bookmarkStart w:id="301" w:name="_Toc166464767"/>
      <w:bookmarkStart w:id="302" w:name="_Toc158523452"/>
      <w:bookmarkStart w:id="303" w:name="_Toc154570290"/>
      <w:bookmarkStart w:id="304" w:name="_Toc154569903"/>
      <w:bookmarkStart w:id="305" w:name="_Toc153878499"/>
      <w:bookmarkStart w:id="306" w:name="_Toc153007163"/>
      <w:bookmarkStart w:id="307" w:name="_Toc151278964"/>
      <w:bookmarkStart w:id="308" w:name="_Toc151276258"/>
      <w:bookmarkStart w:id="309" w:name="_Toc151200365"/>
      <w:bookmarkStart w:id="310" w:name="_Toc151200205"/>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本项目辽宁省鞍山市海城市八里镇铧子峪村，在华宇集团现有厂区内扩建浮选生产线，年处理菱镁矿石</w:t>
      </w:r>
      <w:r>
        <w:rPr>
          <w:rFonts w:hint="default" w:ascii="Times New Roman" w:hAnsi="Times New Roman" w:eastAsia="宋体" w:cs="Times New Roman"/>
          <w:color w:val="000000"/>
          <w:kern w:val="0"/>
          <w:sz w:val="24"/>
          <w:szCs w:val="24"/>
          <w:lang w:val="en-US" w:eastAsia="zh-CN" w:bidi="ar"/>
        </w:rPr>
        <w:t>125</w:t>
      </w:r>
      <w:r>
        <w:rPr>
          <w:rFonts w:hint="eastAsia" w:ascii="Times New Roman" w:hAnsi="Times New Roman" w:eastAsia="宋体" w:cs="Times New Roman"/>
          <w:color w:val="000000"/>
          <w:kern w:val="0"/>
          <w:sz w:val="24"/>
          <w:szCs w:val="24"/>
          <w:lang w:val="en-US" w:eastAsia="zh-CN" w:bidi="ar"/>
        </w:rPr>
        <w:t>万吨，本项目符合国家及地方产业政策规定，不在生态保护红线内，符合八里镇镇区规划。本项目的建设可行性已通过专家论证，并经海城市镁制品项目建设联合审议领导小组第五次联合审议会议同意该项目立项。</w:t>
      </w:r>
    </w:p>
    <w:p>
      <w:pPr>
        <w:keepNext w:val="0"/>
        <w:keepLines w:val="0"/>
        <w:widowControl/>
        <w:suppressLineNumbers w:val="0"/>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宋体" w:hAnsi="宋体" w:eastAsia="宋体" w:cs="宋体"/>
          <w:color w:val="000000"/>
          <w:kern w:val="0"/>
          <w:sz w:val="24"/>
          <w:szCs w:val="24"/>
          <w:lang w:val="en-US" w:eastAsia="zh-CN" w:bidi="ar"/>
        </w:rPr>
        <w:t>项目在工艺上采取了完善的污染预防措施及相应的污染治理措施，从源头上减少了污染物的产生，采取的污染防治措施经济可行并可做到各项污染物稳定达标排放；根据建设单位提供的公众参与调查材料，被调查的公众对本项目无反对意见；在项目实施过程中严格落实各项污染防治措施和环境管理要求，项目的实施对周围环境质量的影响较小。</w:t>
      </w:r>
    </w:p>
    <w:p>
      <w:pPr>
        <w:keepNext w:val="0"/>
        <w:keepLines w:val="0"/>
        <w:widowControl/>
        <w:suppressLineNumbers w:val="0"/>
        <w:tabs>
          <w:tab w:val="left" w:pos="3686"/>
        </w:tabs>
        <w:spacing w:before="0" w:beforeAutospacing="0" w:after="0" w:afterAutospacing="0" w:line="500" w:lineRule="exact"/>
        <w:ind w:left="0" w:right="0" w:firstLine="480" w:firstLineChars="200"/>
        <w:jc w:val="left"/>
        <w:rPr>
          <w:rFonts w:hint="default" w:ascii="Times New Roman" w:hAnsi="Times New Roman" w:cs="Times New Roman"/>
          <w:color w:val="000000"/>
          <w:lang w:val="en-US"/>
        </w:rPr>
      </w:pPr>
      <w:r>
        <w:rPr>
          <w:rFonts w:hint="eastAsia" w:ascii="Times New Roman" w:hAnsi="Times New Roman" w:eastAsia="宋体" w:cs="Times New Roman"/>
          <w:color w:val="000000"/>
          <w:kern w:val="0"/>
          <w:sz w:val="24"/>
          <w:szCs w:val="24"/>
          <w:lang w:val="en-US" w:eastAsia="zh-CN" w:bidi="ar"/>
        </w:rPr>
        <w:t>运营过程中，企业须确保各项环保设施稳定运行并采取环境风险防范措施，严格执行各项环保管理制度，在此前提下，本项目从环保角度是可行的。</w:t>
      </w:r>
    </w:p>
    <w:bookmarkEnd w:id="299"/>
    <w:bookmarkEnd w:id="300"/>
    <w:bookmarkEnd w:id="301"/>
    <w:bookmarkEnd w:id="302"/>
    <w:bookmarkEnd w:id="303"/>
    <w:bookmarkEnd w:id="304"/>
    <w:bookmarkEnd w:id="305"/>
    <w:bookmarkEnd w:id="306"/>
    <w:bookmarkEnd w:id="307"/>
    <w:bookmarkEnd w:id="308"/>
    <w:bookmarkEnd w:id="309"/>
    <w:bookmarkEnd w:id="310"/>
    <w:p>
      <w:pPr>
        <w:keepNext w:val="0"/>
        <w:keepLines w:val="0"/>
        <w:widowControl/>
        <w:suppressLineNumbers w:val="0"/>
        <w:tabs>
          <w:tab w:val="left" w:pos="3686"/>
        </w:tabs>
        <w:spacing w:before="0" w:beforeAutospacing="0" w:after="0" w:afterAutospacing="0" w:line="500" w:lineRule="exact"/>
        <w:ind w:left="0" w:right="0" w:firstLine="420" w:firstLineChars="200"/>
        <w:jc w:val="left"/>
        <w:rPr>
          <w:rFonts w:hint="default" w:ascii="Times New Roman" w:hAnsi="Times New Roman" w:cs="Times New Roman"/>
          <w:color w:val="000000"/>
          <w:lang w:val="en-US"/>
        </w:rPr>
      </w:pPr>
    </w:p>
    <w:p>
      <w:pPr>
        <w:pStyle w:val="2"/>
        <w:ind w:left="420" w:leftChars="0" w:hanging="420" w:hangingChars="200"/>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方正大标宋简体">
    <w:altName w:val="宋体"/>
    <w:panose1 w:val="02010601030101010101"/>
    <w:charset w:val="86"/>
    <w:family w:val="auto"/>
    <w:pitch w:val="default"/>
    <w:sig w:usb0="00000000" w:usb1="00000000" w:usb2="00000010" w:usb3="00000000" w:csb0="00040000" w:csb1="00000000"/>
  </w:font>
  <w:font w:name="TT284o02">
    <w:altName w:val="Segoe Print"/>
    <w:panose1 w:val="00000000000000000000"/>
    <w:charset w:val="00"/>
    <w:family w:val="auto"/>
    <w:pitch w:val="default"/>
    <w:sig w:usb0="00000000" w:usb1="00000000" w:usb2="00000000" w:usb3="00000000" w:csb0="00000000" w:csb1="00000000"/>
  </w:font>
  <w:font w:name="TT284o00">
    <w:altName w:val="Segoe Print"/>
    <w:panose1 w:val="00000000000000000000"/>
    <w:charset w:val="00"/>
    <w:family w:val="auto"/>
    <w:pitch w:val="default"/>
    <w:sig w:usb0="00000000" w:usb1="00000000" w:usb2="00000000" w:usb3="00000000" w:csb0="00000000" w:csb1="00000000"/>
  </w:font>
  <w:font w:name="TT284o01">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Helvetica">
    <w:altName w:val="Arial"/>
    <w:panose1 w:val="020B0604020202020204"/>
    <w:charset w:val="00"/>
    <w:family w:val="auto"/>
    <w:pitch w:val="variable"/>
    <w:sig w:usb0="00000003" w:usb1="00000000" w:usb2="00000000" w:usb3="00000000" w:csb0="00000001" w:csb1="00000000"/>
  </w:font>
  <w:font w:name="Courier">
    <w:altName w:val="Courier New"/>
    <w:panose1 w:val="02070409020205020404"/>
    <w:charset w:val="00"/>
    <w:family w:val="auto"/>
    <w:pitch w:val="fixed"/>
    <w:sig w:usb0="00000003" w:usb1="00000000" w:usb2="00000000" w:usb3="00000000" w:csb0="00000001" w:csb1="00000000"/>
  </w:font>
  <w:font w:name="华文细黑">
    <w:panose1 w:val="02010600040101010101"/>
    <w:charset w:val="86"/>
    <w:family w:val="auto"/>
    <w:pitch w:val="variable"/>
    <w:sig w:usb0="00000287" w:usb1="080F0000" w:usb2="00000000" w:usb3="00000000" w:csb0="0004009F" w:csb1="DFD70000"/>
  </w:font>
  <w:font w:name="CordiaUPC">
    <w:panose1 w:val="020B0304020202020204"/>
    <w:charset w:val="00"/>
    <w:family w:val="auto"/>
    <w:pitch w:val="variable"/>
    <w:sig w:usb0="81000003" w:usb1="00000000" w:usb2="00000000" w:usb3="00000000" w:csb0="00010001" w:csb1="00000000"/>
  </w:font>
  <w:font w:name="Tms Rmn">
    <w:altName w:val="Segoe Print"/>
    <w:panose1 w:val="02020603040505020304"/>
    <w:charset w:val="00"/>
    <w:family w:val="auto"/>
    <w:pitch w:val="variable"/>
    <w:sig w:usb0="00000003" w:usb1="00000000" w:usb2="00000000" w:usb3="00000000" w:csb0="00000001" w:csb1="00000000"/>
  </w:font>
  <w:font w:name="New York">
    <w:altName w:val="Segoe Print"/>
    <w:panose1 w:val="02040503060506020304"/>
    <w:charset w:val="00"/>
    <w:family w:val="auto"/>
    <w:pitch w:val="variable"/>
    <w:sig w:usb0="00000003" w:usb1="00000000" w:usb2="00000000" w:usb3="00000000" w:csb0="00000001" w:csb1="00000000"/>
  </w:font>
  <w:font w:name="Helv">
    <w:altName w:val="Segoe Print"/>
    <w:panose1 w:val="020B0604020202030204"/>
    <w:charset w:val="00"/>
    <w:family w:val="auto"/>
    <w:pitch w:val="variable"/>
    <w:sig w:usb0="00000003" w:usb1="00000000" w:usb2="00000000" w:usb3="00000000" w:csb0="00000001" w:csb1="00000000"/>
  </w:font>
  <w:font w:name="Algerian">
    <w:panose1 w:val="04020705040A02060702"/>
    <w:charset w:val="00"/>
    <w:family w:val="auto"/>
    <w:pitch w:val="variable"/>
    <w:sig w:usb0="00000003" w:usb1="00000000" w:usb2="00000000" w:usb3="00000000" w:csb0="20000001" w:csb1="00000000"/>
  </w:font>
  <w:font w:name="System">
    <w:altName w:val="宋体"/>
    <w:panose1 w:val="00000000000000000000"/>
    <w:charset w:val="86"/>
    <w:family w:val="auto"/>
    <w:pitch w:val="default"/>
    <w:sig w:usb0="00000001" w:usb1="080E0000" w:usb2="00000010" w:usb3="00000000" w:csb0="00040000" w:csb1="00000000"/>
  </w:font>
  <w:font w:name="Vani">
    <w:panose1 w:val="020B0502040204020203"/>
    <w:charset w:val="00"/>
    <w:family w:val="auto"/>
    <w:pitch w:val="variable"/>
    <w:sig w:usb0="00200003" w:usb1="00000000" w:usb2="00000000" w:usb3="00000000" w:csb0="00000001" w:csb1="00000000"/>
  </w:font>
  <w:font w:name="@GungsuhChe">
    <w:panose1 w:val="02030609000101010101"/>
    <w:charset w:val="81"/>
    <w:family w:val="auto"/>
    <w:pitch w:val="fixed"/>
    <w:sig w:usb0="B00002AF" w:usb1="69D77CFB" w:usb2="00000030" w:usb3="00000000" w:csb0="4008009F" w:csb1="DFD70000"/>
  </w:font>
  <w:font w:name="Californian FB">
    <w:panose1 w:val="0207040306080B030204"/>
    <w:charset w:val="00"/>
    <w:family w:val="auto"/>
    <w:pitch w:val="variable"/>
    <w:sig w:usb0="00000003" w:usb1="00000000" w:usb2="00000000" w:usb3="00000000" w:csb0="20000001" w:csb1="00000000"/>
  </w:font>
  <w:font w:name="Bauhaus 93">
    <w:panose1 w:val="04030905020B02020C02"/>
    <w:charset w:val="00"/>
    <w:family w:val="auto"/>
    <w:pitch w:val="variable"/>
    <w:sig w:usb0="00000003" w:usb1="00000000" w:usb2="00000000" w:usb3="00000000" w:csb0="20000001" w:csb1="00000000"/>
  </w:font>
  <w:font w:name="MS Mincho">
    <w:panose1 w:val="02020609040205080304"/>
    <w:charset w:val="80"/>
    <w:family w:val="auto"/>
    <w:pitch w:val="fixed"/>
    <w:sig w:usb0="E00002FF" w:usb1="6AC7FDFB" w:usb2="00000012" w:usb3="00000000" w:csb0="4002009F" w:csb1="DFD70000"/>
  </w:font>
  <w:font w:name="Gadugi">
    <w:panose1 w:val="020B0502040204020203"/>
    <w:charset w:val="00"/>
    <w:family w:val="auto"/>
    <w:pitch w:val="variable"/>
    <w:sig w:usb0="00000003" w:usb1="00000000" w:usb2="00003000" w:usb3="00000000" w:csb0="00000001" w:csb1="00000000"/>
  </w:font>
  <w:font w:name="Batang">
    <w:panose1 w:val="02030600000101010101"/>
    <w:charset w:val="81"/>
    <w:family w:val="auto"/>
    <w:pitch w:val="variable"/>
    <w:sig w:usb0="B00002AF" w:usb1="69D77CFB" w:usb2="00000030" w:usb3="00000000" w:csb0="4008009F" w:csb1="DFD70000"/>
  </w:font>
  <w:font w:name="MT Extra">
    <w:panose1 w:val="05050102010205020202"/>
    <w:charset w:val="02"/>
    <w:family w:val="auto"/>
    <w:pitch w:val="variable"/>
    <w:sig w:usb0="80000000" w:usb1="00000000" w:usb2="00000000" w:usb3="00000000" w:csb0="00000000" w:csb1="00000000"/>
  </w:font>
  <w:font w:name="PMingLiU">
    <w:panose1 w:val="02020500000000000000"/>
    <w:charset w:val="88"/>
    <w:family w:val="auto"/>
    <w:pitch w:val="variable"/>
    <w:sig w:usb0="A00002FF" w:usb1="28CFFCFA" w:usb2="00000016" w:usb3="00000000" w:csb0="00100001" w:csb1="00000000"/>
  </w:font>
  <w:font w:name="MS Gothic">
    <w:panose1 w:val="020B0609070205080204"/>
    <w:charset w:val="80"/>
    <w:family w:val="auto"/>
    <w:pitch w:val="fixed"/>
    <w:sig w:usb0="E00002FF" w:usb1="6AC7FDFB" w:usb2="00000012" w:usb3="00000000" w:csb0="4002009F" w:csb1="DFD70000"/>
  </w:font>
  <w:font w:name="Copperplate Gothic Light">
    <w:panose1 w:val="020E0507020206020404"/>
    <w:charset w:val="00"/>
    <w:family w:val="auto"/>
    <w:pitch w:val="variable"/>
    <w:sig w:usb0="00000003" w:usb1="00000000" w:usb2="00000000" w:usb3="00000000" w:csb0="20000001" w:csb1="00000000"/>
  </w:font>
  <w:font w:name="Dotum">
    <w:panose1 w:val="020B0600000101010101"/>
    <w:charset w:val="81"/>
    <w:family w:val="auto"/>
    <w:pitch w:val="variable"/>
    <w:sig w:usb0="B00002AF" w:usb1="69D77CFB" w:usb2="00000030" w:usb3="00000000" w:csb0="4008009F" w:csb1="DFD70000"/>
  </w:font>
  <w:font w:name="MingLiU">
    <w:panose1 w:val="02020509000000000000"/>
    <w:charset w:val="88"/>
    <w:family w:val="auto"/>
    <w:pitch w:val="fixed"/>
    <w:sig w:usb0="A00002FF" w:usb1="28CFFCFA" w:usb2="00000016" w:usb3="00000000" w:csb0="00100001" w:csb1="00000000"/>
  </w:font>
  <w:font w:name="Mincho">
    <w:altName w:val="MS Mincho"/>
    <w:panose1 w:val="02020609040305080305"/>
    <w:charset w:val="80"/>
    <w:family w:val="auto"/>
    <w:pitch w:val="fixed"/>
    <w:sig w:usb0="00000001" w:usb1="08070000" w:usb2="00000010" w:usb3="00000000" w:csb0="00020000" w:csb1="00000000"/>
  </w:font>
  <w:font w:name="Georgia">
    <w:panose1 w:val="02040502050405020303"/>
    <w:charset w:val="00"/>
    <w:family w:val="auto"/>
    <w:pitch w:val="variable"/>
    <w:sig w:usb0="00000287" w:usb1="00000000" w:usb2="00000000" w:usb3="00000000" w:csb0="2000009F" w:csb1="00000000"/>
  </w:font>
  <w:font w:name="Gulim">
    <w:panose1 w:val="020B0600000101010101"/>
    <w:charset w:val="81"/>
    <w:family w:val="auto"/>
    <w:pitch w:val="variable"/>
    <w:sig w:usb0="B00002AF" w:usb1="69D77CFB" w:usb2="00000030" w:usb3="00000000" w:csb0="4008009F" w:csb1="DFD70000"/>
  </w:font>
  <w:font w:name="AngsanaUPC">
    <w:panose1 w:val="02020603050405020304"/>
    <w:charset w:val="00"/>
    <w:family w:val="auto"/>
    <w:pitch w:val="variable"/>
    <w:sig w:usb0="81000003" w:usb1="00000000" w:usb2="00000000" w:usb3="00000000" w:csb0="00010001" w:csb1="00000000"/>
  </w:font>
  <w:font w:name="Century">
    <w:panose1 w:val="02040604050505020304"/>
    <w:charset w:val="00"/>
    <w:family w:val="auto"/>
    <w:pitch w:val="variable"/>
    <w:sig w:usb0="00000287" w:usb1="00000000" w:usb2="00000000" w:usb3="00000000" w:csb0="2000009F" w:csb1="DFD70000"/>
  </w:font>
  <w:font w:name="Tahoma">
    <w:panose1 w:val="020B0604030504040204"/>
    <w:charset w:val="00"/>
    <w:family w:val="auto"/>
    <w:pitch w:val="variable"/>
    <w:sig w:usb0="E1002EFF" w:usb1="C000605B" w:usb2="00000029" w:usb3="00000000" w:csb0="200101FF" w:csb1="20280000"/>
  </w:font>
  <w:font w:name="Angsana New">
    <w:panose1 w:val="02020603050405020304"/>
    <w:charset w:val="00"/>
    <w:family w:val="auto"/>
    <w:pitch w:val="variable"/>
    <w:sig w:usb0="81000003" w:usb1="00000000" w:usb2="00000000" w:usb3="00000000" w:csb0="00010001" w:csb1="00000000"/>
  </w:font>
  <w:font w:name="Centaur">
    <w:panose1 w:val="02030504050205020304"/>
    <w:charset w:val="00"/>
    <w:family w:val="auto"/>
    <w:pitch w:val="variable"/>
    <w:sig w:usb0="00000003" w:usb1="00000000" w:usb2="00000000" w:usb3="00000000" w:csb0="20000001" w:csb1="00000000"/>
  </w:font>
  <w:font w:name="Malgun Gothic">
    <w:panose1 w:val="020B0503020000020004"/>
    <w:charset w:val="81"/>
    <w:family w:val="auto"/>
    <w:pitch w:val="variable"/>
    <w:sig w:usb0="900002AF" w:usb1="01D77CFB" w:usb2="00000012" w:usb3="00000000" w:csb0="00080001" w:csb1="00000000"/>
  </w:font>
  <w:font w:name="Cordia New">
    <w:panose1 w:val="020B0304020202020204"/>
    <w:charset w:val="00"/>
    <w:family w:val="auto"/>
    <w:pitch w:val="variable"/>
    <w:sig w:usb0="81000003" w:usb1="00000000" w:usb2="00000000" w:usb3="00000000" w:csb0="00010001" w:csb1="00000000"/>
  </w:font>
  <w:font w:name="Mangal">
    <w:panose1 w:val="02040503050203030202"/>
    <w:charset w:val="00"/>
    <w:family w:val="auto"/>
    <w:pitch w:val="variable"/>
    <w:sig w:usb0="00008003" w:usb1="00000000" w:usb2="00000000" w:usb3="00000000" w:csb0="00000001" w:csb1="00000000"/>
  </w:font>
  <w:font w:name="DFKai-SB">
    <w:panose1 w:val="03000509000000000000"/>
    <w:charset w:val="88"/>
    <w:family w:val="auto"/>
    <w:pitch w:val="fixed"/>
    <w:sig w:usb0="00000003" w:usb1="082E0000" w:usb2="00000016" w:usb3="00000000" w:csb0="00100001" w:csb1="00000000"/>
  </w:font>
  <w:font w:name="Latha">
    <w:panose1 w:val="020B0604020202020204"/>
    <w:charset w:val="00"/>
    <w:family w:val="auto"/>
    <w:pitch w:val="variable"/>
    <w:sig w:usb0="00100003" w:usb1="00000000" w:usb2="00000000" w:usb3="00000000" w:csb0="00000001" w:csb1="00000000"/>
  </w:font>
  <w:font w:name="Sylfaen">
    <w:panose1 w:val="010A0502050306030303"/>
    <w:charset w:val="00"/>
    <w:family w:val="auto"/>
    <w:pitch w:val="variable"/>
    <w:sig w:usb0="04000687" w:usb1="00000000" w:usb2="00000000" w:usb3="00000000" w:csb0="2000009F" w:csb1="00000000"/>
  </w:font>
  <w:font w:name="MS Outlook">
    <w:panose1 w:val="05010100010000000000"/>
    <w:charset w:val="02"/>
    <w:family w:val="auto"/>
    <w:pitch w:val="variable"/>
    <w:sig w:usb0="00000000" w:usb1="00000000" w:usb2="00000000" w:usb3="00000000" w:csb0="80000000" w:csb1="00000000"/>
  </w:font>
  <w:font w:name="Consolas">
    <w:panose1 w:val="020B0609020204030204"/>
    <w:charset w:val="00"/>
    <w:family w:val="auto"/>
    <w:pitch w:val="fixed"/>
    <w:sig w:usb0="E10002FF" w:usb1="4000FCFF" w:usb2="00000009" w:usb3="00000000" w:csb0="6000019F" w:csb1="DFD70000"/>
  </w:font>
  <w:font w:name="Vrinda">
    <w:panose1 w:val="020B0502040204020203"/>
    <w:charset w:val="00"/>
    <w:family w:val="auto"/>
    <w:pitch w:val="variable"/>
    <w:sig w:usb0="00010003" w:usb1="00000000" w:usb2="00000000" w:usb3="00000000" w:csb0="00000001" w:csb1="00000000"/>
  </w:font>
  <w:font w:name="Raavi">
    <w:panose1 w:val="020B0502040204020203"/>
    <w:charset w:val="00"/>
    <w:family w:val="auto"/>
    <w:pitch w:val="variable"/>
    <w:sig w:usb0="00020003" w:usb1="00000000" w:usb2="00000000" w:usb3="00000000" w:csb0="00000001" w:csb1="00000000"/>
  </w:font>
  <w:font w:name="Shruti">
    <w:panose1 w:val="020B0502040204020203"/>
    <w:charset w:val="00"/>
    <w:family w:val="auto"/>
    <w:pitch w:val="variable"/>
    <w:sig w:usb0="00040003" w:usb1="00000000" w:usb2="00000000" w:usb3="00000000" w:csb0="00000001" w:csb1="00000000"/>
  </w:font>
  <w:font w:name="@ST Song">
    <w:altName w:val="宋体"/>
    <w:panose1 w:val="00000000000000000000"/>
    <w:charset w:val="86"/>
    <w:family w:val="auto"/>
    <w:pitch w:val="default"/>
    <w:sig w:usb0="00000001" w:usb1="080E0000" w:usb2="00000010" w:usb3="00000000" w:csb0="00040000" w:csb1="00000000"/>
  </w:font>
  <w:font w:name="Sendnya">
    <w:altName w:val="Segoe Print"/>
    <w:panose1 w:val="00000400000000000000"/>
    <w:charset w:val="01"/>
    <w:family w:val="auto"/>
    <w:pitch w:val="variable"/>
    <w:sig w:usb0="00000000" w:usb1="00000000" w:usb2="00000000" w:usb3="00000000" w:csb0="00000000" w:csb1="00000000"/>
  </w:font>
  <w:font w:name="Parchment">
    <w:panose1 w:val="03040602040708040804"/>
    <w:charset w:val="00"/>
    <w:family w:val="auto"/>
    <w:pitch w:val="variable"/>
    <w:sig w:usb0="00000003" w:usb1="00000000" w:usb2="00000000" w:usb3="00000000" w:csb0="20000001" w:csb1="00000000"/>
  </w:font>
  <w:font w:name="Gautami">
    <w:panose1 w:val="020B0502040204020203"/>
    <w:charset w:val="00"/>
    <w:family w:val="auto"/>
    <w:pitch w:val="variable"/>
    <w:sig w:usb0="00200003" w:usb1="00000000" w:usb2="00000000" w:usb3="00000000" w:csb0="00000001" w:csb1="00000000"/>
  </w:font>
  <w:font w:name="Tunga">
    <w:panose1 w:val="020B0502040204020203"/>
    <w:charset w:val="00"/>
    <w:family w:val="auto"/>
    <w:pitch w:val="variable"/>
    <w:sig w:usb0="00400003" w:usb1="00000000" w:usb2="00000000" w:usb3="00000000" w:csb0="00000001" w:csb1="00000000"/>
  </w:font>
  <w:font w:name="@SimSun-ExtB">
    <w:panose1 w:val="02010609060101010101"/>
    <w:charset w:val="86"/>
    <w:family w:val="auto"/>
    <w:pitch w:val="fixed"/>
    <w:sig w:usb0="00000001" w:usb1="02000000" w:usb2="00000000" w:usb3="00000000" w:csb0="00040001" w:csb1="00000000"/>
  </w:font>
  <w:font w:name="Estrangelo Edessa">
    <w:panose1 w:val="03080600000000000000"/>
    <w:charset w:val="00"/>
    <w:family w:val="auto"/>
    <w:pitch w:val="variable"/>
    <w:sig w:usb0="80002043" w:usb1="00000000" w:usb2="00000080" w:usb3="00000000" w:csb0="00000001" w:csb1="00000000"/>
  </w:font>
  <w:font w:name="MingLiU-ExtB">
    <w:panose1 w:val="02020500000000000000"/>
    <w:charset w:val="88"/>
    <w:family w:val="auto"/>
    <w:pitch w:val="variable"/>
    <w:sig w:usb0="8000002F" w:usb1="02000008" w:usb2="00000000" w:usb3="00000000" w:csb0="00100001" w:csb1="00000000"/>
  </w:font>
  <w:font w:name="Arial Unicode MS">
    <w:panose1 w:val="020B0604020202020204"/>
    <w:charset w:val="86"/>
    <w:family w:val="auto"/>
    <w:pitch w:val="variable"/>
    <w:sig w:usb0="FFFFFFFF" w:usb1="E9FFFFFF" w:usb2="0000003F" w:usb3="00000000" w:csb0="603F01FF" w:csb1="FFFF0000"/>
  </w:font>
  <w:font w:name="楷体_GB2312">
    <w:altName w:val="楷体"/>
    <w:panose1 w:val="00000000000000000000"/>
    <w:charset w:val="86"/>
    <w:family w:val="auto"/>
    <w:pitch w:val="fixed"/>
    <w:sig w:usb0="00000001" w:usb1="080E0000" w:usb2="00000010" w:usb3="00000000" w:csb0="00040000" w:csb1="00000000"/>
  </w:font>
  <w:font w:name="MS Reference Specialty">
    <w:panose1 w:val="05000500000000000000"/>
    <w:charset w:val="02"/>
    <w:family w:val="auto"/>
    <w:pitch w:val="variable"/>
    <w:sig w:usb0="00000000" w:usb1="00000000" w:usb2="00000000" w:usb3="00000000" w:csb0="80000000" w:csb1="00000000"/>
  </w:font>
  <w:font w:name="隶书">
    <w:panose1 w:val="02010509060101010101"/>
    <w:charset w:val="86"/>
    <w:family w:val="auto"/>
    <w:pitch w:val="fixed"/>
    <w:sig w:usb0="00000001" w:usb1="080E0000" w:usb2="00000000" w:usb3="00000000" w:csb0="00040000" w:csb1="00000000"/>
  </w:font>
  <w:font w:name="阴影黑体-10Point">
    <w:altName w:val="黑体"/>
    <w:panose1 w:val="00000000000000000000"/>
    <w:charset w:val="86"/>
    <w:family w:val="auto"/>
    <w:pitch w:val="fixed"/>
    <w:sig w:usb0="00000001" w:usb1="080E0000" w:usb2="00000010" w:usb3="00000000" w:csb0="00040000" w:csb1="00000000"/>
  </w:font>
  <w:font w:name="等线">
    <w:altName w:val="Arial Unicode MS"/>
    <w:panose1 w:val="00000000000000000000"/>
    <w:charset w:val="86"/>
    <w:family w:val="auto"/>
    <w:pitch w:val="variable"/>
    <w:sig w:usb0="A00002BF" w:usb1="38CF7CFA" w:usb2="00000016" w:usb3="00000000" w:csb0="0004000F" w:csb1="00000000"/>
  </w:font>
  <w:font w:name="华文新魏">
    <w:panose1 w:val="02010800040101010101"/>
    <w:charset w:val="86"/>
    <w:family w:val="auto"/>
    <w:pitch w:val="variable"/>
    <w:sig w:usb0="00000001" w:usb1="080F0000" w:usb2="00000000" w:usb3="00000000" w:csb0="00040000" w:csb1="00000000"/>
  </w:font>
  <w:font w:name="Segoe UI Symbol">
    <w:panose1 w:val="020B0502040204020203"/>
    <w:charset w:val="00"/>
    <w:family w:val="auto"/>
    <w:pitch w:val="variable"/>
    <w:sig w:usb0="8000006F" w:usb1="1200FBEF" w:usb2="0064C000" w:usb3="00000002" w:csb0="00000001" w:csb1="40000000"/>
  </w:font>
  <w:font w:name="PMingLiU-ExtB">
    <w:panose1 w:val="02020500000000000000"/>
    <w:charset w:val="88"/>
    <w:family w:val="auto"/>
    <w:pitch w:val="variable"/>
    <w:sig w:usb0="8000002F" w:usb1="02000008" w:usb2="00000000" w:usb3="00000000" w:csb0="00100001" w:csb1="00000000"/>
  </w:font>
  <w:font w:name="Onyx">
    <w:panose1 w:val="04050602080702020203"/>
    <w:charset w:val="00"/>
    <w:family w:val="auto"/>
    <w:pitch w:val="variable"/>
    <w:sig w:usb0="00000003" w:usb1="00000000" w:usb2="00000000" w:usb3="00000000" w:csb0="20000001" w:csb1="00000000"/>
  </w:font>
  <w:font w:name="Cooper Black">
    <w:panose1 w:val="0208090404030B020404"/>
    <w:charset w:val="00"/>
    <w:family w:val="auto"/>
    <w:pitch w:val="variable"/>
    <w:sig w:usb0="00000003" w:usb1="00000000" w:usb2="00000000" w:usb3="00000000" w:csb0="20000001" w:csb1="00000000"/>
  </w:font>
  <w:font w:name="Segoe UI Emoji">
    <w:altName w:val="MS Gothic"/>
    <w:panose1 w:val="020B0502040204020203"/>
    <w:charset w:val="00"/>
    <w:family w:val="auto"/>
    <w:pitch w:val="variable"/>
    <w:sig w:usb0="00000003" w:usb1="02000000" w:usb2="00000000" w:usb3="00000000" w:csb0="00000001" w:csb1="00000000"/>
  </w:font>
  <w:font w:name="楷体">
    <w:panose1 w:val="02010609060101010101"/>
    <w:charset w:val="86"/>
    <w:family w:val="auto"/>
    <w:pitch w:val="fixed"/>
    <w:sig w:usb0="800002BF" w:usb1="38CF7CFA" w:usb2="00000016" w:usb3="00000000" w:csb0="00040001" w:csb1="00000000"/>
  </w:font>
  <w:font w:name="Palace Script MT">
    <w:panose1 w:val="030303020206070C0B05"/>
    <w:charset w:val="00"/>
    <w:family w:val="auto"/>
    <w:pitch w:val="variable"/>
    <w:sig w:usb0="00000003" w:usb1="00000000" w:usb2="00000000" w:usb3="00000000" w:csb0="20000001" w:csb1="00000000"/>
  </w:font>
  <w:font w:name="Bernard MT Condensed">
    <w:panose1 w:val="02050806060905020404"/>
    <w:charset w:val="00"/>
    <w:family w:val="auto"/>
    <w:pitch w:val="variable"/>
    <w:sig w:usb0="00000003" w:usb1="00000000" w:usb2="00000000" w:usb3="00000000" w:csb0="20000001" w:csb1="00000000"/>
  </w:font>
  <w:font w:name="@MS PGothic">
    <w:panose1 w:val="020B0600070205080204"/>
    <w:charset w:val="80"/>
    <w:family w:val="auto"/>
    <w:pitch w:val="variable"/>
    <w:sig w:usb0="E00002FF" w:usb1="6AC7FDFB" w:usb2="00000012" w:usb3="00000000" w:csb0="4002009F" w:csb1="DFD70000"/>
  </w:font>
  <w:font w:name="宋体（打印机字体）">
    <w:altName w:val="宋体"/>
    <w:panose1 w:val="00000000000000000000"/>
    <w:charset w:val="86"/>
    <w:family w:val="auto"/>
    <w:pitch w:val="fixed"/>
    <w:sig w:usb0="00000001" w:usb1="080E0000" w:usb2="00000010" w:usb3="00000000" w:csb0="00040000" w:csb1="00000000"/>
  </w:font>
  <w:font w:name="BatangChe">
    <w:panose1 w:val="02030609000101010101"/>
    <w:charset w:val="81"/>
    <w:family w:val="auto"/>
    <w:pitch w:val="fixed"/>
    <w:sig w:usb0="B00002AF" w:usb1="69D77CFB" w:usb2="00000030" w:usb3="00000000" w:csb0="4008009F" w:csb1="DFD70000"/>
  </w:font>
  <w:font w:name="Arial Rounded MT Bold">
    <w:panose1 w:val="020F0704030504030204"/>
    <w:charset w:val="00"/>
    <w:family w:val="auto"/>
    <w:pitch w:val="variable"/>
    <w:sig w:usb0="00000003" w:usb1="00000000" w:usb2="00000000" w:usb3="00000000" w:csb0="20000001" w:csb1="00000000"/>
  </w:font>
  <w:font w:name="MS UI Gothic">
    <w:panose1 w:val="020B0600070205080204"/>
    <w:charset w:val="80"/>
    <w:family w:val="auto"/>
    <w:pitch w:val="variable"/>
    <w:sig w:usb0="E00002FF" w:usb1="6AC7FDFB" w:usb2="00000012" w:usb3="00000000" w:csb0="4002009F" w:csb1="DFD70000"/>
  </w:font>
  <w:font w:name="方正书宋简体">
    <w:altName w:val="宋体"/>
    <w:panose1 w:val="00000000000000000000"/>
    <w:charset w:val="86"/>
    <w:family w:val="auto"/>
    <w:pitch w:val="variable"/>
    <w:sig w:usb0="00000001" w:usb1="080E0000" w:usb2="00000010" w:usb3="00000000" w:csb0="00040000" w:csb1="00000000"/>
  </w:font>
  <w:font w:name="TimesNewRomanPSMT">
    <w:altName w:val="Times New Roman"/>
    <w:panose1 w:val="00000000000000000000"/>
    <w:charset w:val="00"/>
    <w:family w:val="auto"/>
    <w:pitch w:val="default"/>
    <w:sig w:usb0="00000003" w:usb1="080E0000" w:usb2="00000010" w:usb3="00000000" w:csb0="00040001" w:csb1="00000000"/>
  </w:font>
  <w:font w:name="仿宋_GB2312">
    <w:altName w:val="仿宋"/>
    <w:panose1 w:val="00000000000000000000"/>
    <w:charset w:val="86"/>
    <w:family w:val="auto"/>
    <w:pitch w:val="fixed"/>
    <w:sig w:usb0="00000001" w:usb1="080E0000" w:usb2="00000010" w:usb3="00000000" w:csb0="00040000" w:csb1="00000000"/>
  </w:font>
  <w:font w:name="Old English Text MT">
    <w:panose1 w:val="03040902040508030806"/>
    <w:charset w:val="00"/>
    <w:family w:val="auto"/>
    <w:pitch w:val="variable"/>
    <w:sig w:usb0="00000003" w:usb1="00000000" w:usb2="00000000" w:usb3="00000000" w:csb0="20000001" w:csb1="00000000"/>
  </w:font>
  <w:font w:name="Garamond">
    <w:panose1 w:val="02020404030301010803"/>
    <w:charset w:val="00"/>
    <w:family w:val="auto"/>
    <w:pitch w:val="variable"/>
    <w:sig w:usb0="00000287" w:usb1="00000000" w:usb2="00000000" w:usb3="00000000" w:csb0="0000009F" w:csb1="DFD70000"/>
  </w:font>
  <w:font w:name="Cambria">
    <w:panose1 w:val="02040503050406030204"/>
    <w:charset w:val="00"/>
    <w:family w:val="auto"/>
    <w:pitch w:val="variable"/>
    <w:sig w:usb0="E00002FF" w:usb1="400004FF" w:usb2="00000000" w:usb3="00000000" w:csb0="2000019F" w:csb1="00000000"/>
  </w:font>
  <w:font w:name="Eras Bold ITC">
    <w:panose1 w:val="020B0907030504020204"/>
    <w:charset w:val="00"/>
    <w:family w:val="auto"/>
    <w:pitch w:val="variable"/>
    <w:sig w:usb0="00000003" w:usb1="00000000" w:usb2="00000000" w:usb3="00000000" w:csb0="20000001" w:csb1="00000000"/>
  </w:font>
  <w:font w:name="幼圆">
    <w:panose1 w:val="02010509060101010101"/>
    <w:charset w:val="86"/>
    <w:family w:val="auto"/>
    <w:pitch w:val="fixed"/>
    <w:sig w:usb0="00000001" w:usb1="080E0000" w:usb2="00000000" w:usb3="00000000" w:csb0="00040000" w:csb1="00000000"/>
  </w:font>
  <w:font w:name="ST Song">
    <w:altName w:val="宋体"/>
    <w:panose1 w:val="00000000000000000000"/>
    <w:charset w:val="86"/>
    <w:family w:val="auto"/>
    <w:pitch w:val="default"/>
    <w:sig w:usb0="00000001" w:usb1="080E0000" w:usb2="00000010" w:usb3="00000000" w:csb0="00040000" w:csb1="00000000"/>
  </w:font>
  <w:font w:name="_x000B__x000C_">
    <w:altName w:val="Times New Roman"/>
    <w:panose1 w:val="00000000000000000000"/>
    <w:charset w:val="00"/>
    <w:family w:val="auto"/>
    <w:pitch w:val="default"/>
    <w:sig w:usb0="00000003" w:usb1="00000000" w:usb2="00000000" w:usb3="00000000" w:csb0="00000001" w:csb1="00000000"/>
  </w:font>
  <w:font w:name="@隶书">
    <w:panose1 w:val="02010509060101010101"/>
    <w:charset w:val="86"/>
    <w:family w:val="auto"/>
    <w:pitch w:val="fixed"/>
    <w:sig w:usb0="00000001" w:usb1="080E0000" w:usb2="00000000" w:usb3="00000000" w:csb0="00040000" w:csb1="00000000"/>
  </w:font>
  <w:font w:name="Microsoft New Tai Lue">
    <w:panose1 w:val="020B0502040204020203"/>
    <w:charset w:val="00"/>
    <w:family w:val="auto"/>
    <w:pitch w:val="variable"/>
    <w:sig w:usb0="00000003" w:usb1="00000000" w:usb2="80000000" w:usb3="00000000" w:csb0="00000001" w:csb1="00000000"/>
  </w:font>
  <w:font w:name="Verdana">
    <w:panose1 w:val="020B0604030504040204"/>
    <w:charset w:val="00"/>
    <w:family w:val="auto"/>
    <w:pitch w:val="variable"/>
    <w:sig w:usb0="A10006FF" w:usb1="4000205B" w:usb2="00000010" w:usb3="00000000" w:csb0="2000019F" w:csb1="00000000"/>
  </w:font>
  <w:font w:name="ˎ̥">
    <w:altName w:val="Times New Roman"/>
    <w:panose1 w:val="00000000000000000000"/>
    <w:charset w:val="01"/>
    <w:family w:val="auto"/>
    <w:pitch w:val="default"/>
    <w:sig w:usb0="00000000" w:usb1="00000000" w:usb2="00000000" w:usb3="00000000" w:csb0="00040001" w:csb1="00000000"/>
  </w:font>
  <w:font w:name="Marlett">
    <w:panose1 w:val="00000000000000000000"/>
    <w:charset w:val="02"/>
    <w:family w:val="auto"/>
    <w:pitch w:val="variable"/>
    <w:sig w:usb0="00000000" w:usb1="00000000" w:usb2="00000000" w:usb3="00000000" w:csb0="80000000" w:csb1="00000000"/>
  </w:font>
  <w:font w:name="等线 Light">
    <w:altName w:val="宋体"/>
    <w:panose1 w:val="00000000000000000000"/>
    <w:charset w:val="86"/>
    <w:family w:val="auto"/>
    <w:pitch w:val="variable"/>
    <w:sig w:usb0="A00002BF" w:usb1="38CF7CFA" w:usb2="00000016" w:usb3="00000000" w:csb0="0004000F" w:csb1="00000000"/>
  </w:font>
  <w:font w:name="Cambria Math">
    <w:panose1 w:val="02040503050406030204"/>
    <w:charset w:val="00"/>
    <w:family w:val="auto"/>
    <w:pitch w:val="variable"/>
    <w:sig w:usb0="E00002FF" w:usb1="420024FF" w:usb2="00000000" w:usb3="00000000" w:csb0="2000019F" w:csb1="00000000"/>
  </w:font>
  <w:font w:name="方正舒体">
    <w:panose1 w:val="02010601030101010101"/>
    <w:charset w:val="86"/>
    <w:family w:val="auto"/>
    <w:pitch w:val="variable"/>
    <w:sig w:usb0="00000003" w:usb1="080E0000" w:usb2="00000000" w:usb3="00000000" w:csb0="00040000" w:csb1="00000000"/>
  </w:font>
  <w:font w:name="Segoe UI Light">
    <w:panose1 w:val="020B0502040204020203"/>
    <w:charset w:val="00"/>
    <w:family w:val="auto"/>
    <w:pitch w:val="variable"/>
    <w:sig w:usb0="E00002FF" w:usb1="4000A47B" w:usb2="00000001" w:usb3="00000000" w:csb0="2000019F" w:csb1="00000000"/>
  </w:font>
  <w:font w:name="@Malgun Gothic">
    <w:panose1 w:val="020B0503020000020004"/>
    <w:charset w:val="81"/>
    <w:family w:val="auto"/>
    <w:pitch w:val="variable"/>
    <w:sig w:usb0="900002AF" w:usb1="01D77CFB" w:usb2="00000012" w:usb3="00000000" w:csb0="00080001" w:csb1="00000000"/>
  </w:font>
  <w:font w:name="新宋体">
    <w:panose1 w:val="02010609030101010101"/>
    <w:charset w:val="86"/>
    <w:family w:val="auto"/>
    <w:pitch w:val="fixed"/>
    <w:sig w:usb0="00000003" w:usb1="288F0000" w:usb2="00000006" w:usb3="00000000" w:csb0="00040001" w:csb1="00000000"/>
  </w:font>
  <w:font w:name="@Batang">
    <w:panose1 w:val="02030600000101010101"/>
    <w:charset w:val="81"/>
    <w:family w:val="auto"/>
    <w:pitch w:val="variable"/>
    <w:sig w:usb0="B00002AF" w:usb1="69D77CFB" w:usb2="00000030" w:usb3="00000000" w:csb0="4008009F" w:csb1="DFD70000"/>
  </w:font>
  <w:font w:name="@BatangChe">
    <w:panose1 w:val="02030609000101010101"/>
    <w:charset w:val="81"/>
    <w:family w:val="auto"/>
    <w:pitch w:val="fixed"/>
    <w:sig w:usb0="B00002AF" w:usb1="69D77CFB" w:usb2="00000030" w:usb3="00000000" w:csb0="4008009F" w:csb1="DFD70000"/>
  </w:font>
  <w:font w:name="Franklin Gothic Heavy">
    <w:panose1 w:val="020B0903020102020204"/>
    <w:charset w:val="00"/>
    <w:family w:val="auto"/>
    <w:pitch w:val="variable"/>
    <w:sig w:usb0="00000287" w:usb1="00000000" w:usb2="00000000" w:usb3="00000000" w:csb0="2000009F" w:csb1="DFD70000"/>
  </w:font>
  <w:font w:name="Showcard Gothic">
    <w:panose1 w:val="04020904020102020604"/>
    <w:charset w:val="00"/>
    <w:family w:val="auto"/>
    <w:pitch w:val="variable"/>
    <w:sig w:usb0="00000003" w:usb1="00000000" w:usb2="00000000" w:usb3="00000000" w:csb0="20000001" w:csb1="00000000"/>
  </w:font>
  <w:font w:name="Gungsuh">
    <w:panose1 w:val="02030600000101010101"/>
    <w:charset w:val="81"/>
    <w:family w:val="auto"/>
    <w:pitch w:val="variable"/>
    <w:sig w:usb0="B00002AF" w:usb1="69D77CFB" w:usb2="00000030" w:usb3="00000000" w:csb0="4008009F" w:csb1="DFD70000"/>
  </w:font>
  <w:font w:name="Edwardian Script ITC">
    <w:panose1 w:val="030303020407070D0804"/>
    <w:charset w:val="00"/>
    <w:family w:val="auto"/>
    <w:pitch w:val="variable"/>
    <w:sig w:usb0="00000003" w:usb1="00000000" w:usb2="00000000" w:usb3="00000000" w:csb0="20000001" w:csb1="00000000"/>
  </w:font>
  <w:font w:name="Trebuchet MS">
    <w:panose1 w:val="020B0603020202020204"/>
    <w:charset w:val="00"/>
    <w:family w:val="auto"/>
    <w:pitch w:val="variable"/>
    <w:sig w:usb0="00000287" w:usb1="00000000" w:usb2="00000000" w:usb3="00000000" w:csb0="2000009F" w:csb1="00000000"/>
  </w:font>
  <w:font w:name="@Gungsuh">
    <w:panose1 w:val="02030600000101010101"/>
    <w:charset w:val="81"/>
    <w:family w:val="auto"/>
    <w:pitch w:val="variable"/>
    <w:sig w:usb0="B00002AF" w:usb1="69D77CFB" w:usb2="00000030" w:usb3="00000000" w:csb0="4008009F" w:csb1="DFD70000"/>
  </w:font>
  <w:font w:name="GungsuhChe">
    <w:panose1 w:val="02030609000101010101"/>
    <w:charset w:val="81"/>
    <w:family w:val="auto"/>
    <w:pitch w:val="fixed"/>
    <w:sig w:usb0="B00002AF" w:usb1="69D77CFB" w:usb2="00000030" w:usb3="00000000" w:csb0="4008009F" w:csb1="DFD70000"/>
  </w:font>
  <w:font w:name="@方正兰亭超细黑简体">
    <w:panose1 w:val="02000000000000000000"/>
    <w:charset w:val="86"/>
    <w:family w:val="auto"/>
    <w:pitch w:val="variable"/>
    <w:sig w:usb0="00000001" w:usb1="08000000" w:usb2="00000000" w:usb3="00000000" w:csb0="00040000" w:csb1="00000000"/>
  </w:font>
  <w:font w:name="DaunPenh">
    <w:panose1 w:val="01010101010101010101"/>
    <w:charset w:val="00"/>
    <w:family w:val="auto"/>
    <w:pitch w:val="variable"/>
    <w:sig w:usb0="00000003" w:usb1="00000000" w:usb2="00010000" w:usb3="00000000" w:csb0="00000001" w:csb1="00000000"/>
  </w:font>
  <w:font w:name="DokChampa">
    <w:panose1 w:val="020B0604020202020204"/>
    <w:charset w:val="00"/>
    <w:family w:val="auto"/>
    <w:pitch w:val="variable"/>
    <w:sig w:usb0="03000003" w:usb1="00000000" w:usb2="00000000" w:usb3="00000000" w:csb0="40010001" w:csb1="00000000"/>
  </w:font>
  <w:font w:name="Broadway">
    <w:panose1 w:val="04040905080B02020502"/>
    <w:charset w:val="00"/>
    <w:family w:val="auto"/>
    <w:pitch w:val="variable"/>
    <w:sig w:usb0="00000003" w:usb1="00000000" w:usb2="00000000" w:usb3="00000000" w:csb0="20000001" w:csb1="00000000"/>
  </w:font>
  <w:font w:name="Berlin Sans FB">
    <w:panose1 w:val="020E0602020502020306"/>
    <w:charset w:val="00"/>
    <w:family w:val="auto"/>
    <w:pitch w:val="variable"/>
    <w:sig w:usb0="00000003" w:usb1="00000000" w:usb2="00000000" w:usb3="00000000" w:csb0="20000001" w:csb1="00000000"/>
  </w:font>
  <w:font w:name="Euphemia">
    <w:panose1 w:val="020B0503040102020104"/>
    <w:charset w:val="00"/>
    <w:family w:val="auto"/>
    <w:pitch w:val="variable"/>
    <w:sig w:usb0="8000006F" w:usb1="0000004A" w:usb2="00002000" w:usb3="00000000" w:csb0="00000001" w:csb1="00000000"/>
  </w:font>
  <w:font w:name="@方正书宋简体">
    <w:altName w:val="宋体"/>
    <w:panose1 w:val="00000000000000000000"/>
    <w:charset w:val="86"/>
    <w:family w:val="auto"/>
    <w:pitch w:val="variable"/>
    <w:sig w:usb0="00000001" w:usb1="080E0000" w:usb2="00000010" w:usb3="00000000" w:csb0="00040000" w:csb1="00000000"/>
  </w:font>
  <w:font w:name="@Gulim">
    <w:panose1 w:val="020B0600000101010101"/>
    <w:charset w:val="81"/>
    <w:family w:val="auto"/>
    <w:pitch w:val="variable"/>
    <w:sig w:usb0="B00002AF" w:usb1="69D77CFB" w:usb2="00000030" w:usb3="00000000" w:csb0="4008009F" w:csb1="DFD70000"/>
  </w:font>
  <w:font w:name="Century Schoolbook">
    <w:panose1 w:val="02040604050505020304"/>
    <w:charset w:val="00"/>
    <w:family w:val="auto"/>
    <w:pitch w:val="variable"/>
    <w:sig w:usb0="00000287" w:usb1="00000000" w:usb2="00000000" w:usb3="00000000" w:csb0="2000009F" w:csb1="DFD70000"/>
  </w:font>
  <w:font w:name="GulimChe">
    <w:panose1 w:val="020B0609000101010101"/>
    <w:charset w:val="81"/>
    <w:family w:val="auto"/>
    <w:pitch w:val="fixed"/>
    <w:sig w:usb0="B00002AF" w:usb1="69D77CFB" w:usb2="00000030" w:usb3="00000000" w:csb0="4008009F" w:csb1="DFD70000"/>
  </w:font>
  <w:font w:name="@GulimChe">
    <w:panose1 w:val="020B0609000101010101"/>
    <w:charset w:val="81"/>
    <w:family w:val="auto"/>
    <w:pitch w:val="fixed"/>
    <w:sig w:usb0="B00002AF" w:usb1="69D77CFB" w:usb2="00000030" w:usb3="00000000" w:csb0="4008009F" w:csb1="DFD70000"/>
  </w:font>
  <w:font w:name="Lucida Sans">
    <w:panose1 w:val="020B0602030504020204"/>
    <w:charset w:val="00"/>
    <w:family w:val="auto"/>
    <w:pitch w:val="variable"/>
    <w:sig w:usb0="00000003" w:usb1="00000000" w:usb2="00000000" w:usb3="00000000" w:csb0="20000001" w:csb1="00000000"/>
  </w:font>
  <w:font w:name="方正姚体">
    <w:panose1 w:val="02010601030101010101"/>
    <w:charset w:val="86"/>
    <w:family w:val="auto"/>
    <w:pitch w:val="variable"/>
    <w:sig w:usb0="00000003" w:usb1="080E0000" w:usb2="00000000" w:usb3="00000000" w:csb0="00040000" w:csb1="00000000"/>
  </w:font>
  <w:font w:name="@Dotum">
    <w:panose1 w:val="020B0600000101010101"/>
    <w:charset w:val="81"/>
    <w:family w:val="auto"/>
    <w:pitch w:val="variable"/>
    <w:sig w:usb0="B00002AF" w:usb1="69D77CFB" w:usb2="00000030" w:usb3="00000000" w:csb0="4008009F" w:csb1="DFD70000"/>
  </w:font>
  <w:font w:name="Kalinga">
    <w:panose1 w:val="020B0502040204020203"/>
    <w:charset w:val="00"/>
    <w:family w:val="auto"/>
    <w:pitch w:val="variable"/>
    <w:sig w:usb0="00080003" w:usb1="00000000" w:usb2="00000000" w:usb3="00000000" w:csb0="00000001" w:csb1="00000000"/>
  </w:font>
  <w:font w:name="DotumChe">
    <w:panose1 w:val="020B0609000101010101"/>
    <w:charset w:val="81"/>
    <w:family w:val="auto"/>
    <w:pitch w:val="fixed"/>
    <w:sig w:usb0="B00002AF" w:usb1="69D77CFB" w:usb2="00000030" w:usb3="00000000" w:csb0="4008009F" w:csb1="DFD70000"/>
  </w:font>
  <w:font w:name="@DotumChe">
    <w:panose1 w:val="020B0609000101010101"/>
    <w:charset w:val="81"/>
    <w:family w:val="auto"/>
    <w:pitch w:val="fixed"/>
    <w:sig w:usb0="B00002AF" w:usb1="69D77CFB" w:usb2="00000030" w:usb3="00000000" w:csb0="4008009F" w:csb1="DFD70000"/>
  </w:font>
  <w:font w:name="Impact">
    <w:panose1 w:val="020B0806030902050204"/>
    <w:charset w:val="00"/>
    <w:family w:val="auto"/>
    <w:pitch w:val="variable"/>
    <w:sig w:usb0="00000287" w:usb1="00000000" w:usb2="00000000" w:usb3="00000000" w:csb0="2000009F" w:csb1="DFD70000"/>
  </w:font>
  <w:font w:name="Iskoola Pota">
    <w:panose1 w:val="020B0502040204020203"/>
    <w:charset w:val="00"/>
    <w:family w:val="auto"/>
    <w:pitch w:val="variable"/>
    <w:sig w:usb0="00000003" w:usb1="00000000" w:usb2="00000200" w:usb3="00000000" w:csb0="20000001" w:csb1="00000000"/>
  </w:font>
  <w:font w:name="Segoe Script">
    <w:panose1 w:val="020B0504020000000003"/>
    <w:charset w:val="00"/>
    <w:family w:val="auto"/>
    <w:pitch w:val="variable"/>
    <w:sig w:usb0="0000028F" w:usb1="00000000" w:usb2="00000000" w:usb3="00000000" w:csb0="0000009F" w:csb1="00000000"/>
  </w:font>
  <w:font w:name="Kartika">
    <w:panose1 w:val="02020503030404060203"/>
    <w:charset w:val="00"/>
    <w:family w:val="auto"/>
    <w:pitch w:val="variable"/>
    <w:sig w:usb0="00800003" w:usb1="00000000" w:usb2="00000000" w:usb3="00000000" w:csb0="00000001" w:csb1="00000000"/>
  </w:font>
  <w:font w:name="Khmer UI">
    <w:panose1 w:val="020B0502040204020203"/>
    <w:charset w:val="00"/>
    <w:family w:val="auto"/>
    <w:pitch w:val="variable"/>
    <w:sig w:usb0="8000002F" w:usb1="0000204A" w:usb2="00010000" w:usb3="00000000" w:csb0="00000001" w:csb1="00000000"/>
  </w:font>
  <w:font w:name="Lao UI">
    <w:panose1 w:val="020B0502040204020203"/>
    <w:charset w:val="00"/>
    <w:family w:val="auto"/>
    <w:pitch w:val="variable"/>
    <w:sig w:usb0="02000003" w:usb1="00000000" w:usb2="00000000" w:usb3="00000000" w:csb0="00000001" w:csb1="00000000"/>
  </w:font>
  <w:font w:name="Lucida Console">
    <w:panose1 w:val="020B0609040504020204"/>
    <w:charset w:val="00"/>
    <w:family w:val="auto"/>
    <w:pitch w:val="fixed"/>
    <w:sig w:usb0="8000028F" w:usb1="00001800" w:usb2="00000000" w:usb3="00000000" w:csb0="0000001F" w:csb1="D7D70000"/>
  </w:font>
  <w:font w:name="@楷体_GB2312">
    <w:altName w:val="宋体"/>
    <w:panose1 w:val="00000000000000000000"/>
    <w:charset w:val="86"/>
    <w:family w:val="auto"/>
    <w:pitch w:val="fixed"/>
    <w:sig w:usb0="00000001" w:usb1="080E0000" w:usb2="00000010" w:usb3="00000000" w:csb0="00040000" w:csb1="00000000"/>
  </w:font>
  <w:font w:name="Meiryo">
    <w:panose1 w:val="020B0604030504040204"/>
    <w:charset w:val="80"/>
    <w:family w:val="auto"/>
    <w:pitch w:val="variable"/>
    <w:sig w:usb0="E10102FF" w:usb1="EAC7FFFF" w:usb2="00010012" w:usb3="00000000" w:csb0="6002009F" w:csb1="DFD70000"/>
  </w:font>
  <w:font w:name="@Meiryo">
    <w:panose1 w:val="020B0604030504040204"/>
    <w:charset w:val="80"/>
    <w:family w:val="auto"/>
    <w:pitch w:val="variable"/>
    <w:sig w:usb0="E10102FF" w:usb1="EAC7FFFF" w:usb2="00010012" w:usb3="00000000" w:csb0="6002009F" w:csb1="DFD70000"/>
  </w:font>
  <w:font w:name="Meiryo UI">
    <w:panose1 w:val="020B0604030504040204"/>
    <w:charset w:val="80"/>
    <w:family w:val="auto"/>
    <w:pitch w:val="variable"/>
    <w:sig w:usb0="E10102FF" w:usb1="EAC7FFFF" w:usb2="00010012" w:usb3="00000000" w:csb0="6002009F" w:csb1="DFD70000"/>
  </w:font>
  <w:font w:name="@Meiryo UI">
    <w:panose1 w:val="020B0604030504040204"/>
    <w:charset w:val="80"/>
    <w:family w:val="auto"/>
    <w:pitch w:val="variable"/>
    <w:sig w:usb0="E10102FF" w:usb1="EAC7FFFF" w:usb2="00010012" w:usb3="00000000" w:csb0="6002009F" w:csb1="DFD70000"/>
  </w:font>
  <w:font w:name="Franklin Gothic Demi Cond">
    <w:panose1 w:val="020B0706030402020204"/>
    <w:charset w:val="00"/>
    <w:family w:val="auto"/>
    <w:pitch w:val="variable"/>
    <w:sig w:usb0="00000287" w:usb1="00000000" w:usb2="00000000" w:usb3="00000000" w:csb0="2000009F" w:csb1="DFD70000"/>
  </w:font>
  <w:font w:name="Vladimir Script">
    <w:panose1 w:val="03050402040407070305"/>
    <w:charset w:val="00"/>
    <w:family w:val="auto"/>
    <w:pitch w:val="variable"/>
    <w:sig w:usb0="00000003" w:usb1="00000000" w:usb2="00000000" w:usb3="00000000" w:csb0="20000001" w:csb1="00000000"/>
  </w:font>
  <w:font w:name="Microsoft Himalaya">
    <w:panose1 w:val="01010100010101010101"/>
    <w:charset w:val="00"/>
    <w:family w:val="auto"/>
    <w:pitch w:val="variable"/>
    <w:sig w:usb0="80000003" w:usb1="00010000" w:usb2="00000040" w:usb3="00000000" w:csb0="00000001" w:csb1="00000000"/>
  </w:font>
  <w:font w:name="Microsoft JhengHei">
    <w:panose1 w:val="020B0604030504040204"/>
    <w:charset w:val="88"/>
    <w:family w:val="auto"/>
    <w:pitch w:val="variable"/>
    <w:sig w:usb0="00000087" w:usb1="28AF4000" w:usb2="00000016" w:usb3="00000000" w:csb0="00100009" w:csb1="00000000"/>
  </w:font>
  <w:font w:name="@Microsoft JhengHei">
    <w:panose1 w:val="020B0604030504040204"/>
    <w:charset w:val="88"/>
    <w:family w:val="auto"/>
    <w:pitch w:val="variable"/>
    <w:sig w:usb0="00000087" w:usb1="28AF4000" w:usb2="00000016" w:usb3="00000000" w:csb0="00100009" w:csb1="00000000"/>
  </w:font>
  <w:font w:name="微软雅黑">
    <w:panose1 w:val="020B0503020204020204"/>
    <w:charset w:val="86"/>
    <w:family w:val="auto"/>
    <w:pitch w:val="variable"/>
    <w:sig w:usb0="80000287" w:usb1="280F3C52" w:usb2="00000016" w:usb3="00000000" w:csb0="0004001F" w:csb1="00000000"/>
  </w:font>
  <w:font w:name="Perpetua Titling MT">
    <w:panose1 w:val="02020502060505020804"/>
    <w:charset w:val="00"/>
    <w:family w:val="auto"/>
    <w:pitch w:val="variable"/>
    <w:sig w:usb0="00000003" w:usb1="00000000" w:usb2="00000000" w:usb3="00000000" w:csb0="20000001" w:csb1="00000000"/>
  </w:font>
  <w:font w:name="@微软雅黑">
    <w:panose1 w:val="020B0503020204020204"/>
    <w:charset w:val="86"/>
    <w:family w:val="auto"/>
    <w:pitch w:val="variable"/>
    <w:sig w:usb0="80000287" w:usb1="280F3C52" w:usb2="00000016" w:usb3="00000000" w:csb0="0004001F" w:csb1="00000000"/>
  </w:font>
  <w:font w:name="@MingLiU">
    <w:panose1 w:val="02020509000000000000"/>
    <w:charset w:val="88"/>
    <w:family w:val="auto"/>
    <w:pitch w:val="fixed"/>
    <w:sig w:usb0="A00002FF" w:usb1="28CFFCFA" w:usb2="00000016" w:usb3="00000000" w:csb0="00100001" w:csb1="00000000"/>
  </w:font>
  <w:font w:name="Pristina">
    <w:panose1 w:val="03060402040406080204"/>
    <w:charset w:val="00"/>
    <w:family w:val="auto"/>
    <w:pitch w:val="variable"/>
    <w:sig w:usb0="00000003" w:usb1="00000000" w:usb2="00000000" w:usb3="00000000" w:csb0="20000001" w:csb1="00000000"/>
  </w:font>
  <w:font w:name="@PMingLiU">
    <w:panose1 w:val="02020500000000000000"/>
    <w:charset w:val="88"/>
    <w:family w:val="auto"/>
    <w:pitch w:val="variable"/>
    <w:sig w:usb0="A00002FF" w:usb1="28CFFCFA" w:usb2="00000016" w:usb3="00000000" w:csb0="00100001" w:csb1="00000000"/>
  </w:font>
  <w:font w:name="Juice ITC">
    <w:panose1 w:val="04040403040A02020202"/>
    <w:charset w:val="00"/>
    <w:family w:val="auto"/>
    <w:pitch w:val="variable"/>
    <w:sig w:usb0="00000003" w:usb1="00000000" w:usb2="00000000" w:usb3="00000000" w:csb0="20000001" w:csb1="00000000"/>
  </w:font>
  <w:font w:name="@幼圆">
    <w:panose1 w:val="02010509060101010101"/>
    <w:charset w:val="86"/>
    <w:family w:val="auto"/>
    <w:pitch w:val="fixed"/>
    <w:sig w:usb0="00000001" w:usb1="080E0000" w:usb2="00000000" w:usb3="00000000" w:csb0="00040000" w:csb1="00000000"/>
  </w:font>
  <w:font w:name="MingLiU_HKSCS">
    <w:panose1 w:val="02020500000000000000"/>
    <w:charset w:val="88"/>
    <w:family w:val="auto"/>
    <w:pitch w:val="variable"/>
    <w:sig w:usb0="A00002FF" w:usb1="38CFFCFA" w:usb2="00000016" w:usb3="00000000" w:csb0="00100001" w:csb1="00000000"/>
  </w:font>
  <w:font w:name="@MingLiU_HKSCS">
    <w:panose1 w:val="02020500000000000000"/>
    <w:charset w:val="88"/>
    <w:family w:val="auto"/>
    <w:pitch w:val="variable"/>
    <w:sig w:usb0="A00002FF" w:usb1="38CFFCFA" w:usb2="00000016" w:usb3="00000000" w:csb0="00100001" w:csb1="00000000"/>
  </w:font>
  <w:font w:name="OCR A Extended">
    <w:panose1 w:val="02010509020102010303"/>
    <w:charset w:val="00"/>
    <w:family w:val="auto"/>
    <w:pitch w:val="variable"/>
    <w:sig w:usb0="00000003" w:usb1="00000000" w:usb2="00000000" w:usb3="00000000" w:csb0="20000001" w:csb1="00000000"/>
  </w:font>
  <w:font w:name="@MingLiU-ExtB">
    <w:panose1 w:val="02020500000000000000"/>
    <w:charset w:val="88"/>
    <w:family w:val="auto"/>
    <w:pitch w:val="variable"/>
    <w:sig w:usb0="8000002F" w:usb1="02000008" w:usb2="00000000" w:usb3="00000000" w:csb0="00100001" w:csb1="00000000"/>
  </w:font>
  <w:font w:name="@PMingLiU-ExtB">
    <w:panose1 w:val="02020500000000000000"/>
    <w:charset w:val="88"/>
    <w:family w:val="auto"/>
    <w:pitch w:val="variable"/>
    <w:sig w:usb0="8000002F" w:usb1="02000008" w:usb2="00000000" w:usb3="00000000" w:csb0="00100001" w:csb1="00000000"/>
  </w:font>
  <w:font w:name="MingLiU_HKSCS-ExtB">
    <w:panose1 w:val="02020500000000000000"/>
    <w:charset w:val="88"/>
    <w:family w:val="auto"/>
    <w:pitch w:val="variable"/>
    <w:sig w:usb0="8000002F" w:usb1="02000008" w:usb2="00000000" w:usb3="00000000" w:csb0="00100001" w:csb1="00000000"/>
  </w:font>
  <w:font w:name="华文琥珀">
    <w:panose1 w:val="02010800040101010101"/>
    <w:charset w:val="86"/>
    <w:family w:val="auto"/>
    <w:pitch w:val="variable"/>
    <w:sig w:usb0="00000001" w:usb1="080F0000" w:usb2="00000000" w:usb3="00000000" w:csb0="00040000" w:csb1="00000000"/>
  </w:font>
  <w:font w:name="@方正舒体">
    <w:panose1 w:val="02010601030101010101"/>
    <w:charset w:val="86"/>
    <w:family w:val="auto"/>
    <w:pitch w:val="variable"/>
    <w:sig w:usb0="00000003" w:usb1="080E0000" w:usb2="00000000" w:usb3="00000000" w:csb0="00040000" w:csb1="00000000"/>
  </w:font>
  <w:font w:name="@MingLiU_HKSCS-ExtB">
    <w:panose1 w:val="02020500000000000000"/>
    <w:charset w:val="88"/>
    <w:family w:val="auto"/>
    <w:pitch w:val="variable"/>
    <w:sig w:usb0="8000002F" w:usb1="02000008" w:usb2="00000000" w:usb3="00000000" w:csb0="00100001" w:csb1="00000000"/>
  </w:font>
  <w:font w:name="Mongolian Baiti">
    <w:panose1 w:val="03000500000000000000"/>
    <w:charset w:val="00"/>
    <w:family w:val="auto"/>
    <w:pitch w:val="variable"/>
    <w:sig w:usb0="80000023" w:usb1="00000000" w:usb2="00020000" w:usb3="00000000" w:csb0="00000001" w:csb1="00000000"/>
  </w:font>
  <w:font w:name="@MS Gothic">
    <w:panose1 w:val="020B0609070205080204"/>
    <w:charset w:val="80"/>
    <w:family w:val="auto"/>
    <w:pitch w:val="fixed"/>
    <w:sig w:usb0="E00002FF" w:usb1="6AC7FDFB" w:usb2="00000012" w:usb3="00000000" w:csb0="4002009F" w:csb1="DFD70000"/>
  </w:font>
  <w:font w:name="MS PGothic">
    <w:panose1 w:val="020B0600070205080204"/>
    <w:charset w:val="80"/>
    <w:family w:val="auto"/>
    <w:pitch w:val="variable"/>
    <w:sig w:usb0="E00002FF" w:usb1="6AC7FDFB" w:usb2="00000012" w:usb3="00000000" w:csb0="4002009F" w:csb1="DFD70000"/>
  </w:font>
  <w:font w:name="@MS UI Gothic">
    <w:panose1 w:val="020B0600070205080204"/>
    <w:charset w:val="80"/>
    <w:family w:val="auto"/>
    <w:pitch w:val="variable"/>
    <w:sig w:usb0="E00002FF" w:usb1="6AC7FDFB" w:usb2="00000012" w:usb3="00000000" w:csb0="4002009F" w:csb1="DFD70000"/>
  </w:font>
  <w:font w:name="@MS Mincho">
    <w:panose1 w:val="02020609040205080304"/>
    <w:charset w:val="80"/>
    <w:family w:val="auto"/>
    <w:pitch w:val="fixed"/>
    <w:sig w:usb0="E00002FF" w:usb1="6AC7FDFB" w:usb2="00000012" w:usb3="00000000" w:csb0="4002009F" w:csb1="DFD70000"/>
  </w:font>
  <w:font w:name="MS PMincho">
    <w:panose1 w:val="02020600040205080304"/>
    <w:charset w:val="80"/>
    <w:family w:val="auto"/>
    <w:pitch w:val="variable"/>
    <w:sig w:usb0="E00002FF" w:usb1="6AC7FDFB" w:usb2="00000012" w:usb3="00000000" w:csb0="4002009F" w:csb1="DFD70000"/>
  </w:font>
  <w:font w:name="@MS PMincho">
    <w:panose1 w:val="02020600040205080304"/>
    <w:charset w:val="80"/>
    <w:family w:val="auto"/>
    <w:pitch w:val="variable"/>
    <w:sig w:usb0="E00002FF" w:usb1="6AC7FDFB" w:usb2="00000012" w:usb3="00000000" w:csb0="4002009F" w:csb1="DFD70000"/>
  </w:font>
  <w:font w:name="MV Boli">
    <w:panose1 w:val="02000500030200090000"/>
    <w:charset w:val="00"/>
    <w:family w:val="auto"/>
    <w:pitch w:val="variable"/>
    <w:sig w:usb0="00000003" w:usb1="00000000" w:usb2="00000100" w:usb3="00000000" w:csb0="00000001" w:csb1="00000000"/>
  </w:font>
  <w:font w:name="Niagara Solid">
    <w:panose1 w:val="04020502070702020202"/>
    <w:charset w:val="00"/>
    <w:family w:val="auto"/>
    <w:pitch w:val="variable"/>
    <w:sig w:usb0="00000003" w:usb1="00000000" w:usb2="00000000" w:usb3="00000000" w:csb0="20000001" w:csb1="00000000"/>
  </w:font>
  <w:font w:name="French Script MT">
    <w:panose1 w:val="03020402040607040605"/>
    <w:charset w:val="00"/>
    <w:family w:val="auto"/>
    <w:pitch w:val="variable"/>
    <w:sig w:usb0="00000003" w:usb1="00000000" w:usb2="00000000" w:usb3="00000000" w:csb0="20000001" w:csb1="00000000"/>
  </w:font>
  <w:font w:name="Nyala">
    <w:panose1 w:val="02000504070300020003"/>
    <w:charset w:val="00"/>
    <w:family w:val="auto"/>
    <w:pitch w:val="variable"/>
    <w:sig w:usb0="A000006F" w:usb1="00000000" w:usb2="00000800" w:usb3="00000000" w:csb0="00000093" w:csb1="00000000"/>
  </w:font>
  <w:font w:name="Microsoft PhagsPa">
    <w:panose1 w:val="020B0502040204020203"/>
    <w:charset w:val="00"/>
    <w:family w:val="auto"/>
    <w:pitch w:val="variable"/>
    <w:sig w:usb0="00000003" w:usb1="00200000" w:usb2="08000000" w:usb3="00000000" w:csb0="00000001" w:csb1="00000000"/>
  </w:font>
  <w:font w:name="@宋体-方正超大字符集">
    <w:panose1 w:val="03000509000000000000"/>
    <w:charset w:val="86"/>
    <w:family w:val="auto"/>
    <w:pitch w:val="fixed"/>
    <w:sig w:usb0="00000001" w:usb1="080E0000" w:usb2="00000000" w:usb3="00000000" w:csb0="00040000" w:csb1="00000000"/>
  </w:font>
  <w:font w:name="Plantagenet Cherokee">
    <w:panose1 w:val="02020602070100000000"/>
    <w:charset w:val="00"/>
    <w:family w:val="auto"/>
    <w:pitch w:val="variable"/>
    <w:sig w:usb0="00000003" w:usb1="00000000" w:usb2="00001000" w:usb3="00000000" w:csb0="00000001" w:csb1="00000000"/>
  </w:font>
  <w:font w:name="NumberOnly">
    <w:panose1 w:val="020B0500000000000000"/>
    <w:charset w:val="00"/>
    <w:family w:val="auto"/>
    <w:pitch w:val="variable"/>
    <w:sig w:usb0="8000002F" w:usb1="10000048" w:usb2="00000000" w:usb3="00000000" w:csb0="00000111" w:csb1="40000000"/>
  </w:font>
  <w:font w:name="Segoe UI">
    <w:panose1 w:val="020B0502040204020203"/>
    <w:charset w:val="00"/>
    <w:family w:val="auto"/>
    <w:pitch w:val="variable"/>
    <w:sig w:usb0="E10022FF" w:usb1="C000E47F" w:usb2="00000029" w:usb3="00000000" w:csb0="200001DF" w:csb1="20000000"/>
  </w:font>
  <w:font w:name="Franklin Gothic Medium Cond">
    <w:panose1 w:val="020B0606030402020204"/>
    <w:charset w:val="00"/>
    <w:family w:val="auto"/>
    <w:pitch w:val="variable"/>
    <w:sig w:usb0="00000287" w:usb1="00000000" w:usb2="00000000" w:usb3="00000000" w:csb0="2000009F" w:csb1="DFD70000"/>
  </w:font>
  <w:font w:name="Segoe UI Semibold">
    <w:panose1 w:val="020B0702040204020203"/>
    <w:charset w:val="00"/>
    <w:family w:val="auto"/>
    <w:pitch w:val="variable"/>
    <w:sig w:usb0="E00002FF" w:usb1="4000A47B" w:usb2="00000001" w:usb3="00000000" w:csb0="2000019F" w:csb1="00000000"/>
  </w:font>
  <w:font w:name="@宋体">
    <w:panose1 w:val="02010600030101010101"/>
    <w:charset w:val="86"/>
    <w:family w:val="auto"/>
    <w:pitch w:val="variable"/>
    <w:sig w:usb0="00000003" w:usb1="288F0000" w:usb2="00000006" w:usb3="00000000" w:csb0="00040001" w:csb1="00000000"/>
  </w:font>
  <w:font w:name="Constantia">
    <w:panose1 w:val="02030602050306030303"/>
    <w:charset w:val="00"/>
    <w:family w:val="auto"/>
    <w:pitch w:val="variable"/>
    <w:sig w:usb0="A00002EF" w:usb1="4000204B" w:usb2="00000000" w:usb3="00000000" w:csb0="2000019F" w:csb1="00000000"/>
  </w:font>
  <w:font w:name="@新宋体">
    <w:panose1 w:val="02010609030101010101"/>
    <w:charset w:val="86"/>
    <w:family w:val="auto"/>
    <w:pitch w:val="fixed"/>
    <w:sig w:usb0="00000003" w:usb1="288F0000" w:usb2="00000006" w:usb3="00000000" w:csb0="00040001" w:csb1="00000000"/>
  </w:font>
  <w:font w:name="SimSun-ExtB">
    <w:panose1 w:val="02010609060101010101"/>
    <w:charset w:val="86"/>
    <w:family w:val="auto"/>
    <w:pitch w:val="fixed"/>
    <w:sig w:usb0="00000001" w:usb1="02000000" w:usb2="00000000" w:usb3="00000000" w:csb0="00040001" w:csb1="00000000"/>
  </w:font>
  <w:font w:name="Castellar">
    <w:panose1 w:val="020A0402060406010301"/>
    <w:charset w:val="00"/>
    <w:family w:val="auto"/>
    <w:pitch w:val="variable"/>
    <w:sig w:usb0="00000003" w:usb1="00000000" w:usb2="00000000" w:usb3="00000000" w:csb0="20000001" w:csb1="00000000"/>
  </w:font>
  <w:font w:name="Elephant">
    <w:panose1 w:val="02020904090505020303"/>
    <w:charset w:val="00"/>
    <w:family w:val="auto"/>
    <w:pitch w:val="variable"/>
    <w:sig w:usb0="00000003" w:usb1="00000000" w:usb2="00000000" w:usb3="00000000" w:csb0="20000001" w:csb1="00000000"/>
  </w:font>
  <w:font w:name="KodchiangUPC">
    <w:panose1 w:val="02020603050405020304"/>
    <w:charset w:val="00"/>
    <w:family w:val="auto"/>
    <w:pitch w:val="variable"/>
    <w:sig w:usb0="01000007" w:usb1="00000002" w:usb2="00000000" w:usb3="00000000" w:csb0="00010001" w:csb1="00000000"/>
  </w:font>
  <w:font w:name="Microsoft Tai Le">
    <w:panose1 w:val="020B0502040204020203"/>
    <w:charset w:val="00"/>
    <w:family w:val="auto"/>
    <w:pitch w:val="variable"/>
    <w:sig w:usb0="00000003" w:usb1="00000000" w:usb2="40000000" w:usb3="00000000" w:csb0="00000001" w:csb1="00000000"/>
  </w:font>
  <w:font w:name="Shonar Bangla">
    <w:panose1 w:val="020B0502040204020203"/>
    <w:charset w:val="00"/>
    <w:family w:val="auto"/>
    <w:pitch w:val="variable"/>
    <w:sig w:usb0="00010003" w:usb1="00000000" w:usb2="00000000" w:usb3="00000000" w:csb0="00000001" w:csb1="00000000"/>
  </w:font>
  <w:font w:name="Microsoft Yi Baiti">
    <w:panose1 w:val="03000500000000000000"/>
    <w:charset w:val="00"/>
    <w:family w:val="auto"/>
    <w:pitch w:val="variable"/>
    <w:sig w:usb0="80000003" w:usb1="00010402" w:usb2="00080002" w:usb3="00000000" w:csb0="00000001" w:csb1="00000000"/>
  </w:font>
  <w:font w:name="Lucida Bright">
    <w:panose1 w:val="02040602050505020304"/>
    <w:charset w:val="00"/>
    <w:family w:val="auto"/>
    <w:pitch w:val="variable"/>
    <w:sig w:usb0="00000003" w:usb1="00000000" w:usb2="00000000" w:usb3="00000000" w:csb0="20000001" w:csb1="00000000"/>
  </w:font>
  <w:font w:name="Monotype Corsiva">
    <w:panose1 w:val="03010101010201010101"/>
    <w:charset w:val="00"/>
    <w:family w:val="auto"/>
    <w:pitch w:val="variable"/>
    <w:sig w:usb0="00000287" w:usb1="00000000" w:usb2="00000000" w:usb3="00000000" w:csb0="2000009F" w:csb1="DFD70000"/>
  </w:font>
  <w:font w:name="Microsoft Sans Serif">
    <w:panose1 w:val="020B0604020202020204"/>
    <w:charset w:val="00"/>
    <w:family w:val="auto"/>
    <w:pitch w:val="variable"/>
    <w:sig w:usb0="E1002AFF" w:usb1="C0000002" w:usb2="00000008" w:usb3="00000000" w:csb0="200101FF" w:csb1="20280000"/>
  </w:font>
  <w:font w:name="Aparajita">
    <w:panose1 w:val="020B0604020202020204"/>
    <w:charset w:val="00"/>
    <w:family w:val="auto"/>
    <w:pitch w:val="variable"/>
    <w:sig w:usb0="00008003" w:usb1="00000000" w:usb2="00000000" w:usb3="00000000" w:csb0="00000001" w:csb1="00000000"/>
  </w:font>
  <w:font w:name="Ebrima">
    <w:panose1 w:val="02000000000000000000"/>
    <w:charset w:val="00"/>
    <w:family w:val="auto"/>
    <w:pitch w:val="variable"/>
    <w:sig w:usb0="A000505F" w:usb1="02000041" w:usb2="00000000" w:usb3="00000404" w:csb0="00000093" w:csb1="00000000"/>
  </w:font>
  <w:font w:name="Bodoni MT Poster Compressed">
    <w:panose1 w:val="02070706080601050204"/>
    <w:charset w:val="00"/>
    <w:family w:val="auto"/>
    <w:pitch w:val="variable"/>
    <w:sig w:usb0="00000003" w:usb1="00000000" w:usb2="00000000" w:usb3="00000000" w:csb0="20000011" w:csb1="00000000"/>
  </w:font>
  <w:font w:name="Traditional Arabic">
    <w:panose1 w:val="02020603050405020304"/>
    <w:charset w:val="00"/>
    <w:family w:val="auto"/>
    <w:pitch w:val="variable"/>
    <w:sig w:usb0="00006003" w:usb1="80000000" w:usb2="00000008" w:usb3="00000000" w:csb0="00000041" w:csb1="20080000"/>
  </w:font>
  <w:font w:name="Gisha">
    <w:panose1 w:val="020B0502040204020203"/>
    <w:charset w:val="00"/>
    <w:family w:val="auto"/>
    <w:pitch w:val="variable"/>
    <w:sig w:usb0="80000807" w:usb1="40000042" w:usb2="00000000" w:usb3="00000000" w:csb0="00000021" w:csb1="00000000"/>
  </w:font>
  <w:font w:name="Kokila">
    <w:panose1 w:val="020B0604020202020204"/>
    <w:charset w:val="00"/>
    <w:family w:val="auto"/>
    <w:pitch w:val="variable"/>
    <w:sig w:usb0="00008003" w:usb1="00000000" w:usb2="00000000" w:usb3="00000000" w:csb0="00000001" w:csb1="00000000"/>
  </w:font>
  <w:font w:name="MoolBoran">
    <w:panose1 w:val="020B0100010101010101"/>
    <w:charset w:val="00"/>
    <w:family w:val="auto"/>
    <w:pitch w:val="variable"/>
    <w:sig w:usb0="8000000F" w:usb1="0000204A" w:usb2="00010000" w:usb3="00000000" w:csb0="00000001" w:csb1="00000000"/>
  </w:font>
  <w:font w:name="Utsaah">
    <w:panose1 w:val="020B0604020202020204"/>
    <w:charset w:val="00"/>
    <w:family w:val="auto"/>
    <w:pitch w:val="variable"/>
    <w:sig w:usb0="00008003" w:usb1="00000000" w:usb2="00000000" w:usb3="00000000" w:csb0="00000001" w:csb1="00000000"/>
  </w:font>
  <w:font w:name="Lucida Sans Typewriter">
    <w:panose1 w:val="020B0509030504030204"/>
    <w:charset w:val="00"/>
    <w:family w:val="auto"/>
    <w:pitch w:val="fixed"/>
    <w:sig w:usb0="00000003" w:usb1="00000000" w:usb2="00000000" w:usb3="00000000" w:csb0="20000001" w:csb1="00000000"/>
  </w:font>
  <w:font w:name="Vijaya">
    <w:panose1 w:val="020B0604020202020204"/>
    <w:charset w:val="00"/>
    <w:family w:val="auto"/>
    <w:pitch w:val="variable"/>
    <w:sig w:usb0="00100003" w:usb1="00000000" w:usb2="00000000" w:usb3="00000000" w:csb0="00000001" w:csb1="00000000"/>
  </w:font>
  <w:font w:name="Andalus">
    <w:panose1 w:val="02020603050405020304"/>
    <w:charset w:val="00"/>
    <w:family w:val="auto"/>
    <w:pitch w:val="variable"/>
    <w:sig w:usb0="00002003" w:usb1="80000000" w:usb2="00000008" w:usb3="00000000" w:csb0="00000041" w:csb1="20080000"/>
  </w:font>
  <w:font w:name="宋体-方正超大字符集">
    <w:panose1 w:val="03000509000000000000"/>
    <w:charset w:val="86"/>
    <w:family w:val="auto"/>
    <w:pitch w:val="fixed"/>
    <w:sig w:usb0="00000001" w:usb1="080E0000" w:usb2="00000000" w:usb3="00000000" w:csb0="00040000" w:csb1="00000000"/>
  </w:font>
  <w:font w:name="Rage Italic">
    <w:panose1 w:val="03070502040507070304"/>
    <w:charset w:val="00"/>
    <w:family w:val="auto"/>
    <w:pitch w:val="variable"/>
    <w:sig w:usb0="00000003" w:usb1="00000000" w:usb2="00000000" w:usb3="00000000" w:csb0="20000001" w:csb1="00000000"/>
  </w:font>
  <w:font w:name="Arabic Typesetting">
    <w:panose1 w:val="03020402040406030203"/>
    <w:charset w:val="00"/>
    <w:family w:val="auto"/>
    <w:pitch w:val="variable"/>
    <w:sig w:usb0="A000206F" w:usb1="C0000000" w:usb2="00000008" w:usb3="00000000" w:csb0="200000D3" w:csb1="00000000"/>
  </w:font>
  <w:font w:name="Simplified Arabic">
    <w:panose1 w:val="02020603050405020304"/>
    <w:charset w:val="00"/>
    <w:family w:val="auto"/>
    <w:pitch w:val="variable"/>
    <w:sig w:usb0="00002003" w:usb1="00000000" w:usb2="00000000" w:usb3="00000000" w:csb0="00000041" w:csb1="20080000"/>
  </w:font>
  <w:font w:name="Simplified Arabic Fixed">
    <w:panose1 w:val="02070309020205020404"/>
    <w:charset w:val="00"/>
    <w:family w:val="auto"/>
    <w:pitch w:val="fixed"/>
    <w:sig w:usb0="00002003" w:usb1="00000000" w:usb2="00000000" w:usb3="00000000" w:csb0="00000041" w:csb1="20080000"/>
  </w:font>
  <w:font w:name="Sakkal Majalla">
    <w:panose1 w:val="02000000000000000000"/>
    <w:charset w:val="00"/>
    <w:family w:val="auto"/>
    <w:pitch w:val="variable"/>
    <w:sig w:usb0="A000207F" w:usb1="C000204B" w:usb2="00000008" w:usb3="00000000" w:csb0="200000D3" w:csb1="00000000"/>
  </w:font>
  <w:font w:name="Aharoni">
    <w:panose1 w:val="02010803020104030203"/>
    <w:charset w:val="B1"/>
    <w:family w:val="auto"/>
    <w:pitch w:val="variable"/>
    <w:sig w:usb0="00000801" w:usb1="00000000" w:usb2="00000000" w:usb3="00000000" w:csb0="00000020" w:csb1="00200000"/>
  </w:font>
  <w:font w:name="@华文楷体">
    <w:panose1 w:val="02010600040101010101"/>
    <w:charset w:val="86"/>
    <w:family w:val="auto"/>
    <w:pitch w:val="variable"/>
    <w:sig w:usb0="00000287" w:usb1="080F0000" w:usb2="00000000" w:usb3="00000000" w:csb0="0004009F" w:csb1="DFD70000"/>
  </w:font>
  <w:font w:name="David">
    <w:panose1 w:val="020E0502060401010101"/>
    <w:charset w:val="B1"/>
    <w:family w:val="auto"/>
    <w:pitch w:val="variable"/>
    <w:sig w:usb0="00000801" w:usb1="00000000" w:usb2="00000000" w:usb3="00000000" w:csb0="00000020" w:csb1="00200000"/>
  </w:font>
  <w:font w:name="FrankRuehl">
    <w:panose1 w:val="020E0503060101010101"/>
    <w:charset w:val="B1"/>
    <w:family w:val="auto"/>
    <w:pitch w:val="variable"/>
    <w:sig w:usb0="00000801" w:usb1="00000000" w:usb2="00000000" w:usb3="00000000" w:csb0="00000020" w:csb1="00200000"/>
  </w:font>
  <w:font w:name="@华文隶书">
    <w:panose1 w:val="02010800040101010101"/>
    <w:charset w:val="86"/>
    <w:family w:val="auto"/>
    <w:pitch w:val="variable"/>
    <w:sig w:usb0="00000001" w:usb1="080F0000" w:usb2="00000000" w:usb3="00000000" w:csb0="00040000" w:csb1="00000000"/>
  </w:font>
  <w:font w:name="Levenim MT">
    <w:panose1 w:val="02010502060101010101"/>
    <w:charset w:val="B1"/>
    <w:family w:val="auto"/>
    <w:pitch w:val="variable"/>
    <w:sig w:usb0="00000801" w:usb1="00000000" w:usb2="00000000" w:usb3="00000000" w:csb0="00000020" w:csb1="00200000"/>
  </w:font>
  <w:font w:name="Miriam">
    <w:panose1 w:val="020B0502050101010101"/>
    <w:charset w:val="B1"/>
    <w:family w:val="auto"/>
    <w:pitch w:val="variable"/>
    <w:sig w:usb0="00000801" w:usb1="00000000" w:usb2="00000000" w:usb3="00000000" w:csb0="00000020" w:csb1="00200000"/>
  </w:font>
  <w:font w:name="Narkisim">
    <w:panose1 w:val="020E0502050101010101"/>
    <w:charset w:val="B1"/>
    <w:family w:val="auto"/>
    <w:pitch w:val="variable"/>
    <w:sig w:usb0="00000801" w:usb1="00000000" w:usb2="00000000" w:usb3="00000000" w:csb0="00000020" w:csb1="00200000"/>
  </w:font>
  <w:font w:name="Miriam Fixed">
    <w:panose1 w:val="020B0509050101010101"/>
    <w:charset w:val="B1"/>
    <w:family w:val="auto"/>
    <w:pitch w:val="fixed"/>
    <w:sig w:usb0="00000801" w:usb1="00000000" w:usb2="00000000" w:usb3="00000000" w:csb0="00000020" w:csb1="00200000"/>
  </w:font>
  <w:font w:name="Rod">
    <w:panose1 w:val="02030509050101010101"/>
    <w:charset w:val="B1"/>
    <w:family w:val="auto"/>
    <w:pitch w:val="fixed"/>
    <w:sig w:usb0="00000801" w:usb1="00000000" w:usb2="00000000" w:usb3="00000000" w:csb0="00000020" w:csb1="00200000"/>
  </w:font>
  <w:font w:name="仿宋">
    <w:panose1 w:val="02010609060101010101"/>
    <w:charset w:val="86"/>
    <w:family w:val="auto"/>
    <w:pitch w:val="fixed"/>
    <w:sig w:usb0="800002BF" w:usb1="38CF7CFA" w:usb2="00000016" w:usb3="00000000" w:csb0="00040001" w:csb1="00000000"/>
  </w:font>
  <w:font w:name="@仿宋">
    <w:panose1 w:val="02010609060101010101"/>
    <w:charset w:val="86"/>
    <w:family w:val="auto"/>
    <w:pitch w:val="fixed"/>
    <w:sig w:usb0="800002BF" w:usb1="38CF7CFA" w:usb2="00000016" w:usb3="00000000" w:csb0="00040001" w:csb1="00000000"/>
  </w:font>
  <w:font w:name="@黑体">
    <w:panose1 w:val="02010609060101010101"/>
    <w:charset w:val="86"/>
    <w:family w:val="auto"/>
    <w:pitch w:val="fixed"/>
    <w:sig w:usb0="800002BF" w:usb1="38CF7CFA" w:usb2="00000016" w:usb3="00000000" w:csb0="00040001" w:csb1="00000000"/>
  </w:font>
  <w:font w:name="High Tower Text">
    <w:panose1 w:val="02040502050506030303"/>
    <w:charset w:val="00"/>
    <w:family w:val="auto"/>
    <w:pitch w:val="variable"/>
    <w:sig w:usb0="00000003" w:usb1="00000000" w:usb2="00000000" w:usb3="00000000" w:csb0="20000001" w:csb1="00000000"/>
  </w:font>
  <w:font w:name="@楷体">
    <w:panose1 w:val="02010609060101010101"/>
    <w:charset w:val="86"/>
    <w:family w:val="auto"/>
    <w:pitch w:val="fixed"/>
    <w:sig w:usb0="800002BF" w:usb1="38CF7CFA" w:usb2="00000016" w:usb3="00000000" w:csb0="00040001" w:csb1="00000000"/>
  </w:font>
  <w:font w:name="Snap ITC">
    <w:panose1 w:val="04040A07060A02020202"/>
    <w:charset w:val="00"/>
    <w:family w:val="auto"/>
    <w:pitch w:val="variable"/>
    <w:sig w:usb0="00000003" w:usb1="00000000" w:usb2="00000000" w:usb3="00000000" w:csb0="20000001" w:csb1="00000000"/>
  </w:font>
  <w:font w:name="Browallia New">
    <w:panose1 w:val="020B0604020202020204"/>
    <w:charset w:val="00"/>
    <w:family w:val="auto"/>
    <w:pitch w:val="variable"/>
    <w:sig w:usb0="81000003" w:usb1="00000000" w:usb2="00000000" w:usb3="00000000" w:csb0="00010001" w:csb1="00000000"/>
  </w:font>
  <w:font w:name="BrowalliaUPC">
    <w:panose1 w:val="020B0604020202020204"/>
    <w:charset w:val="00"/>
    <w:family w:val="auto"/>
    <w:pitch w:val="variable"/>
    <w:sig w:usb0="81000003" w:usb1="00000000" w:usb2="00000000" w:usb3="00000000" w:csb0="00010001" w:csb1="00000000"/>
  </w:font>
  <w:font w:name="Lucida Handwriting">
    <w:panose1 w:val="03010101010101010101"/>
    <w:charset w:val="00"/>
    <w:family w:val="auto"/>
    <w:pitch w:val="variable"/>
    <w:sig w:usb0="00000003" w:usb1="00000000" w:usb2="00000000" w:usb3="00000000" w:csb0="20000001" w:csb1="00000000"/>
  </w:font>
  <w:font w:name="DilleniaUPC">
    <w:panose1 w:val="02020603050405020304"/>
    <w:charset w:val="00"/>
    <w:family w:val="auto"/>
    <w:pitch w:val="variable"/>
    <w:sig w:usb0="81000027" w:usb1="00000002" w:usb2="00000000" w:usb3="00000000" w:csb0="00010001" w:csb1="00000000"/>
  </w:font>
  <w:font w:name="EucrosiaUPC">
    <w:panose1 w:val="02020603050405020304"/>
    <w:charset w:val="00"/>
    <w:family w:val="auto"/>
    <w:pitch w:val="variable"/>
    <w:sig w:usb0="81000027" w:usb1="00000002" w:usb2="00000000" w:usb3="00000000" w:csb0="00010001" w:csb1="00000000"/>
  </w:font>
  <w:font w:name="FreesiaUPC">
    <w:panose1 w:val="020B0604020202020204"/>
    <w:charset w:val="00"/>
    <w:family w:val="auto"/>
    <w:pitch w:val="variable"/>
    <w:sig w:usb0="01000007" w:usb1="00000002" w:usb2="00000000" w:usb3="00000000" w:csb0="00010001" w:csb1="00000000"/>
  </w:font>
  <w:font w:name="IrisUPC">
    <w:panose1 w:val="020B0604020202020204"/>
    <w:charset w:val="00"/>
    <w:family w:val="auto"/>
    <w:pitch w:val="variable"/>
    <w:sig w:usb0="01000007" w:usb1="00000002" w:usb2="00000000" w:usb3="00000000" w:csb0="00010001" w:csb1="00000000"/>
  </w:font>
  <w:font w:name="JasmineUPC">
    <w:panose1 w:val="02020603050405020304"/>
    <w:charset w:val="00"/>
    <w:family w:val="auto"/>
    <w:pitch w:val="variable"/>
    <w:sig w:usb0="01000007" w:usb1="00000002" w:usb2="00000000" w:usb3="00000000" w:csb0="00010001" w:csb1="00000000"/>
  </w:font>
  <w:font w:name="@方正粗黑宋简体">
    <w:panose1 w:val="02000000000000000000"/>
    <w:charset w:val="86"/>
    <w:family w:val="auto"/>
    <w:pitch w:val="variable"/>
    <w:sig w:usb0="A00002BF" w:usb1="184F6CFA" w:usb2="00000012" w:usb3="00000000" w:csb0="00040001" w:csb1="00000000"/>
  </w:font>
  <w:font w:name="LilyUPC">
    <w:panose1 w:val="020B0604020202020204"/>
    <w:charset w:val="00"/>
    <w:family w:val="auto"/>
    <w:pitch w:val="variable"/>
    <w:sig w:usb0="01000007" w:usb1="00000002" w:usb2="00000000" w:usb3="00000000" w:csb0="00010001" w:csb1="00000000"/>
  </w:font>
  <w:font w:name="Bradley Hand ITC">
    <w:panose1 w:val="03070402050302030203"/>
    <w:charset w:val="00"/>
    <w:family w:val="auto"/>
    <w:pitch w:val="variable"/>
    <w:sig w:usb0="00000003" w:usb1="00000000" w:usb2="00000000" w:usb3="00000000" w:csb0="20000001" w:csb1="00000000"/>
  </w:font>
  <w:font w:name="@DFKai-SB">
    <w:panose1 w:val="03000509000000000000"/>
    <w:charset w:val="88"/>
    <w:family w:val="auto"/>
    <w:pitch w:val="fixed"/>
    <w:sig w:usb0="00000003" w:usb1="082E0000" w:usb2="00000016" w:usb3="00000000" w:csb0="00100001" w:csb1="00000000"/>
  </w:font>
  <w:font w:name="Lucida Sans Unicode">
    <w:panose1 w:val="020B0602030504020204"/>
    <w:charset w:val="00"/>
    <w:family w:val="auto"/>
    <w:pitch w:val="variable"/>
    <w:sig w:usb0="80001AFF" w:usb1="0000396B" w:usb2="00000000" w:usb3="00000000" w:csb0="200000BF" w:csb1="D7F70000"/>
  </w:font>
  <w:font w:name="Arial Black">
    <w:panose1 w:val="020B0A04020102020204"/>
    <w:charset w:val="00"/>
    <w:family w:val="auto"/>
    <w:pitch w:val="variable"/>
    <w:sig w:usb0="00000287" w:usb1="00000000" w:usb2="00000000" w:usb3="00000000" w:csb0="2000009F" w:csb1="DFD70000"/>
  </w:font>
  <w:font w:name="Ravie">
    <w:panose1 w:val="04040805050809020602"/>
    <w:charset w:val="00"/>
    <w:family w:val="auto"/>
    <w:pitch w:val="variable"/>
    <w:sig w:usb0="00000003" w:usb1="00000000" w:usb2="00000000" w:usb3="00000000" w:csb0="20000001" w:csb1="00000000"/>
  </w:font>
  <w:font w:name="Candara">
    <w:panose1 w:val="020E0502030303020204"/>
    <w:charset w:val="00"/>
    <w:family w:val="auto"/>
    <w:pitch w:val="variable"/>
    <w:sig w:usb0="A00002EF" w:usb1="4000A44B" w:usb2="00000000" w:usb3="00000000" w:csb0="2000019F" w:csb1="00000000"/>
  </w:font>
  <w:font w:name="Gill Sans MT">
    <w:panose1 w:val="020B0502020104020203"/>
    <w:charset w:val="00"/>
    <w:family w:val="auto"/>
    <w:pitch w:val="variable"/>
    <w:sig w:usb0="00000003" w:usb1="00000000" w:usb2="00000000" w:usb3="00000000" w:csb0="20000003" w:csb1="00000000"/>
  </w:font>
  <w:font w:name="Comic Sans MS">
    <w:panose1 w:val="030F0702030302020204"/>
    <w:charset w:val="00"/>
    <w:family w:val="auto"/>
    <w:pitch w:val="variable"/>
    <w:sig w:usb0="00000287" w:usb1="00000000" w:usb2="00000000" w:usb3="00000000" w:csb0="2000009F" w:csb1="00000000"/>
  </w:font>
  <w:font w:name="Corbel">
    <w:panose1 w:val="020B0503020204020204"/>
    <w:charset w:val="00"/>
    <w:family w:val="auto"/>
    <w:pitch w:val="variable"/>
    <w:sig w:usb0="A00002EF" w:usb1="4000A44B" w:usb2="00000000" w:usb3="00000000" w:csb0="2000019F" w:csb1="00000000"/>
  </w:font>
  <w:font w:name="Franklin Gothic Medium">
    <w:panose1 w:val="020B0603020102020204"/>
    <w:charset w:val="00"/>
    <w:family w:val="auto"/>
    <w:pitch w:val="variable"/>
    <w:sig w:usb0="00000287" w:usb1="00000000" w:usb2="00000000" w:usb3="00000000" w:csb0="2000009F" w:csb1="DFD70000"/>
  </w:font>
  <w:font w:name="Microsoft JhengHei UI">
    <w:panose1 w:val="020B0604030504040204"/>
    <w:charset w:val="88"/>
    <w:family w:val="auto"/>
    <w:pitch w:val="variable"/>
    <w:sig w:usb0="00000087" w:usb1="28AF4000" w:usb2="00000016" w:usb3="00000000" w:csb0="00100009" w:csb1="00000000"/>
  </w:font>
  <w:font w:name="Gabriola">
    <w:panose1 w:val="04040605051002020D02"/>
    <w:charset w:val="00"/>
    <w:family w:val="auto"/>
    <w:pitch w:val="variable"/>
    <w:sig w:usb0="E00002EF" w:usb1="5000204B" w:usb2="00000000" w:usb3="00000000" w:csb0="2000009F" w:csb1="00000000"/>
  </w:font>
  <w:font w:name="Palatino Linotype">
    <w:panose1 w:val="02040502050505030304"/>
    <w:charset w:val="00"/>
    <w:family w:val="auto"/>
    <w:pitch w:val="variable"/>
    <w:sig w:usb0="E0000287" w:usb1="40000013" w:usb2="00000000" w:usb3="00000000" w:csb0="2000019F" w:csb1="00000000"/>
  </w:font>
  <w:font w:name="Papyrus">
    <w:panose1 w:val="03070502060502030205"/>
    <w:charset w:val="00"/>
    <w:family w:val="auto"/>
    <w:pitch w:val="variable"/>
    <w:sig w:usb0="00000003" w:usb1="00000000" w:usb2="00000000" w:usb3="00000000" w:csb0="20000001" w:csb1="00000000"/>
  </w:font>
  <w:font w:name="Microsoft YaHei UI">
    <w:panose1 w:val="020B0503020204020204"/>
    <w:charset w:val="86"/>
    <w:family w:val="auto"/>
    <w:pitch w:val="variable"/>
    <w:sig w:usb0="80000287" w:usb1="28CF3C52" w:usb2="00000016" w:usb3="00000000" w:csb0="0004001F" w:csb1="00000000"/>
  </w:font>
  <w:font w:name="Webdings">
    <w:panose1 w:val="05030102010509060703"/>
    <w:charset w:val="02"/>
    <w:family w:val="auto"/>
    <w:pitch w:val="variable"/>
    <w:sig w:usb0="00000000" w:usb1="00000000" w:usb2="00000000" w:usb3="00000000" w:csb0="80000000" w:csb1="00000000"/>
  </w:font>
  <w:font w:name="@方正姚体">
    <w:panose1 w:val="02010601030101010101"/>
    <w:charset w:val="86"/>
    <w:family w:val="auto"/>
    <w:pitch w:val="variable"/>
    <w:sig w:usb0="00000003" w:usb1="080E0000" w:usb2="00000000" w:usb3="00000000" w:csb0="00040000" w:csb1="00000000"/>
  </w:font>
  <w:font w:name="华文彩云">
    <w:panose1 w:val="02010800040101010101"/>
    <w:charset w:val="86"/>
    <w:family w:val="auto"/>
    <w:pitch w:val="variable"/>
    <w:sig w:usb0="00000001" w:usb1="080F0000" w:usb2="00000000" w:usb3="00000000" w:csb0="00040000" w:csb1="00000000"/>
  </w:font>
  <w:font w:name="@华文彩云">
    <w:panose1 w:val="02010800040101010101"/>
    <w:charset w:val="86"/>
    <w:family w:val="auto"/>
    <w:pitch w:val="variable"/>
    <w:sig w:usb0="00000001" w:usb1="080F0000" w:usb2="00000000" w:usb3="00000000" w:csb0="00040000" w:csb1="00000000"/>
  </w:font>
  <w:font w:name="华文仿宋">
    <w:panose1 w:val="02010600040101010101"/>
    <w:charset w:val="86"/>
    <w:family w:val="auto"/>
    <w:pitch w:val="variable"/>
    <w:sig w:usb0="00000287" w:usb1="080F0000" w:usb2="00000000" w:usb3="00000000" w:csb0="0004009F" w:csb1="DFD70000"/>
  </w:font>
  <w:font w:name="@华文仿宋">
    <w:panose1 w:val="02010600040101010101"/>
    <w:charset w:val="86"/>
    <w:family w:val="auto"/>
    <w:pitch w:val="variable"/>
    <w:sig w:usb0="00000287" w:usb1="080F0000" w:usb2="00000000" w:usb3="00000000" w:csb0="0004009F" w:csb1="DFD70000"/>
  </w:font>
  <w:font w:name="@华文琥珀">
    <w:panose1 w:val="02010800040101010101"/>
    <w:charset w:val="86"/>
    <w:family w:val="auto"/>
    <w:pitch w:val="variable"/>
    <w:sig w:usb0="00000001" w:usb1="080F0000" w:usb2="00000000" w:usb3="00000000" w:csb0="00040000" w:csb1="00000000"/>
  </w:font>
  <w:font w:name="华文楷体">
    <w:panose1 w:val="02010600040101010101"/>
    <w:charset w:val="86"/>
    <w:family w:val="auto"/>
    <w:pitch w:val="variable"/>
    <w:sig w:usb0="00000287" w:usb1="080F0000" w:usb2="00000000" w:usb3="00000000" w:csb0="0004009F" w:csb1="DFD70000"/>
  </w:font>
  <w:font w:name="华文隶书">
    <w:panose1 w:val="02010800040101010101"/>
    <w:charset w:val="86"/>
    <w:family w:val="auto"/>
    <w:pitch w:val="variable"/>
    <w:sig w:usb0="00000001" w:usb1="080F0000" w:usb2="00000000" w:usb3="00000000" w:csb0="00040000" w:csb1="00000000"/>
  </w:font>
  <w:font w:name="华文宋体">
    <w:panose1 w:val="02010600040101010101"/>
    <w:charset w:val="86"/>
    <w:family w:val="auto"/>
    <w:pitch w:val="variable"/>
    <w:sig w:usb0="00000287" w:usb1="080F0000" w:usb2="00000000" w:usb3="00000000" w:csb0="0004009F" w:csb1="DFD70000"/>
  </w:font>
  <w:font w:name="@华文宋体">
    <w:panose1 w:val="02010600040101010101"/>
    <w:charset w:val="86"/>
    <w:family w:val="auto"/>
    <w:pitch w:val="variable"/>
    <w:sig w:usb0="00000287" w:usb1="080F0000" w:usb2="00000000" w:usb3="00000000" w:csb0="0004009F" w:csb1="DFD70000"/>
  </w:font>
  <w:font w:name="Brush Script MT">
    <w:panose1 w:val="03060802040406070304"/>
    <w:charset w:val="00"/>
    <w:family w:val="auto"/>
    <w:pitch w:val="variable"/>
    <w:sig w:usb0="00000003" w:usb1="00000000" w:usb2="00000000" w:usb3="00000000" w:csb0="20000001" w:csb1="00000000"/>
  </w:font>
  <w:font w:name="@华文细黑">
    <w:panose1 w:val="02010600040101010101"/>
    <w:charset w:val="86"/>
    <w:family w:val="auto"/>
    <w:pitch w:val="variable"/>
    <w:sig w:usb0="00000287" w:usb1="080F0000" w:usb2="00000000" w:usb3="00000000" w:csb0="0004009F" w:csb1="DFD70000"/>
  </w:font>
  <w:font w:name="华文行楷">
    <w:panose1 w:val="02010800040101010101"/>
    <w:charset w:val="86"/>
    <w:family w:val="auto"/>
    <w:pitch w:val="variable"/>
    <w:sig w:usb0="00000001" w:usb1="080F0000" w:usb2="00000000" w:usb3="00000000" w:csb0="00040000" w:csb1="00000000"/>
  </w:font>
  <w:font w:name="@华文行楷">
    <w:panose1 w:val="02010800040101010101"/>
    <w:charset w:val="86"/>
    <w:family w:val="auto"/>
    <w:pitch w:val="variable"/>
    <w:sig w:usb0="00000001" w:usb1="080F0000" w:usb2="00000000" w:usb3="00000000" w:csb0="00040000" w:csb1="00000000"/>
  </w:font>
  <w:font w:name="@华文新魏">
    <w:panose1 w:val="02010800040101010101"/>
    <w:charset w:val="86"/>
    <w:family w:val="auto"/>
    <w:pitch w:val="variable"/>
    <w:sig w:usb0="00000001" w:usb1="080F0000" w:usb2="00000000" w:usb3="00000000" w:csb0="00040000" w:csb1="00000000"/>
  </w:font>
  <w:font w:name="华文中宋">
    <w:panose1 w:val="02010600040101010101"/>
    <w:charset w:val="86"/>
    <w:family w:val="auto"/>
    <w:pitch w:val="variable"/>
    <w:sig w:usb0="00000287" w:usb1="080F0000" w:usb2="00000000" w:usb3="00000000" w:csb0="0004009F" w:csb1="DFD70000"/>
  </w:font>
  <w:font w:name="@华文中宋">
    <w:panose1 w:val="02010600040101010101"/>
    <w:charset w:val="86"/>
    <w:family w:val="auto"/>
    <w:pitch w:val="variable"/>
    <w:sig w:usb0="00000287" w:usb1="080F0000" w:usb2="00000000" w:usb3="00000000" w:csb0="0004009F" w:csb1="DFD70000"/>
  </w:font>
  <w:font w:name="@Arial Unicode MS">
    <w:panose1 w:val="020B0604020202020204"/>
    <w:charset w:val="86"/>
    <w:family w:val="auto"/>
    <w:pitch w:val="variable"/>
    <w:sig w:usb0="FFFFFFFF" w:usb1="E9FFFFFF" w:usb2="0000003F" w:usb3="00000000" w:csb0="603F01FF" w:csb1="FFFF0000"/>
  </w:font>
  <w:font w:name="Calibri Light">
    <w:panose1 w:val="020F0302020204030204"/>
    <w:charset w:val="00"/>
    <w:family w:val="auto"/>
    <w:pitch w:val="variable"/>
    <w:sig w:usb0="A00002EF" w:usb1="4000207B" w:usb2="00000000" w:usb3="00000000" w:csb0="2000019F" w:csb1="00000000"/>
  </w:font>
  <w:font w:name="Leelawadee">
    <w:panose1 w:val="020B0502040204020203"/>
    <w:charset w:val="00"/>
    <w:family w:val="auto"/>
    <w:pitch w:val="variable"/>
    <w:sig w:usb0="01000001" w:usb1="00000000" w:usb2="00000000" w:usb3="00000000" w:csb0="20010001" w:csb1="00000000"/>
  </w:font>
  <w:font w:name="@Microsoft JhengHei UI">
    <w:panose1 w:val="020B0604030504040204"/>
    <w:charset w:val="88"/>
    <w:family w:val="auto"/>
    <w:pitch w:val="variable"/>
    <w:sig w:usb0="00000087" w:usb1="28AF4000" w:usb2="00000016" w:usb3="00000000" w:csb0="00100009" w:csb1="00000000"/>
  </w:font>
  <w:font w:name="Agency FB">
    <w:panose1 w:val="020B0503020202020204"/>
    <w:charset w:val="00"/>
    <w:family w:val="auto"/>
    <w:pitch w:val="variable"/>
    <w:sig w:usb0="00000003" w:usb1="00000000" w:usb2="00000000" w:usb3="00000000" w:csb0="20000001" w:csb1="00000000"/>
  </w:font>
  <w:font w:name="Microsoft Uighur">
    <w:panose1 w:val="02000000000000000000"/>
    <w:charset w:val="00"/>
    <w:family w:val="auto"/>
    <w:pitch w:val="variable"/>
    <w:sig w:usb0="80002023" w:usb1="80000002" w:usb2="00000008" w:usb3="00000000" w:csb0="00000041" w:csb1="00000000"/>
  </w:font>
  <w:font w:name="@Microsoft YaHei UI">
    <w:panose1 w:val="020B0503020204020204"/>
    <w:charset w:val="86"/>
    <w:family w:val="auto"/>
    <w:pitch w:val="variable"/>
    <w:sig w:usb0="80000287" w:usb1="28CF3C52" w:usb2="00000016" w:usb3="00000000" w:csb0="0004001F" w:csb1="00000000"/>
  </w:font>
  <w:font w:name="Segoe UI Semilight">
    <w:panose1 w:val="020B0402040204020203"/>
    <w:charset w:val="00"/>
    <w:family w:val="auto"/>
    <w:pitch w:val="variable"/>
    <w:sig w:usb0="E4002EFF" w:usb1="C000E47F" w:usb2="00000009" w:usb3="00000000" w:csb0="200001FF" w:csb1="00000000"/>
  </w:font>
  <w:font w:name="Wingdings 2">
    <w:panose1 w:val="05020102010507070707"/>
    <w:charset w:val="02"/>
    <w:family w:val="auto"/>
    <w:pitch w:val="variable"/>
    <w:sig w:usb0="00000000" w:usb1="00000000" w:usb2="00000000" w:usb3="00000000" w:csb0="80000000" w:csb1="00000000"/>
  </w:font>
  <w:font w:name="Wingdings 3">
    <w:panose1 w:val="05040102010807070707"/>
    <w:charset w:val="02"/>
    <w:family w:val="auto"/>
    <w:pitch w:val="variable"/>
    <w:sig w:usb0="00000000" w:usb1="00000000" w:usb2="00000000" w:usb3="00000000" w:csb0="80000000" w:csb1="00000000"/>
  </w:font>
  <w:font w:name="Tempus Sans ITC">
    <w:panose1 w:val="04020404030D07020202"/>
    <w:charset w:val="00"/>
    <w:family w:val="auto"/>
    <w:pitch w:val="variable"/>
    <w:sig w:usb0="00000003" w:usb1="00000000" w:usb2="00000000" w:usb3="00000000" w:csb0="20000001" w:csb1="00000000"/>
  </w:font>
  <w:font w:name="Mistral">
    <w:panose1 w:val="03090702030407020403"/>
    <w:charset w:val="00"/>
    <w:family w:val="auto"/>
    <w:pitch w:val="variable"/>
    <w:sig w:usb0="00000287" w:usb1="00000000" w:usb2="00000000" w:usb3="00000000" w:csb0="2000009F" w:csb1="DFD70000"/>
  </w:font>
  <w:font w:name="Kristen ITC">
    <w:panose1 w:val="03050502040202030202"/>
    <w:charset w:val="00"/>
    <w:family w:val="auto"/>
    <w:pitch w:val="variable"/>
    <w:sig w:usb0="00000003" w:usb1="00000000" w:usb2="00000000" w:usb3="00000000" w:csb0="20000001" w:csb1="00000000"/>
  </w:font>
  <w:font w:name="Freestyle Script">
    <w:panose1 w:val="030804020302050B0404"/>
    <w:charset w:val="00"/>
    <w:family w:val="auto"/>
    <w:pitch w:val="variable"/>
    <w:sig w:usb0="00000003" w:usb1="00000000" w:usb2="00000000" w:usb3="00000000" w:csb0="20000001" w:csb1="00000000"/>
  </w:font>
  <w:font w:name="Book Antiqua">
    <w:panose1 w:val="02040602050305030304"/>
    <w:charset w:val="00"/>
    <w:family w:val="auto"/>
    <w:pitch w:val="variable"/>
    <w:sig w:usb0="00000287" w:usb1="00000000" w:usb2="00000000" w:usb3="00000000" w:csb0="2000009F" w:csb1="DFD70000"/>
  </w:font>
  <w:font w:name="Century Gothic">
    <w:panose1 w:val="020B0502020202020204"/>
    <w:charset w:val="00"/>
    <w:family w:val="auto"/>
    <w:pitch w:val="variable"/>
    <w:sig w:usb0="00000287" w:usb1="00000000" w:usb2="00000000" w:usb3="00000000" w:csb0="2000009F" w:csb1="DFD70000"/>
  </w:font>
  <w:font w:name="Baskerville Old Face">
    <w:panose1 w:val="02020602080505020303"/>
    <w:charset w:val="00"/>
    <w:family w:val="auto"/>
    <w:pitch w:val="variable"/>
    <w:sig w:usb0="00000003" w:usb1="00000000" w:usb2="00000000" w:usb3="00000000" w:csb0="20000001" w:csb1="00000000"/>
  </w:font>
  <w:font w:name="Bell MT">
    <w:panose1 w:val="02020503060305020303"/>
    <w:charset w:val="00"/>
    <w:family w:val="auto"/>
    <w:pitch w:val="variable"/>
    <w:sig w:usb0="00000003" w:usb1="00000000" w:usb2="00000000" w:usb3="00000000" w:csb0="20000001" w:csb1="00000000"/>
  </w:font>
  <w:font w:name="Britannic Bold">
    <w:panose1 w:val="020B0903060703020204"/>
    <w:charset w:val="00"/>
    <w:family w:val="auto"/>
    <w:pitch w:val="variable"/>
    <w:sig w:usb0="00000003" w:usb1="00000000" w:usb2="00000000" w:usb3="00000000" w:csb0="20000001" w:csb1="00000000"/>
  </w:font>
  <w:font w:name="Chiller">
    <w:panose1 w:val="04020404031007020602"/>
    <w:charset w:val="00"/>
    <w:family w:val="auto"/>
    <w:pitch w:val="variable"/>
    <w:sig w:usb0="00000003" w:usb1="00000000" w:usb2="00000000" w:usb3="00000000" w:csb0="20000001" w:csb1="00000000"/>
  </w:font>
  <w:font w:name="Forte">
    <w:panose1 w:val="03060902040502070203"/>
    <w:charset w:val="00"/>
    <w:family w:val="auto"/>
    <w:pitch w:val="variable"/>
    <w:sig w:usb0="00000003" w:usb1="00000000" w:usb2="00000000" w:usb3="00000000" w:csb0="20000001" w:csb1="00000000"/>
  </w:font>
  <w:font w:name="Colonna MT">
    <w:panose1 w:val="04020805060202030203"/>
    <w:charset w:val="00"/>
    <w:family w:val="auto"/>
    <w:pitch w:val="variable"/>
    <w:sig w:usb0="00000003" w:usb1="00000000" w:usb2="00000000" w:usb3="00000000" w:csb0="20000001" w:csb1="00000000"/>
  </w:font>
  <w:font w:name="Footlight MT Light">
    <w:panose1 w:val="0204060206030A020304"/>
    <w:charset w:val="00"/>
    <w:family w:val="auto"/>
    <w:pitch w:val="variable"/>
    <w:sig w:usb0="00000003" w:usb1="00000000" w:usb2="00000000" w:usb3="00000000" w:csb0="20000001" w:csb1="00000000"/>
  </w:font>
  <w:font w:name="Harlow Solid Italic">
    <w:panose1 w:val="04030604020F02020D02"/>
    <w:charset w:val="00"/>
    <w:family w:val="auto"/>
    <w:pitch w:val="variable"/>
    <w:sig w:usb0="00000003" w:usb1="00000000" w:usb2="00000000" w:usb3="00000000" w:csb0="20000001" w:csb1="00000000"/>
  </w:font>
  <w:font w:name="Harrington">
    <w:panose1 w:val="04040505050A02020702"/>
    <w:charset w:val="00"/>
    <w:family w:val="auto"/>
    <w:pitch w:val="variable"/>
    <w:sig w:usb0="00000003" w:usb1="00000000" w:usb2="00000000" w:usb3="00000000" w:csb0="20000001" w:csb1="00000000"/>
  </w:font>
  <w:font w:name="Jokerman">
    <w:panose1 w:val="04090605060D06020702"/>
    <w:charset w:val="00"/>
    <w:family w:val="auto"/>
    <w:pitch w:val="variable"/>
    <w:sig w:usb0="00000003" w:usb1="00000000" w:usb2="00000000" w:usb3="00000000" w:csb0="20000001" w:csb1="00000000"/>
  </w:font>
  <w:font w:name="Kunstler Script">
    <w:panose1 w:val="030304020206070D0D06"/>
    <w:charset w:val="00"/>
    <w:family w:val="auto"/>
    <w:pitch w:val="variable"/>
    <w:sig w:usb0="00000003" w:usb1="00000000" w:usb2="00000000" w:usb3="00000000" w:csb0="20000001" w:csb1="00000000"/>
  </w:font>
  <w:font w:name="Modern No. 20">
    <w:panose1 w:val="02070704070505020303"/>
    <w:charset w:val="00"/>
    <w:family w:val="auto"/>
    <w:pitch w:val="variable"/>
    <w:sig w:usb0="00000003" w:usb1="00000000" w:usb2="00000000" w:usb3="00000000" w:csb0="20000001" w:csb1="00000000"/>
  </w:font>
  <w:font w:name="Lucida Calligraphy">
    <w:panose1 w:val="03010101010101010101"/>
    <w:charset w:val="00"/>
    <w:family w:val="auto"/>
    <w:pitch w:val="variable"/>
    <w:sig w:usb0="00000003" w:usb1="00000000" w:usb2="00000000" w:usb3="00000000" w:csb0="20000001" w:csb1="00000000"/>
  </w:font>
  <w:font w:name="Lucida Fax">
    <w:panose1 w:val="02060602050505020204"/>
    <w:charset w:val="00"/>
    <w:family w:val="auto"/>
    <w:pitch w:val="variable"/>
    <w:sig w:usb0="00000003" w:usb1="00000000" w:usb2="00000000" w:usb3="00000000" w:csb0="20000001" w:csb1="00000000"/>
  </w:font>
  <w:font w:name="Magneto">
    <w:panose1 w:val="04030805050802020D02"/>
    <w:charset w:val="00"/>
    <w:family w:val="auto"/>
    <w:pitch w:val="variable"/>
    <w:sig w:usb0="00000003" w:usb1="00000000" w:usb2="00000000" w:usb3="00000000" w:csb0="20000001" w:csb1="00000000"/>
  </w:font>
  <w:font w:name="Matura MT Script Capitals">
    <w:panose1 w:val="03020802060602070202"/>
    <w:charset w:val="00"/>
    <w:family w:val="auto"/>
    <w:pitch w:val="variable"/>
    <w:sig w:usb0="00000003" w:usb1="00000000" w:usb2="00000000" w:usb3="00000000" w:csb0="20000001" w:csb1="00000000"/>
  </w:font>
  <w:font w:name="Niagara Engraved">
    <w:panose1 w:val="04020502070703030202"/>
    <w:charset w:val="00"/>
    <w:family w:val="auto"/>
    <w:pitch w:val="variable"/>
    <w:sig w:usb0="00000003" w:usb1="00000000" w:usb2="00000000" w:usb3="00000000" w:csb0="20000001" w:csb1="00000000"/>
  </w:font>
  <w:font w:name="Gill Sans MT Condensed">
    <w:panose1 w:val="020B0506020104020203"/>
    <w:charset w:val="00"/>
    <w:family w:val="auto"/>
    <w:pitch w:val="variable"/>
    <w:sig w:usb0="00000003" w:usb1="00000000" w:usb2="00000000" w:usb3="00000000" w:csb0="20000003" w:csb1="00000000"/>
  </w:font>
  <w:font w:name="Playbill">
    <w:panose1 w:val="040506030A0602020202"/>
    <w:charset w:val="00"/>
    <w:family w:val="auto"/>
    <w:pitch w:val="variable"/>
    <w:sig w:usb0="00000003" w:usb1="00000000" w:usb2="00000000" w:usb3="00000000" w:csb0="20000001" w:csb1="00000000"/>
  </w:font>
  <w:font w:name="Poor Richard">
    <w:panose1 w:val="02080502050505020702"/>
    <w:charset w:val="00"/>
    <w:family w:val="auto"/>
    <w:pitch w:val="variable"/>
    <w:sig w:usb0="00000003" w:usb1="00000000" w:usb2="00000000" w:usb3="00000000" w:csb0="20000001" w:csb1="00000000"/>
  </w:font>
  <w:font w:name="Informal Roman">
    <w:panose1 w:val="030604020304060B0204"/>
    <w:charset w:val="00"/>
    <w:family w:val="auto"/>
    <w:pitch w:val="variable"/>
    <w:sig w:usb0="00000003" w:usb1="00000000" w:usb2="00000000" w:usb3="00000000" w:csb0="20000001" w:csb1="00000000"/>
  </w:font>
  <w:font w:name="Stencil">
    <w:panose1 w:val="040409050D0802020404"/>
    <w:charset w:val="00"/>
    <w:family w:val="auto"/>
    <w:pitch w:val="variable"/>
    <w:sig w:usb0="00000003" w:usb1="00000000" w:usb2="00000000" w:usb3="00000000" w:csb0="20000001" w:csb1="00000000"/>
  </w:font>
  <w:font w:name="Viner Hand ITC">
    <w:panose1 w:val="03070502030502020203"/>
    <w:charset w:val="00"/>
    <w:family w:val="auto"/>
    <w:pitch w:val="variable"/>
    <w:sig w:usb0="00000003" w:usb1="00000000" w:usb2="00000000" w:usb3="00000000" w:csb0="20000001" w:csb1="00000000"/>
  </w:font>
  <w:font w:name="Vivaldi">
    <w:panose1 w:val="03020602050506090804"/>
    <w:charset w:val="00"/>
    <w:family w:val="auto"/>
    <w:pitch w:val="variable"/>
    <w:sig w:usb0="00000003" w:usb1="00000000" w:usb2="00000000" w:usb3="00000000" w:csb0="20000001" w:csb1="00000000"/>
  </w:font>
  <w:font w:name="Wide Latin">
    <w:panose1 w:val="020A0A07050505020404"/>
    <w:charset w:val="00"/>
    <w:family w:val="auto"/>
    <w:pitch w:val="variable"/>
    <w:sig w:usb0="00000003" w:usb1="00000000" w:usb2="00000000" w:usb3="00000000" w:csb0="20000001" w:csb1="00000000"/>
  </w:font>
  <w:font w:name="Tw Cen MT">
    <w:panose1 w:val="020B0602020104020603"/>
    <w:charset w:val="00"/>
    <w:family w:val="auto"/>
    <w:pitch w:val="variable"/>
    <w:sig w:usb0="00000003" w:usb1="00000000" w:usb2="00000000" w:usb3="00000000" w:csb0="20000003" w:csb1="00000000"/>
  </w:font>
  <w:font w:name="Tw Cen MT Condensed">
    <w:panose1 w:val="020B0606020104020203"/>
    <w:charset w:val="00"/>
    <w:family w:val="auto"/>
    <w:pitch w:val="variable"/>
    <w:sig w:usb0="00000003" w:usb1="00000000" w:usb2="00000000" w:usb3="00000000" w:csb0="20000003" w:csb1="00000000"/>
  </w:font>
  <w:font w:name="Script MT Bold">
    <w:panose1 w:val="03040602040607080904"/>
    <w:charset w:val="00"/>
    <w:family w:val="auto"/>
    <w:pitch w:val="variable"/>
    <w:sig w:usb0="00000003" w:usb1="00000000" w:usb2="00000000" w:usb3="00000000" w:csb0="20000001" w:csb1="00000000"/>
  </w:font>
  <w:font w:name="Rockwell Extra Bold">
    <w:panose1 w:val="02060903040505020403"/>
    <w:charset w:val="00"/>
    <w:family w:val="auto"/>
    <w:pitch w:val="variable"/>
    <w:sig w:usb0="00000003" w:usb1="00000000" w:usb2="00000000" w:usb3="00000000" w:csb0="20000001" w:csb1="00000000"/>
  </w:font>
  <w:font w:name="Rockwell Condensed">
    <w:panose1 w:val="02060603050405020104"/>
    <w:charset w:val="00"/>
    <w:family w:val="auto"/>
    <w:pitch w:val="variable"/>
    <w:sig w:usb0="00000003" w:usb1="00000000" w:usb2="00000000" w:usb3="00000000" w:csb0="20000001" w:csb1="00000000"/>
  </w:font>
  <w:font w:name="Rockwell">
    <w:panose1 w:val="02060603020205020403"/>
    <w:charset w:val="00"/>
    <w:family w:val="auto"/>
    <w:pitch w:val="variable"/>
    <w:sig w:usb0="00000003" w:usb1="00000000" w:usb2="00000000" w:usb3="00000000" w:csb0="20000001" w:csb1="00000000"/>
  </w:font>
  <w:font w:name="Tw Cen MT Condensed Extra Bold">
    <w:panose1 w:val="020B0803020202020204"/>
    <w:charset w:val="00"/>
    <w:family w:val="auto"/>
    <w:pitch w:val="variable"/>
    <w:sig w:usb0="00000003" w:usb1="00000000" w:usb2="00000000" w:usb3="00000000" w:csb0="20000003" w:csb1="00000000"/>
  </w:font>
  <w:font w:name="Perpetua">
    <w:panose1 w:val="02020502060401020303"/>
    <w:charset w:val="00"/>
    <w:family w:val="auto"/>
    <w:pitch w:val="variable"/>
    <w:sig w:usb0="00000003" w:usb1="00000000" w:usb2="00000000" w:usb3="00000000" w:csb0="20000001" w:csb1="00000000"/>
  </w:font>
  <w:font w:name="Maiandra GD">
    <w:panose1 w:val="020E0502030308020204"/>
    <w:charset w:val="00"/>
    <w:family w:val="auto"/>
    <w:pitch w:val="variable"/>
    <w:sig w:usb0="00000003" w:usb1="00000000" w:usb2="00000000" w:usb3="00000000" w:csb0="20000001" w:csb1="00000000"/>
  </w:font>
  <w:font w:name="Bodoni MT Black">
    <w:panose1 w:val="02070A03080606020203"/>
    <w:charset w:val="00"/>
    <w:family w:val="auto"/>
    <w:pitch w:val="variable"/>
    <w:sig w:usb0="00000003" w:usb1="00000000" w:usb2="00000000" w:usb3="00000000" w:csb0="20000001" w:csb1="00000000"/>
  </w:font>
  <w:font w:name="Imprint MT Shadow">
    <w:panose1 w:val="04020605060303030202"/>
    <w:charset w:val="00"/>
    <w:family w:val="auto"/>
    <w:pitch w:val="variable"/>
    <w:sig w:usb0="00000003" w:usb1="00000000" w:usb2="00000000" w:usb3="00000000" w:csb0="20000001" w:csb1="00000000"/>
  </w:font>
  <w:font w:name="Haettenschweiler">
    <w:panose1 w:val="020B0706040902060204"/>
    <w:charset w:val="00"/>
    <w:family w:val="auto"/>
    <w:pitch w:val="variable"/>
    <w:sig w:usb0="00000287" w:usb1="00000000" w:usb2="00000000" w:usb3="00000000" w:csb0="2000009F" w:csb1="DFD70000"/>
  </w:font>
  <w:font w:name="Goudy Stout">
    <w:panose1 w:val="0202090407030B020401"/>
    <w:charset w:val="00"/>
    <w:family w:val="auto"/>
    <w:pitch w:val="variable"/>
    <w:sig w:usb0="00000003" w:usb1="00000000" w:usb2="00000000" w:usb3="00000000" w:csb0="20000001" w:csb1="00000000"/>
  </w:font>
  <w:font w:name="Goudy Old Style">
    <w:panose1 w:val="02020502050305020303"/>
    <w:charset w:val="00"/>
    <w:family w:val="auto"/>
    <w:pitch w:val="variable"/>
    <w:sig w:usb0="00000003" w:usb1="00000000" w:usb2="00000000" w:usb3="00000000" w:csb0="20000001" w:csb1="00000000"/>
  </w:font>
  <w:font w:name="Gloucester MT Extra Condensed">
    <w:panose1 w:val="02030808020601010101"/>
    <w:charset w:val="00"/>
    <w:family w:val="auto"/>
    <w:pitch w:val="variable"/>
    <w:sig w:usb0="00000003" w:usb1="00000000" w:usb2="00000000" w:usb3="00000000" w:csb0="20000001" w:csb1="00000000"/>
  </w:font>
  <w:font w:name="Gill Sans Ultra Bold Condensed">
    <w:panose1 w:val="020B0A06020104020203"/>
    <w:charset w:val="00"/>
    <w:family w:val="auto"/>
    <w:pitch w:val="variable"/>
    <w:sig w:usb0="00000003" w:usb1="00000000" w:usb2="00000000" w:usb3="00000000" w:csb0="00000003" w:csb1="00000000"/>
  </w:font>
  <w:font w:name="Gill Sans Ultra Bold">
    <w:panose1 w:val="020B0A02020104020203"/>
    <w:charset w:val="00"/>
    <w:family w:val="auto"/>
    <w:pitch w:val="variable"/>
    <w:sig w:usb0="00000003" w:usb1="00000000" w:usb2="00000000" w:usb3="00000000" w:csb0="20000003" w:csb1="00000000"/>
  </w:font>
  <w:font w:name="Gill Sans MT Ext Condensed Bold">
    <w:panose1 w:val="020B0902020104020203"/>
    <w:charset w:val="00"/>
    <w:family w:val="auto"/>
    <w:pitch w:val="variable"/>
    <w:sig w:usb0="00000003" w:usb1="00000000" w:usb2="00000000" w:usb3="00000000" w:csb0="20000003" w:csb1="00000000"/>
  </w:font>
  <w:font w:name="Gigi">
    <w:panose1 w:val="04040504061007020D02"/>
    <w:charset w:val="00"/>
    <w:family w:val="auto"/>
    <w:pitch w:val="variable"/>
    <w:sig w:usb0="00000003" w:usb1="00000000" w:usb2="00000000" w:usb3="00000000" w:csb0="20000001" w:csb1="00000000"/>
  </w:font>
  <w:font w:name="Franklin Gothic Demi">
    <w:panose1 w:val="020B0703020102020204"/>
    <w:charset w:val="00"/>
    <w:family w:val="auto"/>
    <w:pitch w:val="variable"/>
    <w:sig w:usb0="00000287" w:usb1="00000000" w:usb2="00000000" w:usb3="00000000" w:csb0="2000009F" w:csb1="DFD70000"/>
  </w:font>
  <w:font w:name="Franklin Gothic Book">
    <w:panose1 w:val="020B0503020102020204"/>
    <w:charset w:val="00"/>
    <w:family w:val="auto"/>
    <w:pitch w:val="variable"/>
    <w:sig w:usb0="00000287" w:usb1="00000000" w:usb2="00000000" w:usb3="00000000" w:csb0="2000009F" w:csb1="DFD70000"/>
  </w:font>
  <w:font w:name="Felix Titling">
    <w:panose1 w:val="04060505060202020A04"/>
    <w:charset w:val="00"/>
    <w:family w:val="auto"/>
    <w:pitch w:val="variable"/>
    <w:sig w:usb0="00000003" w:usb1="00000000" w:usb2="00000000" w:usb3="00000000" w:csb0="20000001" w:csb1="00000000"/>
  </w:font>
  <w:font w:name="Eras Medium ITC">
    <w:panose1 w:val="020B0602030504020804"/>
    <w:charset w:val="00"/>
    <w:family w:val="auto"/>
    <w:pitch w:val="variable"/>
    <w:sig w:usb0="00000003" w:usb1="00000000" w:usb2="00000000" w:usb3="00000000" w:csb0="20000001" w:csb1="00000000"/>
  </w:font>
  <w:font w:name="Eras Light ITC">
    <w:panose1 w:val="020B0402030504020804"/>
    <w:charset w:val="00"/>
    <w:family w:val="auto"/>
    <w:pitch w:val="variable"/>
    <w:sig w:usb0="00000003" w:usb1="00000000" w:usb2="00000000" w:usb3="00000000" w:csb0="20000001" w:csb1="00000000"/>
  </w:font>
  <w:font w:name="Eras Demi ITC">
    <w:panose1 w:val="020B0805030504020804"/>
    <w:charset w:val="00"/>
    <w:family w:val="auto"/>
    <w:pitch w:val="variable"/>
    <w:sig w:usb0="00000003" w:usb1="00000000" w:usb2="00000000" w:usb3="00000000" w:csb0="20000001" w:csb1="00000000"/>
  </w:font>
  <w:font w:name="Engravers MT">
    <w:panose1 w:val="02090707080505020304"/>
    <w:charset w:val="00"/>
    <w:family w:val="auto"/>
    <w:pitch w:val="variable"/>
    <w:sig w:usb0="00000003" w:usb1="00000000" w:usb2="00000000" w:usb3="00000000" w:csb0="20000001" w:csb1="00000000"/>
  </w:font>
  <w:font w:name="Curlz MT">
    <w:panose1 w:val="04040404050702020202"/>
    <w:charset w:val="00"/>
    <w:family w:val="auto"/>
    <w:pitch w:val="variable"/>
    <w:sig w:usb0="00000003" w:usb1="00000000" w:usb2="00000000" w:usb3="00000000" w:csb0="20000001" w:csb1="00000000"/>
  </w:font>
  <w:font w:name="Copperplate Gothic Bold">
    <w:panose1 w:val="020E0705020206020404"/>
    <w:charset w:val="00"/>
    <w:family w:val="auto"/>
    <w:pitch w:val="variable"/>
    <w:sig w:usb0="00000003" w:usb1="00000000" w:usb2="00000000" w:usb3="00000000" w:csb0="20000001" w:csb1="00000000"/>
  </w:font>
  <w:font w:name="Calisto MT">
    <w:panose1 w:val="02040603050505030304"/>
    <w:charset w:val="00"/>
    <w:family w:val="auto"/>
    <w:pitch w:val="variable"/>
    <w:sig w:usb0="00000003" w:usb1="00000000" w:usb2="00000000" w:usb3="00000000" w:csb0="20000001" w:csb1="00000000"/>
  </w:font>
  <w:font w:name="Bookman Old Style">
    <w:panose1 w:val="02050604050505020204"/>
    <w:charset w:val="00"/>
    <w:family w:val="auto"/>
    <w:pitch w:val="variable"/>
    <w:sig w:usb0="00000287" w:usb1="00000000" w:usb2="00000000" w:usb3="00000000" w:csb0="2000009F" w:csb1="DFD70000"/>
  </w:font>
  <w:font w:name="Bodoni MT Condensed">
    <w:panose1 w:val="02070606080606020203"/>
    <w:charset w:val="00"/>
    <w:family w:val="auto"/>
    <w:pitch w:val="variable"/>
    <w:sig w:usb0="00000003" w:usb1="00000000" w:usb2="00000000" w:usb3="00000000" w:csb0="20000001" w:csb1="00000000"/>
  </w:font>
  <w:font w:name="Bodoni MT">
    <w:panose1 w:val="02070603080606020203"/>
    <w:charset w:val="00"/>
    <w:family w:val="auto"/>
    <w:pitch w:val="variable"/>
    <w:sig w:usb0="00000003" w:usb1="00000000" w:usb2="00000000" w:usb3="00000000" w:csb0="20000001" w:csb1="00000000"/>
  </w:font>
  <w:font w:name="Blackadder ITC">
    <w:panose1 w:val="04020505051007020D02"/>
    <w:charset w:val="00"/>
    <w:family w:val="auto"/>
    <w:pitch w:val="variable"/>
    <w:sig w:usb0="00000003" w:usb1="00000000" w:usb2="00000000" w:usb3="00000000" w:csb0="20000001" w:csb1="00000000"/>
  </w:font>
  <w:font w:name="Berlin Sans FB Demi">
    <w:panose1 w:val="020E0802020502020306"/>
    <w:charset w:val="00"/>
    <w:family w:val="auto"/>
    <w:pitch w:val="variable"/>
    <w:sig w:usb0="00000003" w:usb1="00000000" w:usb2="00000000" w:usb3="00000000" w:csb0="20000001" w:csb1="00000000"/>
  </w:font>
  <w:font w:name="方正兰亭超细黑简体">
    <w:panose1 w:val="02000000000000000000"/>
    <w:charset w:val="86"/>
    <w:family w:val="auto"/>
    <w:pitch w:val="variable"/>
    <w:sig w:usb0="00000001" w:usb1="08000000" w:usb2="00000000" w:usb3="00000000" w:csb0="00040000" w:csb1="00000000"/>
  </w:font>
  <w:font w:name="Arial Narrow">
    <w:panose1 w:val="020B0606020202030204"/>
    <w:charset w:val="00"/>
    <w:family w:val="auto"/>
    <w:pitch w:val="variable"/>
    <w:sig w:usb0="00000287" w:usb1="00000800" w:usb2="00000000" w:usb3="00000000" w:csb0="2000009F" w:csb1="DFD70000"/>
  </w:font>
  <w:font w:name="Nirmala UI">
    <w:panose1 w:val="020B0502040204020203"/>
    <w:charset w:val="00"/>
    <w:family w:val="auto"/>
    <w:pitch w:val="variable"/>
    <w:sig w:usb0="80FF8023" w:usb1="0000004A" w:usb2="00000200" w:usb3="00040000" w:csb0="00000001" w:csb1="00000000"/>
  </w:font>
  <w:font w:name="icomoon">
    <w:panose1 w:val="00000000000000000000"/>
    <w:charset w:val="00"/>
    <w:family w:val="auto"/>
    <w:pitch w:val="variable"/>
    <w:sig w:usb0="00000000" w:usb1="00000000" w:usb2="00000000" w:usb3="00000000" w:csb0="00000001" w:csb1="00000000"/>
  </w:font>
  <w:font w:name="方正粗黑宋简体">
    <w:panose1 w:val="02000000000000000000"/>
    <w:charset w:val="86"/>
    <w:family w:val="auto"/>
    <w:pitch w:val="variable"/>
    <w:sig w:usb0="A00002BF" w:usb1="184F6CFA" w:usb2="00000012" w:usb3="00000000" w:csb0="00040001" w:csb1="00000000"/>
  </w:font>
  <w:font w:name="Bookshelf Symbol 7">
    <w:panose1 w:val="05010101010101010101"/>
    <w:charset w:val="02"/>
    <w:family w:val="auto"/>
    <w:pitch w:val="variable"/>
    <w:sig w:usb0="00000000" w:usb1="00000000" w:usb2="00000000" w:usb3="00000000" w:csb0="80000000" w:csb1="00000000"/>
  </w:font>
  <w:font w:name="MS Reference Sans Serif">
    <w:panose1 w:val="020B0604030504040204"/>
    <w:charset w:val="00"/>
    <w:family w:val="auto"/>
    <w:pitch w:val="variable"/>
    <w:sig w:usb0="00000287" w:usb1="00000000" w:usb2="00000000" w:usb3="00000000" w:csb0="2000019F" w:csb1="00000000"/>
  </w:font>
  <w:font w:name="@阴影黑体-10Point">
    <w:altName w:val="黑体"/>
    <w:panose1 w:val="00000000000000000000"/>
    <w:charset w:val="86"/>
    <w:family w:val="auto"/>
    <w:pitch w:val="fixed"/>
    <w:sig w:usb0="00000001" w:usb1="080E0000" w:usb2="00000010" w:usb3="00000000" w:csb0="00040000" w:csb1="00000000"/>
  </w:font>
  <w:font w:name="@等线">
    <w:altName w:val="宋体"/>
    <w:panose1 w:val="00000000000000000000"/>
    <w:charset w:val="86"/>
    <w:family w:val="auto"/>
    <w:pitch w:val="variable"/>
    <w:sig w:usb0="A00002BF" w:usb1="38CF7CFA" w:usb2="00000016" w:usb3="00000000" w:csb0="0004000F" w:csb1="00000000"/>
  </w:font>
  <w:font w:name="@仿宋_GB2312">
    <w:altName w:val="仿宋"/>
    <w:panose1 w:val="00000000000000000000"/>
    <w:charset w:val="86"/>
    <w:family w:val="auto"/>
    <w:pitch w:val="fixed"/>
    <w:sig w:usb0="00000001" w:usb1="080E0000" w:usb2="00000010" w:usb3="00000000" w:csb0="00040000" w:csb1="00000000"/>
  </w:font>
  <w:font w:name="@宋体（打印机字体）">
    <w:altName w:val="宋体"/>
    <w:panose1 w:val="00000000000000000000"/>
    <w:charset w:val="86"/>
    <w:family w:val="auto"/>
    <w:pitch w:val="fixed"/>
    <w:sig w:usb0="00000001" w:usb1="080E0000" w:usb2="00000010" w:usb3="00000000" w:csb0="00040000" w:csb1="00000000"/>
  </w:font>
  <w:font w:name="Arial">
    <w:panose1 w:val="020B0604020202020204"/>
    <w:charset w:val="00"/>
    <w:family w:val="auto"/>
    <w:pitch w:val="default"/>
    <w:sig w:usb0="E0002AFF" w:usb1="C0007843" w:usb2="00000009" w:usb3="00000000" w:csb0="400001FF" w:csb1="FFFF0000"/>
  </w:font>
  <w:font w:name="Courier New">
    <w:panose1 w:val="02070309020205020404"/>
    <w:charset w:val="00"/>
    <w:family w:val="auto"/>
    <w:pitch w:val="default"/>
    <w:sig w:usb0="E0002AFF" w:usb1="C0007843" w:usb2="00000009" w:usb3="00000000" w:csb0="400001FF" w:csb1="FFFF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93F9991"/>
    <w:multiLevelType w:val="multilevel"/>
    <w:tmpl w:val="A93F9991"/>
    <w:lvl w:ilvl="0" w:tentative="0">
      <w:start w:val="1"/>
      <w:numFmt w:val="bullet"/>
      <w:lvlText w:val=""/>
      <w:lvlJc w:val="left"/>
      <w:pPr>
        <w:ind w:left="885"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
    <w:nsid w:val="DBD333DC"/>
    <w:multiLevelType w:val="multilevel"/>
    <w:tmpl w:val="DBD333DC"/>
    <w:lvl w:ilvl="0" w:tentative="0">
      <w:start w:val="1"/>
      <w:numFmt w:val="decimal"/>
      <w:lvlText w:val="%1)"/>
      <w:lvlJc w:val="left"/>
      <w:pPr>
        <w:ind w:left="900" w:hanging="420"/>
      </w:p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
    <w:nsid w:val="FF20CF0C"/>
    <w:multiLevelType w:val="multilevel"/>
    <w:tmpl w:val="FF20CF0C"/>
    <w:lvl w:ilvl="0" w:tentative="0">
      <w:start w:val="1"/>
      <w:numFmt w:val="bullet"/>
      <w:lvlText w:val=""/>
      <w:lvlJc w:val="left"/>
      <w:pPr>
        <w:ind w:left="90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3">
    <w:nsid w:val="15056845"/>
    <w:multiLevelType w:val="multilevel"/>
    <w:tmpl w:val="15056845"/>
    <w:lvl w:ilvl="0" w:tentative="0">
      <w:start w:val="1"/>
      <w:numFmt w:val="decimal"/>
      <w:lvlText w:val="%1)"/>
      <w:lvlJc w:val="left"/>
      <w:pPr>
        <w:ind w:left="902" w:hanging="420"/>
      </w:p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4">
    <w:nsid w:val="16A037F7"/>
    <w:multiLevelType w:val="multilevel"/>
    <w:tmpl w:val="16A037F7"/>
    <w:lvl w:ilvl="0" w:tentative="0">
      <w:start w:val="1"/>
      <w:numFmt w:val="lowerLetter"/>
      <w:lvlText w:val="%1)"/>
      <w:lvlJc w:val="left"/>
      <w:pPr>
        <w:ind w:left="900" w:hanging="420"/>
      </w:p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5">
    <w:nsid w:val="240B7EFC"/>
    <w:multiLevelType w:val="multilevel"/>
    <w:tmpl w:val="240B7EFC"/>
    <w:lvl w:ilvl="0" w:tentative="0">
      <w:start w:val="1"/>
      <w:numFmt w:val="decimal"/>
      <w:lvlText w:val="%1)"/>
      <w:lvlJc w:val="left"/>
      <w:pPr>
        <w:ind w:left="900" w:hanging="420"/>
      </w:p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6">
    <w:nsid w:val="6027FC50"/>
    <w:multiLevelType w:val="multilevel"/>
    <w:tmpl w:val="6027FC50"/>
    <w:lvl w:ilvl="0" w:tentative="0">
      <w:start w:val="1"/>
      <w:numFmt w:val="bullet"/>
      <w:lvlText w:val=""/>
      <w:lvlJc w:val="left"/>
      <w:pPr>
        <w:ind w:left="900" w:hanging="420"/>
      </w:pPr>
      <w:rPr>
        <w:rFonts w:hint="default" w:ascii="Wingdings" w:hAnsi="Wingdings" w:cs="Wingdings"/>
      </w:rPr>
    </w:lvl>
    <w:lvl w:ilvl="1" w:tentative="0">
      <w:start w:val="1"/>
      <w:numFmt w:val="bullet"/>
      <w:lvlText w:val=""/>
      <w:lvlJc w:val="left"/>
      <w:pPr>
        <w:ind w:left="1320" w:hanging="420"/>
      </w:pPr>
      <w:rPr>
        <w:rFonts w:hint="default" w:ascii="Wingdings" w:hAnsi="Wingdings" w:cs="Wingdings"/>
      </w:rPr>
    </w:lvl>
    <w:lvl w:ilvl="2" w:tentative="0">
      <w:start w:val="1"/>
      <w:numFmt w:val="bullet"/>
      <w:lvlText w:val=""/>
      <w:lvlJc w:val="left"/>
      <w:pPr>
        <w:ind w:left="1740" w:hanging="420"/>
      </w:pPr>
      <w:rPr>
        <w:rFonts w:hint="default" w:ascii="Wingdings" w:hAnsi="Wingdings" w:cs="Wingdings"/>
      </w:rPr>
    </w:lvl>
    <w:lvl w:ilvl="3" w:tentative="0">
      <w:start w:val="1"/>
      <w:numFmt w:val="bullet"/>
      <w:lvlText w:val=""/>
      <w:lvlJc w:val="left"/>
      <w:pPr>
        <w:ind w:left="2160" w:hanging="420"/>
      </w:pPr>
      <w:rPr>
        <w:rFonts w:hint="default" w:ascii="Wingdings" w:hAnsi="Wingdings" w:cs="Wingdings"/>
      </w:rPr>
    </w:lvl>
    <w:lvl w:ilvl="4" w:tentative="0">
      <w:start w:val="1"/>
      <w:numFmt w:val="bullet"/>
      <w:lvlText w:val=""/>
      <w:lvlJc w:val="left"/>
      <w:pPr>
        <w:ind w:left="2580" w:hanging="420"/>
      </w:pPr>
      <w:rPr>
        <w:rFonts w:hint="default" w:ascii="Wingdings" w:hAnsi="Wingdings" w:cs="Wingdings"/>
      </w:rPr>
    </w:lvl>
    <w:lvl w:ilvl="5" w:tentative="0">
      <w:start w:val="1"/>
      <w:numFmt w:val="bullet"/>
      <w:lvlText w:val=""/>
      <w:lvlJc w:val="left"/>
      <w:pPr>
        <w:ind w:left="3000" w:hanging="420"/>
      </w:pPr>
      <w:rPr>
        <w:rFonts w:hint="default" w:ascii="Wingdings" w:hAnsi="Wingdings" w:cs="Wingdings"/>
      </w:rPr>
    </w:lvl>
    <w:lvl w:ilvl="6" w:tentative="0">
      <w:start w:val="1"/>
      <w:numFmt w:val="bullet"/>
      <w:lvlText w:val=""/>
      <w:lvlJc w:val="left"/>
      <w:pPr>
        <w:ind w:left="3420" w:hanging="420"/>
      </w:pPr>
      <w:rPr>
        <w:rFonts w:hint="default" w:ascii="Wingdings" w:hAnsi="Wingdings" w:cs="Wingdings"/>
      </w:rPr>
    </w:lvl>
    <w:lvl w:ilvl="7" w:tentative="0">
      <w:start w:val="1"/>
      <w:numFmt w:val="bullet"/>
      <w:lvlText w:val=""/>
      <w:lvlJc w:val="left"/>
      <w:pPr>
        <w:ind w:left="3840" w:hanging="420"/>
      </w:pPr>
      <w:rPr>
        <w:rFonts w:hint="default" w:ascii="Wingdings" w:hAnsi="Wingdings" w:cs="Wingdings"/>
      </w:rPr>
    </w:lvl>
    <w:lvl w:ilvl="8" w:tentative="0">
      <w:start w:val="1"/>
      <w:numFmt w:val="bullet"/>
      <w:lvlText w:val=""/>
      <w:lvlJc w:val="left"/>
      <w:pPr>
        <w:ind w:left="4260" w:hanging="420"/>
      </w:pPr>
      <w:rPr>
        <w:rFonts w:hint="default" w:ascii="Wingdings" w:hAnsi="Wingdings" w:cs="Wingdings"/>
      </w:rPr>
    </w:lvl>
  </w:abstractNum>
  <w:abstractNum w:abstractNumId="7">
    <w:nsid w:val="6DBA179A"/>
    <w:multiLevelType w:val="multilevel"/>
    <w:tmpl w:val="6DBA179A"/>
    <w:lvl w:ilvl="0" w:tentative="0">
      <w:start w:val="1"/>
      <w:numFmt w:val="decimalEnclosedCircle"/>
      <w:lvlText w:val="%1"/>
      <w:lvlJc w:val="left"/>
      <w:pPr>
        <w:ind w:left="900" w:hanging="420"/>
      </w:p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8">
    <w:nsid w:val="7032BD54"/>
    <w:multiLevelType w:val="multilevel"/>
    <w:tmpl w:val="7032BD54"/>
    <w:lvl w:ilvl="0" w:tentative="0">
      <w:start w:val="1"/>
      <w:numFmt w:val="decimal"/>
      <w:lvlText w:val="%1)"/>
      <w:lvlJc w:val="left"/>
      <w:pPr>
        <w:ind w:left="902" w:hanging="420"/>
      </w:pPr>
    </w:lvl>
    <w:lvl w:ilvl="1" w:tentative="0">
      <w:start w:val="1"/>
      <w:numFmt w:val="decimalEnclosedCircle"/>
      <w:lvlText w:val="%2"/>
      <w:lvlJc w:val="left"/>
      <w:pPr>
        <w:ind w:left="1262" w:hanging="360"/>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9">
    <w:nsid w:val="7191D3F3"/>
    <w:multiLevelType w:val="multilevel"/>
    <w:tmpl w:val="7191D3F3"/>
    <w:lvl w:ilvl="0" w:tentative="0">
      <w:start w:val="1"/>
      <w:numFmt w:val="bullet"/>
      <w:lvlText w:val=""/>
      <w:lvlJc w:val="left"/>
      <w:pPr>
        <w:ind w:left="90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num w:numId="1">
    <w:abstractNumId w:val="1"/>
  </w:num>
  <w:num w:numId="2">
    <w:abstractNumId w:val="3"/>
  </w:num>
  <w:num w:numId="3">
    <w:abstractNumId w:val="8"/>
  </w:num>
  <w:num w:numId="4">
    <w:abstractNumId w:val="5"/>
  </w:num>
  <w:num w:numId="5">
    <w:abstractNumId w:val="2"/>
  </w:num>
  <w:num w:numId="6">
    <w:abstractNumId w:val="6"/>
  </w:num>
  <w:num w:numId="7">
    <w:abstractNumId w:val="0"/>
  </w:num>
  <w:num w:numId="8">
    <w:abstractNumId w:val="9"/>
  </w:num>
  <w:num w:numId="9">
    <w:abstractNumId w:val="7"/>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94076A9"/>
    <w:rsid w:val="002C7E3F"/>
    <w:rsid w:val="00326412"/>
    <w:rsid w:val="00327E5D"/>
    <w:rsid w:val="003F0B71"/>
    <w:rsid w:val="00485135"/>
    <w:rsid w:val="0079692F"/>
    <w:rsid w:val="00847099"/>
    <w:rsid w:val="008827DF"/>
    <w:rsid w:val="009126E0"/>
    <w:rsid w:val="00993A46"/>
    <w:rsid w:val="00BC5E2C"/>
    <w:rsid w:val="00C45023"/>
    <w:rsid w:val="00E32B28"/>
    <w:rsid w:val="013F370B"/>
    <w:rsid w:val="022E382B"/>
    <w:rsid w:val="031E5F57"/>
    <w:rsid w:val="03D02572"/>
    <w:rsid w:val="03F828DA"/>
    <w:rsid w:val="059144A5"/>
    <w:rsid w:val="062F06BE"/>
    <w:rsid w:val="064729FB"/>
    <w:rsid w:val="068E07FE"/>
    <w:rsid w:val="06A868A1"/>
    <w:rsid w:val="07963D84"/>
    <w:rsid w:val="0A6D2E72"/>
    <w:rsid w:val="0B0A396C"/>
    <w:rsid w:val="0BC63B48"/>
    <w:rsid w:val="0C0E2FA3"/>
    <w:rsid w:val="0C9F77D2"/>
    <w:rsid w:val="0F4D755A"/>
    <w:rsid w:val="11AD31D7"/>
    <w:rsid w:val="18880BBB"/>
    <w:rsid w:val="18EF4235"/>
    <w:rsid w:val="197F0FAF"/>
    <w:rsid w:val="1B224BE8"/>
    <w:rsid w:val="1BCC2677"/>
    <w:rsid w:val="1D7F588D"/>
    <w:rsid w:val="1EFA3CFE"/>
    <w:rsid w:val="1F6E404E"/>
    <w:rsid w:val="25B24F9B"/>
    <w:rsid w:val="25B73D80"/>
    <w:rsid w:val="2818505C"/>
    <w:rsid w:val="28CF5F6C"/>
    <w:rsid w:val="2A5763D2"/>
    <w:rsid w:val="2B39200E"/>
    <w:rsid w:val="2CDE4B1D"/>
    <w:rsid w:val="2D386021"/>
    <w:rsid w:val="2DBD1D7C"/>
    <w:rsid w:val="2DFA18CE"/>
    <w:rsid w:val="2E19192E"/>
    <w:rsid w:val="2E22316E"/>
    <w:rsid w:val="2E740E63"/>
    <w:rsid w:val="2EBE78FC"/>
    <w:rsid w:val="2F01058E"/>
    <w:rsid w:val="35EC110B"/>
    <w:rsid w:val="36761F14"/>
    <w:rsid w:val="36F10796"/>
    <w:rsid w:val="394076A9"/>
    <w:rsid w:val="3BD24711"/>
    <w:rsid w:val="3C4242C3"/>
    <w:rsid w:val="3C8E7418"/>
    <w:rsid w:val="3CA81695"/>
    <w:rsid w:val="40220233"/>
    <w:rsid w:val="40891DAD"/>
    <w:rsid w:val="40A35621"/>
    <w:rsid w:val="40EE2257"/>
    <w:rsid w:val="410E4BCC"/>
    <w:rsid w:val="414E1837"/>
    <w:rsid w:val="42577A0D"/>
    <w:rsid w:val="4405261C"/>
    <w:rsid w:val="476B0FAB"/>
    <w:rsid w:val="48A84342"/>
    <w:rsid w:val="4B9F609A"/>
    <w:rsid w:val="4BE22BC9"/>
    <w:rsid w:val="4D1309A4"/>
    <w:rsid w:val="4D210099"/>
    <w:rsid w:val="4E386E1D"/>
    <w:rsid w:val="4E8565B7"/>
    <w:rsid w:val="50D630DA"/>
    <w:rsid w:val="51AE0371"/>
    <w:rsid w:val="51B4504F"/>
    <w:rsid w:val="520568EF"/>
    <w:rsid w:val="55831D18"/>
    <w:rsid w:val="569F3095"/>
    <w:rsid w:val="57036A9F"/>
    <w:rsid w:val="575D354E"/>
    <w:rsid w:val="57A8079E"/>
    <w:rsid w:val="58726AFA"/>
    <w:rsid w:val="58CE38C5"/>
    <w:rsid w:val="591A5F78"/>
    <w:rsid w:val="5ADE47E1"/>
    <w:rsid w:val="5B757857"/>
    <w:rsid w:val="5B995596"/>
    <w:rsid w:val="5BD325B7"/>
    <w:rsid w:val="5EB57D98"/>
    <w:rsid w:val="602B6E35"/>
    <w:rsid w:val="603E1DCA"/>
    <w:rsid w:val="622E0474"/>
    <w:rsid w:val="63544E05"/>
    <w:rsid w:val="656033F9"/>
    <w:rsid w:val="66CD04DE"/>
    <w:rsid w:val="68CF6F4D"/>
    <w:rsid w:val="6A162899"/>
    <w:rsid w:val="6A1B41E2"/>
    <w:rsid w:val="6AF71EBD"/>
    <w:rsid w:val="6BBB0F47"/>
    <w:rsid w:val="6C477674"/>
    <w:rsid w:val="701F1F10"/>
    <w:rsid w:val="70EF5CEA"/>
    <w:rsid w:val="71187107"/>
    <w:rsid w:val="72064488"/>
    <w:rsid w:val="72097C6A"/>
    <w:rsid w:val="72D75FA5"/>
    <w:rsid w:val="738B7E2B"/>
    <w:rsid w:val="74375E71"/>
    <w:rsid w:val="74726F10"/>
    <w:rsid w:val="74C80F66"/>
    <w:rsid w:val="74FC5AFE"/>
    <w:rsid w:val="75CD2FAD"/>
    <w:rsid w:val="79C32DDD"/>
    <w:rsid w:val="79C862D4"/>
    <w:rsid w:val="79DC1632"/>
    <w:rsid w:val="7A314703"/>
    <w:rsid w:val="7AA40846"/>
    <w:rsid w:val="7B165FF5"/>
    <w:rsid w:val="7BCA0D01"/>
    <w:rsid w:val="7C717167"/>
    <w:rsid w:val="7D5A181A"/>
    <w:rsid w:val="7E261FF8"/>
    <w:rsid w:val="7F36474E"/>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7">
    <w:name w:val="heading 1"/>
    <w:basedOn w:val="1"/>
    <w:next w:val="1"/>
    <w:link w:val="166"/>
    <w:qFormat/>
    <w:uiPriority w:val="0"/>
    <w:pPr>
      <w:keepNext/>
      <w:keepLines/>
      <w:widowControl/>
      <w:suppressLineNumbers w:val="0"/>
      <w:spacing w:before="340" w:beforeAutospacing="0" w:after="330" w:afterAutospacing="0" w:line="576" w:lineRule="auto"/>
      <w:ind w:left="0" w:right="0"/>
      <w:jc w:val="left"/>
      <w:outlineLvl w:val="0"/>
    </w:pPr>
    <w:rPr>
      <w:rFonts w:hint="eastAsia" w:ascii="宋体" w:hAnsi="宋体" w:eastAsia="宋体" w:cs="宋体"/>
      <w:b/>
      <w:kern w:val="44"/>
      <w:sz w:val="44"/>
      <w:szCs w:val="44"/>
      <w:lang w:val="en-US" w:eastAsia="zh-CN" w:bidi="ar"/>
    </w:rPr>
  </w:style>
  <w:style w:type="paragraph" w:styleId="8">
    <w:name w:val="heading 2"/>
    <w:basedOn w:val="1"/>
    <w:next w:val="1"/>
    <w:link w:val="86"/>
    <w:semiHidden/>
    <w:unhideWhenUsed/>
    <w:qFormat/>
    <w:uiPriority w:val="0"/>
    <w:pPr>
      <w:keepNext/>
      <w:keepLines w:val="0"/>
      <w:widowControl/>
      <w:suppressLineNumbers w:val="0"/>
      <w:tabs>
        <w:tab w:val="left" w:pos="1503"/>
      </w:tabs>
      <w:adjustRightInd w:val="0"/>
      <w:snapToGrid w:val="0"/>
      <w:spacing w:before="239" w:beforeLines="50" w:beforeAutospacing="0" w:after="0" w:afterAutospacing="0" w:line="360" w:lineRule="auto"/>
      <w:ind w:left="0" w:right="0"/>
      <w:jc w:val="left"/>
      <w:outlineLvl w:val="1"/>
    </w:pPr>
    <w:rPr>
      <w:rFonts w:hint="default" w:ascii="Times New Roman" w:hAnsi="Times New Roman" w:eastAsia="宋体" w:cs="Times New Roman"/>
      <w:b/>
      <w:kern w:val="0"/>
      <w:sz w:val="32"/>
      <w:szCs w:val="24"/>
      <w:lang w:val="en-US" w:eastAsia="zh-CN" w:bidi="ar"/>
    </w:rPr>
  </w:style>
  <w:style w:type="paragraph" w:styleId="9">
    <w:name w:val="heading 3"/>
    <w:basedOn w:val="1"/>
    <w:next w:val="1"/>
    <w:link w:val="95"/>
    <w:semiHidden/>
    <w:unhideWhenUsed/>
    <w:qFormat/>
    <w:uiPriority w:val="0"/>
    <w:pPr>
      <w:keepNext/>
      <w:keepLines w:val="0"/>
      <w:widowControl/>
      <w:suppressLineNumbers w:val="0"/>
      <w:tabs>
        <w:tab w:val="left" w:pos="658"/>
      </w:tabs>
      <w:spacing w:before="0" w:beforeAutospacing="0" w:after="0" w:afterAutospacing="0" w:line="360" w:lineRule="auto"/>
      <w:ind w:left="0" w:right="0"/>
      <w:jc w:val="left"/>
      <w:outlineLvl w:val="2"/>
    </w:pPr>
    <w:rPr>
      <w:rFonts w:hint="eastAsia" w:ascii="宋体" w:hAnsi="宋体" w:eastAsia="宋体" w:cs="宋体"/>
      <w:b/>
      <w:kern w:val="0"/>
      <w:sz w:val="24"/>
      <w:szCs w:val="28"/>
      <w:lang w:val="en-US" w:eastAsia="zh-CN" w:bidi="ar"/>
    </w:rPr>
  </w:style>
  <w:style w:type="character" w:default="1" w:styleId="36">
    <w:name w:val="Default Paragraph Font"/>
    <w:semiHidden/>
    <w:unhideWhenUsed/>
    <w:qFormat/>
    <w:uiPriority w:val="1"/>
  </w:style>
  <w:style w:type="table" w:default="1" w:styleId="32">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customStyle="1" w:styleId="2">
    <w:name w:val="0正文"/>
    <w:basedOn w:val="3"/>
    <w:semiHidden/>
    <w:qFormat/>
    <w:uiPriority w:val="0"/>
    <w:pPr>
      <w:adjustRightInd/>
      <w:ind w:firstLine="720" w:firstLineChars="200"/>
      <w:jc w:val="left"/>
      <w:textAlignment w:val="auto"/>
    </w:pPr>
    <w:rPr>
      <w:szCs w:val="24"/>
    </w:rPr>
  </w:style>
  <w:style w:type="paragraph" w:styleId="3">
    <w:name w:val="Body Text Indent"/>
    <w:basedOn w:val="1"/>
    <w:next w:val="4"/>
    <w:qFormat/>
    <w:uiPriority w:val="0"/>
    <w:pPr>
      <w:spacing w:after="120"/>
      <w:ind w:left="420" w:leftChars="200"/>
    </w:pPr>
  </w:style>
  <w:style w:type="paragraph" w:styleId="4">
    <w:name w:val="header"/>
    <w:basedOn w:val="1"/>
    <w:next w:val="5"/>
    <w:link w:val="43"/>
    <w:qFormat/>
    <w:uiPriority w:val="0"/>
    <w:pPr>
      <w:pBdr>
        <w:bottom w:val="single" w:color="auto" w:sz="6" w:space="1"/>
      </w:pBdr>
      <w:tabs>
        <w:tab w:val="center" w:pos="4153"/>
        <w:tab w:val="right" w:pos="8306"/>
      </w:tabs>
      <w:snapToGrid w:val="0"/>
      <w:jc w:val="center"/>
    </w:pPr>
    <w:rPr>
      <w:sz w:val="18"/>
      <w:szCs w:val="18"/>
    </w:rPr>
  </w:style>
  <w:style w:type="paragraph" w:customStyle="1" w:styleId="5">
    <w:name w:val="样式5"/>
    <w:basedOn w:val="6"/>
    <w:qFormat/>
    <w:uiPriority w:val="0"/>
    <w:pPr>
      <w:adjustRightInd w:val="0"/>
      <w:snapToGrid w:val="0"/>
      <w:spacing w:line="360" w:lineRule="auto"/>
      <w:jc w:val="left"/>
      <w:textAlignment w:val="baseline"/>
    </w:pPr>
    <w:rPr>
      <w:kern w:val="0"/>
      <w:sz w:val="24"/>
    </w:rPr>
  </w:style>
  <w:style w:type="paragraph" w:styleId="6">
    <w:name w:val="Normal Indent"/>
    <w:basedOn w:val="1"/>
    <w:next w:val="1"/>
    <w:link w:val="47"/>
    <w:qFormat/>
    <w:uiPriority w:val="0"/>
    <w:pPr>
      <w:ind w:firstLine="420" w:firstLineChars="200"/>
    </w:pPr>
    <w:rPr>
      <w:rFonts w:ascii="Times New Roman" w:hAnsi="Times New Roman" w:eastAsia="宋体" w:cs="Times New Roman"/>
      <w:b/>
      <w:bCs/>
      <w:kern w:val="10"/>
      <w:sz w:val="32"/>
    </w:rPr>
  </w:style>
  <w:style w:type="paragraph" w:styleId="10">
    <w:name w:val="Note Heading"/>
    <w:basedOn w:val="1"/>
    <w:next w:val="1"/>
    <w:link w:val="333"/>
    <w:uiPriority w:val="0"/>
    <w:pPr>
      <w:jc w:val="center"/>
    </w:pPr>
  </w:style>
  <w:style w:type="paragraph" w:styleId="11">
    <w:name w:val="Document Map"/>
    <w:basedOn w:val="1"/>
    <w:link w:val="200"/>
    <w:uiPriority w:val="0"/>
    <w:pPr>
      <w:shd w:val="clear" w:color="auto" w:fill="000080"/>
    </w:pPr>
  </w:style>
  <w:style w:type="paragraph" w:styleId="12">
    <w:name w:val="annotation text"/>
    <w:basedOn w:val="1"/>
    <w:link w:val="119"/>
    <w:qFormat/>
    <w:uiPriority w:val="0"/>
    <w:pPr>
      <w:jc w:val="left"/>
    </w:pPr>
    <w:rPr>
      <w:rFonts w:ascii="Times New Roman" w:hAnsi="Times New Roman" w:eastAsia="宋体" w:cs="Times New Roman"/>
    </w:rPr>
  </w:style>
  <w:style w:type="paragraph" w:styleId="13">
    <w:name w:val="Body Text 3"/>
    <w:basedOn w:val="1"/>
    <w:link w:val="187"/>
    <w:uiPriority w:val="0"/>
    <w:pPr>
      <w:keepNext w:val="0"/>
      <w:keepLines w:val="0"/>
      <w:widowControl/>
      <w:suppressLineNumbers w:val="0"/>
      <w:spacing w:before="0" w:beforeAutospacing="0" w:after="0" w:afterAutospacing="0" w:line="240" w:lineRule="exact"/>
      <w:ind w:left="0" w:right="0"/>
      <w:jc w:val="left"/>
    </w:pPr>
    <w:rPr>
      <w:rFonts w:hint="eastAsia" w:ascii="宋体" w:hAnsi="宋体" w:eastAsia="宋体" w:cs="宋体"/>
      <w:kern w:val="0"/>
      <w:sz w:val="24"/>
      <w:szCs w:val="24"/>
      <w:lang w:val="en-US" w:eastAsia="zh-CN" w:bidi="ar"/>
    </w:rPr>
  </w:style>
  <w:style w:type="paragraph" w:styleId="14">
    <w:name w:val="Plain Text"/>
    <w:basedOn w:val="1"/>
    <w:link w:val="120"/>
    <w:uiPriority w:val="0"/>
    <w:pPr>
      <w:keepNext w:val="0"/>
      <w:keepLines w:val="0"/>
      <w:widowControl/>
      <w:suppressLineNumbers w:val="0"/>
      <w:spacing w:before="0" w:beforeAutospacing="0" w:after="0" w:afterAutospacing="0"/>
      <w:ind w:left="0" w:right="0"/>
      <w:jc w:val="left"/>
    </w:pPr>
    <w:rPr>
      <w:rFonts w:hint="eastAsia" w:ascii="宋体" w:hAnsi="Courier New" w:eastAsia="宋体" w:cs="宋体"/>
      <w:kern w:val="0"/>
      <w:sz w:val="21"/>
      <w:szCs w:val="24"/>
      <w:lang w:val="en-US" w:eastAsia="zh-CN" w:bidi="ar"/>
    </w:rPr>
  </w:style>
  <w:style w:type="paragraph" w:styleId="15">
    <w:name w:val="Date"/>
    <w:basedOn w:val="1"/>
    <w:next w:val="1"/>
    <w:link w:val="205"/>
    <w:uiPriority w:val="0"/>
    <w:pPr>
      <w:ind w:left="100" w:leftChars="2500"/>
    </w:pPr>
  </w:style>
  <w:style w:type="paragraph" w:styleId="16">
    <w:name w:val="Body Text Indent 2"/>
    <w:basedOn w:val="1"/>
    <w:next w:val="1"/>
    <w:link w:val="118"/>
    <w:qFormat/>
    <w:uiPriority w:val="99"/>
    <w:pPr>
      <w:ind w:firstLine="601"/>
      <w:jc w:val="left"/>
    </w:pPr>
    <w:rPr>
      <w:bdr w:val="single" w:color="auto" w:sz="4" w:space="0"/>
    </w:rPr>
  </w:style>
  <w:style w:type="paragraph" w:styleId="17">
    <w:name w:val="Balloon Text"/>
    <w:basedOn w:val="1"/>
    <w:link w:val="140"/>
    <w:uiPriority w:val="0"/>
    <w:rPr>
      <w:sz w:val="18"/>
    </w:rPr>
  </w:style>
  <w:style w:type="paragraph" w:styleId="18">
    <w:name w:val="footer"/>
    <w:basedOn w:val="1"/>
    <w:link w:val="44"/>
    <w:qFormat/>
    <w:uiPriority w:val="0"/>
    <w:pPr>
      <w:tabs>
        <w:tab w:val="center" w:pos="4153"/>
        <w:tab w:val="right" w:pos="8306"/>
      </w:tabs>
      <w:snapToGrid w:val="0"/>
      <w:jc w:val="left"/>
    </w:pPr>
    <w:rPr>
      <w:sz w:val="18"/>
      <w:szCs w:val="18"/>
    </w:rPr>
  </w:style>
  <w:style w:type="paragraph" w:styleId="19">
    <w:name w:val="toc 1"/>
    <w:basedOn w:val="1"/>
    <w:next w:val="1"/>
    <w:uiPriority w:val="0"/>
    <w:pPr>
      <w:keepNext w:val="0"/>
      <w:keepLines w:val="0"/>
      <w:widowControl/>
      <w:suppressLineNumbers w:val="0"/>
      <w:tabs>
        <w:tab w:val="right" w:leader="dot" w:pos="8495"/>
      </w:tabs>
      <w:adjustRightInd w:val="0"/>
      <w:snapToGrid w:val="0"/>
      <w:spacing w:before="0" w:beforeAutospacing="0" w:after="0" w:afterAutospacing="0" w:line="360" w:lineRule="auto"/>
      <w:ind w:left="0" w:right="0"/>
      <w:jc w:val="left"/>
    </w:pPr>
    <w:rPr>
      <w:rFonts w:hint="default" w:ascii="Times New Roman" w:hAnsi="Times New Roman" w:eastAsia="宋体" w:cs="Times New Roman"/>
      <w:b/>
      <w:caps/>
      <w:kern w:val="0"/>
      <w:sz w:val="24"/>
      <w:szCs w:val="24"/>
      <w:lang w:val="en-US" w:eastAsia="zh-CN" w:bidi="ar"/>
    </w:rPr>
  </w:style>
  <w:style w:type="paragraph" w:styleId="20">
    <w:name w:val="Subtitle"/>
    <w:basedOn w:val="1"/>
    <w:link w:val="214"/>
    <w:qFormat/>
    <w:uiPriority w:val="0"/>
    <w:pPr>
      <w:spacing w:before="240" w:beforeLines="0" w:beforeAutospacing="0" w:after="60" w:afterLines="0" w:afterAutospacing="0" w:line="312" w:lineRule="auto"/>
      <w:jc w:val="center"/>
      <w:outlineLvl w:val="1"/>
    </w:pPr>
    <w:rPr>
      <w:rFonts w:ascii="Arial" w:hAnsi="Arial"/>
      <w:b/>
      <w:kern w:val="28"/>
      <w:sz w:val="32"/>
    </w:rPr>
  </w:style>
  <w:style w:type="paragraph" w:styleId="21">
    <w:name w:val="List"/>
    <w:basedOn w:val="1"/>
    <w:uiPriority w:val="0"/>
    <w:pPr>
      <w:keepNext w:val="0"/>
      <w:keepLines w:val="0"/>
      <w:widowControl/>
      <w:suppressLineNumbers w:val="0"/>
      <w:spacing w:before="0" w:beforeAutospacing="0" w:after="0" w:afterAutospacing="0"/>
      <w:ind w:left="200" w:right="0" w:hanging="200" w:hangingChars="200"/>
      <w:jc w:val="left"/>
    </w:pPr>
    <w:rPr>
      <w:rFonts w:hint="eastAsia" w:ascii="宋体" w:hAnsi="宋体" w:eastAsia="宋体" w:cs="宋体"/>
      <w:kern w:val="0"/>
      <w:sz w:val="21"/>
      <w:szCs w:val="24"/>
      <w:lang w:val="en-US" w:eastAsia="zh-CN" w:bidi="ar"/>
    </w:rPr>
  </w:style>
  <w:style w:type="paragraph" w:styleId="22">
    <w:name w:val="footnote text"/>
    <w:basedOn w:val="1"/>
    <w:link w:val="132"/>
    <w:uiPriority w:val="0"/>
    <w:pPr>
      <w:snapToGrid w:val="0"/>
      <w:jc w:val="left"/>
    </w:pPr>
    <w:rPr>
      <w:sz w:val="18"/>
    </w:rPr>
  </w:style>
  <w:style w:type="paragraph" w:styleId="23">
    <w:name w:val="Body Text Indent 3"/>
    <w:basedOn w:val="1"/>
    <w:link w:val="202"/>
    <w:uiPriority w:val="0"/>
    <w:pPr>
      <w:keepNext w:val="0"/>
      <w:keepLines w:val="0"/>
      <w:widowControl/>
      <w:suppressLineNumbers w:val="0"/>
      <w:spacing w:before="0" w:beforeAutospacing="0" w:after="0" w:afterAutospacing="0"/>
      <w:ind w:left="560" w:right="0"/>
      <w:jc w:val="left"/>
    </w:pPr>
    <w:rPr>
      <w:rFonts w:hint="eastAsia" w:ascii="方正书宋简体" w:hAnsi="宋体" w:eastAsia="方正书宋简体" w:cs="宋体"/>
      <w:kern w:val="0"/>
      <w:sz w:val="24"/>
      <w:szCs w:val="24"/>
      <w:lang w:val="en-US" w:eastAsia="zh-CN" w:bidi="ar"/>
    </w:rPr>
  </w:style>
  <w:style w:type="paragraph" w:styleId="24">
    <w:name w:val="toc 2"/>
    <w:basedOn w:val="1"/>
    <w:next w:val="1"/>
    <w:uiPriority w:val="0"/>
    <w:pPr>
      <w:keepNext w:val="0"/>
      <w:keepLines w:val="0"/>
      <w:widowControl/>
      <w:suppressLineNumbers w:val="0"/>
      <w:tabs>
        <w:tab w:val="right" w:leader="dot" w:pos="8495"/>
      </w:tabs>
      <w:spacing w:before="0" w:beforeAutospacing="0" w:after="0" w:afterAutospacing="0" w:line="360" w:lineRule="auto"/>
      <w:ind w:left="280" w:right="0"/>
      <w:jc w:val="left"/>
    </w:pPr>
    <w:rPr>
      <w:rFonts w:hint="eastAsia" w:ascii="宋体" w:hAnsi="宋体" w:eastAsia="宋体" w:cs="宋体"/>
      <w:b/>
      <w:smallCaps/>
      <w:kern w:val="0"/>
      <w:sz w:val="24"/>
      <w:szCs w:val="24"/>
      <w:lang w:val="en-US" w:eastAsia="zh-CN" w:bidi="ar"/>
    </w:rPr>
  </w:style>
  <w:style w:type="paragraph" w:styleId="25">
    <w:name w:val="Body Text 2"/>
    <w:basedOn w:val="1"/>
    <w:link w:val="171"/>
    <w:uiPriority w:val="0"/>
    <w:pPr>
      <w:spacing w:after="120" w:afterLines="0" w:afterAutospacing="0" w:line="480" w:lineRule="auto"/>
    </w:pPr>
  </w:style>
  <w:style w:type="paragraph" w:styleId="26">
    <w:name w:val="HTML Preformatted"/>
    <w:basedOn w:val="1"/>
    <w:link w:val="334"/>
    <w:uiPriority w:val="0"/>
    <w:rPr>
      <w:rFonts w:ascii="Courier New" w:hAnsi="Courier New"/>
      <w:sz w:val="20"/>
    </w:rPr>
  </w:style>
  <w:style w:type="paragraph" w:styleId="27">
    <w:name w:val="Normal (Web)"/>
    <w:basedOn w:val="1"/>
    <w:qFormat/>
    <w:uiPriority w:val="0"/>
    <w:pPr>
      <w:spacing w:beforeAutospacing="1" w:afterAutospacing="1"/>
      <w:jc w:val="left"/>
    </w:pPr>
    <w:rPr>
      <w:rFonts w:cs="Times New Roman"/>
      <w:kern w:val="0"/>
      <w:sz w:val="24"/>
    </w:rPr>
  </w:style>
  <w:style w:type="paragraph" w:styleId="28">
    <w:name w:val="annotation subject"/>
    <w:basedOn w:val="12"/>
    <w:next w:val="12"/>
    <w:link w:val="133"/>
    <w:uiPriority w:val="0"/>
    <w:rPr>
      <w:b/>
    </w:rPr>
  </w:style>
  <w:style w:type="paragraph" w:styleId="29">
    <w:name w:val="Body Text First Indent"/>
    <w:basedOn w:val="30"/>
    <w:link w:val="206"/>
    <w:uiPriority w:val="0"/>
    <w:pPr>
      <w:ind w:firstLine="420" w:firstLineChars="100"/>
    </w:pPr>
  </w:style>
  <w:style w:type="paragraph" w:styleId="30">
    <w:name w:val="Body Text"/>
    <w:basedOn w:val="1"/>
    <w:uiPriority w:val="0"/>
    <w:pPr>
      <w:spacing w:after="120" w:afterLines="0" w:afterAutospacing="0"/>
    </w:pPr>
  </w:style>
  <w:style w:type="paragraph" w:styleId="31">
    <w:name w:val="Body Text First Indent 2"/>
    <w:basedOn w:val="3"/>
    <w:next w:val="1"/>
    <w:link w:val="73"/>
    <w:qFormat/>
    <w:uiPriority w:val="99"/>
    <w:pPr>
      <w:ind w:firstLine="420"/>
    </w:pPr>
    <w:rPr>
      <w:rFonts w:ascii="Calibri" w:hAnsi="Calibri"/>
    </w:rPr>
  </w:style>
  <w:style w:type="table" w:styleId="33">
    <w:name w:val="Table Theme"/>
    <w:basedOn w:val="32"/>
    <w:uiPriority w:val="0"/>
    <w:pPr>
      <w:keepNext w:val="0"/>
      <w:keepLines w:val="0"/>
      <w:widowControl w:val="0"/>
      <w:suppressLineNumbers w:val="0"/>
      <w:adjustRightInd w:val="0"/>
      <w:spacing w:before="0" w:beforeAutospacing="0" w:after="0" w:afterAutospacing="0" w:line="360" w:lineRule="auto"/>
      <w:ind w:left="0" w:right="0" w:firstLine="482"/>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table" w:styleId="34">
    <w:name w:val="Table Simple 1"/>
    <w:basedOn w:val="32"/>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008000" w:sz="12" w:space="0"/>
        <w:bottom w:val="single" w:color="008000" w:sz="12" w:space="0"/>
      </w:tblBorders>
      <w:tblCellMar>
        <w:top w:w="0" w:type="dxa"/>
        <w:left w:w="108" w:type="dxa"/>
        <w:bottom w:w="0" w:type="dxa"/>
        <w:right w:w="108" w:type="dxa"/>
      </w:tblCellMar>
    </w:tblPr>
    <w:tcPr>
      <w:tcBorders>
        <w:top w:val="single" w:color="008000" w:sz="12" w:space="0"/>
        <w:left w:val="nil"/>
        <w:bottom w:val="single" w:color="008000" w:sz="12" w:space="0"/>
        <w:right w:val="nil"/>
      </w:tcBorders>
    </w:tc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35">
    <w:name w:val="Table Professional"/>
    <w:basedOn w:val="32"/>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tcBorders>
        <w:top w:val="single" w:color="000000" w:sz="6" w:space="0"/>
        <w:left w:val="single" w:color="000000" w:sz="6" w:space="0"/>
        <w:bottom w:val="single" w:color="000000" w:sz="6" w:space="0"/>
        <w:right w:val="single" w:color="000000" w:sz="6" w:space="0"/>
      </w:tcBorders>
    </w:tcPr>
    <w:tblStylePr w:type="firstRow">
      <w:rPr>
        <w:b/>
        <w:bCs/>
        <w:color w:val="auto"/>
      </w:rPr>
      <w:tblPr/>
      <w:tcPr>
        <w:tcBorders>
          <w:tl2br w:val="nil"/>
          <w:tr2bl w:val="nil"/>
        </w:tcBorders>
        <w:shd w:val="solid" w:color="000000" w:fill="FFFFFF"/>
      </w:tcPr>
    </w:tblStylePr>
  </w:style>
  <w:style w:type="character" w:styleId="37">
    <w:name w:val="FollowedHyperlink"/>
    <w:basedOn w:val="36"/>
    <w:uiPriority w:val="0"/>
    <w:rPr>
      <w:color w:val="800080"/>
      <w:u w:val="single"/>
    </w:rPr>
  </w:style>
  <w:style w:type="character" w:styleId="38">
    <w:name w:val="Hyperlink"/>
    <w:basedOn w:val="36"/>
    <w:uiPriority w:val="0"/>
    <w:rPr>
      <w:color w:val="0000FF"/>
      <w:u w:val="single"/>
    </w:rPr>
  </w:style>
  <w:style w:type="character" w:styleId="39">
    <w:name w:val="HTML Code"/>
    <w:basedOn w:val="36"/>
    <w:uiPriority w:val="0"/>
    <w:rPr>
      <w:rFonts w:hint="eastAsia" w:ascii="黑体" w:hAnsi="Courier New" w:eastAsia="黑体" w:cs="Courier New"/>
      <w:sz w:val="24"/>
      <w:szCs w:val="24"/>
    </w:rPr>
  </w:style>
  <w:style w:type="character" w:styleId="40">
    <w:name w:val="annotation reference"/>
    <w:qFormat/>
    <w:uiPriority w:val="0"/>
    <w:rPr>
      <w:rFonts w:cs="Times New Roman"/>
      <w:sz w:val="21"/>
      <w:szCs w:val="21"/>
    </w:rPr>
  </w:style>
  <w:style w:type="paragraph" w:customStyle="1" w:styleId="41">
    <w:name w:val="报告正文"/>
    <w:basedOn w:val="1"/>
    <w:link w:val="48"/>
    <w:qFormat/>
    <w:uiPriority w:val="0"/>
    <w:pPr>
      <w:spacing w:line="360" w:lineRule="auto"/>
      <w:ind w:firstLine="480" w:firstLineChars="200"/>
    </w:pPr>
    <w:rPr>
      <w:sz w:val="24"/>
      <w:szCs w:val="20"/>
    </w:rPr>
  </w:style>
  <w:style w:type="paragraph" w:customStyle="1" w:styleId="42">
    <w:name w:val="新正文"/>
    <w:basedOn w:val="1"/>
    <w:qFormat/>
    <w:uiPriority w:val="0"/>
    <w:pPr>
      <w:spacing w:beforeLines="20" w:afterLines="20" w:line="360" w:lineRule="auto"/>
      <w:ind w:firstLine="200" w:firstLineChars="200"/>
    </w:pPr>
    <w:rPr>
      <w:kern w:val="0"/>
      <w:sz w:val="24"/>
    </w:rPr>
  </w:style>
  <w:style w:type="character" w:customStyle="1" w:styleId="43">
    <w:name w:val="页眉 Char"/>
    <w:basedOn w:val="36"/>
    <w:link w:val="4"/>
    <w:qFormat/>
    <w:uiPriority w:val="0"/>
    <w:rPr>
      <w:rFonts w:asciiTheme="minorHAnsi" w:hAnsiTheme="minorHAnsi" w:eastAsiaTheme="minorEastAsia" w:cstheme="minorBidi"/>
      <w:kern w:val="2"/>
      <w:sz w:val="18"/>
      <w:szCs w:val="18"/>
    </w:rPr>
  </w:style>
  <w:style w:type="character" w:customStyle="1" w:styleId="44">
    <w:name w:val="页脚 Char"/>
    <w:basedOn w:val="36"/>
    <w:link w:val="18"/>
    <w:qFormat/>
    <w:uiPriority w:val="0"/>
    <w:rPr>
      <w:rFonts w:asciiTheme="minorHAnsi" w:hAnsiTheme="minorHAnsi" w:eastAsiaTheme="minorEastAsia" w:cstheme="minorBidi"/>
      <w:kern w:val="2"/>
      <w:sz w:val="18"/>
      <w:szCs w:val="18"/>
    </w:rPr>
  </w:style>
  <w:style w:type="character" w:customStyle="1" w:styleId="45">
    <w:name w:val="正文-ls Char"/>
    <w:link w:val="46"/>
    <w:qFormat/>
    <w:uiPriority w:val="0"/>
    <w:rPr>
      <w:rFonts w:hAnsi="宋体" w:cs="宋体"/>
      <w:kern w:val="2"/>
      <w:sz w:val="24"/>
    </w:rPr>
  </w:style>
  <w:style w:type="paragraph" w:customStyle="1" w:styleId="46">
    <w:name w:val="正文-ls"/>
    <w:basedOn w:val="1"/>
    <w:link w:val="45"/>
    <w:qFormat/>
    <w:uiPriority w:val="0"/>
    <w:pPr>
      <w:spacing w:line="360" w:lineRule="auto"/>
      <w:ind w:firstLine="200" w:firstLineChars="200"/>
    </w:pPr>
    <w:rPr>
      <w:rFonts w:ascii="Times New Roman" w:hAnsi="宋体" w:eastAsia="宋体" w:cs="宋体"/>
      <w:sz w:val="24"/>
      <w:szCs w:val="20"/>
    </w:rPr>
  </w:style>
  <w:style w:type="character" w:customStyle="1" w:styleId="47">
    <w:name w:val="正文缩进 Char"/>
    <w:basedOn w:val="36"/>
    <w:link w:val="6"/>
    <w:qFormat/>
    <w:uiPriority w:val="0"/>
    <w:rPr>
      <w:b/>
      <w:bCs/>
      <w:kern w:val="10"/>
      <w:sz w:val="32"/>
      <w:szCs w:val="24"/>
    </w:rPr>
  </w:style>
  <w:style w:type="character" w:customStyle="1" w:styleId="48">
    <w:name w:val="报告正文 Char"/>
    <w:link w:val="41"/>
    <w:qFormat/>
    <w:uiPriority w:val="0"/>
    <w:rPr>
      <w:rFonts w:asciiTheme="minorHAnsi" w:hAnsiTheme="minorHAnsi" w:eastAsiaTheme="minorEastAsia" w:cstheme="minorBidi"/>
      <w:kern w:val="2"/>
      <w:sz w:val="24"/>
    </w:rPr>
  </w:style>
  <w:style w:type="character" w:customStyle="1" w:styleId="49">
    <w:name w:val="批注文字 Char"/>
    <w:basedOn w:val="36"/>
    <w:link w:val="12"/>
    <w:qFormat/>
    <w:uiPriority w:val="0"/>
    <w:rPr>
      <w:kern w:val="2"/>
      <w:sz w:val="21"/>
      <w:szCs w:val="24"/>
    </w:rPr>
  </w:style>
  <w:style w:type="paragraph" w:customStyle="1" w:styleId="50">
    <w:name w:val="正文-wyt"/>
    <w:basedOn w:val="51"/>
    <w:qFormat/>
    <w:uiPriority w:val="0"/>
  </w:style>
  <w:style w:type="paragraph" w:customStyle="1" w:styleId="51">
    <w:name w:val="wyt-正文"/>
    <w:basedOn w:val="1"/>
    <w:qFormat/>
    <w:uiPriority w:val="0"/>
    <w:pPr>
      <w:ind w:firstLine="480"/>
    </w:pPr>
  </w:style>
  <w:style w:type="paragraph" w:customStyle="1" w:styleId="52">
    <w:name w:val="gao 1"/>
    <w:basedOn w:val="1"/>
    <w:qFormat/>
    <w:uiPriority w:val="0"/>
    <w:rPr>
      <w:rFonts w:eastAsia="方正大标宋简体"/>
      <w:sz w:val="28"/>
    </w:rPr>
  </w:style>
  <w:style w:type="paragraph" w:customStyle="1" w:styleId="53">
    <w:name w:val="正文1"/>
    <w:basedOn w:val="1"/>
    <w:qFormat/>
    <w:uiPriority w:val="0"/>
    <w:pPr>
      <w:adjustRightInd w:val="0"/>
      <w:snapToGrid w:val="0"/>
      <w:spacing w:line="480" w:lineRule="exact"/>
      <w:ind w:firstLine="200" w:firstLineChars="200"/>
    </w:pPr>
    <w:rPr>
      <w:sz w:val="24"/>
    </w:rPr>
  </w:style>
  <w:style w:type="character" w:customStyle="1" w:styleId="54">
    <w:name w:val="Char Char23"/>
    <w:basedOn w:val="36"/>
    <w:uiPriority w:val="0"/>
    <w:rPr>
      <w:rFonts w:hint="eastAsia" w:ascii="仿宋_GB2312" w:hAnsi="Times New Roman" w:eastAsia="仿宋_GB2312" w:cs="仿宋_GB2312"/>
      <w:kern w:val="2"/>
      <w:sz w:val="28"/>
    </w:rPr>
  </w:style>
  <w:style w:type="character" w:customStyle="1" w:styleId="55">
    <w:name w:val="表头 Char Char"/>
    <w:basedOn w:val="36"/>
    <w:link w:val="56"/>
    <w:uiPriority w:val="0"/>
    <w:rPr>
      <w:rFonts w:hint="eastAsia" w:ascii="黑体" w:hAnsi="宋体" w:eastAsia="黑体" w:cs="黑体"/>
      <w:kern w:val="2"/>
      <w:sz w:val="24"/>
      <w:lang w:val="en-US" w:eastAsia="zh-CN" w:bidi="ar"/>
    </w:rPr>
  </w:style>
  <w:style w:type="paragraph" w:customStyle="1" w:styleId="56">
    <w:name w:val="表头"/>
    <w:basedOn w:val="1"/>
    <w:link w:val="55"/>
    <w:uiPriority w:val="0"/>
    <w:pPr>
      <w:keepNext w:val="0"/>
      <w:keepLines w:val="0"/>
      <w:widowControl/>
      <w:suppressLineNumbers w:val="0"/>
      <w:adjustRightInd w:val="0"/>
      <w:snapToGrid w:val="0"/>
      <w:spacing w:before="0" w:beforeAutospacing="0" w:after="0" w:afterAutospacing="0"/>
      <w:ind w:left="0" w:right="0"/>
      <w:jc w:val="center"/>
    </w:pPr>
    <w:rPr>
      <w:rFonts w:hint="default" w:ascii="Times New Roman" w:hAnsi="Times New Roman" w:eastAsia="黑体" w:cs="Times New Roman"/>
      <w:kern w:val="2"/>
      <w:sz w:val="24"/>
      <w:szCs w:val="20"/>
      <w:lang w:val="en-US" w:eastAsia="zh-CN" w:bidi="ar"/>
    </w:rPr>
  </w:style>
  <w:style w:type="character" w:customStyle="1" w:styleId="57">
    <w:name w:val="Char Char26"/>
    <w:basedOn w:val="36"/>
    <w:uiPriority w:val="0"/>
    <w:rPr>
      <w:rFonts w:ascii="Arial" w:hAnsi="Arial" w:eastAsia="黑体" w:cs="Times New Roman"/>
      <w:b/>
      <w:kern w:val="0"/>
      <w:szCs w:val="20"/>
    </w:rPr>
  </w:style>
  <w:style w:type="character" w:customStyle="1" w:styleId="58">
    <w:name w:val="t31"/>
    <w:basedOn w:val="36"/>
    <w:uiPriority w:val="0"/>
    <w:rPr>
      <w:rFonts w:hint="eastAsia" w:ascii="宋体" w:hAnsi="宋体" w:eastAsia="宋体" w:cs="宋体"/>
      <w:color w:val="000000"/>
      <w:sz w:val="18"/>
      <w:szCs w:val="18"/>
    </w:rPr>
  </w:style>
  <w:style w:type="character" w:customStyle="1" w:styleId="59">
    <w:name w:val="页眉 字符"/>
    <w:basedOn w:val="36"/>
    <w:uiPriority w:val="0"/>
    <w:rPr>
      <w:kern w:val="2"/>
      <w:sz w:val="18"/>
      <w:szCs w:val="18"/>
    </w:rPr>
  </w:style>
  <w:style w:type="character" w:customStyle="1" w:styleId="60">
    <w:name w:val="报告正文 Char Char"/>
    <w:basedOn w:val="36"/>
    <w:uiPriority w:val="0"/>
    <w:rPr>
      <w:rFonts w:hint="eastAsia" w:ascii="宋体" w:hAnsi="宋体" w:eastAsia="宋体" w:cs="宋体"/>
      <w:sz w:val="24"/>
      <w:szCs w:val="24"/>
      <w:lang w:bidi="ar"/>
    </w:rPr>
  </w:style>
  <w:style w:type="character" w:customStyle="1" w:styleId="61">
    <w:name w:val="表体-格式 Char"/>
    <w:basedOn w:val="36"/>
    <w:uiPriority w:val="0"/>
    <w:rPr>
      <w:rFonts w:hint="eastAsia" w:ascii="宋体" w:hAnsi="宋体" w:eastAsia="宋体" w:cs="宋体"/>
      <w:sz w:val="21"/>
      <w:szCs w:val="18"/>
      <w:lang w:eastAsia="en-US" w:bidi="en-US"/>
    </w:rPr>
  </w:style>
  <w:style w:type="character" w:customStyle="1" w:styleId="62">
    <w:name w:val="Char Char171"/>
    <w:basedOn w:val="36"/>
    <w:uiPriority w:val="0"/>
    <w:rPr>
      <w:rFonts w:hint="default" w:ascii="Times New Roman" w:hAnsi="Times New Roman" w:eastAsia="宋体" w:cs="Times New Roman"/>
      <w:sz w:val="18"/>
      <w:szCs w:val="18"/>
    </w:rPr>
  </w:style>
  <w:style w:type="character" w:customStyle="1" w:styleId="63">
    <w:name w:val="批注主题 字符1"/>
    <w:basedOn w:val="36"/>
    <w:uiPriority w:val="0"/>
    <w:rPr>
      <w:rFonts w:hint="eastAsia" w:ascii="方正书宋简体" w:hAnsi="方正书宋简体" w:eastAsia="方正书宋简体" w:cs="方正书宋简体"/>
      <w:b/>
      <w:sz w:val="28"/>
    </w:rPr>
  </w:style>
  <w:style w:type="character" w:customStyle="1" w:styleId="64">
    <w:name w:val="大纲正文 Char"/>
    <w:basedOn w:val="36"/>
    <w:uiPriority w:val="0"/>
    <w:rPr>
      <w:rFonts w:hint="eastAsia" w:ascii="宋体" w:hAnsi="宋体" w:eastAsia="宋体" w:cs="宋体"/>
      <w:kern w:val="2"/>
      <w:sz w:val="24"/>
      <w:lang w:val="en-US" w:eastAsia="zh-CN" w:bidi="ar"/>
    </w:rPr>
  </w:style>
  <w:style w:type="character" w:customStyle="1" w:styleId="65">
    <w:name w:val="Char Char25"/>
    <w:basedOn w:val="36"/>
    <w:uiPriority w:val="0"/>
    <w:rPr>
      <w:rFonts w:hint="default" w:ascii="Times New Roman" w:hAnsi="Times New Roman" w:eastAsia="宋体" w:cs="Times New Roman"/>
      <w:b/>
      <w:kern w:val="0"/>
      <w:szCs w:val="20"/>
    </w:rPr>
  </w:style>
  <w:style w:type="character" w:customStyle="1" w:styleId="66">
    <w:name w:val="无节 Char"/>
    <w:aliases w:val="标题8 Char,标题6，6级标题，小四中宋粗，无序号 Char1,第五层条 Char,H6 Char,标题1.1.1.1.1.1 Char,标6 Char,二级项 Char,H61 Char,标题 6，图标题 Char,标题6，6级标题，小四中宋粗，无序号 Char Char,编号正文 Char,图标题 Char1,标题 6表内文字(小四) Char,标题5 Char,. (a.) Char,OG Distribution Char,标题 6! Char,可研-标题 6 Char"/>
    <w:basedOn w:val="36"/>
    <w:uiPriority w:val="0"/>
    <w:rPr>
      <w:rFonts w:hint="eastAsia" w:ascii="宋体" w:hAnsi="宋体" w:eastAsia="宋体" w:cs="宋体"/>
      <w:b/>
      <w:sz w:val="18"/>
      <w:szCs w:val="24"/>
      <w:lang w:bidi="ar"/>
    </w:rPr>
  </w:style>
  <w:style w:type="character" w:customStyle="1" w:styleId="67">
    <w:name w:val="样式6 Char"/>
    <w:basedOn w:val="36"/>
    <w:uiPriority w:val="0"/>
    <w:rPr>
      <w:rFonts w:hint="eastAsia" w:ascii="宋体" w:hAnsi="宋体" w:eastAsia="宋体" w:cs="宋体"/>
      <w:sz w:val="24"/>
      <w:szCs w:val="24"/>
      <w:lang w:bidi="ar"/>
    </w:rPr>
  </w:style>
  <w:style w:type="character" w:customStyle="1" w:styleId="68">
    <w:name w:val="论文正文2 Char Char"/>
    <w:basedOn w:val="36"/>
    <w:uiPriority w:val="0"/>
    <w:rPr>
      <w:color w:val="FF0000"/>
      <w:sz w:val="28"/>
      <w:szCs w:val="24"/>
      <w:lang w:bidi="ar"/>
    </w:rPr>
  </w:style>
  <w:style w:type="character" w:customStyle="1" w:styleId="69">
    <w:name w:val="表格图片标题 Char1"/>
    <w:aliases w:val="标题 Char Char Char Char1,标题 Char Char Char Char Char1,标题 Char Char1 Char Char,标题 Char2 Char Char Char Char,标题 Char Char Char Char Char Char,标题 Char1 Char Char Char Char Char Char,标题 Char Char Char Char Char Char Char1 Char Char"/>
    <w:basedOn w:val="36"/>
    <w:uiPriority w:val="0"/>
    <w:rPr>
      <w:rFonts w:hint="default" w:ascii="Cambria" w:hAnsi="Cambria" w:eastAsia="宋体" w:cs="宋体"/>
      <w:b/>
      <w:sz w:val="32"/>
      <w:szCs w:val="32"/>
      <w:lang w:val="en-US" w:eastAsia="zh-CN" w:bidi="ar"/>
    </w:rPr>
  </w:style>
  <w:style w:type="character" w:customStyle="1" w:styleId="70">
    <w:name w:val="even Char Char"/>
    <w:basedOn w:val="36"/>
    <w:uiPriority w:val="0"/>
    <w:rPr>
      <w:rFonts w:hint="eastAsia" w:ascii="宋体" w:hAnsi="宋体" w:eastAsia="宋体（打印机字体）" w:cs="宋体"/>
      <w:sz w:val="18"/>
      <w:szCs w:val="24"/>
      <w:lang w:bidi="ar"/>
    </w:rPr>
  </w:style>
  <w:style w:type="paragraph" w:customStyle="1" w:styleId="71">
    <w:name w:val="样式 红色 首行缩进:  2 字符"/>
    <w:basedOn w:val="1"/>
    <w:link w:val="139"/>
    <w:uiPriority w:val="0"/>
    <w:pPr>
      <w:keepNext w:val="0"/>
      <w:keepLines w:val="0"/>
      <w:widowControl/>
      <w:suppressLineNumbers w:val="0"/>
      <w:adjustRightInd w:val="0"/>
      <w:snapToGrid w:val="0"/>
      <w:spacing w:before="0" w:beforeAutospacing="0" w:after="0" w:afterAutospacing="0" w:line="360" w:lineRule="auto"/>
      <w:ind w:left="0" w:right="0" w:firstLine="480" w:firstLineChars="200"/>
      <w:jc w:val="left"/>
    </w:pPr>
    <w:rPr>
      <w:rFonts w:hint="eastAsia" w:ascii="宋体" w:hAnsi="宋体" w:eastAsia="Times New Roman" w:cs="Times New Roman"/>
      <w:kern w:val="2"/>
      <w:sz w:val="24"/>
      <w:szCs w:val="20"/>
      <w:lang w:val="en-US" w:eastAsia="zh-CN" w:bidi="ar"/>
    </w:rPr>
  </w:style>
  <w:style w:type="character" w:customStyle="1" w:styleId="72">
    <w:name w:val="正文文本 Char"/>
    <w:basedOn w:val="36"/>
    <w:uiPriority w:val="0"/>
    <w:rPr>
      <w:rFonts w:hint="eastAsia" w:ascii="方正书宋简体" w:hAnsi="方正书宋简体" w:eastAsia="方正书宋简体" w:cs="方正书宋简体"/>
      <w:kern w:val="2"/>
      <w:sz w:val="24"/>
      <w:lang w:val="en-US" w:eastAsia="zh-CN" w:bidi="ar"/>
    </w:rPr>
  </w:style>
  <w:style w:type="character" w:customStyle="1" w:styleId="73">
    <w:name w:val=" Char Char1"/>
    <w:basedOn w:val="74"/>
    <w:link w:val="31"/>
    <w:uiPriority w:val="0"/>
    <w:rPr>
      <w:rFonts w:hint="eastAsia" w:ascii="仿宋_GB2312" w:hAnsi="宋体" w:eastAsia="宋体" w:cs="宋体"/>
      <w:sz w:val="24"/>
      <w:szCs w:val="24"/>
      <w:lang w:val="en-US" w:eastAsia="zh-CN" w:bidi="ar"/>
    </w:rPr>
  </w:style>
  <w:style w:type="character" w:customStyle="1" w:styleId="74">
    <w:name w:val="正文文字( 首段缩进两字） Char Char4"/>
    <w:basedOn w:val="36"/>
    <w:uiPriority w:val="0"/>
    <w:rPr>
      <w:rFonts w:hint="eastAsia" w:ascii="仿宋_GB2312" w:hAnsi="宋体" w:eastAsia="仿宋_GB2312" w:cs="宋体"/>
      <w:sz w:val="24"/>
      <w:szCs w:val="24"/>
      <w:lang w:val="en-US" w:eastAsia="zh-CN" w:bidi="ar"/>
    </w:rPr>
  </w:style>
  <w:style w:type="character" w:customStyle="1" w:styleId="75">
    <w:name w:val="标题 7 表 Char"/>
    <w:aliases w:val="无节条 Char,项标题(1) Char,H7 Char,表格标题1 Char Char,无节条 Char Char Char,标7 Char,标题 7 表1 Char,无级项 Char,H71 Char,标题 7表内5号 Char,. [(1)] Char,可研-标题 7 Char,Third level heading Char,表头标准 Char,标题 7表内5号1 Char,标题 7表内5号2 Char,标题 7表内5号11 Char,标题 7表内5号3 Char"/>
    <w:basedOn w:val="36"/>
    <w:uiPriority w:val="0"/>
    <w:rPr>
      <w:rFonts w:hint="eastAsia" w:ascii="宋体" w:hAnsi="宋体" w:eastAsia="宋体" w:cs="宋体"/>
      <w:i/>
      <w:sz w:val="21"/>
      <w:szCs w:val="21"/>
      <w:lang w:bidi="ar"/>
    </w:rPr>
  </w:style>
  <w:style w:type="character" w:customStyle="1" w:styleId="76">
    <w:name w:val="标题 2 字符"/>
    <w:aliases w:val="b2 字符,标题 1.1 字符,节 字符,H2 字符,（一） 字符,Underrubrik1 字符,prop2 字符,Heading 2 Hidden 字符,Heading 2 CCBS 字符,UNDERRUBRIK 1-2 字符,2nd level 字符,h2 字符,Header 2 字符,l2 字符,Titre2 字符,Head 2 字符,Fab-2 字符,PIM2 字符,heading 2 字符,Titre3 字符,HD2 字符,sect 1.2 字符,节标题 1.1 字符"/>
    <w:basedOn w:val="36"/>
    <w:uiPriority w:val="0"/>
    <w:rPr>
      <w:b/>
      <w:kern w:val="2"/>
      <w:sz w:val="28"/>
    </w:rPr>
  </w:style>
  <w:style w:type="character" w:customStyle="1" w:styleId="77">
    <w:name w:val="Re-表中文字 Char"/>
    <w:basedOn w:val="36"/>
    <w:uiPriority w:val="0"/>
    <w:rPr>
      <w:rFonts w:hint="eastAsia" w:ascii="宋体" w:hAnsi="宋体" w:eastAsia="宋体" w:cs="宋体"/>
      <w:sz w:val="21"/>
      <w:szCs w:val="22"/>
      <w:lang w:eastAsia="en-US" w:bidi="ar"/>
    </w:rPr>
  </w:style>
  <w:style w:type="character" w:customStyle="1" w:styleId="78">
    <w:name w:val=" Char Char21"/>
    <w:basedOn w:val="36"/>
    <w:uiPriority w:val="0"/>
    <w:rPr>
      <w:rFonts w:hint="default" w:ascii="Arial" w:hAnsi="Arial" w:eastAsia="黑体" w:cs="Times New Roman"/>
      <w:kern w:val="0"/>
      <w:szCs w:val="20"/>
    </w:rPr>
  </w:style>
  <w:style w:type="character" w:customStyle="1" w:styleId="79">
    <w:name w:val="black21"/>
    <w:basedOn w:val="36"/>
    <w:uiPriority w:val="0"/>
    <w:rPr>
      <w:color w:val="000000"/>
      <w:sz w:val="20"/>
      <w:szCs w:val="20"/>
    </w:rPr>
  </w:style>
  <w:style w:type="character" w:customStyle="1" w:styleId="80">
    <w:name w:val="标题 1.1 Char1"/>
    <w:aliases w:val="标题2 Char Char1"/>
    <w:basedOn w:val="36"/>
    <w:uiPriority w:val="0"/>
    <w:rPr>
      <w:rFonts w:hint="default" w:ascii="Times New Roman" w:hAnsi="Times New Roman" w:eastAsia="黑体" w:cs="Times New Roman"/>
      <w:b/>
      <w:kern w:val="2"/>
      <w:sz w:val="32"/>
      <w:szCs w:val="32"/>
    </w:rPr>
  </w:style>
  <w:style w:type="character" w:customStyle="1" w:styleId="81">
    <w:name w:val="Char Char11"/>
    <w:basedOn w:val="36"/>
    <w:uiPriority w:val="0"/>
    <w:rPr>
      <w:rFonts w:hint="default" w:ascii="Times New Roman" w:hAnsi="Times New Roman" w:eastAsia="宋体" w:cs="Times New Roman"/>
      <w:szCs w:val="24"/>
    </w:rPr>
  </w:style>
  <w:style w:type="character" w:customStyle="1" w:styleId="82">
    <w:name w:val="正文1 Char"/>
    <w:basedOn w:val="36"/>
    <w:uiPriority w:val="0"/>
    <w:rPr>
      <w:color w:val="000000"/>
      <w:kern w:val="2"/>
      <w:sz w:val="28"/>
    </w:rPr>
  </w:style>
  <w:style w:type="character" w:customStyle="1" w:styleId="83">
    <w:name w:val="公式 Char"/>
    <w:basedOn w:val="36"/>
    <w:uiPriority w:val="0"/>
    <w:rPr>
      <w:rFonts w:hint="eastAsia" w:ascii="宋体" w:hAnsi="宋体" w:eastAsia="宋体" w:cs="宋体"/>
      <w:sz w:val="24"/>
      <w:szCs w:val="24"/>
      <w:lang w:bidi="ar"/>
    </w:rPr>
  </w:style>
  <w:style w:type="character" w:customStyle="1" w:styleId="84">
    <w:name w:val="javascript1"/>
    <w:basedOn w:val="36"/>
    <w:uiPriority w:val="0"/>
    <w:rPr>
      <w:rFonts w:hint="default" w:ascii="Tahoma" w:hAnsi="Tahoma" w:eastAsia="Tahoma" w:cs="Tahoma"/>
      <w:spacing w:val="240"/>
      <w:sz w:val="18"/>
      <w:szCs w:val="18"/>
    </w:rPr>
  </w:style>
  <w:style w:type="character" w:customStyle="1" w:styleId="85">
    <w:name w:val=" Char Char11"/>
    <w:basedOn w:val="36"/>
    <w:uiPriority w:val="0"/>
    <w:rPr>
      <w:rFonts w:hint="default" w:ascii="Times New Roman" w:hAnsi="Times New Roman" w:eastAsia="宋体" w:cs="Times New Roman"/>
      <w:szCs w:val="24"/>
    </w:rPr>
  </w:style>
  <w:style w:type="character" w:customStyle="1" w:styleId="86">
    <w:name w:val="标题 1.1 Char3"/>
    <w:aliases w:val="标题 2 Char Char Char Char Char Char Char Char Char Char Char Char Char Char Char Char Char Char Char Char Char Char Char Char Char Char Char Char Char Char,Heading 2 Hidden Char,Heading 2 CCBS Char,heading 2 Char,H2 Char,sect 1.2 Char"/>
    <w:basedOn w:val="36"/>
    <w:link w:val="8"/>
    <w:uiPriority w:val="0"/>
    <w:rPr>
      <w:rFonts w:hint="eastAsia" w:ascii="宋体" w:hAnsi="宋体" w:eastAsia="宋体" w:cs="宋体"/>
      <w:b/>
      <w:sz w:val="32"/>
      <w:szCs w:val="24"/>
      <w:lang w:eastAsia="zh-CN" w:bidi="ar"/>
    </w:rPr>
  </w:style>
  <w:style w:type="character" w:customStyle="1" w:styleId="87">
    <w:name w:val="正文文本首行缩进 2 字符"/>
    <w:basedOn w:val="36"/>
    <w:uiPriority w:val="0"/>
    <w:rPr>
      <w:rFonts w:hint="default" w:ascii="Times New Roman" w:hAnsi="Times New Roman" w:eastAsia="宋体" w:cs="Times New Roman"/>
      <w:sz w:val="28"/>
      <w:szCs w:val="20"/>
    </w:rPr>
  </w:style>
  <w:style w:type="paragraph" w:customStyle="1" w:styleId="88">
    <w:name w:val="第三章表标头"/>
    <w:uiPriority w:val="0"/>
    <w:pPr>
      <w:keepNext w:val="0"/>
      <w:keepLines w:val="0"/>
      <w:widowControl/>
      <w:suppressLineNumbers w:val="0"/>
      <w:adjustRightInd w:val="0"/>
      <w:snapToGrid w:val="0"/>
      <w:spacing w:before="0" w:beforeAutospacing="0" w:after="0" w:afterAutospacing="0" w:line="480" w:lineRule="exact"/>
      <w:ind w:left="420" w:right="0" w:hanging="420"/>
      <w:jc w:val="center"/>
    </w:pPr>
    <w:rPr>
      <w:rFonts w:hint="eastAsia" w:ascii="黑体" w:hAnsi="宋体" w:eastAsia="黑体" w:cs="宋体"/>
      <w:kern w:val="0"/>
      <w:sz w:val="24"/>
      <w:szCs w:val="21"/>
      <w:lang w:val="en-US" w:eastAsia="zh-CN" w:bidi="ar"/>
    </w:rPr>
  </w:style>
  <w:style w:type="character" w:customStyle="1" w:styleId="89">
    <w:name w:val="标题 4 Char Char"/>
    <w:basedOn w:val="36"/>
    <w:uiPriority w:val="0"/>
    <w:rPr>
      <w:rFonts w:hint="default" w:ascii="Arial" w:hAnsi="Arial" w:eastAsia="黑体" w:cs="Arial"/>
      <w:bCs/>
      <w:kern w:val="2"/>
      <w:sz w:val="24"/>
      <w:szCs w:val="28"/>
      <w:lang w:val="en-US" w:eastAsia="zh-CN" w:bidi="ar"/>
    </w:rPr>
  </w:style>
  <w:style w:type="character" w:customStyle="1" w:styleId="90">
    <w:name w:val="表格文字 Char"/>
    <w:basedOn w:val="36"/>
    <w:link w:val="91"/>
    <w:uiPriority w:val="0"/>
    <w:rPr>
      <w:rFonts w:hint="eastAsia" w:ascii="宋体" w:hAnsi="宋体" w:eastAsia="宋体" w:cs="宋体"/>
      <w:color w:val="0000FF"/>
      <w:sz w:val="21"/>
      <w:szCs w:val="21"/>
      <w:lang w:bidi="ar"/>
    </w:rPr>
  </w:style>
  <w:style w:type="paragraph" w:customStyle="1" w:styleId="91">
    <w:name w:val="表格文字"/>
    <w:link w:val="90"/>
    <w:uiPriority w:val="0"/>
    <w:pPr>
      <w:keepNext w:val="0"/>
      <w:keepLines w:val="0"/>
      <w:widowControl/>
      <w:suppressLineNumbers w:val="0"/>
      <w:adjustRightInd w:val="0"/>
      <w:spacing w:before="0" w:beforeAutospacing="0" w:after="0" w:afterAutospacing="0"/>
      <w:ind w:left="0" w:right="0"/>
      <w:jc w:val="center"/>
    </w:pPr>
    <w:rPr>
      <w:rFonts w:hint="default" w:ascii="Times New Roman" w:hAnsi="Times New Roman" w:eastAsia="宋体" w:cs="宋体"/>
      <w:color w:val="0000FF"/>
      <w:kern w:val="0"/>
      <w:sz w:val="21"/>
      <w:szCs w:val="21"/>
      <w:lang w:val="en-US" w:eastAsia="zh-CN" w:bidi="ar"/>
    </w:rPr>
  </w:style>
  <w:style w:type="character" w:customStyle="1" w:styleId="92">
    <w:name w:val="正文文本缩进 3 字符1"/>
    <w:basedOn w:val="36"/>
    <w:uiPriority w:val="0"/>
    <w:rPr>
      <w:rFonts w:hint="eastAsia" w:ascii="方正书宋简体" w:hAnsi="Times New Roman" w:eastAsia="方正书宋简体" w:cs="Times New Roman"/>
      <w:sz w:val="28"/>
      <w:szCs w:val="20"/>
    </w:rPr>
  </w:style>
  <w:style w:type="character" w:customStyle="1" w:styleId="93">
    <w:name w:val="HTML 预设格式 Char"/>
    <w:basedOn w:val="36"/>
    <w:uiPriority w:val="0"/>
    <w:rPr>
      <w:rFonts w:hint="eastAsia" w:ascii="黑体" w:hAnsi="Courier New" w:eastAsia="黑体" w:cs="Courier New"/>
    </w:rPr>
  </w:style>
  <w:style w:type="character" w:customStyle="1" w:styleId="94">
    <w:name w:val="正文缩进4 Char1"/>
    <w:aliases w:val="正文缩进11 Char1,正文（首行缩进两字） Char11 Char1,正文（首行缩进两字） Char3 Char1,正文缩进2 Char Char Char Char Char1 Char1,正文缩进2 Char Char Char1 Char1,正文缩进31 Char1,正文（首行缩进两字）11 Char1,正文缩进2 Char Char1 Char1 Char1,正文缩进2 Char Char2 Char1,正文（首行缩进两字） Char Char2 Char"/>
    <w:basedOn w:val="36"/>
    <w:uiPriority w:val="0"/>
    <w:rPr>
      <w:rFonts w:hint="eastAsia" w:ascii="宋体" w:hAnsi="宋体" w:eastAsia="宋体" w:cs="宋体"/>
      <w:sz w:val="24"/>
      <w:szCs w:val="24"/>
      <w:lang w:val="en-US" w:eastAsia="zh-CN" w:bidi="ar"/>
    </w:rPr>
  </w:style>
  <w:style w:type="character" w:customStyle="1" w:styleId="95">
    <w:name w:val="小节标题 Char"/>
    <w:aliases w:val="标题 3 Char1 Char,标题 3 Char Char Char,H3 Char,Heading 3 - old Char,标题 3 Char Char Char Char Char1,标题 3 Char Char Char Char Char Char,1.1.1 Char,条 Char,标题 3 Char Char1,三级标题，黑粗，四号，序号 Char,三级标题 Char,h3 sub heading Char,标2 Char,Char Char,Re Char"/>
    <w:basedOn w:val="36"/>
    <w:link w:val="9"/>
    <w:uiPriority w:val="0"/>
    <w:rPr>
      <w:rFonts w:hint="eastAsia" w:ascii="宋体" w:hAnsi="宋体" w:eastAsia="宋体" w:cs="宋体"/>
      <w:b/>
      <w:sz w:val="24"/>
      <w:szCs w:val="28"/>
      <w:lang w:bidi="ar"/>
    </w:rPr>
  </w:style>
  <w:style w:type="character" w:customStyle="1" w:styleId="96">
    <w:name w:val="中文报告书样式 Char1"/>
    <w:basedOn w:val="36"/>
    <w:uiPriority w:val="0"/>
    <w:rPr>
      <w:rFonts w:hint="eastAsia" w:ascii="宋体" w:hAnsi="宋体" w:eastAsia="宋体" w:cs="宋体"/>
      <w:kern w:val="24"/>
      <w:sz w:val="24"/>
      <w:szCs w:val="24"/>
      <w:lang w:bidi="ar"/>
    </w:rPr>
  </w:style>
  <w:style w:type="character" w:customStyle="1" w:styleId="97">
    <w:name w:val="批注框文本 Char"/>
    <w:basedOn w:val="36"/>
    <w:uiPriority w:val="0"/>
    <w:rPr>
      <w:kern w:val="2"/>
      <w:sz w:val="18"/>
      <w:szCs w:val="18"/>
    </w:rPr>
  </w:style>
  <w:style w:type="character" w:customStyle="1" w:styleId="98">
    <w:name w:val="正文-wyt Char"/>
    <w:basedOn w:val="36"/>
    <w:uiPriority w:val="0"/>
    <w:rPr>
      <w:rFonts w:hint="eastAsia" w:ascii="宋体" w:hAnsi="宋体" w:eastAsia="宋体" w:cs="宋体"/>
      <w:sz w:val="24"/>
      <w:szCs w:val="24"/>
      <w:lang w:bidi="ar"/>
    </w:rPr>
  </w:style>
  <w:style w:type="character" w:customStyle="1" w:styleId="99">
    <w:name w:val="表注 Char"/>
    <w:basedOn w:val="36"/>
    <w:uiPriority w:val="0"/>
    <w:rPr>
      <w:rFonts w:hint="eastAsia" w:ascii="宋体" w:hAnsi="宋体" w:eastAsia="宋体" w:cs="宋体"/>
      <w:color w:val="FF0000"/>
      <w:sz w:val="21"/>
      <w:szCs w:val="21"/>
      <w:lang w:bidi="ar"/>
    </w:rPr>
  </w:style>
  <w:style w:type="character" w:customStyle="1" w:styleId="100">
    <w:name w:val="行距 Char"/>
    <w:basedOn w:val="36"/>
    <w:uiPriority w:val="0"/>
    <w:rPr>
      <w:rFonts w:hint="eastAsia" w:ascii="宋体" w:hAnsi="宋体" w:eastAsia="宋体" w:cs="宋体"/>
      <w:kern w:val="2"/>
      <w:sz w:val="28"/>
      <w:szCs w:val="24"/>
      <w:lang w:val="en-US" w:eastAsia="zh-CN" w:bidi="ar"/>
    </w:rPr>
  </w:style>
  <w:style w:type="character" w:customStyle="1" w:styleId="101">
    <w:name w:val="标题 Char"/>
    <w:aliases w:val="表格图片标题 Char"/>
    <w:basedOn w:val="36"/>
    <w:uiPriority w:val="0"/>
    <w:rPr>
      <w:rFonts w:hint="default" w:ascii="Cambria" w:hAnsi="Cambria" w:eastAsia="Cambria" w:cs="Times New Roman"/>
      <w:b/>
      <w:kern w:val="2"/>
      <w:sz w:val="32"/>
      <w:szCs w:val="32"/>
    </w:rPr>
  </w:style>
  <w:style w:type="character" w:customStyle="1" w:styleId="102">
    <w:name w:val="正文文本 3 字符1"/>
    <w:basedOn w:val="36"/>
    <w:uiPriority w:val="0"/>
    <w:rPr>
      <w:rFonts w:hint="default" w:ascii="Times New Roman" w:hAnsi="Times New Roman" w:eastAsia="宋体" w:cs="Times New Roman"/>
      <w:sz w:val="24"/>
      <w:szCs w:val="20"/>
    </w:rPr>
  </w:style>
  <w:style w:type="character" w:customStyle="1" w:styleId="103">
    <w:name w:val="未命名1"/>
    <w:basedOn w:val="36"/>
    <w:uiPriority w:val="0"/>
  </w:style>
  <w:style w:type="character" w:customStyle="1" w:styleId="104">
    <w:name w:val="f241"/>
    <w:basedOn w:val="36"/>
    <w:uiPriority w:val="0"/>
    <w:rPr>
      <w:spacing w:val="288"/>
      <w:sz w:val="36"/>
      <w:szCs w:val="36"/>
    </w:rPr>
  </w:style>
  <w:style w:type="character" w:customStyle="1" w:styleId="105">
    <w:name w:val="text31"/>
    <w:basedOn w:val="36"/>
    <w:uiPriority w:val="0"/>
    <w:rPr>
      <w:rFonts w:hint="eastAsia" w:ascii="宋体" w:hAnsi="宋体" w:eastAsia="宋体" w:cs="宋体"/>
      <w:color w:val="673434"/>
      <w:sz w:val="22"/>
      <w:szCs w:val="22"/>
      <w:u w:val="none"/>
    </w:rPr>
  </w:style>
  <w:style w:type="character" w:customStyle="1" w:styleId="106">
    <w:name w:val="报告正文样式 Char"/>
    <w:basedOn w:val="36"/>
    <w:uiPriority w:val="0"/>
    <w:rPr>
      <w:rFonts w:hint="eastAsia" w:ascii="宋体" w:hAnsi="宋体" w:eastAsia="宋体" w:cs="宋体"/>
      <w:sz w:val="24"/>
      <w:szCs w:val="24"/>
      <w:lang w:bidi="ar"/>
    </w:rPr>
  </w:style>
  <w:style w:type="character" w:customStyle="1" w:styleId="107">
    <w:name w:val="正文文本缩进 2 Char"/>
    <w:basedOn w:val="36"/>
    <w:uiPriority w:val="0"/>
    <w:rPr>
      <w:rFonts w:hint="eastAsia" w:ascii="方正书宋简体" w:hAnsi="方正书宋简体" w:eastAsia="方正书宋简体" w:cs="方正书宋简体"/>
      <w:kern w:val="2"/>
      <w:sz w:val="28"/>
      <w:lang w:val="en-US" w:eastAsia="zh-CN" w:bidi="ar"/>
    </w:rPr>
  </w:style>
  <w:style w:type="character" w:customStyle="1" w:styleId="108">
    <w:name w:val="标题 1 Char1"/>
    <w:aliases w:val="标题1 Char1"/>
    <w:basedOn w:val="36"/>
    <w:uiPriority w:val="0"/>
    <w:rPr>
      <w:b/>
      <w:kern w:val="44"/>
      <w:sz w:val="44"/>
      <w:szCs w:val="44"/>
    </w:rPr>
  </w:style>
  <w:style w:type="character" w:customStyle="1" w:styleId="109">
    <w:name w:val="正文缩进 Char"/>
    <w:aliases w:val="正文（首行缩进两字） Char,正文缩进4 Char,正文缩进11 Char,正文（首行缩进两字） Char11 Char,正文（首行缩进两字） Char3 Char,正文缩进2 Char Char Char Char Char1 Char,正文缩进2 Char Char Char1 Char,正文缩进31 Char,正文（首行缩进两字）11 Char,正文缩进2 Char Char1 Char1 Char,正文缩进2 Char Char2 Char,正文缩进1 Char"/>
    <w:basedOn w:val="36"/>
    <w:uiPriority w:val="0"/>
    <w:rPr>
      <w:rFonts w:hint="eastAsia" w:ascii="宋体" w:hAnsi="宋体" w:eastAsia="宋体" w:cs="宋体"/>
      <w:kern w:val="2"/>
      <w:sz w:val="28"/>
      <w:lang w:val="en-US" w:eastAsia="zh-CN" w:bidi="ar"/>
    </w:rPr>
  </w:style>
  <w:style w:type="character" w:customStyle="1" w:styleId="110">
    <w:name w:val="报告表格内容 Char"/>
    <w:basedOn w:val="36"/>
    <w:link w:val="111"/>
    <w:uiPriority w:val="0"/>
    <w:rPr>
      <w:rFonts w:hint="eastAsia" w:ascii="宋体" w:hAnsi="宋体" w:eastAsia="宋体" w:cs="宋体"/>
      <w:sz w:val="21"/>
      <w:szCs w:val="24"/>
      <w:lang w:val="en-US" w:eastAsia="zh-CN" w:bidi="ar"/>
    </w:rPr>
  </w:style>
  <w:style w:type="paragraph" w:customStyle="1" w:styleId="111">
    <w:name w:val="报告表格内容"/>
    <w:basedOn w:val="1"/>
    <w:next w:val="1"/>
    <w:link w:val="110"/>
    <w:uiPriority w:val="0"/>
    <w:pPr>
      <w:keepNext w:val="0"/>
      <w:keepLines w:val="0"/>
      <w:widowControl/>
      <w:suppressLineNumbers w:val="0"/>
      <w:adjustRightInd w:val="0"/>
      <w:snapToGrid w:val="0"/>
      <w:spacing w:before="0" w:beforeAutospacing="0" w:after="0" w:afterAutospacing="0"/>
      <w:ind w:left="0" w:right="0"/>
      <w:jc w:val="center"/>
    </w:pPr>
    <w:rPr>
      <w:rFonts w:hint="eastAsia" w:ascii="宋体" w:hAnsi="宋体" w:eastAsia="宋体" w:cs="宋体"/>
      <w:kern w:val="0"/>
      <w:sz w:val="21"/>
      <w:szCs w:val="24"/>
      <w:lang w:val="en-US" w:eastAsia="zh-CN" w:bidi="ar"/>
    </w:rPr>
  </w:style>
  <w:style w:type="paragraph" w:customStyle="1" w:styleId="112">
    <w:name w:val="目录"/>
    <w:basedOn w:val="1"/>
    <w:uiPriority w:val="0"/>
    <w:pPr>
      <w:keepNext w:val="0"/>
      <w:keepLines w:val="0"/>
      <w:widowControl/>
      <w:suppressLineNumbers w:val="0"/>
      <w:spacing w:before="0" w:beforeAutospacing="0" w:after="0" w:afterAutospacing="0"/>
      <w:ind w:left="0" w:right="0"/>
      <w:jc w:val="center"/>
    </w:pPr>
    <w:rPr>
      <w:rFonts w:hint="eastAsia" w:ascii="宋体" w:hAnsi="宋体" w:eastAsia="宋体" w:cs="宋体"/>
      <w:b/>
      <w:kern w:val="0"/>
      <w:sz w:val="44"/>
      <w:szCs w:val="44"/>
      <w:lang w:val="en-US" w:eastAsia="zh-CN" w:bidi="ar"/>
    </w:rPr>
  </w:style>
  <w:style w:type="paragraph" w:customStyle="1" w:styleId="113">
    <w:name w:val="标题4"/>
    <w:basedOn w:val="9"/>
    <w:link w:val="173"/>
    <w:uiPriority w:val="0"/>
    <w:pPr>
      <w:keepNext/>
      <w:keepLines w:val="0"/>
      <w:widowControl/>
      <w:suppressLineNumbers w:val="0"/>
      <w:spacing w:before="0" w:beforeAutospacing="0" w:after="0" w:afterAutospacing="0" w:line="360" w:lineRule="auto"/>
      <w:ind w:left="0" w:right="0"/>
      <w:jc w:val="left"/>
      <w:outlineLvl w:val="3"/>
    </w:pPr>
    <w:rPr>
      <w:rFonts w:hint="eastAsia" w:ascii="宋体" w:hAnsi="宋体" w:eastAsia="宋体" w:cs="宋体"/>
      <w:kern w:val="0"/>
      <w:sz w:val="24"/>
      <w:szCs w:val="28"/>
      <w:lang w:val="en-US" w:eastAsia="zh-CN" w:bidi="ar"/>
    </w:rPr>
  </w:style>
  <w:style w:type="character" w:customStyle="1" w:styleId="114">
    <w:name w:val="d1"/>
    <w:basedOn w:val="36"/>
    <w:uiPriority w:val="0"/>
    <w:rPr>
      <w:rFonts w:hint="default" w:ascii="_x000B__x000C_" w:hAnsi="_x000B__x000C_" w:eastAsia="_x000B__x000C_" w:cs="_x000B__x000C_"/>
      <w:b/>
      <w:color w:val="0000CC"/>
      <w:spacing w:val="420"/>
      <w:sz w:val="21"/>
      <w:szCs w:val="21"/>
    </w:rPr>
  </w:style>
  <w:style w:type="character" w:customStyle="1" w:styleId="115">
    <w:name w:val="Char Char24"/>
    <w:basedOn w:val="36"/>
    <w:uiPriority w:val="0"/>
    <w:rPr>
      <w:rFonts w:hint="eastAsia" w:ascii="仿宋_GB2312" w:hAnsi="Arial" w:eastAsia="仿宋_GB2312" w:cs="仿宋_GB2312"/>
      <w:kern w:val="2"/>
      <w:sz w:val="28"/>
    </w:rPr>
  </w:style>
  <w:style w:type="character" w:customStyle="1" w:styleId="116">
    <w:name w:val="正文文字( 首段缩进两字） Char Char3"/>
    <w:basedOn w:val="36"/>
    <w:uiPriority w:val="0"/>
    <w:rPr>
      <w:rFonts w:hint="eastAsia" w:ascii="宋体" w:hAnsi="宋体" w:eastAsia="宋体" w:cs="宋体"/>
      <w:kern w:val="2"/>
      <w:sz w:val="24"/>
      <w:szCs w:val="24"/>
      <w:lang w:val="en-US" w:eastAsia="zh-CN" w:bidi="ar"/>
    </w:rPr>
  </w:style>
  <w:style w:type="character" w:customStyle="1" w:styleId="117">
    <w:name w:val="正文待定 Char Char"/>
    <w:basedOn w:val="36"/>
    <w:uiPriority w:val="0"/>
    <w:rPr>
      <w:rFonts w:hint="eastAsia" w:ascii="宋体" w:hAnsi="宋体" w:eastAsia="宋体" w:cs="宋体"/>
      <w:b/>
      <w:i/>
      <w:color w:val="FF0000"/>
      <w:kern w:val="2"/>
      <w:sz w:val="24"/>
      <w:szCs w:val="24"/>
      <w:lang w:val="en-US" w:eastAsia="zh-CN" w:bidi="ar"/>
    </w:rPr>
  </w:style>
  <w:style w:type="character" w:customStyle="1" w:styleId="118">
    <w:name w:val=" Char Char18"/>
    <w:basedOn w:val="36"/>
    <w:link w:val="16"/>
    <w:uiPriority w:val="0"/>
    <w:rPr>
      <w:rFonts w:hint="eastAsia" w:ascii="方正书宋简体" w:hAnsi="宋体" w:eastAsia="方正书宋简体" w:cs="宋体"/>
      <w:sz w:val="24"/>
      <w:szCs w:val="24"/>
      <w:lang w:val="en-US" w:eastAsia="zh-CN" w:bidi="ar"/>
    </w:rPr>
  </w:style>
  <w:style w:type="character" w:customStyle="1" w:styleId="119">
    <w:name w:val=" Char Char5"/>
    <w:basedOn w:val="36"/>
    <w:link w:val="12"/>
    <w:uiPriority w:val="0"/>
    <w:rPr>
      <w:rFonts w:hint="eastAsia" w:ascii="宋体" w:hAnsi="宋体" w:eastAsia="宋体" w:cs="宋体"/>
      <w:sz w:val="21"/>
      <w:szCs w:val="24"/>
      <w:lang w:bidi="ar"/>
    </w:rPr>
  </w:style>
  <w:style w:type="character" w:customStyle="1" w:styleId="120">
    <w:name w:val="纯文本 Char Char"/>
    <w:aliases w:val="普通文字 Char Char Char,普通文字 Char Char2,普通文字 Char Char Char Char Char Char Char Char Char2,普通文字 Char Char Char Char Char Char Char Char3,普通文字 Char Char Char Char Char2,纯文本 Char Char Char Char Char Char2,纯文本1 Char2,纯文本 Char1 Char Char,参考文献 Char"/>
    <w:basedOn w:val="36"/>
    <w:link w:val="14"/>
    <w:uiPriority w:val="0"/>
    <w:rPr>
      <w:rFonts w:hint="eastAsia" w:ascii="宋体" w:hAnsi="Courier New" w:eastAsia="宋体" w:cs="宋体"/>
      <w:sz w:val="21"/>
      <w:szCs w:val="24"/>
      <w:lang w:val="en-US" w:eastAsia="zh-CN" w:bidi="ar"/>
    </w:rPr>
  </w:style>
  <w:style w:type="character" w:customStyle="1" w:styleId="121">
    <w:name w:val="表题 Char1"/>
    <w:basedOn w:val="36"/>
    <w:uiPriority w:val="0"/>
    <w:rPr>
      <w:rFonts w:hint="eastAsia" w:ascii="宋体" w:hAnsi="宋体" w:eastAsia="宋体" w:cs="宋体"/>
      <w:b/>
      <w:kern w:val="2"/>
      <w:sz w:val="21"/>
      <w:szCs w:val="21"/>
    </w:rPr>
  </w:style>
  <w:style w:type="character" w:customStyle="1" w:styleId="122">
    <w:name w:val="报告表格内容 Char Char"/>
    <w:basedOn w:val="36"/>
    <w:uiPriority w:val="0"/>
    <w:rPr>
      <w:kern w:val="2"/>
      <w:sz w:val="21"/>
    </w:rPr>
  </w:style>
  <w:style w:type="character" w:customStyle="1" w:styleId="123">
    <w:name w:val="标题 7 字符"/>
    <w:aliases w:val="项标题(1) 字符,H7 字符,标题 7 表 字符,无节条 字符,表格标题1 Char 字符,无节条 Char Char 字符,标7 字符,标题 7 表1 字符,无级项 字符,H71 字符,标题 7表内5号 字符,. [(1)] 字符,可研-标题 7 字符,Third level heading 字符,表头标准 字符,标题 7表内5号1 字符,标题 7表内5号2 字符,标题 7表内5号11 字符,标题 7表内5号3 字符,标题 7表内5号12 字符,标题 7表内5号4 字符"/>
    <w:basedOn w:val="36"/>
    <w:uiPriority w:val="0"/>
    <w:rPr>
      <w:b/>
    </w:rPr>
  </w:style>
  <w:style w:type="character" w:customStyle="1" w:styleId="124">
    <w:name w:val="postbody1"/>
    <w:basedOn w:val="36"/>
    <w:uiPriority w:val="0"/>
    <w:rPr>
      <w:sz w:val="23"/>
      <w:szCs w:val="23"/>
    </w:rPr>
  </w:style>
  <w:style w:type="character" w:customStyle="1" w:styleId="125">
    <w:name w:val="tpc_content"/>
    <w:basedOn w:val="36"/>
    <w:uiPriority w:val="0"/>
  </w:style>
  <w:style w:type="character" w:customStyle="1" w:styleId="126">
    <w:name w:val="文档结构图 字符1"/>
    <w:basedOn w:val="36"/>
    <w:uiPriority w:val="0"/>
    <w:rPr>
      <w:rFonts w:hint="default" w:ascii="Times New Roman" w:hAnsi="Times New Roman" w:eastAsia="宋体" w:cs="Times New Roman"/>
      <w:sz w:val="28"/>
      <w:szCs w:val="20"/>
      <w:shd w:val="clear" w:fill="000080"/>
    </w:rPr>
  </w:style>
  <w:style w:type="character" w:customStyle="1" w:styleId="127">
    <w:name w:val="1.1.1.1标题 4 Char"/>
    <w:aliases w:val="4 Char,1.1.1.1 Char,标题 4.1.1.1.1 Char,标题 4 Char Char1,款 Char,四级标题，黑粗，小四，序号 Char,H4 Char,h4 sub sub heading Char,J标题 4 Char,A4 Char,款标题 Char,款标题1.1.1.1 Char,表图题 Char,款标题1 Char,H41 Char,H42 Char,u4 Char,H43 Char,H411 Char,H421 Char"/>
    <w:basedOn w:val="36"/>
    <w:uiPriority w:val="0"/>
    <w:rPr>
      <w:rFonts w:hint="eastAsia" w:ascii="仿宋_GB2312" w:hAnsi="Arial" w:eastAsia="仿宋_GB2312" w:cs="宋体"/>
      <w:sz w:val="24"/>
      <w:szCs w:val="24"/>
      <w:lang w:bidi="ar"/>
    </w:rPr>
  </w:style>
  <w:style w:type="character" w:customStyle="1" w:styleId="128">
    <w:name w:val="apple-style-span"/>
    <w:basedOn w:val="36"/>
    <w:uiPriority w:val="0"/>
    <w:rPr>
      <w:rFonts w:hint="default" w:ascii="Times New Roman" w:hAnsi="Times New Roman" w:cs="Times New Roman"/>
    </w:rPr>
  </w:style>
  <w:style w:type="character" w:customStyle="1" w:styleId="129">
    <w:name w:val="不明显强调1"/>
    <w:basedOn w:val="36"/>
    <w:uiPriority w:val="0"/>
    <w:rPr>
      <w:i/>
      <w:color w:val="808080"/>
    </w:rPr>
  </w:style>
  <w:style w:type="character" w:customStyle="1" w:styleId="130">
    <w:name w:val="hilite"/>
    <w:basedOn w:val="36"/>
    <w:uiPriority w:val="0"/>
  </w:style>
  <w:style w:type="character" w:customStyle="1" w:styleId="131">
    <w:name w:val="正文文本缩进 3 字符"/>
    <w:basedOn w:val="36"/>
    <w:uiPriority w:val="0"/>
    <w:rPr>
      <w:kern w:val="2"/>
      <w:sz w:val="16"/>
      <w:szCs w:val="16"/>
    </w:rPr>
  </w:style>
  <w:style w:type="character" w:customStyle="1" w:styleId="132">
    <w:name w:val=" Char Char3"/>
    <w:basedOn w:val="36"/>
    <w:link w:val="22"/>
    <w:uiPriority w:val="0"/>
    <w:rPr>
      <w:rFonts w:hint="eastAsia" w:ascii="宋体" w:hAnsi="宋体" w:eastAsia="宋体" w:cs="宋体"/>
      <w:sz w:val="18"/>
      <w:szCs w:val="18"/>
      <w:lang w:bidi="ar"/>
    </w:rPr>
  </w:style>
  <w:style w:type="character" w:customStyle="1" w:styleId="133">
    <w:name w:val=" Char Char4"/>
    <w:basedOn w:val="36"/>
    <w:link w:val="28"/>
    <w:uiPriority w:val="0"/>
    <w:rPr>
      <w:rFonts w:hint="eastAsia" w:ascii="方正书宋简体" w:hAnsi="方正书宋简体" w:eastAsia="方正书宋简体" w:cs="方正书宋简体"/>
      <w:b/>
      <w:kern w:val="2"/>
      <w:sz w:val="28"/>
      <w:lang w:bidi="ar"/>
    </w:rPr>
  </w:style>
  <w:style w:type="character" w:customStyle="1" w:styleId="134">
    <w:name w:val="图题 Char"/>
    <w:basedOn w:val="36"/>
    <w:uiPriority w:val="0"/>
    <w:rPr>
      <w:rFonts w:hint="eastAsia" w:ascii="黑体" w:hAnsi="宋体" w:eastAsia="黑体" w:cs="黑体"/>
      <w:kern w:val="2"/>
      <w:sz w:val="21"/>
      <w:szCs w:val="21"/>
      <w:lang w:val="en-US" w:eastAsia="zh-CN" w:bidi="ar"/>
    </w:rPr>
  </w:style>
  <w:style w:type="character" w:customStyle="1" w:styleId="135">
    <w:name w:val="style11"/>
    <w:basedOn w:val="36"/>
    <w:uiPriority w:val="0"/>
    <w:rPr>
      <w:sz w:val="21"/>
      <w:szCs w:val="21"/>
    </w:rPr>
  </w:style>
  <w:style w:type="character" w:customStyle="1" w:styleId="136">
    <w:name w:val="unnamed21"/>
    <w:basedOn w:val="36"/>
    <w:uiPriority w:val="0"/>
    <w:rPr>
      <w:color w:val="000000"/>
      <w:spacing w:val="255"/>
      <w:sz w:val="18"/>
      <w:szCs w:val="18"/>
      <w:u w:val="none"/>
    </w:rPr>
  </w:style>
  <w:style w:type="character" w:customStyle="1" w:styleId="137">
    <w:name w:val="style101"/>
    <w:basedOn w:val="36"/>
    <w:uiPriority w:val="0"/>
    <w:rPr>
      <w:rFonts w:hint="eastAsia" w:ascii="宋体" w:hAnsi="宋体" w:eastAsia="宋体" w:cs="宋体"/>
      <w:color w:val="000000"/>
      <w:sz w:val="21"/>
      <w:szCs w:val="21"/>
      <w:u w:val="none"/>
    </w:rPr>
  </w:style>
  <w:style w:type="paragraph" w:customStyle="1" w:styleId="138">
    <w:name w:val="表体"/>
    <w:aliases w:val="alt+T"/>
    <w:basedOn w:val="1"/>
    <w:link w:val="229"/>
    <w:uiPriority w:val="0"/>
    <w:pPr>
      <w:keepNext w:val="0"/>
      <w:keepLines w:val="0"/>
      <w:widowControl/>
      <w:suppressLineNumbers w:val="0"/>
      <w:overflowPunct w:val="0"/>
      <w:adjustRightInd w:val="0"/>
      <w:spacing w:before="80" w:beforeAutospacing="0" w:after="80" w:afterAutospacing="0"/>
      <w:ind w:left="-57" w:right="-57"/>
      <w:jc w:val="center"/>
    </w:pPr>
    <w:rPr>
      <w:rFonts w:hint="eastAsia" w:ascii="宋体" w:hAnsi="宋体" w:eastAsia="宋体" w:cs="宋体"/>
      <w:color w:val="000000"/>
      <w:kern w:val="24"/>
      <w:sz w:val="21"/>
      <w:szCs w:val="24"/>
      <w:lang w:val="en-US" w:eastAsia="zh-CN" w:bidi="ar"/>
    </w:rPr>
  </w:style>
  <w:style w:type="character" w:customStyle="1" w:styleId="139">
    <w:name w:val="样式 红色 首行缩进:  2 字符 Char"/>
    <w:basedOn w:val="36"/>
    <w:link w:val="71"/>
    <w:uiPriority w:val="0"/>
    <w:rPr>
      <w:rFonts w:hint="eastAsia" w:ascii="宋体" w:hAnsi="宋体" w:eastAsia="宋体" w:cs="宋体"/>
      <w:kern w:val="2"/>
      <w:sz w:val="24"/>
      <w:lang w:bidi="ar"/>
    </w:rPr>
  </w:style>
  <w:style w:type="character" w:customStyle="1" w:styleId="140">
    <w:name w:val=" Char Char9"/>
    <w:basedOn w:val="36"/>
    <w:link w:val="17"/>
    <w:uiPriority w:val="0"/>
    <w:rPr>
      <w:rFonts w:hint="eastAsia" w:ascii="宋体" w:hAnsi="宋体" w:eastAsia="宋体" w:cs="宋体"/>
      <w:sz w:val="18"/>
      <w:szCs w:val="18"/>
      <w:lang w:bidi="ar"/>
    </w:rPr>
  </w:style>
  <w:style w:type="character" w:customStyle="1" w:styleId="141">
    <w:name w:val="正文缩进 Char2"/>
    <w:aliases w:val="正文（首行缩进两字） Char Char,s4 Char1, Char Char,正文缩进 Char1 Char,正文缩进 Char Char Char,正文不缩进 Char,特点 Char,表正文 Char,正文非缩进 Char1,段落正文缩进 Char,段落正文 Char,正文缩进 Char Char1,s4 Char Char,正文非缩进 Char Char, Char Char Char Char Char Char Char Char,图标题 Char,报告书正文 Ch"/>
    <w:basedOn w:val="36"/>
    <w:uiPriority w:val="0"/>
    <w:rPr>
      <w:color w:val="000000"/>
      <w:kern w:val="2"/>
      <w:sz w:val="24"/>
      <w:szCs w:val="24"/>
    </w:rPr>
  </w:style>
  <w:style w:type="character" w:customStyle="1" w:styleId="142">
    <w:name w:val="word1"/>
    <w:basedOn w:val="36"/>
    <w:uiPriority w:val="0"/>
    <w:rPr>
      <w:spacing w:val="312"/>
      <w:sz w:val="17"/>
      <w:szCs w:val="17"/>
    </w:rPr>
  </w:style>
  <w:style w:type="character" w:customStyle="1" w:styleId="143">
    <w:name w:val="hig1"/>
    <w:basedOn w:val="36"/>
    <w:uiPriority w:val="0"/>
    <w:rPr>
      <w:spacing w:val="480"/>
    </w:rPr>
  </w:style>
  <w:style w:type="character" w:customStyle="1" w:styleId="144">
    <w:name w:val="燕山正文 Char"/>
    <w:basedOn w:val="36"/>
    <w:uiPriority w:val="0"/>
    <w:rPr>
      <w:kern w:val="2"/>
      <w:sz w:val="24"/>
      <w:szCs w:val="24"/>
    </w:rPr>
  </w:style>
  <w:style w:type="character" w:customStyle="1" w:styleId="145">
    <w:name w:val="纯文本 字符1"/>
    <w:aliases w:val="普通文字 Char Char 字符,普通文字 Char 字符1,普通文字 Char Char Char Char Char Char Char Char 字符1,普通文字 Char Char Char Char Char Char Char 字符1,普通文字 Char Char Char Char 字符,纯文本 Char Char Char Char Char 字符,纯文本1 字符,纯文本 Char1 Char 字符,纯文本 Char Char Char 字符,文字缩进 字符"/>
    <w:basedOn w:val="36"/>
    <w:uiPriority w:val="0"/>
    <w:rPr>
      <w:rFonts w:hint="eastAsia" w:ascii="宋体" w:hAnsi="Courier New" w:eastAsia="宋体" w:cs="Times New Roman"/>
      <w:szCs w:val="20"/>
    </w:rPr>
  </w:style>
  <w:style w:type="character" w:customStyle="1" w:styleId="146">
    <w:name w:val="font"/>
    <w:basedOn w:val="36"/>
    <w:uiPriority w:val="0"/>
  </w:style>
  <w:style w:type="character" w:customStyle="1" w:styleId="147">
    <w:name w:val="强调内容 Char"/>
    <w:basedOn w:val="36"/>
    <w:uiPriority w:val="0"/>
    <w:rPr>
      <w:b/>
      <w:kern w:val="2"/>
      <w:sz w:val="24"/>
    </w:rPr>
  </w:style>
  <w:style w:type="character" w:customStyle="1" w:styleId="148">
    <w:name w:val="表格内容 Char"/>
    <w:basedOn w:val="36"/>
    <w:uiPriority w:val="0"/>
    <w:rPr>
      <w:rFonts w:hint="eastAsia" w:ascii="仿宋_GB2312" w:eastAsia="仿宋_GB2312" w:cs="仿宋_GB2312"/>
      <w:sz w:val="24"/>
    </w:rPr>
  </w:style>
  <w:style w:type="character" w:customStyle="1" w:styleId="149">
    <w:name w:val="标题 2 Char Char"/>
    <w:basedOn w:val="36"/>
    <w:uiPriority w:val="0"/>
    <w:rPr>
      <w:rFonts w:hint="default" w:ascii="Arial" w:hAnsi="Arial" w:eastAsia="黑体" w:cs="Arial"/>
      <w:bCs/>
      <w:kern w:val="2"/>
      <w:sz w:val="28"/>
      <w:szCs w:val="32"/>
      <w:lang w:val="en-US" w:eastAsia="zh-CN" w:bidi="ar"/>
    </w:rPr>
  </w:style>
  <w:style w:type="character" w:customStyle="1" w:styleId="150">
    <w:name w:val="正文文字( 首段缩进两字） Char Char2"/>
    <w:basedOn w:val="36"/>
    <w:uiPriority w:val="0"/>
    <w:rPr>
      <w:rFonts w:hint="default" w:ascii="Times New Roman" w:hAnsi="Times New Roman" w:cs="Times New Roman"/>
      <w:kern w:val="2"/>
      <w:sz w:val="24"/>
      <w:szCs w:val="24"/>
    </w:rPr>
  </w:style>
  <w:style w:type="character" w:customStyle="1" w:styleId="151">
    <w:name w:val="zhenwen14"/>
    <w:basedOn w:val="36"/>
    <w:uiPriority w:val="0"/>
  </w:style>
  <w:style w:type="character" w:customStyle="1" w:styleId="152">
    <w:name w:val="unnamed11"/>
    <w:basedOn w:val="36"/>
    <w:uiPriority w:val="0"/>
    <w:rPr>
      <w:sz w:val="20"/>
      <w:szCs w:val="20"/>
    </w:rPr>
  </w:style>
  <w:style w:type="character" w:customStyle="1" w:styleId="153">
    <w:name w:val="px14"/>
    <w:basedOn w:val="36"/>
    <w:uiPriority w:val="0"/>
  </w:style>
  <w:style w:type="character" w:customStyle="1" w:styleId="154">
    <w:name w:val="未命名11"/>
    <w:basedOn w:val="36"/>
    <w:uiPriority w:val="0"/>
    <w:rPr>
      <w:rFonts w:hint="eastAsia" w:ascii="黑体" w:hAnsi="宋体" w:eastAsia="黑体" w:cs="黑体"/>
      <w:spacing w:val="280"/>
      <w:kern w:val="2"/>
      <w:sz w:val="24"/>
      <w:szCs w:val="24"/>
      <w:lang w:val="en-US" w:eastAsia="zh-CN" w:bidi="ar"/>
    </w:rPr>
  </w:style>
  <w:style w:type="paragraph" w:customStyle="1" w:styleId="155">
    <w:name w:val="表格"/>
    <w:aliases w:val="图文"/>
    <w:basedOn w:val="1"/>
    <w:link w:val="164"/>
    <w:uiPriority w:val="0"/>
    <w:pPr>
      <w:keepNext w:val="0"/>
      <w:keepLines w:val="0"/>
      <w:widowControl/>
      <w:suppressLineNumbers w:val="0"/>
      <w:snapToGrid w:val="0"/>
      <w:spacing w:before="0" w:beforeAutospacing="0" w:after="0" w:afterAutospacing="0" w:line="380" w:lineRule="exact"/>
      <w:ind w:left="0" w:right="0"/>
      <w:jc w:val="center"/>
    </w:pPr>
    <w:rPr>
      <w:rFonts w:hint="eastAsia" w:ascii="宋体" w:hAnsi="宋体" w:eastAsia="宋体" w:cs="Times New Roman"/>
      <w:kern w:val="0"/>
      <w:sz w:val="21"/>
      <w:szCs w:val="20"/>
      <w:lang w:val="en-US" w:eastAsia="zh-CN" w:bidi="ar"/>
    </w:rPr>
  </w:style>
  <w:style w:type="character" w:customStyle="1" w:styleId="156">
    <w:name w:val="px141"/>
    <w:basedOn w:val="36"/>
    <w:uiPriority w:val="0"/>
    <w:rPr>
      <w:spacing w:val="330"/>
      <w:sz w:val="21"/>
      <w:szCs w:val="21"/>
    </w:rPr>
  </w:style>
  <w:style w:type="character" w:customStyle="1" w:styleId="157">
    <w:name w:val="样式1 Char"/>
    <w:basedOn w:val="36"/>
    <w:uiPriority w:val="0"/>
    <w:rPr>
      <w:rFonts w:hint="eastAsia" w:ascii="宋体" w:hAnsi="宋体" w:eastAsia="宋体" w:cs="宋体"/>
      <w:bCs/>
      <w:kern w:val="2"/>
      <w:sz w:val="24"/>
      <w:szCs w:val="21"/>
      <w:lang w:val="en-US" w:eastAsia="zh-CN" w:bidi="ar"/>
    </w:rPr>
  </w:style>
  <w:style w:type="character" w:customStyle="1" w:styleId="158">
    <w:name w:val="无节款 Char"/>
    <w:aliases w:val="h8 Char,H8 Char,目标题 1) Char,注 Char,图 Char,标题8--表题 Char,. [(a)] Char,可研-标题 8 Char,注1 Char,无节款1 Char,目标题 1)1 Char,注2 Char,无节款2 Char,目标题 1)2 Char,注3 Char,无节款3 Char,目标题 1)3 Char,注4 Char,无节款4 Char,目标题 1)4 Char,注5 Char,无节款5 Char,目标题 1)5 Char,注6 Char"/>
    <w:basedOn w:val="36"/>
    <w:uiPriority w:val="0"/>
    <w:rPr>
      <w:rFonts w:hint="default" w:ascii="Arial" w:hAnsi="Arial" w:eastAsia="仿宋_GB2312" w:cs="宋体"/>
      <w:sz w:val="24"/>
      <w:szCs w:val="24"/>
      <w:lang w:bidi="ar"/>
    </w:rPr>
  </w:style>
  <w:style w:type="character" w:customStyle="1" w:styleId="159">
    <w:name w:val="content"/>
    <w:basedOn w:val="36"/>
    <w:uiPriority w:val="0"/>
  </w:style>
  <w:style w:type="character" w:customStyle="1" w:styleId="160">
    <w:name w:val="css1"/>
    <w:basedOn w:val="36"/>
    <w:uiPriority w:val="0"/>
  </w:style>
  <w:style w:type="character" w:customStyle="1" w:styleId="161">
    <w:name w:val="zhou11"/>
    <w:basedOn w:val="36"/>
    <w:uiPriority w:val="0"/>
    <w:rPr>
      <w:color w:val="000000"/>
      <w:sz w:val="21"/>
      <w:szCs w:val="21"/>
    </w:rPr>
  </w:style>
  <w:style w:type="character" w:customStyle="1" w:styleId="162">
    <w:name w:val="font31"/>
    <w:basedOn w:val="36"/>
    <w:uiPriority w:val="0"/>
    <w:rPr>
      <w:rFonts w:hint="eastAsia" w:ascii="宋体" w:hAnsi="宋体" w:eastAsia="宋体" w:cs="宋体"/>
      <w:color w:val="000000"/>
      <w:sz w:val="22"/>
      <w:szCs w:val="22"/>
      <w:u w:val="none"/>
    </w:rPr>
  </w:style>
  <w:style w:type="character" w:customStyle="1" w:styleId="163">
    <w:name w:val="Char Char21"/>
    <w:basedOn w:val="36"/>
    <w:uiPriority w:val="0"/>
    <w:rPr>
      <w:rFonts w:hint="default" w:ascii="Arial" w:hAnsi="Arial" w:eastAsia="黑体" w:cs="Times New Roman"/>
      <w:kern w:val="0"/>
      <w:szCs w:val="20"/>
    </w:rPr>
  </w:style>
  <w:style w:type="character" w:customStyle="1" w:styleId="164">
    <w:name w:val="表格 Char"/>
    <w:aliases w:val="正文2 Char,表正文 Char1,四号 Char1,特点 Char1,段1 Char1,Body Text(ch) Char1,缩进 Char1,ALT+Z Char1,正文标准 Char1,首行缩进 Char1,标题4 Char Char,正文（首缩进两字） Char,identication Char,无间隔 Char,正文2 Char1 Cha,（首行缩进两字） Char,正文2 Char1 Char,正文2 Char1,正文（首行缩进两字）1 Char1,正文不缩进 Char1"/>
    <w:basedOn w:val="36"/>
    <w:link w:val="155"/>
    <w:uiPriority w:val="0"/>
    <w:rPr>
      <w:rFonts w:hint="eastAsia" w:ascii="宋体" w:hAnsi="宋体" w:eastAsia="宋体" w:cs="宋体"/>
      <w:snapToGrid w:val="0"/>
      <w:sz w:val="21"/>
      <w:lang w:val="en-US" w:eastAsia="zh-CN" w:bidi="ar"/>
    </w:rPr>
  </w:style>
  <w:style w:type="character" w:customStyle="1" w:styleId="165">
    <w:name w:val="wyt-标题2 Char"/>
    <w:basedOn w:val="36"/>
    <w:uiPriority w:val="0"/>
    <w:rPr>
      <w:rFonts w:hint="eastAsia" w:ascii="黑体" w:hAnsi="宋体" w:eastAsia="黑体" w:cs="黑体"/>
      <w:sz w:val="28"/>
      <w:szCs w:val="24"/>
      <w:lang w:eastAsia="zh-CN" w:bidi="ar"/>
    </w:rPr>
  </w:style>
  <w:style w:type="character" w:customStyle="1" w:styleId="166">
    <w:name w:val="标题 1 Char Char"/>
    <w:aliases w:val="一级标题，黑粗，三号，序号 Char,1.标题 1 Char,H1 Char,Chapter Headline Char,章 Char,chap Char,Section Head Char,Header1 Char,h1 Char,1st level Char,l1 Char,Heading 0 Char,Fab-1 Char,PIM 1 Char,标题 1(章) Char,章标题 1 Char,b1 Char,-*+ Char,标书1 Char,一、 Char"/>
    <w:basedOn w:val="36"/>
    <w:link w:val="7"/>
    <w:uiPriority w:val="0"/>
    <w:rPr>
      <w:rFonts w:hint="eastAsia" w:ascii="宋体" w:hAnsi="宋体" w:eastAsia="宋体" w:cs="宋体"/>
      <w:b/>
      <w:kern w:val="44"/>
      <w:sz w:val="44"/>
      <w:szCs w:val="44"/>
      <w:lang w:bidi="ar"/>
    </w:rPr>
  </w:style>
  <w:style w:type="character" w:customStyle="1" w:styleId="167">
    <w:name w:val="h9 Char"/>
    <w:aliases w:val="H9 Char,干标题(a) Char,无节项 Char,无节项1 Char,无节项2 Char,无节项3 Char,无节项4 Char,无节项11 Char,无节项21 Char,无节项31 Char,无节项5 Char,无节项12 Char,无节项22 Char,无节项32 Char,无节项41 Char,无节项111 Char,无节项211 Char,无节项311 Char,无节项6 Char,无节项13 Char,无节项23 Char,无节项33 Char,无节项42 Char"/>
    <w:basedOn w:val="36"/>
    <w:uiPriority w:val="0"/>
    <w:rPr>
      <w:rFonts w:hint="default" w:ascii="Arial" w:hAnsi="Arial" w:eastAsia="仿宋_GB2312" w:cs="宋体"/>
      <w:sz w:val="24"/>
      <w:szCs w:val="24"/>
      <w:lang w:bidi="ar"/>
    </w:rPr>
  </w:style>
  <w:style w:type="character" w:customStyle="1" w:styleId="168">
    <w:name w:val="标头报告正文 Char"/>
    <w:basedOn w:val="36"/>
    <w:uiPriority w:val="0"/>
    <w:rPr>
      <w:rFonts w:hint="eastAsia" w:ascii="宋体" w:hAnsi="宋体" w:eastAsia="宋体" w:cs="宋体"/>
      <w:b/>
      <w:sz w:val="24"/>
      <w:lang w:bidi="ar"/>
    </w:rPr>
  </w:style>
  <w:style w:type="character" w:customStyle="1" w:styleId="169">
    <w:name w:val="标题 4 字符1"/>
    <w:aliases w:val="1.1.1.1标题 4 字符,4 字符,1.1.1.1 字符,标题 4.1.1.1.1 字符,款 字符,四级标题，黑粗，小四，序号 字符,H4 字符1,h4 sub sub heading 字符,J标题 4 字符1,A4 字符1,款标题 字符1,款标题1.1.1.1 字符1,表图题 字符1,款标题1 字符1,H41 字符1,H42 字符1,u4 字符1,H43 字符1,H411 字符1,H421 字符1,u41 字符1,H44 字符1,H412 字符1,H422 字符1,u46 字符"/>
    <w:basedOn w:val="36"/>
    <w:uiPriority w:val="0"/>
    <w:rPr>
      <w:rFonts w:hint="eastAsia" w:ascii="仿宋_GB2312" w:hAnsi="Arial" w:eastAsia="仿宋_GB2312" w:cs="Times New Roman"/>
      <w:sz w:val="24"/>
      <w:szCs w:val="20"/>
    </w:rPr>
  </w:style>
  <w:style w:type="character" w:customStyle="1" w:styleId="170">
    <w:name w:val="cpx14blueb"/>
    <w:basedOn w:val="36"/>
    <w:uiPriority w:val="0"/>
  </w:style>
  <w:style w:type="character" w:customStyle="1" w:styleId="171">
    <w:name w:val=" Char Char13"/>
    <w:basedOn w:val="36"/>
    <w:link w:val="25"/>
    <w:uiPriority w:val="0"/>
    <w:rPr>
      <w:rFonts w:hint="eastAsia" w:ascii="宋体" w:hAnsi="宋体" w:eastAsia="宋体" w:cs="宋体"/>
      <w:b/>
      <w:color w:val="008000"/>
      <w:sz w:val="24"/>
      <w:szCs w:val="24"/>
      <w:lang w:bidi="ar"/>
    </w:rPr>
  </w:style>
  <w:style w:type="character" w:customStyle="1" w:styleId="172">
    <w:name w:val="正文文字( 首段缩进两字） Char Char"/>
    <w:basedOn w:val="36"/>
    <w:uiPriority w:val="0"/>
    <w:rPr>
      <w:rFonts w:hint="eastAsia" w:ascii="宋体" w:hAnsi="宋体" w:eastAsia="宋体" w:cs="宋体"/>
      <w:kern w:val="2"/>
      <w:sz w:val="24"/>
      <w:szCs w:val="24"/>
      <w:lang w:val="en-US" w:eastAsia="zh-CN" w:bidi="ar"/>
    </w:rPr>
  </w:style>
  <w:style w:type="character" w:customStyle="1" w:styleId="173">
    <w:name w:val="标题4 Char"/>
    <w:basedOn w:val="36"/>
    <w:link w:val="113"/>
    <w:uiPriority w:val="0"/>
    <w:rPr>
      <w:rFonts w:hint="eastAsia" w:ascii="宋体" w:hAnsi="宋体" w:eastAsia="宋体" w:cs="宋体"/>
      <w:b/>
      <w:sz w:val="24"/>
      <w:szCs w:val="28"/>
      <w:lang w:bidi="ar"/>
    </w:rPr>
  </w:style>
  <w:style w:type="character" w:customStyle="1" w:styleId="174">
    <w:name w:val="MTDisplayEquation Char"/>
    <w:basedOn w:val="36"/>
    <w:uiPriority w:val="0"/>
    <w:rPr>
      <w:rFonts w:hint="eastAsia" w:ascii="宋体" w:hAnsi="宋体" w:eastAsia="宋体" w:cs="宋体"/>
      <w:color w:val="000000"/>
      <w:sz w:val="24"/>
      <w:szCs w:val="24"/>
      <w:lang w:bidi="ar"/>
    </w:rPr>
  </w:style>
  <w:style w:type="character" w:customStyle="1" w:styleId="175">
    <w:name w:val="标题 Char2"/>
    <w:aliases w:val="表格图片标题 Char2"/>
    <w:basedOn w:val="36"/>
    <w:uiPriority w:val="0"/>
    <w:rPr>
      <w:rFonts w:hint="eastAsia" w:ascii="黑体" w:hAnsi="宋体" w:eastAsia="黑体" w:cs="黑体"/>
      <w:bCs/>
      <w:kern w:val="2"/>
      <w:sz w:val="24"/>
      <w:szCs w:val="32"/>
    </w:rPr>
  </w:style>
  <w:style w:type="character" w:customStyle="1" w:styleId="176">
    <w:name w:val="wyt-正文 Char"/>
    <w:basedOn w:val="36"/>
    <w:uiPriority w:val="0"/>
    <w:rPr>
      <w:rFonts w:hint="eastAsia" w:ascii="宋体" w:hAnsi="宋体" w:eastAsia="宋体" w:cs="宋体"/>
      <w:sz w:val="24"/>
      <w:szCs w:val="24"/>
      <w:lang w:bidi="ar"/>
    </w:rPr>
  </w:style>
  <w:style w:type="paragraph" w:customStyle="1" w:styleId="177">
    <w:name w:val="Re-表头-wyt"/>
    <w:basedOn w:val="1"/>
    <w:link w:val="178"/>
    <w:uiPriority w:val="0"/>
    <w:pPr>
      <w:keepNext w:val="0"/>
      <w:keepLines w:val="0"/>
      <w:widowControl/>
      <w:suppressLineNumbers w:val="0"/>
      <w:spacing w:before="0" w:beforeAutospacing="0" w:after="0" w:afterAutospacing="0" w:line="520" w:lineRule="exact"/>
      <w:ind w:left="0" w:right="0"/>
      <w:jc w:val="center"/>
    </w:pPr>
    <w:rPr>
      <w:rFonts w:hint="eastAsia" w:ascii="宋体" w:hAnsi="宋体" w:eastAsia="黑体" w:cs="宋体"/>
      <w:kern w:val="0"/>
      <w:sz w:val="24"/>
      <w:szCs w:val="22"/>
      <w:lang w:val="en-US" w:eastAsia="zh-CN" w:bidi="ar"/>
    </w:rPr>
  </w:style>
  <w:style w:type="character" w:customStyle="1" w:styleId="178">
    <w:name w:val="Re-表头-wyt Char"/>
    <w:basedOn w:val="36"/>
    <w:link w:val="177"/>
    <w:uiPriority w:val="0"/>
    <w:rPr>
      <w:rFonts w:hint="eastAsia" w:ascii="宋体" w:hAnsi="宋体" w:eastAsia="黑体" w:cs="宋体"/>
      <w:sz w:val="24"/>
      <w:szCs w:val="22"/>
      <w:lang w:eastAsia="en-US" w:bidi="ar"/>
    </w:rPr>
  </w:style>
  <w:style w:type="character" w:customStyle="1" w:styleId="179">
    <w:name w:val="123YJ Char"/>
    <w:aliases w:val="Footer1 Char,Footer-Even Char,FtrF Char,f Char,footer Char,Alt+J Char,fo Char,footer odd Char,odd Char,footer Final Char Char"/>
    <w:basedOn w:val="36"/>
    <w:uiPriority w:val="0"/>
    <w:rPr>
      <w:rFonts w:hint="eastAsia" w:ascii="宋体" w:hAnsi="宋体" w:eastAsia="宋体（打印机字体）" w:cs="宋体"/>
      <w:sz w:val="18"/>
      <w:szCs w:val="24"/>
      <w:lang w:bidi="ar"/>
    </w:rPr>
  </w:style>
  <w:style w:type="character" w:customStyle="1" w:styleId="180">
    <w:name w:val="wenzi02neirong"/>
    <w:basedOn w:val="36"/>
    <w:uiPriority w:val="0"/>
  </w:style>
  <w:style w:type="character" w:customStyle="1" w:styleId="181">
    <w:name w:val="s1"/>
    <w:basedOn w:val="36"/>
    <w:uiPriority w:val="0"/>
    <w:rPr>
      <w:sz w:val="18"/>
      <w:szCs w:val="18"/>
    </w:rPr>
  </w:style>
  <w:style w:type="character" w:customStyle="1" w:styleId="182">
    <w:name w:val="a) Char"/>
    <w:basedOn w:val="36"/>
    <w:uiPriority w:val="0"/>
    <w:rPr>
      <w:rFonts w:hint="eastAsia" w:ascii="宋体" w:hAnsi="宋体" w:eastAsia="宋体" w:cs="宋体"/>
      <w:sz w:val="24"/>
      <w:szCs w:val="24"/>
      <w:lang w:bidi="ar"/>
    </w:rPr>
  </w:style>
  <w:style w:type="character" w:customStyle="1" w:styleId="183">
    <w:name w:val="正文文本 2 Char1"/>
    <w:basedOn w:val="36"/>
    <w:uiPriority w:val="0"/>
    <w:rPr>
      <w:kern w:val="2"/>
      <w:sz w:val="28"/>
    </w:rPr>
  </w:style>
  <w:style w:type="character" w:customStyle="1" w:styleId="184">
    <w:name w:val="批注主题 Char1"/>
    <w:basedOn w:val="36"/>
    <w:uiPriority w:val="0"/>
    <w:rPr>
      <w:b/>
      <w:kern w:val="2"/>
      <w:sz w:val="28"/>
      <w:szCs w:val="24"/>
    </w:rPr>
  </w:style>
  <w:style w:type="character" w:customStyle="1" w:styleId="185">
    <w:name w:val=" Char Char Char Char1"/>
    <w:aliases w:val=" Char Char Char Char Char Char Char Char Char Char Char Char Char Char Char  Char,题注 Char Char,实德题注 Char,Char Char Char Char Char Char Char Char Char Char Char Char Char Char Char Char1,题注 Char Char Char Char Char Char Char"/>
    <w:basedOn w:val="36"/>
    <w:uiPriority w:val="0"/>
    <w:rPr>
      <w:rFonts w:hint="default" w:ascii="Arial" w:hAnsi="Arial" w:eastAsia="黑体" w:cs="宋体"/>
      <w:sz w:val="24"/>
      <w:szCs w:val="24"/>
      <w:lang w:bidi="ar"/>
    </w:rPr>
  </w:style>
  <w:style w:type="character" w:customStyle="1" w:styleId="186">
    <w:name w:val="正文正文正文 Char1"/>
    <w:basedOn w:val="36"/>
    <w:uiPriority w:val="0"/>
    <w:rPr>
      <w:rFonts w:hint="eastAsia" w:ascii="宋体" w:hAnsi="宋体" w:eastAsia="宋体" w:cs="宋体"/>
      <w:kern w:val="2"/>
      <w:sz w:val="24"/>
      <w:szCs w:val="24"/>
      <w:lang w:val="en-US" w:eastAsia="zh-CN" w:bidi="ar"/>
    </w:rPr>
  </w:style>
  <w:style w:type="character" w:customStyle="1" w:styleId="187">
    <w:name w:val=" Char Char12"/>
    <w:basedOn w:val="36"/>
    <w:link w:val="13"/>
    <w:uiPriority w:val="0"/>
    <w:rPr>
      <w:rFonts w:hint="eastAsia" w:ascii="宋体" w:hAnsi="宋体" w:eastAsia="宋体" w:cs="宋体"/>
      <w:sz w:val="24"/>
      <w:szCs w:val="24"/>
      <w:lang w:bidi="ar"/>
    </w:rPr>
  </w:style>
  <w:style w:type="character" w:customStyle="1" w:styleId="188">
    <w:name w:val="highlight1"/>
    <w:basedOn w:val="36"/>
    <w:uiPriority w:val="0"/>
    <w:rPr>
      <w:sz w:val="21"/>
      <w:szCs w:val="21"/>
    </w:rPr>
  </w:style>
  <w:style w:type="character" w:customStyle="1" w:styleId="189">
    <w:name w:val="标题 1.1 Char2"/>
    <w:aliases w:val="标题2 Char Char2"/>
    <w:basedOn w:val="36"/>
    <w:uiPriority w:val="0"/>
    <w:rPr>
      <w:rFonts w:hint="eastAsia" w:ascii="黑体" w:hAnsi="宋体" w:eastAsia="黑体" w:cs="黑体"/>
      <w:b/>
      <w:kern w:val="2"/>
      <w:sz w:val="32"/>
      <w:szCs w:val="32"/>
      <w:lang w:val="en-US" w:eastAsia="zh-CN" w:bidi="ar"/>
    </w:rPr>
  </w:style>
  <w:style w:type="character" w:customStyle="1" w:styleId="190">
    <w:name w:val="Char Char251"/>
    <w:basedOn w:val="36"/>
    <w:uiPriority w:val="0"/>
    <w:rPr>
      <w:rFonts w:hint="default" w:ascii="Times New Roman" w:hAnsi="Times New Roman" w:eastAsia="宋体" w:cs="Times New Roman"/>
      <w:b/>
      <w:kern w:val="0"/>
      <w:szCs w:val="20"/>
    </w:rPr>
  </w:style>
  <w:style w:type="character" w:customStyle="1" w:styleId="191">
    <w:name w:val=" Char Char22"/>
    <w:basedOn w:val="36"/>
    <w:uiPriority w:val="0"/>
    <w:rPr>
      <w:rFonts w:hint="default" w:ascii="Arial" w:hAnsi="Arial" w:eastAsia="黑体" w:cs="Arial"/>
      <w:b/>
      <w:sz w:val="21"/>
    </w:rPr>
  </w:style>
  <w:style w:type="character" w:customStyle="1" w:styleId="192">
    <w:name w:val=" Char Char14"/>
    <w:basedOn w:val="36"/>
    <w:uiPriority w:val="0"/>
    <w:rPr>
      <w:rFonts w:hint="eastAsia" w:ascii="方正书宋简体" w:hAnsi="Times New Roman" w:eastAsia="方正书宋简体" w:cs="Times New Roman"/>
      <w:szCs w:val="20"/>
    </w:rPr>
  </w:style>
  <w:style w:type="character" w:customStyle="1" w:styleId="193">
    <w:name w:val="标题 3 字符"/>
    <w:aliases w:val="条标题1.1.1 字符,h3 字符,H3 字符,level_3 字符,PIM 3 字符,Level 3 Head 字符,Heading 3 - old 字符,sect1.2.3 字符,sect1.2.31 字符,sect1.2.32 字符,sect1.2.311 字符,sect1.2.33 字符,sect1.2.312 字符,Bold Head 字符,bh 字符,3rd level 字符,(A-3) 字符,BOD 0 字符,标题 3 Char Char 字符,H3 Char 字符"/>
    <w:basedOn w:val="36"/>
    <w:uiPriority w:val="0"/>
    <w:rPr>
      <w:b/>
      <w:kern w:val="2"/>
      <w:sz w:val="24"/>
    </w:rPr>
  </w:style>
  <w:style w:type="character" w:customStyle="1" w:styleId="194">
    <w:name w:val="Char Char14"/>
    <w:basedOn w:val="36"/>
    <w:uiPriority w:val="0"/>
    <w:rPr>
      <w:rFonts w:hint="eastAsia" w:ascii="方正书宋简体" w:hAnsi="Times New Roman" w:eastAsia="方正书宋简体" w:cs="Times New Roman"/>
      <w:szCs w:val="20"/>
    </w:rPr>
  </w:style>
  <w:style w:type="character" w:customStyle="1" w:styleId="195">
    <w:name w:val="未处理的提及"/>
    <w:basedOn w:val="36"/>
    <w:uiPriority w:val="0"/>
    <w:rPr>
      <w:color w:val="605E5C"/>
      <w:shd w:val="clear" w:fill="E1DFDD"/>
    </w:rPr>
  </w:style>
  <w:style w:type="character" w:customStyle="1" w:styleId="196">
    <w:name w:val="1) Char1"/>
    <w:aliases w:val="项 Char1,无序号，小四黑常规，空两字 Char1,第四层条 Char,H5 Char,dash Char,ds Char,dd Char,h5 Char,标题 5 Char Char Char,标题1.1.1.1.1 Char1,H51 Char,标5 Char Char,标5 Char1,1) Char Char,项 Char Char,H1 No TOC Char,一级项 Char,. (1.) Char,MB5 Char,无序号，小四黑常规，空两字 Char Char"/>
    <w:basedOn w:val="36"/>
    <w:uiPriority w:val="0"/>
    <w:rPr>
      <w:rFonts w:hint="eastAsia" w:ascii="仿宋_GB2312" w:hAnsi="宋体" w:eastAsia="仿宋_GB2312" w:cs="宋体"/>
      <w:sz w:val="24"/>
      <w:szCs w:val="24"/>
      <w:lang w:bidi="ar"/>
    </w:rPr>
  </w:style>
  <w:style w:type="character" w:customStyle="1" w:styleId="197">
    <w:name w:val=" Char Char26"/>
    <w:basedOn w:val="36"/>
    <w:uiPriority w:val="0"/>
    <w:rPr>
      <w:rFonts w:hint="default" w:ascii="Arial" w:hAnsi="Arial" w:eastAsia="黑体" w:cs="Times New Roman"/>
      <w:b/>
      <w:kern w:val="0"/>
      <w:szCs w:val="20"/>
    </w:rPr>
  </w:style>
  <w:style w:type="character" w:customStyle="1" w:styleId="198">
    <w:name w:val=" Char Char25"/>
    <w:basedOn w:val="36"/>
    <w:uiPriority w:val="0"/>
    <w:rPr>
      <w:rFonts w:hint="default" w:ascii="Times New Roman" w:hAnsi="Times New Roman" w:eastAsia="宋体" w:cs="Times New Roman"/>
      <w:b/>
      <w:kern w:val="0"/>
      <w:szCs w:val="20"/>
    </w:rPr>
  </w:style>
  <w:style w:type="character" w:customStyle="1" w:styleId="199">
    <w:name w:val=" Char Char20"/>
    <w:basedOn w:val="36"/>
    <w:uiPriority w:val="0"/>
    <w:rPr>
      <w:rFonts w:hint="default" w:ascii="Arial" w:hAnsi="Arial" w:eastAsia="黑体" w:cs="Times New Roman"/>
      <w:kern w:val="0"/>
      <w:szCs w:val="20"/>
    </w:rPr>
  </w:style>
  <w:style w:type="character" w:customStyle="1" w:styleId="200">
    <w:name w:val=" Char Char10"/>
    <w:basedOn w:val="36"/>
    <w:link w:val="11"/>
    <w:uiPriority w:val="0"/>
    <w:rPr>
      <w:rFonts w:hint="eastAsia" w:ascii="宋体" w:hAnsi="宋体" w:eastAsia="宋体" w:cs="宋体"/>
      <w:sz w:val="24"/>
      <w:szCs w:val="24"/>
      <w:lang w:bidi="ar"/>
    </w:rPr>
  </w:style>
  <w:style w:type="character" w:customStyle="1" w:styleId="201">
    <w:name w:val=" Char Char17"/>
    <w:basedOn w:val="36"/>
    <w:uiPriority w:val="0"/>
    <w:rPr>
      <w:rFonts w:hint="default" w:ascii="Times New Roman" w:hAnsi="Times New Roman" w:eastAsia="宋体" w:cs="Times New Roman"/>
      <w:sz w:val="18"/>
      <w:szCs w:val="18"/>
    </w:rPr>
  </w:style>
  <w:style w:type="character" w:customStyle="1" w:styleId="202">
    <w:name w:val=" Char Char16"/>
    <w:basedOn w:val="36"/>
    <w:link w:val="23"/>
    <w:uiPriority w:val="0"/>
    <w:rPr>
      <w:rFonts w:hint="eastAsia" w:ascii="方正书宋简体" w:hAnsi="宋体" w:eastAsia="方正书宋简体" w:cs="宋体"/>
      <w:sz w:val="24"/>
      <w:szCs w:val="24"/>
      <w:lang w:bidi="ar"/>
    </w:rPr>
  </w:style>
  <w:style w:type="character" w:customStyle="1" w:styleId="203">
    <w:name w:val="纯文本 Char2"/>
    <w:aliases w:val="普通文字 Char Char Char Char1,普通文字 Char Char Char Char Char Char Char Char Char,普通文字 Char Char Char Char Char Char Char Char1,普通文字 Char Char Char Char Char,纯文本 Char Char Char1,纯文本 Char Char1,纯文本 Char Char Char Char Char Char,纯文本1 Char1,文字缩进 Char1"/>
    <w:basedOn w:val="36"/>
    <w:uiPriority w:val="0"/>
    <w:rPr>
      <w:rFonts w:hint="eastAsia" w:ascii="宋体" w:hAnsi="Courier New" w:eastAsia="宋体" w:cs="宋体"/>
      <w:kern w:val="2"/>
      <w:sz w:val="21"/>
      <w:lang w:val="en-US" w:eastAsia="zh-CN" w:bidi="ar"/>
    </w:rPr>
  </w:style>
  <w:style w:type="character" w:customStyle="1" w:styleId="204">
    <w:name w:val="Char Char19"/>
    <w:basedOn w:val="36"/>
    <w:uiPriority w:val="0"/>
    <w:rPr>
      <w:rFonts w:hint="eastAsia" w:ascii="宋体" w:hAnsi="宋体" w:eastAsia="宋体" w:cs="宋体"/>
      <w:kern w:val="2"/>
      <w:sz w:val="21"/>
      <w:lang w:eastAsia="zh-CN"/>
    </w:rPr>
  </w:style>
  <w:style w:type="character" w:customStyle="1" w:styleId="205">
    <w:name w:val=" Char Char15"/>
    <w:basedOn w:val="36"/>
    <w:link w:val="15"/>
    <w:uiPriority w:val="0"/>
    <w:rPr>
      <w:rFonts w:hint="eastAsia" w:ascii="宋体" w:hAnsi="宋体" w:eastAsia="宋体" w:cs="宋体"/>
      <w:sz w:val="24"/>
      <w:szCs w:val="24"/>
      <w:lang w:bidi="ar"/>
    </w:rPr>
  </w:style>
  <w:style w:type="character" w:customStyle="1" w:styleId="206">
    <w:name w:val=" Char Char8"/>
    <w:basedOn w:val="36"/>
    <w:link w:val="29"/>
    <w:uiPriority w:val="0"/>
    <w:rPr>
      <w:rFonts w:hint="eastAsia" w:ascii="宋体" w:hAnsi="宋体" w:eastAsia="宋体" w:cs="宋体"/>
      <w:sz w:val="21"/>
      <w:szCs w:val="24"/>
      <w:lang w:bidi="ar"/>
    </w:rPr>
  </w:style>
  <w:style w:type="character" w:customStyle="1" w:styleId="207">
    <w:name w:val="样式 正正正正文 + 首行缩进:  2 字符 Char"/>
    <w:basedOn w:val="36"/>
    <w:uiPriority w:val="0"/>
    <w:rPr>
      <w:rFonts w:hint="eastAsia" w:ascii="宋体" w:hAnsi="宋体" w:eastAsia="宋体" w:cs="宋体"/>
      <w:sz w:val="24"/>
      <w:szCs w:val="24"/>
      <w:lang w:bidi="ar"/>
    </w:rPr>
  </w:style>
  <w:style w:type="character" w:customStyle="1" w:styleId="208">
    <w:name w:val="样式 标题 4 + (西文) Times New Roman (中文) 宋体 小四 Char"/>
    <w:basedOn w:val="36"/>
    <w:uiPriority w:val="0"/>
    <w:rPr>
      <w:rFonts w:hint="eastAsia" w:ascii="仿宋_GB2312" w:hAnsi="Arial" w:eastAsia="宋体" w:cs="宋体"/>
      <w:b/>
      <w:sz w:val="24"/>
      <w:szCs w:val="28"/>
      <w:lang w:bidi="ar"/>
    </w:rPr>
  </w:style>
  <w:style w:type="character" w:customStyle="1" w:styleId="209">
    <w:name w:val="浅色底纹 - 强调文字颜色 2 Char"/>
    <w:basedOn w:val="36"/>
    <w:uiPriority w:val="0"/>
    <w:rPr>
      <w:rFonts w:hint="eastAsia" w:ascii="宋体" w:hAnsi="宋体" w:eastAsia="宋体" w:cs="宋体"/>
      <w:b/>
      <w:i/>
      <w:color w:val="4F81BD"/>
      <w:kern w:val="2"/>
      <w:sz w:val="24"/>
      <w:szCs w:val="24"/>
      <w:lang w:val="en-US" w:eastAsia="zh-CN" w:bidi="ar"/>
    </w:rPr>
  </w:style>
  <w:style w:type="character" w:customStyle="1" w:styleId="210">
    <w:name w:val="明显参考1"/>
    <w:basedOn w:val="36"/>
    <w:uiPriority w:val="0"/>
    <w:rPr>
      <w:b/>
      <w:smallCaps/>
      <w:color w:val="C0504D"/>
      <w:spacing w:val="5"/>
      <w:u w:val="single"/>
    </w:rPr>
  </w:style>
  <w:style w:type="character" w:customStyle="1" w:styleId="211">
    <w:name w:val="书籍标题1"/>
    <w:basedOn w:val="36"/>
    <w:uiPriority w:val="0"/>
    <w:rPr>
      <w:b/>
      <w:smallCaps/>
      <w:spacing w:val="5"/>
    </w:rPr>
  </w:style>
  <w:style w:type="character" w:customStyle="1" w:styleId="212">
    <w:name w:val="明显强调1"/>
    <w:basedOn w:val="36"/>
    <w:uiPriority w:val="0"/>
    <w:rPr>
      <w:b/>
      <w:i/>
      <w:color w:val="4F81BD"/>
    </w:rPr>
  </w:style>
  <w:style w:type="character" w:customStyle="1" w:styleId="213">
    <w:name w:val="Char Char20"/>
    <w:basedOn w:val="36"/>
    <w:uiPriority w:val="0"/>
    <w:rPr>
      <w:rFonts w:hint="default" w:ascii="Arial" w:hAnsi="Arial" w:eastAsia="黑体" w:cs="Times New Roman"/>
      <w:kern w:val="0"/>
      <w:szCs w:val="20"/>
    </w:rPr>
  </w:style>
  <w:style w:type="character" w:customStyle="1" w:styleId="214">
    <w:name w:val=" Char Char2"/>
    <w:basedOn w:val="36"/>
    <w:link w:val="20"/>
    <w:uiPriority w:val="0"/>
    <w:rPr>
      <w:rFonts w:hint="default" w:ascii="Cambria" w:hAnsi="Cambria" w:eastAsia="宋体" w:cs="宋体"/>
      <w:b/>
      <w:kern w:val="28"/>
      <w:sz w:val="32"/>
      <w:szCs w:val="32"/>
      <w:lang w:bidi="ar"/>
    </w:rPr>
  </w:style>
  <w:style w:type="character" w:customStyle="1" w:styleId="215">
    <w:name w:val="标题 1.1 Char"/>
    <w:aliases w:val="标题2 Char Char,标题 2 Char1"/>
    <w:basedOn w:val="36"/>
    <w:uiPriority w:val="0"/>
    <w:rPr>
      <w:rFonts w:hint="eastAsia" w:ascii="黑体" w:hAnsi="宋体" w:eastAsia="黑体" w:cs="黑体"/>
      <w:b/>
      <w:kern w:val="2"/>
      <w:sz w:val="32"/>
      <w:szCs w:val="32"/>
      <w:lang w:val="en-US" w:eastAsia="zh-CN" w:bidi="ar"/>
    </w:rPr>
  </w:style>
  <w:style w:type="character" w:customStyle="1" w:styleId="216">
    <w:name w:val="正文文字( 首段缩进两字） Char Char1"/>
    <w:basedOn w:val="36"/>
    <w:uiPriority w:val="0"/>
    <w:rPr>
      <w:rFonts w:hint="eastAsia" w:ascii="宋体" w:hAnsi="宋体" w:eastAsia="宋体" w:cs="宋体"/>
      <w:kern w:val="2"/>
      <w:sz w:val="24"/>
      <w:szCs w:val="24"/>
      <w:lang w:val="en-US" w:eastAsia="zh-CN" w:bidi="ar"/>
    </w:rPr>
  </w:style>
  <w:style w:type="character" w:customStyle="1" w:styleId="217">
    <w:name w:val="纯文本 字符"/>
    <w:aliases w:val="普通文字 Char Char Char 字符,普通文字 Char 字符,普通文字 字符,参考文献 字符,普通文字 Char Char Char Char Char Char Char Char 字符,普通文字 Char Char Char Char Char Char Char 字符,孙普文字 字符, Char2 字符,普通文字 Char Char Char Char Char 字符,纯文本 Char1 字符,普通文字1 字符,普通文字 Char Char1 Char 字符,文 字符"/>
    <w:basedOn w:val="36"/>
    <w:uiPriority w:val="0"/>
    <w:rPr>
      <w:rFonts w:ascii="ˎ̥" w:hAnsi="ˎ̥" w:eastAsia="ˎ̥" w:cs="ˎ̥"/>
      <w:sz w:val="18"/>
      <w:szCs w:val="18"/>
    </w:rPr>
  </w:style>
  <w:style w:type="character" w:customStyle="1" w:styleId="218">
    <w:name w:val="表格正文 Char"/>
    <w:basedOn w:val="36"/>
    <w:uiPriority w:val="0"/>
    <w:rPr>
      <w:rFonts w:hint="eastAsia" w:ascii="宋体" w:hAnsi="宋体" w:eastAsia="宋体" w:cs="宋体"/>
      <w:color w:val="000000"/>
      <w:sz w:val="24"/>
      <w:szCs w:val="24"/>
      <w:lang w:bidi="ar"/>
    </w:rPr>
  </w:style>
  <w:style w:type="character" w:customStyle="1" w:styleId="219">
    <w:name w:val=" Char Char24"/>
    <w:basedOn w:val="36"/>
    <w:uiPriority w:val="0"/>
    <w:rPr>
      <w:rFonts w:hint="eastAsia" w:ascii="仿宋_GB2312" w:hAnsi="Arial" w:eastAsia="仿宋_GB2312" w:cs="仿宋_GB2312"/>
      <w:kern w:val="2"/>
      <w:sz w:val="28"/>
    </w:rPr>
  </w:style>
  <w:style w:type="character" w:customStyle="1" w:styleId="220">
    <w:name w:val="font01"/>
    <w:basedOn w:val="36"/>
    <w:uiPriority w:val="0"/>
    <w:rPr>
      <w:rFonts w:hint="eastAsia" w:ascii="宋体" w:hAnsi="宋体" w:eastAsia="宋体" w:cs="宋体"/>
      <w:color w:val="000000"/>
      <w:sz w:val="18"/>
      <w:szCs w:val="18"/>
      <w:u w:val="none"/>
    </w:rPr>
  </w:style>
  <w:style w:type="character" w:customStyle="1" w:styleId="221">
    <w:name w:val=" Char Char23"/>
    <w:basedOn w:val="36"/>
    <w:uiPriority w:val="0"/>
    <w:rPr>
      <w:rFonts w:hint="eastAsia" w:ascii="仿宋_GB2312" w:hAnsi="Times New Roman" w:eastAsia="仿宋_GB2312" w:cs="仿宋_GB2312"/>
      <w:kern w:val="2"/>
      <w:sz w:val="28"/>
    </w:rPr>
  </w:style>
  <w:style w:type="character" w:customStyle="1" w:styleId="222">
    <w:name w:val="Char Char17"/>
    <w:basedOn w:val="36"/>
    <w:uiPriority w:val="0"/>
    <w:rPr>
      <w:rFonts w:hint="default" w:ascii="Times New Roman" w:hAnsi="Times New Roman" w:eastAsia="宋体" w:cs="Times New Roman"/>
      <w:sz w:val="18"/>
      <w:szCs w:val="18"/>
    </w:rPr>
  </w:style>
  <w:style w:type="character" w:customStyle="1" w:styleId="223">
    <w:name w:val="Char Char22"/>
    <w:basedOn w:val="36"/>
    <w:uiPriority w:val="0"/>
    <w:rPr>
      <w:rFonts w:hint="default" w:ascii="Arial" w:hAnsi="Arial" w:eastAsia="黑体" w:cs="Arial"/>
      <w:b/>
      <w:sz w:val="21"/>
    </w:rPr>
  </w:style>
  <w:style w:type="character" w:customStyle="1" w:styleId="224">
    <w:name w:val="标题3 Char"/>
    <w:basedOn w:val="36"/>
    <w:uiPriority w:val="0"/>
    <w:rPr>
      <w:rFonts w:hint="eastAsia" w:ascii="宋体" w:hAnsi="宋体" w:eastAsia="宋体" w:cs="宋体"/>
      <w:b/>
      <w:sz w:val="24"/>
      <w:szCs w:val="24"/>
      <w:lang w:bidi="ar"/>
    </w:rPr>
  </w:style>
  <w:style w:type="character" w:customStyle="1" w:styleId="225">
    <w:name w:val="正文文本 字符1"/>
    <w:aliases w:val="正文文字 字符1,AvtalBrödtext 字符1, ändrad 字符1,ändrad 字符1,AvtalBr 字符1,Response 字符1,Body3 字符1,AvtalBr?dte?dte?dteödtext 字符1"/>
    <w:basedOn w:val="36"/>
    <w:uiPriority w:val="0"/>
    <w:rPr>
      <w:rFonts w:hint="eastAsia" w:ascii="方正书宋简体" w:hAnsi="Times New Roman" w:eastAsia="方正书宋简体" w:cs="Times New Roman"/>
      <w:sz w:val="28"/>
      <w:szCs w:val="20"/>
    </w:rPr>
  </w:style>
  <w:style w:type="character" w:customStyle="1" w:styleId="226">
    <w:name w:val="样式7 Char"/>
    <w:basedOn w:val="36"/>
    <w:uiPriority w:val="0"/>
    <w:rPr>
      <w:kern w:val="2"/>
      <w:sz w:val="24"/>
      <w:lang w:bidi="ar"/>
    </w:rPr>
  </w:style>
  <w:style w:type="character" w:customStyle="1" w:styleId="227">
    <w:name w:val="样式2[858D7CFB-ED40-4347-BF05-701D383B685F]"/>
    <w:basedOn w:val="36"/>
    <w:uiPriority w:val="0"/>
    <w:rPr>
      <w:rFonts w:hint="eastAsia" w:ascii="宋体" w:hAnsi="宋体" w:eastAsia="宋体" w:cs="宋体"/>
      <w:b/>
      <w:i/>
      <w:color w:val="0000FF"/>
      <w:sz w:val="24"/>
      <w:szCs w:val="24"/>
      <w:lang w:bidi="ar"/>
    </w:rPr>
  </w:style>
  <w:style w:type="character" w:customStyle="1" w:styleId="228">
    <w:name w:val="第四章表标头 Char"/>
    <w:basedOn w:val="36"/>
    <w:uiPriority w:val="0"/>
    <w:rPr>
      <w:rFonts w:hint="eastAsia" w:ascii="黑体" w:hAnsi="宋体" w:eastAsia="黑体" w:cs="宋体"/>
      <w:bCs/>
      <w:color w:val="000000"/>
      <w:sz w:val="24"/>
      <w:szCs w:val="24"/>
      <w:lang w:bidi="ar"/>
    </w:rPr>
  </w:style>
  <w:style w:type="character" w:customStyle="1" w:styleId="229">
    <w:name w:val="表体 Char"/>
    <w:aliases w:val="alt+T Char Char"/>
    <w:basedOn w:val="36"/>
    <w:link w:val="138"/>
    <w:uiPriority w:val="0"/>
    <w:rPr>
      <w:rFonts w:hint="eastAsia" w:ascii="宋体" w:hAnsi="宋体" w:eastAsia="宋体" w:cs="宋体"/>
      <w:color w:val="000000"/>
      <w:kern w:val="24"/>
      <w:sz w:val="21"/>
      <w:szCs w:val="24"/>
      <w:lang w:bidi="ar"/>
    </w:rPr>
  </w:style>
  <w:style w:type="character" w:customStyle="1" w:styleId="230">
    <w:name w:val="我的正文 Char"/>
    <w:basedOn w:val="36"/>
    <w:uiPriority w:val="0"/>
    <w:rPr>
      <w:rFonts w:hint="eastAsia" w:ascii="宋体" w:hAnsi="宋体" w:eastAsia="宋体" w:cs="宋体"/>
      <w:color w:val="000000"/>
      <w:sz w:val="24"/>
      <w:szCs w:val="24"/>
      <w:lang w:bidi="ar"/>
    </w:rPr>
  </w:style>
  <w:style w:type="character" w:customStyle="1" w:styleId="231">
    <w:name w:val="￥正文 Char"/>
    <w:basedOn w:val="36"/>
    <w:uiPriority w:val="0"/>
    <w:rPr>
      <w:rFonts w:hint="eastAsia" w:ascii="宋体" w:hAnsi="宋体" w:eastAsia="仿宋_GB2312" w:cs="宋体"/>
      <w:sz w:val="24"/>
      <w:szCs w:val="28"/>
      <w:lang w:bidi="ar"/>
    </w:rPr>
  </w:style>
  <w:style w:type="character" w:customStyle="1" w:styleId="232">
    <w:name w:val="TT表格（左） Char"/>
    <w:basedOn w:val="36"/>
    <w:uiPriority w:val="0"/>
    <w:rPr>
      <w:rFonts w:hint="eastAsia" w:ascii="宋体" w:hAnsi="宋体" w:eastAsia="宋体" w:cs="宋体"/>
      <w:snapToGrid w:val="0"/>
      <w:sz w:val="21"/>
      <w:szCs w:val="21"/>
      <w:lang w:val="en-US" w:eastAsia="zh-CN" w:bidi="ar"/>
    </w:rPr>
  </w:style>
  <w:style w:type="paragraph" w:customStyle="1" w:styleId="233">
    <w:name w:val="8.7正文格式"/>
    <w:basedOn w:val="1"/>
    <w:uiPriority w:val="0"/>
    <w:pPr>
      <w:keepNext w:val="0"/>
      <w:keepLines w:val="0"/>
      <w:widowControl/>
      <w:suppressLineNumbers w:val="0"/>
      <w:spacing w:before="0" w:beforeAutospacing="0" w:after="0" w:afterAutospacing="0" w:line="500" w:lineRule="exact"/>
      <w:ind w:left="0" w:right="0" w:firstLine="560" w:firstLineChars="200"/>
      <w:jc w:val="left"/>
    </w:pPr>
    <w:rPr>
      <w:rFonts w:hint="eastAsia" w:ascii="宋体" w:hAnsi="宋体" w:eastAsia="宋体" w:cs="宋体"/>
      <w:kern w:val="0"/>
      <w:sz w:val="24"/>
      <w:szCs w:val="24"/>
      <w:lang w:val="en-US" w:eastAsia="zh-CN" w:bidi="ar"/>
    </w:rPr>
  </w:style>
  <w:style w:type="character" w:customStyle="1" w:styleId="234">
    <w:name w:val="大纲正文 Char1"/>
    <w:basedOn w:val="36"/>
    <w:uiPriority w:val="0"/>
    <w:rPr>
      <w:rFonts w:hint="eastAsia" w:ascii="宋体" w:hAnsi="宋体" w:eastAsia="宋体" w:cs="宋体"/>
      <w:sz w:val="24"/>
      <w:szCs w:val="24"/>
      <w:lang w:bidi="ar"/>
    </w:rPr>
  </w:style>
  <w:style w:type="character" w:customStyle="1" w:styleId="235">
    <w:name w:val="页眉 Char1"/>
    <w:aliases w:val="even Char1"/>
    <w:basedOn w:val="36"/>
    <w:uiPriority w:val="0"/>
    <w:rPr>
      <w:kern w:val="2"/>
      <w:sz w:val="18"/>
      <w:szCs w:val="18"/>
    </w:rPr>
  </w:style>
  <w:style w:type="character" w:customStyle="1" w:styleId="236">
    <w:name w:val="正文文本缩进 Char1"/>
    <w:aliases w:val="正文文字( 首段缩进两字） Char1"/>
    <w:basedOn w:val="36"/>
    <w:uiPriority w:val="0"/>
    <w:rPr>
      <w:kern w:val="2"/>
      <w:sz w:val="28"/>
    </w:rPr>
  </w:style>
  <w:style w:type="character" w:customStyle="1" w:styleId="237">
    <w:name w:val="正文文字 Char"/>
    <w:aliases w:val="AvtalBrödtext Char, ändrad Char,ändrad Char,AvtalBr Char,Response Char,Body3 Char,AvtalBr?dte?dte?dteödtext Char Char"/>
    <w:basedOn w:val="36"/>
    <w:uiPriority w:val="0"/>
    <w:rPr>
      <w:rFonts w:hint="eastAsia" w:ascii="方正书宋简体" w:hAnsi="宋体" w:eastAsia="方正书宋简体" w:cs="宋体"/>
      <w:sz w:val="24"/>
      <w:szCs w:val="24"/>
      <w:lang w:bidi="ar"/>
    </w:rPr>
  </w:style>
  <w:style w:type="character" w:customStyle="1" w:styleId="238">
    <w:name w:val="普通文字 Char Char1"/>
    <w:aliases w:val="普通文字 Char Char Char Char2,普通文字 Char Char Char Char Char Char Char Char Char1,普通文字 Char Char Char Char Char Char Char Char2,普通文字 Char Char Char Char Char1,纯文本 Char Char Char2,纯文本 Char Char Char Char Char Char1,纯文本1 Char,文字缩进 Char"/>
    <w:basedOn w:val="36"/>
    <w:uiPriority w:val="0"/>
    <w:rPr>
      <w:rFonts w:hint="eastAsia" w:ascii="宋体" w:hAnsi="Courier New" w:eastAsia="宋体" w:cs="Courier New"/>
      <w:kern w:val="2"/>
      <w:sz w:val="21"/>
      <w:szCs w:val="21"/>
    </w:rPr>
  </w:style>
  <w:style w:type="character" w:customStyle="1" w:styleId="239">
    <w:name w:val="批注文字 Char1"/>
    <w:basedOn w:val="36"/>
    <w:uiPriority w:val="0"/>
    <w:rPr>
      <w:kern w:val="2"/>
      <w:sz w:val="28"/>
    </w:rPr>
  </w:style>
  <w:style w:type="character" w:customStyle="1" w:styleId="240">
    <w:name w:val="普通(网站) Char"/>
    <w:aliases w:val="普通(Web)1 Char"/>
    <w:basedOn w:val="36"/>
    <w:uiPriority w:val="0"/>
    <w:rPr>
      <w:kern w:val="2"/>
      <w:sz w:val="18"/>
      <w:szCs w:val="18"/>
    </w:rPr>
  </w:style>
  <w:style w:type="character" w:customStyle="1" w:styleId="241">
    <w:name w:val="页脚 Char1"/>
    <w:basedOn w:val="36"/>
    <w:uiPriority w:val="0"/>
    <w:rPr>
      <w:kern w:val="2"/>
      <w:sz w:val="18"/>
      <w:szCs w:val="18"/>
    </w:rPr>
  </w:style>
  <w:style w:type="character" w:customStyle="1" w:styleId="242">
    <w:name w:val="Char Char211"/>
    <w:basedOn w:val="36"/>
    <w:uiPriority w:val="0"/>
    <w:rPr>
      <w:rFonts w:hint="default" w:ascii="Arial" w:hAnsi="Arial" w:eastAsia="黑体" w:cs="Times New Roman"/>
      <w:kern w:val="0"/>
      <w:szCs w:val="20"/>
    </w:rPr>
  </w:style>
  <w:style w:type="character" w:customStyle="1" w:styleId="243">
    <w:name w:val="表内字 Char1"/>
    <w:basedOn w:val="36"/>
    <w:uiPriority w:val="0"/>
    <w:rPr>
      <w:color w:val="000000"/>
      <w:sz w:val="21"/>
      <w:lang w:val="en-US" w:eastAsia="zh-CN" w:bidi="ar"/>
    </w:rPr>
  </w:style>
  <w:style w:type="character" w:customStyle="1" w:styleId="244">
    <w:name w:val="标题 7 Char1"/>
    <w:basedOn w:val="36"/>
    <w:uiPriority w:val="0"/>
    <w:rPr>
      <w:b/>
      <w:kern w:val="2"/>
      <w:sz w:val="24"/>
      <w:szCs w:val="24"/>
    </w:rPr>
  </w:style>
  <w:style w:type="character" w:customStyle="1" w:styleId="245">
    <w:name w:val="标题 8 Char1"/>
    <w:basedOn w:val="36"/>
    <w:uiPriority w:val="0"/>
    <w:rPr>
      <w:rFonts w:hint="default" w:ascii="Cambria" w:hAnsi="Cambria" w:eastAsia="宋体" w:cs="Times New Roman"/>
      <w:kern w:val="2"/>
      <w:sz w:val="24"/>
      <w:szCs w:val="24"/>
    </w:rPr>
  </w:style>
  <w:style w:type="character" w:customStyle="1" w:styleId="246">
    <w:name w:val="标题 9 Char1"/>
    <w:basedOn w:val="36"/>
    <w:uiPriority w:val="0"/>
    <w:rPr>
      <w:rFonts w:hint="default" w:ascii="Cambria" w:hAnsi="Cambria" w:eastAsia="宋体" w:cs="Times New Roman"/>
      <w:kern w:val="2"/>
      <w:sz w:val="21"/>
      <w:szCs w:val="21"/>
    </w:rPr>
  </w:style>
  <w:style w:type="character" w:customStyle="1" w:styleId="247">
    <w:name w:val="正文文本缩进 3 Char1"/>
    <w:basedOn w:val="36"/>
    <w:uiPriority w:val="0"/>
    <w:rPr>
      <w:kern w:val="2"/>
      <w:sz w:val="16"/>
      <w:szCs w:val="16"/>
    </w:rPr>
  </w:style>
  <w:style w:type="character" w:customStyle="1" w:styleId="248">
    <w:name w:val="日期 Char1"/>
    <w:basedOn w:val="36"/>
    <w:uiPriority w:val="0"/>
    <w:rPr>
      <w:kern w:val="2"/>
      <w:sz w:val="28"/>
    </w:rPr>
  </w:style>
  <w:style w:type="character" w:customStyle="1" w:styleId="249">
    <w:name w:val="正文文本 3 Char1"/>
    <w:basedOn w:val="36"/>
    <w:uiPriority w:val="0"/>
    <w:rPr>
      <w:kern w:val="2"/>
      <w:sz w:val="16"/>
      <w:szCs w:val="16"/>
    </w:rPr>
  </w:style>
  <w:style w:type="character" w:customStyle="1" w:styleId="250">
    <w:name w:val="文档结构图 Char1"/>
    <w:basedOn w:val="36"/>
    <w:uiPriority w:val="0"/>
    <w:rPr>
      <w:rFonts w:hint="eastAsia" w:ascii="宋体" w:hAnsi="宋体" w:eastAsia="宋体" w:cs="宋体"/>
      <w:kern w:val="2"/>
      <w:sz w:val="18"/>
      <w:szCs w:val="18"/>
    </w:rPr>
  </w:style>
  <w:style w:type="character" w:customStyle="1" w:styleId="251">
    <w:name w:val="正文首行缩进 Char1"/>
    <w:basedOn w:val="237"/>
    <w:uiPriority w:val="0"/>
    <w:rPr>
      <w:rFonts w:hint="eastAsia" w:ascii="方正书宋简体" w:hAnsi="宋体" w:eastAsia="方正书宋简体" w:cs="宋体"/>
      <w:sz w:val="24"/>
      <w:szCs w:val="24"/>
      <w:lang w:bidi="ar"/>
    </w:rPr>
  </w:style>
  <w:style w:type="character" w:customStyle="1" w:styleId="252">
    <w:name w:val="脚注文本 Char1"/>
    <w:basedOn w:val="36"/>
    <w:uiPriority w:val="0"/>
    <w:rPr>
      <w:kern w:val="2"/>
      <w:sz w:val="18"/>
      <w:szCs w:val="18"/>
    </w:rPr>
  </w:style>
  <w:style w:type="character" w:customStyle="1" w:styleId="253">
    <w:name w:val="副标题 Char1"/>
    <w:basedOn w:val="36"/>
    <w:uiPriority w:val="0"/>
    <w:rPr>
      <w:rFonts w:hint="default" w:ascii="Cambria" w:hAnsi="Cambria" w:eastAsia="Cambria" w:cs="Times New Roman"/>
      <w:b/>
      <w:kern w:val="28"/>
      <w:sz w:val="32"/>
      <w:szCs w:val="32"/>
    </w:rPr>
  </w:style>
  <w:style w:type="character" w:customStyle="1" w:styleId="254">
    <w:name w:val="正文首行缩进 2 Char1"/>
    <w:basedOn w:val="236"/>
    <w:uiPriority w:val="0"/>
    <w:rPr>
      <w:kern w:val="2"/>
      <w:sz w:val="28"/>
    </w:rPr>
  </w:style>
  <w:style w:type="character" w:customStyle="1" w:styleId="255">
    <w:name w:val="font121"/>
    <w:basedOn w:val="36"/>
    <w:uiPriority w:val="0"/>
    <w:rPr>
      <w:rFonts w:hint="default" w:ascii="Times New Roman" w:hAnsi="Times New Roman" w:cs="Times New Roman"/>
      <w:color w:val="000000"/>
      <w:sz w:val="21"/>
      <w:szCs w:val="21"/>
      <w:u w:val="none"/>
    </w:rPr>
  </w:style>
  <w:style w:type="paragraph" w:customStyle="1" w:styleId="256">
    <w:name w:val="表头，alt D"/>
    <w:basedOn w:val="1"/>
    <w:uiPriority w:val="0"/>
    <w:pPr>
      <w:keepNext w:val="0"/>
      <w:keepLines w:val="0"/>
      <w:widowControl/>
      <w:suppressLineNumbers w:val="0"/>
      <w:spacing w:before="60" w:beforeAutospacing="0" w:after="60" w:afterAutospacing="0" w:line="240" w:lineRule="atLeast"/>
      <w:ind w:left="-113" w:right="-113"/>
      <w:jc w:val="center"/>
    </w:pPr>
    <w:rPr>
      <w:rFonts w:hint="eastAsia" w:ascii="宋体" w:hAnsi="宋体" w:eastAsia="宋体" w:cs="宋体"/>
      <w:color w:val="808000"/>
      <w:kern w:val="0"/>
      <w:sz w:val="24"/>
      <w:szCs w:val="24"/>
      <w:lang w:val="en-US" w:eastAsia="zh-CN" w:bidi="ar"/>
    </w:rPr>
  </w:style>
  <w:style w:type="character" w:customStyle="1" w:styleId="257">
    <w:name w:val="表头，alt+D Char"/>
    <w:basedOn w:val="36"/>
    <w:uiPriority w:val="0"/>
    <w:rPr>
      <w:rFonts w:hint="eastAsia" w:ascii="宋体" w:hAnsi="宋体" w:eastAsia="宋体" w:cs="宋体"/>
      <w:color w:val="808000"/>
      <w:sz w:val="24"/>
      <w:szCs w:val="24"/>
      <w:lang w:bidi="ar"/>
    </w:rPr>
  </w:style>
  <w:style w:type="character" w:customStyle="1" w:styleId="258">
    <w:name w:val="标题 1 字符"/>
    <w:aliases w:val="H1 字符,Section Head 字符,Header1 字符,h1 字符,1st level 字符,l1 字符,Heading 0 字符,Fab-1 字符,PIM 1 字符,标题 1(章) 字符,章标题 1 字符,b1 字符,-*+ 字符,1.标题 1 字符,标书1 字符,一、 字符,标1 字符,章节标题 字符,章 字符,1标题 1 字符,heading 1 字符,Heading 1 (NN) 字符,Header 1st Page 字符,h1 chapter heading 字符"/>
    <w:basedOn w:val="36"/>
    <w:uiPriority w:val="0"/>
    <w:rPr>
      <w:b/>
      <w:color w:val="000000"/>
      <w:kern w:val="44"/>
      <w:sz w:val="30"/>
    </w:rPr>
  </w:style>
  <w:style w:type="character" w:customStyle="1" w:styleId="259">
    <w:name w:val="标题 5 字符"/>
    <w:aliases w:val="第四层条 字符,H5 字符,dash 字符,ds 字符,dd 字符,h5 字符,标题 5 Char Char 字符,标题1.1.1.1.1 字符,H51 字符,项 字符,无序号，小四黑常规，空两字 字符,标5 Char 字符,标5 字符,1) Char 字符,项 Char 字符,H1 No TOC 字符,一级项 字符,. (1.) 字符,MB5 字符,无序号，小四黑常规，空两字 Char 字符,标题 5表头 字符,节标题 字符,注释 字符,标题1.1.1.1.1 Char 字符"/>
    <w:basedOn w:val="36"/>
    <w:uiPriority w:val="0"/>
    <w:rPr>
      <w:sz w:val="24"/>
    </w:rPr>
  </w:style>
  <w:style w:type="character" w:customStyle="1" w:styleId="260">
    <w:name w:val="标题 6 字符"/>
    <w:aliases w:val="第五层条 字符,H6 字符,标题1.1.1.1.1.1 字符,无节 字符,标题8 字符,标题6，6级标题，小四中宋粗，无序号 字符,标6 字符,二级项 字符,H61 字符,标题 6，图标题 字符,标题6，6级标题，小四中宋粗，无序号 Char 字符,编号正文 字符,图标题 字符,标题 6表内文字(小四) 字符,标题5 字符,. (a.) 字符,OG Distribution 字符,Bullet (Single Lines) 字符,标题 6! 字符,可研-标题 6 字符,标题7 字符"/>
    <w:basedOn w:val="36"/>
    <w:uiPriority w:val="0"/>
    <w:rPr>
      <w:rFonts w:hint="default" w:ascii="Arial" w:hAnsi="Arial" w:eastAsia="黑体" w:cs="Arial"/>
    </w:rPr>
  </w:style>
  <w:style w:type="character" w:customStyle="1" w:styleId="261">
    <w:name w:val="标题 8 字符"/>
    <w:aliases w:val="h8 字符,H8 字符,目标题 1) 字符,无节款 字符,注 字符,图 字符,标题8--表题 字符,. [(a)] 字符,可研-标题 8 字符,注1 字符,无节款1 字符,目标题 1)1 字符,注2 字符,无节款2 字符,目标题 1)2 字符,注3 字符,无节款3 字符,目标题 1)3 字符,注4 字符,无节款4 字符,目标题 1)4 字符,注5 字符,无节款5 字符,目标题 1)5 字符,注6 字符,无节款6 字符,目标题 1)6 字符,注7 字符,无节款7 字符,注8 字符"/>
    <w:basedOn w:val="36"/>
    <w:uiPriority w:val="0"/>
    <w:rPr>
      <w:rFonts w:hint="default" w:ascii="Arial" w:hAnsi="Arial" w:eastAsia="黑体" w:cs="Arial"/>
    </w:rPr>
  </w:style>
  <w:style w:type="character" w:customStyle="1" w:styleId="262">
    <w:name w:val="标题 9 字符"/>
    <w:aliases w:val="h9 字符,H9 字符,干标题(a) 字符,无节项 字符,无节项1 字符,无节项2 字符,无节项3 字符,无节项4 字符,无节项11 字符,无节项21 字符,无节项31 字符,无节项5 字符,无节项12 字符,无节项22 字符,无节项32 字符,无节项41 字符,无节项111 字符,无节项211 字符,无节项311 字符,无节项6 字符,无节项13 字符,无节项23 字符,无节项33 字符,无节项42 字符,无节项112 字符,无节项212 字符,无节项312 字符,无节项7 字符"/>
    <w:basedOn w:val="36"/>
    <w:uiPriority w:val="0"/>
    <w:rPr>
      <w:rFonts w:hint="default" w:ascii="Arial" w:hAnsi="Arial" w:eastAsia="黑体" w:cs="Arial"/>
      <w:sz w:val="24"/>
    </w:rPr>
  </w:style>
  <w:style w:type="character" w:customStyle="1" w:styleId="263">
    <w:name w:val="Re-正文 Char"/>
    <w:basedOn w:val="36"/>
    <w:uiPriority w:val="0"/>
    <w:rPr>
      <w:rFonts w:hint="eastAsia" w:ascii="宋体" w:hAnsi="宋体" w:eastAsia="宋体" w:cs="宋体"/>
      <w:sz w:val="24"/>
      <w:szCs w:val="24"/>
      <w:lang w:bidi="ar"/>
    </w:rPr>
  </w:style>
  <w:style w:type="character" w:customStyle="1" w:styleId="264">
    <w:name w:val="页脚 字符"/>
    <w:aliases w:val="123YJ 字符,Footer1 字符,Footer-Even 字符"/>
    <w:basedOn w:val="36"/>
    <w:uiPriority w:val="0"/>
    <w:rPr>
      <w:kern w:val="2"/>
      <w:sz w:val="18"/>
      <w:szCs w:val="18"/>
    </w:rPr>
  </w:style>
  <w:style w:type="character" w:customStyle="1" w:styleId="265">
    <w:name w:val="标题1-wyt Char"/>
    <w:basedOn w:val="36"/>
    <w:uiPriority w:val="0"/>
    <w:rPr>
      <w:rFonts w:hint="eastAsia" w:ascii="宋体" w:hAnsi="宋体" w:eastAsia="宋体" w:cs="宋体"/>
      <w:b/>
      <w:kern w:val="44"/>
      <w:sz w:val="30"/>
      <w:szCs w:val="24"/>
      <w:lang w:bidi="ar"/>
    </w:rPr>
  </w:style>
  <w:style w:type="character" w:customStyle="1" w:styleId="266">
    <w:name w:val="标题2-wyt Char"/>
    <w:basedOn w:val="36"/>
    <w:uiPriority w:val="0"/>
    <w:rPr>
      <w:rFonts w:hint="eastAsia" w:ascii="宋体" w:hAnsi="宋体" w:eastAsia="宋体" w:cs="宋体"/>
      <w:b/>
      <w:spacing w:val="1"/>
      <w:sz w:val="24"/>
      <w:szCs w:val="24"/>
      <w:lang w:bidi="ar"/>
    </w:rPr>
  </w:style>
  <w:style w:type="character" w:customStyle="1" w:styleId="267">
    <w:name w:val="标题3-wyt Char"/>
    <w:basedOn w:val="36"/>
    <w:uiPriority w:val="0"/>
    <w:rPr>
      <w:rFonts w:hint="eastAsia" w:ascii="宋体" w:hAnsi="宋体" w:eastAsia="宋体" w:cs="宋体"/>
      <w:b/>
      <w:sz w:val="24"/>
      <w:szCs w:val="24"/>
      <w:lang w:bidi="ar"/>
    </w:rPr>
  </w:style>
  <w:style w:type="character" w:customStyle="1" w:styleId="268">
    <w:name w:val="标题4-wyt Char"/>
    <w:basedOn w:val="36"/>
    <w:uiPriority w:val="0"/>
    <w:rPr>
      <w:rFonts w:hint="eastAsia" w:ascii="黑体" w:hAnsi="宋体" w:eastAsia="黑体" w:cs="宋体"/>
      <w:sz w:val="24"/>
      <w:szCs w:val="24"/>
      <w:lang w:bidi="ar"/>
    </w:rPr>
  </w:style>
  <w:style w:type="character" w:customStyle="1" w:styleId="269">
    <w:name w:val="Re-四级标题 Char"/>
    <w:basedOn w:val="36"/>
    <w:uiPriority w:val="0"/>
    <w:rPr>
      <w:rFonts w:hint="eastAsia" w:ascii="宋体" w:hAnsi="宋体" w:eastAsia="宋体" w:cs="宋体"/>
      <w:b/>
      <w:sz w:val="24"/>
      <w:szCs w:val="22"/>
      <w:lang w:eastAsia="en-US" w:bidi="ar"/>
    </w:rPr>
  </w:style>
  <w:style w:type="character" w:customStyle="1" w:styleId="270">
    <w:name w:val="新正文 Char"/>
    <w:basedOn w:val="36"/>
    <w:uiPriority w:val="0"/>
    <w:rPr>
      <w:sz w:val="24"/>
      <w:szCs w:val="24"/>
      <w:lang w:bidi="ar"/>
    </w:rPr>
  </w:style>
  <w:style w:type="character" w:customStyle="1" w:styleId="271">
    <w:name w:val="Re-表头 Char"/>
    <w:basedOn w:val="36"/>
    <w:uiPriority w:val="0"/>
    <w:rPr>
      <w:rFonts w:hint="eastAsia" w:ascii="宋体" w:hAnsi="宋体" w:eastAsia="宋体" w:cs="宋体"/>
      <w:sz w:val="24"/>
      <w:szCs w:val="22"/>
      <w:lang w:eastAsia="en-US" w:bidi="ar"/>
    </w:rPr>
  </w:style>
  <w:style w:type="character" w:customStyle="1" w:styleId="272">
    <w:name w:val="正文文本缩进 2 字符"/>
    <w:basedOn w:val="36"/>
    <w:uiPriority w:val="0"/>
    <w:rPr>
      <w:kern w:val="2"/>
      <w:sz w:val="21"/>
    </w:rPr>
  </w:style>
  <w:style w:type="character" w:customStyle="1" w:styleId="273">
    <w:name w:val="批注文字 字符"/>
    <w:basedOn w:val="36"/>
    <w:uiPriority w:val="0"/>
    <w:rPr>
      <w:kern w:val="2"/>
      <w:sz w:val="21"/>
    </w:rPr>
  </w:style>
  <w:style w:type="character" w:customStyle="1" w:styleId="274">
    <w:name w:val="正文文本 字符"/>
    <w:aliases w:val="正文文字 字符,AvtalBrödtext 字符, ändrad 字符,ändrad 字符,AvtalBr 字符,Response 字符,Body3 字符,AvtalBr?dte?dte?dteödtext 字符,Re 字符"/>
    <w:basedOn w:val="36"/>
    <w:uiPriority w:val="0"/>
    <w:rPr>
      <w:rFonts w:hint="eastAsia" w:ascii="楷体_GB2312" w:eastAsia="楷体_GB2312" w:cs="楷体_GB2312"/>
      <w:color w:val="000000"/>
      <w:sz w:val="24"/>
      <w:szCs w:val="21"/>
    </w:rPr>
  </w:style>
  <w:style w:type="character" w:customStyle="1" w:styleId="275">
    <w:name w:val="正文首行缩进 字符"/>
    <w:basedOn w:val="36"/>
    <w:uiPriority w:val="0"/>
    <w:rPr>
      <w:rFonts w:hint="eastAsia" w:ascii="楷体_GB2312" w:eastAsia="楷体_GB2312" w:cs="楷体_GB2312"/>
      <w:color w:val="000000"/>
      <w:sz w:val="24"/>
      <w:szCs w:val="21"/>
    </w:rPr>
  </w:style>
  <w:style w:type="character" w:customStyle="1" w:styleId="276">
    <w:name w:val="文档结构图 字符"/>
    <w:basedOn w:val="36"/>
    <w:uiPriority w:val="0"/>
    <w:rPr>
      <w:kern w:val="2"/>
      <w:sz w:val="21"/>
      <w:shd w:val="clear" w:fill="000080"/>
    </w:rPr>
  </w:style>
  <w:style w:type="character" w:customStyle="1" w:styleId="277">
    <w:name w:val="font21"/>
    <w:basedOn w:val="36"/>
    <w:uiPriority w:val="0"/>
    <w:rPr>
      <w:rFonts w:hint="default" w:ascii="Times New Roman" w:hAnsi="Times New Roman" w:cs="Times New Roman"/>
      <w:color w:val="000000"/>
      <w:sz w:val="18"/>
      <w:szCs w:val="18"/>
      <w:u w:val="none"/>
    </w:rPr>
  </w:style>
  <w:style w:type="character" w:customStyle="1" w:styleId="278">
    <w:name w:val="font41"/>
    <w:basedOn w:val="36"/>
    <w:uiPriority w:val="0"/>
    <w:rPr>
      <w:rFonts w:hint="eastAsia" w:ascii="宋体" w:hAnsi="宋体" w:eastAsia="宋体" w:cs="宋体"/>
      <w:color w:val="000000"/>
      <w:sz w:val="18"/>
      <w:szCs w:val="18"/>
      <w:u w:val="none"/>
    </w:rPr>
  </w:style>
  <w:style w:type="character" w:customStyle="1" w:styleId="279">
    <w:name w:val="wyt-标题3 Char"/>
    <w:basedOn w:val="36"/>
    <w:uiPriority w:val="0"/>
    <w:rPr>
      <w:rFonts w:hint="eastAsia" w:ascii="宋体" w:hAnsi="宋体" w:eastAsia="宋体" w:cs="宋体"/>
      <w:b/>
      <w:sz w:val="24"/>
      <w:lang w:bidi="ar"/>
    </w:rPr>
  </w:style>
  <w:style w:type="character" w:customStyle="1" w:styleId="280">
    <w:name w:val="正文文本缩进 字符"/>
    <w:aliases w:val="正文文字( 首段缩进两字） 字符"/>
    <w:basedOn w:val="36"/>
    <w:uiPriority w:val="0"/>
    <w:rPr>
      <w:kern w:val="2"/>
      <w:sz w:val="24"/>
    </w:rPr>
  </w:style>
  <w:style w:type="character" w:customStyle="1" w:styleId="281">
    <w:name w:val="正文缩进 字符"/>
    <w:aliases w:val="正文（首行缩进两字）1 字符,正文（首行缩进两字） 字符,正文（首行缩进两字）2 字符,identication2 字符,正文缩进 Char4 字符,正文（首行缩进两字） Char2 字符,正文缩进 Char12 字符,identication Char2 字符,正文缩进 Char Char2 字符,正文（首行缩进两字） Char Char12 字符,正文（首行缩进两字） Char Char Char2 字符,正文（首行缩进两字） Char Char2 Char2 字符,标题3 字符"/>
    <w:basedOn w:val="36"/>
    <w:uiPriority w:val="0"/>
    <w:rPr>
      <w:kern w:val="2"/>
      <w:sz w:val="28"/>
      <w:szCs w:val="24"/>
    </w:rPr>
  </w:style>
  <w:style w:type="character" w:customStyle="1" w:styleId="282">
    <w:name w:val="正文文本 2 字符"/>
    <w:basedOn w:val="36"/>
    <w:uiPriority w:val="0"/>
    <w:rPr>
      <w:kern w:val="2"/>
      <w:sz w:val="24"/>
    </w:rPr>
  </w:style>
  <w:style w:type="character" w:customStyle="1" w:styleId="283">
    <w:name w:val="首行缩进2字符 Char Char"/>
    <w:basedOn w:val="36"/>
    <w:uiPriority w:val="0"/>
    <w:rPr>
      <w:rFonts w:hint="eastAsia" w:ascii="宋体" w:hAnsi="宋体" w:eastAsia="宋体" w:cs="宋体"/>
      <w:snapToGrid w:val="0"/>
      <w:sz w:val="24"/>
      <w:szCs w:val="24"/>
      <w:lang w:bidi="ar"/>
    </w:rPr>
  </w:style>
  <w:style w:type="character" w:customStyle="1" w:styleId="284">
    <w:name w:val="批注框文本 字符"/>
    <w:basedOn w:val="36"/>
    <w:uiPriority w:val="0"/>
    <w:rPr>
      <w:kern w:val="2"/>
      <w:sz w:val="18"/>
      <w:szCs w:val="18"/>
    </w:rPr>
  </w:style>
  <w:style w:type="character" w:customStyle="1" w:styleId="285">
    <w:name w:val="正文首行缩进 2 字符"/>
    <w:basedOn w:val="36"/>
    <w:uiPriority w:val="0"/>
    <w:rPr>
      <w:kern w:val="2"/>
      <w:sz w:val="24"/>
    </w:rPr>
  </w:style>
  <w:style w:type="character" w:customStyle="1" w:styleId="286">
    <w:name w:val="wyt-标题1 Char"/>
    <w:basedOn w:val="36"/>
    <w:uiPriority w:val="0"/>
    <w:rPr>
      <w:rFonts w:hint="eastAsia" w:ascii="宋体" w:hAnsi="宋体" w:eastAsia="黑体" w:cs="宋体"/>
      <w:color w:val="000000"/>
      <w:kern w:val="44"/>
      <w:sz w:val="30"/>
      <w:lang w:bidi="ar"/>
    </w:rPr>
  </w:style>
  <w:style w:type="character" w:customStyle="1" w:styleId="287">
    <w:name w:val="标题 字符"/>
    <w:aliases w:val="标题 Char Char Char 字符,标题 Char Char Char Char 字符,标题 Char Char1 Char 字符,标题 Char2 Char Char Char 字符,标题 Char Char Char Char Char 字符,标题 Char1 Char Char Char Char Char 字符,标题 Char Char Char Char Char Char Char1 Char 字符"/>
    <w:basedOn w:val="36"/>
    <w:uiPriority w:val="0"/>
    <w:rPr>
      <w:rFonts w:hint="default" w:ascii="Cambria" w:hAnsi="Cambria" w:eastAsia="Cambria" w:cs="Cambria"/>
      <w:b/>
      <w:kern w:val="2"/>
      <w:sz w:val="32"/>
      <w:szCs w:val="32"/>
    </w:rPr>
  </w:style>
  <w:style w:type="character" w:customStyle="1" w:styleId="288">
    <w:name w:val="标题 7 字符1"/>
    <w:aliases w:val="标题 7 表 字符1,无节条 字符1,项标题(1) 字符1,H7 字符1,表格标题1 Char 字符1,无节条 Char Char 字符1,标7 字符1,标题 7 表1 字符1,无级项 字符1,H71 字符1,标题 7表内5号 字符1,. [(1)] 字符1,可研-标题 7 字符1,Third level heading 字符1,表头标准 字符1,标题 7表内5号1 字符1,标题 7表内5号2 字符1,标题 7表内5号11 字符1,标题 7表内5号3 字符1,标题 7表内5号5 字符"/>
    <w:basedOn w:val="36"/>
    <w:uiPriority w:val="0"/>
    <w:rPr>
      <w:rFonts w:hint="eastAsia" w:ascii="宋体" w:hAnsi="宋体" w:eastAsia="宋体" w:cs="Times New Roman"/>
      <w:i/>
      <w:szCs w:val="21"/>
    </w:rPr>
  </w:style>
  <w:style w:type="character" w:customStyle="1" w:styleId="289">
    <w:name w:val="日期 字符"/>
    <w:basedOn w:val="36"/>
    <w:uiPriority w:val="0"/>
    <w:rPr>
      <w:kern w:val="2"/>
      <w:sz w:val="24"/>
    </w:rPr>
  </w:style>
  <w:style w:type="character" w:customStyle="1" w:styleId="290">
    <w:name w:val="样式 报告正文 + 首行缩进:  2 字符 Char Char"/>
    <w:basedOn w:val="36"/>
    <w:uiPriority w:val="0"/>
    <w:rPr>
      <w:sz w:val="24"/>
      <w:szCs w:val="24"/>
      <w:lang w:bidi="ar"/>
    </w:rPr>
  </w:style>
  <w:style w:type="character" w:customStyle="1" w:styleId="291">
    <w:name w:val="正文加重 Char Char"/>
    <w:basedOn w:val="36"/>
    <w:uiPriority w:val="0"/>
    <w:rPr>
      <w:rFonts w:hint="eastAsia" w:ascii="宋体" w:hAnsi="宋体" w:eastAsia="宋体" w:cs="宋体"/>
      <w:b/>
      <w:sz w:val="24"/>
      <w:szCs w:val="24"/>
      <w:lang w:bidi="ar"/>
    </w:rPr>
  </w:style>
  <w:style w:type="character" w:customStyle="1" w:styleId="292">
    <w:name w:val="样式1 Char Char"/>
    <w:basedOn w:val="36"/>
    <w:uiPriority w:val="0"/>
    <w:rPr>
      <w:rFonts w:hint="eastAsia" w:ascii="宋体" w:hAnsi="宋体" w:eastAsia="宋体" w:cs="宋体"/>
      <w:color w:val="FF0000"/>
      <w:kern w:val="2"/>
      <w:sz w:val="18"/>
    </w:rPr>
  </w:style>
  <w:style w:type="character" w:customStyle="1" w:styleId="293">
    <w:name w:val="正文1 Char1"/>
    <w:basedOn w:val="36"/>
    <w:uiPriority w:val="0"/>
    <w:rPr>
      <w:rFonts w:hint="eastAsia" w:ascii="宋体" w:hAnsi="宋体" w:eastAsia="宋体" w:cs="宋体"/>
      <w:spacing w:val="10"/>
      <w:kern w:val="21"/>
      <w:sz w:val="21"/>
      <w:szCs w:val="24"/>
      <w:lang w:bidi="ar"/>
    </w:rPr>
  </w:style>
  <w:style w:type="character" w:customStyle="1" w:styleId="294">
    <w:name w:val="标题 字符1"/>
    <w:aliases w:val="表格图片标题 字符,标题 Char Char Char 字符1,标题 Char Char Char Char 字符1,标题 Char Char1 Char 字符1,标题 Char2 Char Char Char 字符1,标题 Char Char Char Char Char 字符1,标题 Char1 Char Char Char Char Char 字符1,标题 Char Char Char Char Char Char Char1 Char 字符1"/>
    <w:basedOn w:val="36"/>
    <w:uiPriority w:val="0"/>
    <w:rPr>
      <w:rFonts w:hint="default" w:ascii="Cambria" w:hAnsi="Cambria" w:eastAsia="宋体" w:cs="Times New Roman"/>
      <w:b/>
      <w:sz w:val="32"/>
      <w:szCs w:val="32"/>
    </w:rPr>
  </w:style>
  <w:style w:type="character" w:customStyle="1" w:styleId="295">
    <w:name w:val="正文表格 Char"/>
    <w:basedOn w:val="36"/>
    <w:uiPriority w:val="0"/>
    <w:rPr>
      <w:rFonts w:hint="eastAsia" w:ascii="宋体" w:hAnsi="宋体" w:eastAsia="宋体" w:cs="宋体"/>
      <w:sz w:val="24"/>
      <w:szCs w:val="24"/>
      <w:lang w:bidi="ar"/>
    </w:rPr>
  </w:style>
  <w:style w:type="character" w:customStyle="1" w:styleId="296">
    <w:name w:val="批注主题 字符"/>
    <w:basedOn w:val="36"/>
    <w:uiPriority w:val="0"/>
    <w:rPr>
      <w:b/>
      <w:kern w:val="2"/>
      <w:sz w:val="24"/>
    </w:rPr>
  </w:style>
  <w:style w:type="character" w:customStyle="1" w:styleId="297">
    <w:name w:val="样式1[858D7CFB-ED40-4347-BF05-701D383B685F]"/>
    <w:basedOn w:val="36"/>
    <w:uiPriority w:val="0"/>
    <w:rPr>
      <w:color w:val="333333"/>
      <w:sz w:val="24"/>
    </w:rPr>
  </w:style>
  <w:style w:type="character" w:customStyle="1" w:styleId="298">
    <w:name w:val="引用 字符"/>
    <w:basedOn w:val="36"/>
    <w:uiPriority w:val="0"/>
    <w:rPr>
      <w:rFonts w:hint="eastAsia" w:ascii="宋体" w:hAnsi="宋体" w:eastAsia="宋体" w:cs="宋体"/>
      <w:i/>
      <w:color w:val="000000"/>
      <w:sz w:val="24"/>
      <w:szCs w:val="24"/>
      <w:lang w:bidi="ar"/>
    </w:rPr>
  </w:style>
  <w:style w:type="character" w:customStyle="1" w:styleId="299">
    <w:name w:val="个人答复风格"/>
    <w:basedOn w:val="36"/>
    <w:uiPriority w:val="0"/>
    <w:rPr>
      <w:rFonts w:hint="default" w:ascii="Arial" w:hAnsi="Arial" w:eastAsia="宋体" w:cs="Arial"/>
      <w:color w:val="auto"/>
      <w:sz w:val="20"/>
    </w:rPr>
  </w:style>
  <w:style w:type="character" w:customStyle="1" w:styleId="300">
    <w:name w:val="正文文本 3 字符"/>
    <w:basedOn w:val="36"/>
    <w:uiPriority w:val="0"/>
    <w:rPr>
      <w:sz w:val="16"/>
      <w:szCs w:val="16"/>
    </w:rPr>
  </w:style>
  <w:style w:type="character" w:customStyle="1" w:styleId="301">
    <w:name w:val="脚注文本 字符"/>
    <w:basedOn w:val="36"/>
    <w:uiPriority w:val="0"/>
    <w:rPr>
      <w:sz w:val="18"/>
    </w:rPr>
  </w:style>
  <w:style w:type="character" w:customStyle="1" w:styleId="302">
    <w:name w:val="报告正文样式 Char Char"/>
    <w:basedOn w:val="36"/>
    <w:uiPriority w:val="0"/>
    <w:rPr>
      <w:rFonts w:hint="eastAsia" w:ascii="宋体" w:hAnsi="宋体" w:eastAsia="宋体" w:cs="宋体"/>
      <w:color w:val="000000"/>
      <w:sz w:val="24"/>
      <w:szCs w:val="24"/>
    </w:rPr>
  </w:style>
  <w:style w:type="character" w:customStyle="1" w:styleId="303">
    <w:name w:val="标题 y1 Char1"/>
    <w:basedOn w:val="36"/>
    <w:uiPriority w:val="0"/>
    <w:rPr>
      <w:rFonts w:hint="default" w:ascii="Times New Roman" w:hAnsi="Times New Roman" w:cs="Times New Roman"/>
      <w:b/>
      <w:kern w:val="44"/>
      <w:sz w:val="44"/>
      <w:szCs w:val="44"/>
    </w:rPr>
  </w:style>
  <w:style w:type="character" w:customStyle="1" w:styleId="304">
    <w:name w:val="1.1标题 2 Char1"/>
    <w:aliases w:val="Char Char Char Char Char1,节 Char Char1,标题 2 Char Char Char Char Char Char1,标题 21 Char Char1,特殊正文 Char1,标题 2 Char Char Char1,标题 2 Char Char Char Char Char2,标题4 Char1"/>
    <w:basedOn w:val="36"/>
    <w:uiPriority w:val="0"/>
    <w:rPr>
      <w:rFonts w:hint="default" w:ascii="Cambria" w:hAnsi="Cambria" w:eastAsia="宋体" w:cs="Times New Roman"/>
      <w:b/>
      <w:kern w:val="2"/>
      <w:sz w:val="32"/>
      <w:szCs w:val="32"/>
    </w:rPr>
  </w:style>
  <w:style w:type="character" w:customStyle="1" w:styleId="305">
    <w:name w:val="标题 3 Char1 Char1"/>
    <w:aliases w:val="标题 3 Char Char Char1,头 Char Char Char1,头 Char Char2,头 Char2,标题 y3 Char1"/>
    <w:basedOn w:val="36"/>
    <w:uiPriority w:val="0"/>
    <w:rPr>
      <w:rFonts w:hint="default" w:ascii="Times New Roman" w:hAnsi="Times New Roman" w:cs="Times New Roman"/>
      <w:b/>
      <w:kern w:val="2"/>
      <w:sz w:val="32"/>
      <w:szCs w:val="32"/>
    </w:rPr>
  </w:style>
  <w:style w:type="character" w:customStyle="1" w:styleId="306">
    <w:name w:val="表格标题 Char Char"/>
    <w:basedOn w:val="36"/>
    <w:uiPriority w:val="0"/>
    <w:rPr>
      <w:b/>
      <w:kern w:val="2"/>
      <w:sz w:val="24"/>
      <w:szCs w:val="24"/>
      <w:lang w:val="en-US" w:eastAsia="zh-CN" w:bidi="ar"/>
    </w:rPr>
  </w:style>
  <w:style w:type="character" w:customStyle="1" w:styleId="307">
    <w:name w:val="表格 Char Char"/>
    <w:basedOn w:val="36"/>
    <w:uiPriority w:val="0"/>
    <w:rPr>
      <w:kern w:val="2"/>
      <w:sz w:val="21"/>
      <w:szCs w:val="21"/>
      <w:lang w:val="en-US" w:eastAsia="zh-CN" w:bidi="ar"/>
    </w:rPr>
  </w:style>
  <w:style w:type="character" w:customStyle="1" w:styleId="308">
    <w:name w:val="表标题 Char"/>
    <w:basedOn w:val="36"/>
    <w:uiPriority w:val="0"/>
    <w:rPr>
      <w:rFonts w:hint="eastAsia" w:ascii="黑体" w:hAnsi="宋体" w:eastAsia="黑体" w:cs="黑体"/>
      <w:sz w:val="24"/>
      <w:lang w:bidi="ar"/>
    </w:rPr>
  </w:style>
  <w:style w:type="paragraph" w:customStyle="1" w:styleId="309">
    <w:name w:val="表后空行"/>
    <w:aliases w:val="alt+G"/>
    <w:basedOn w:val="1"/>
    <w:next w:val="1"/>
    <w:uiPriority w:val="0"/>
    <w:pPr>
      <w:keepNext w:val="0"/>
      <w:keepLines w:val="0"/>
      <w:widowControl/>
      <w:suppressLineNumbers w:val="0"/>
      <w:spacing w:before="0" w:beforeAutospacing="0" w:after="0" w:afterAutospacing="0"/>
      <w:ind w:left="0" w:right="0" w:firstLine="200" w:firstLineChars="200"/>
      <w:jc w:val="left"/>
    </w:pPr>
    <w:rPr>
      <w:rFonts w:hint="eastAsia" w:ascii="宋体" w:hAnsi="宋体" w:eastAsia="宋体" w:cs="宋体"/>
      <w:kern w:val="18"/>
      <w:sz w:val="21"/>
      <w:szCs w:val="21"/>
      <w:lang w:val="en-US" w:eastAsia="zh-CN" w:bidi="ar"/>
    </w:rPr>
  </w:style>
  <w:style w:type="character" w:customStyle="1" w:styleId="310">
    <w:name w:val="表名 Char"/>
    <w:aliases w:val="alt+M Char Char,四宋粗 Char"/>
    <w:basedOn w:val="36"/>
    <w:uiPriority w:val="0"/>
    <w:rPr>
      <w:rFonts w:hint="eastAsia" w:ascii="宋体" w:hAnsi="宋体" w:eastAsia="宋体" w:cs="宋体"/>
      <w:b/>
      <w:sz w:val="24"/>
      <w:szCs w:val="24"/>
      <w:lang w:bidi="ar"/>
    </w:rPr>
  </w:style>
  <w:style w:type="character" w:customStyle="1" w:styleId="311">
    <w:name w:val="表头 Char"/>
    <w:basedOn w:val="36"/>
    <w:uiPriority w:val="0"/>
    <w:rPr>
      <w:rFonts w:hint="eastAsia" w:ascii="宋体" w:hAnsi="宋体" w:eastAsia="黑体" w:cs="宋体"/>
      <w:spacing w:val="6"/>
      <w:kern w:val="2"/>
      <w:position w:val="10"/>
      <w:sz w:val="24"/>
    </w:rPr>
  </w:style>
  <w:style w:type="character" w:customStyle="1" w:styleId="312">
    <w:name w:val="TT表名 Char Char Char"/>
    <w:basedOn w:val="36"/>
    <w:uiPriority w:val="0"/>
    <w:rPr>
      <w:rFonts w:hint="eastAsia" w:ascii="宋体" w:hAnsi="宋体" w:eastAsia="宋体" w:cs="宋体"/>
      <w:sz w:val="24"/>
      <w:szCs w:val="28"/>
      <w:lang w:bidi="ar"/>
    </w:rPr>
  </w:style>
  <w:style w:type="character" w:customStyle="1" w:styleId="313">
    <w:name w:val="页眉 字符1"/>
    <w:aliases w:val="even 字符"/>
    <w:basedOn w:val="36"/>
    <w:uiPriority w:val="0"/>
    <w:rPr>
      <w:sz w:val="18"/>
      <w:szCs w:val="18"/>
    </w:rPr>
  </w:style>
  <w:style w:type="character" w:customStyle="1" w:styleId="314">
    <w:name w:val="明显引用 字符"/>
    <w:basedOn w:val="36"/>
    <w:uiPriority w:val="0"/>
    <w:rPr>
      <w:rFonts w:hint="eastAsia" w:ascii="宋体" w:hAnsi="宋体" w:eastAsia="宋体" w:cs="宋体"/>
      <w:b/>
      <w:i/>
      <w:color w:val="4F81BD"/>
      <w:sz w:val="24"/>
      <w:szCs w:val="22"/>
      <w:lang w:bidi="ar"/>
    </w:rPr>
  </w:style>
  <w:style w:type="character" w:customStyle="1" w:styleId="315">
    <w:name w:val="表头-格式 Char"/>
    <w:basedOn w:val="36"/>
    <w:uiPriority w:val="0"/>
    <w:rPr>
      <w:rFonts w:hint="eastAsia" w:ascii="宋体" w:hAnsi="宋体" w:eastAsia="宋体" w:cs="宋体"/>
      <w:b/>
      <w:sz w:val="24"/>
      <w:szCs w:val="21"/>
      <w:lang w:bidi="en-US"/>
    </w:rPr>
  </w:style>
  <w:style w:type="character" w:customStyle="1" w:styleId="316">
    <w:name w:val="gyy 正文 Char Char"/>
    <w:basedOn w:val="36"/>
    <w:uiPriority w:val="0"/>
    <w:rPr>
      <w:color w:val="000000"/>
      <w:sz w:val="28"/>
      <w:szCs w:val="28"/>
      <w:lang w:bidi="ar"/>
    </w:rPr>
  </w:style>
  <w:style w:type="character" w:customStyle="1" w:styleId="317">
    <w:name w:val="表体 Char Char"/>
    <w:basedOn w:val="36"/>
    <w:uiPriority w:val="0"/>
    <w:rPr>
      <w:color w:val="000000"/>
      <w:kern w:val="24"/>
      <w:sz w:val="18"/>
    </w:rPr>
  </w:style>
  <w:style w:type="character" w:customStyle="1" w:styleId="318">
    <w:name w:val="00报告书正文 + 宋体 小四 首行缩进 1.5 行距 Char Char"/>
    <w:basedOn w:val="36"/>
    <w:uiPriority w:val="0"/>
    <w:rPr>
      <w:rFonts w:hint="eastAsia" w:ascii="宋体" w:hAnsi="宋体" w:eastAsia="宋体" w:cs="宋体"/>
      <w:color w:val="000000"/>
      <w:sz w:val="24"/>
      <w:szCs w:val="24"/>
      <w:lang w:val="en-US" w:eastAsia="zh-CN" w:bidi="ar"/>
    </w:rPr>
  </w:style>
  <w:style w:type="character" w:customStyle="1" w:styleId="319">
    <w:name w:val="15"/>
    <w:basedOn w:val="36"/>
    <w:uiPriority w:val="0"/>
  </w:style>
  <w:style w:type="character" w:customStyle="1" w:styleId="320">
    <w:name w:val="页脚 字符1"/>
    <w:aliases w:val="123YJ 字符1,Footer1 字符1,Footer-Even 字符1"/>
    <w:basedOn w:val="36"/>
    <w:uiPriority w:val="0"/>
    <w:rPr>
      <w:sz w:val="18"/>
      <w:szCs w:val="18"/>
    </w:rPr>
  </w:style>
  <w:style w:type="character" w:customStyle="1" w:styleId="321">
    <w:name w:val="标题 2 字符1"/>
    <w:aliases w:val="标题 1.1 字符1,标题 2 Char Char Char Char Char Char Char Char Char Char Char Char Char Char Char Char Char Char Char Char Char Char Char Char Char Char Char Char Char 字符,Heading 2 Hidden 字符1,Heading 2 CCBS 字符1,heading 2 字符1,H2 字符1,sect 1.2 字符1,H21 字符"/>
    <w:basedOn w:val="36"/>
    <w:uiPriority w:val="0"/>
    <w:rPr>
      <w:rFonts w:hint="default" w:ascii="Times New Roman" w:hAnsi="Times New Roman" w:eastAsia="宋体" w:cs="Times New Roman"/>
      <w:b/>
      <w:sz w:val="32"/>
      <w:szCs w:val="20"/>
    </w:rPr>
  </w:style>
  <w:style w:type="character" w:customStyle="1" w:styleId="322">
    <w:name w:val="标题 3 字符1"/>
    <w:aliases w:val="小节标题 字符,标题 3 Char1 字符,标题 3 Char Char 字符1,H3 字符1,Heading 3 - old 字符1,标题 3 Char Char Char Char 字符,标题 3 Char Char Char Char Char 字符,1.1.1 字符,条 字符,三级标题，黑粗，四号，序号 字符,三级标题 字符,h3 sub heading 字符,标2 字符,Char 字符,标题 3 Char2 字符,Re 字符1,H31 字符,H32 字符,H33 字符"/>
    <w:basedOn w:val="36"/>
    <w:uiPriority w:val="0"/>
    <w:rPr>
      <w:rFonts w:hint="default" w:ascii="Times New Roman" w:hAnsi="Times New Roman" w:eastAsia="宋体" w:cs="Times New Roman"/>
      <w:b/>
      <w:sz w:val="28"/>
      <w:szCs w:val="28"/>
    </w:rPr>
  </w:style>
  <w:style w:type="character" w:customStyle="1" w:styleId="323">
    <w:name w:val="标题 1 字符1"/>
    <w:aliases w:val="一级标题，黑粗，三号，序号 字符,1.标题 1 字符1,H1 字符1,Chapter Headline 字符,章 字符1,chap 字符,Section Head 字符1,Header1 字符1,h1 字符1,1st level 字符1,l1 字符1,Heading 0 字符1,Fab-1 字符1,PIM 1 字符1,标题 1(章) 字符1,章标题 1 字符1,b1 字符1,-*+ 字符1,标书1 字符1,一、 字符1,标1 字符1,章节标题 字符1,1标题 1 字符1,章节 字符"/>
    <w:basedOn w:val="36"/>
    <w:uiPriority w:val="0"/>
    <w:rPr>
      <w:rFonts w:hint="default" w:ascii="Times New Roman" w:hAnsi="Times New Roman" w:eastAsia="宋体" w:cs="Times New Roman"/>
      <w:b/>
      <w:kern w:val="44"/>
      <w:sz w:val="44"/>
      <w:szCs w:val="44"/>
    </w:rPr>
  </w:style>
  <w:style w:type="character" w:customStyle="1" w:styleId="324">
    <w:name w:val="标题 5 字符1"/>
    <w:aliases w:val="1) 字符,项 字符1,无序号，小四黑常规，空两字 字符1,第四层条 字符1,H5 字符1,dash 字符1,ds 字符1,dd 字符1,h5 字符1,标题 5 Char Char 字符1,标题1.1.1.1.1 字符1,H51 字符1,标5 Char 字符1,标5 字符1,1) Char 字符1,项 Char 字符1,H1 No TOC 字符1,一级项 字符1,. (1.) 字符1,MB5 字符1,无序号，小四黑常规，空两字 Char 字符1,标题 5表头 字符1,节标题 字符1"/>
    <w:basedOn w:val="36"/>
    <w:uiPriority w:val="0"/>
    <w:rPr>
      <w:rFonts w:hint="eastAsia" w:ascii="仿宋_GB2312" w:hAnsi="Times New Roman" w:eastAsia="仿宋_GB2312" w:cs="Times New Roman"/>
      <w:sz w:val="24"/>
      <w:szCs w:val="20"/>
    </w:rPr>
  </w:style>
  <w:style w:type="character" w:customStyle="1" w:styleId="325">
    <w:name w:val="标题 6 字符1"/>
    <w:aliases w:val="无节 字符1,标题8 字符1,标题6，6级标题，小四中宋粗，无序号 字符1,第五层条 字符1,H6 字符1,标题1.1.1.1.1.1 字符1,标6 字符1,二级项 字符1,H61 字符1,标题 6，图标题 字符1,标题6，6级标题，小四中宋粗，无序号 Char 字符1,编号正文 字符1,图标题 字符1,标题 6表内文字(小四) 字符1,标题5 字符1,. (a.) 字符1,OG Distribution 字符1,Bullet (Single Lines) 字符1,标题 6! 字符1"/>
    <w:basedOn w:val="36"/>
    <w:uiPriority w:val="0"/>
    <w:rPr>
      <w:rFonts w:hint="default" w:ascii="Times New Roman" w:hAnsi="Times New Roman" w:eastAsia="宋体" w:cs="Times New Roman"/>
      <w:b/>
      <w:kern w:val="0"/>
      <w:sz w:val="18"/>
      <w:szCs w:val="20"/>
    </w:rPr>
  </w:style>
  <w:style w:type="character" w:customStyle="1" w:styleId="326">
    <w:name w:val="标题 8 字符1"/>
    <w:aliases w:val="无节款 字符1,h8 字符1,H8 字符1,目标题 1) 字符1,注 字符1,图 字符1,标题8--表题 字符1,. [(a)] 字符1,可研-标题 8 字符1,注1 字符1,无节款1 字符1,目标题 1)1 字符1,注2 字符1,无节款2 字符1,目标题 1)2 字符1,注3 字符1,无节款3 字符1,目标题 1)3 字符1,注4 字符1,无节款4 字符1,目标题 1)4 字符1,注5 字符1,无节款5 字符1,目标题 1)5 字符1,注6 字符1,无节款6 字符1,注7 字符1"/>
    <w:basedOn w:val="36"/>
    <w:uiPriority w:val="0"/>
    <w:rPr>
      <w:rFonts w:hint="default" w:ascii="Arial" w:hAnsi="Arial" w:eastAsia="仿宋_GB2312" w:cs="Times New Roman"/>
      <w:kern w:val="0"/>
      <w:sz w:val="28"/>
      <w:szCs w:val="20"/>
    </w:rPr>
  </w:style>
  <w:style w:type="character" w:customStyle="1" w:styleId="327">
    <w:name w:val="标题 9 字符1"/>
    <w:aliases w:val="h9 字符1,H9 字符1,干标题(a) 字符1,无节项 字符1,无节项1 字符1,无节项2 字符1,无节项3 字符1,无节项4 字符1,无节项11 字符1,无节项21 字符1,无节项31 字符1,无节项5 字符1,无节项12 字符1,无节项22 字符1,无节项32 字符1,无节项41 字符1,无节项111 字符1,无节项211 字符1,无节项311 字符1,无节项6 字符1,无节项13 字符1,无节项23 字符1,无节项33 字符1,无节项42 字符1,无节项112 字符1"/>
    <w:basedOn w:val="36"/>
    <w:uiPriority w:val="0"/>
    <w:rPr>
      <w:rFonts w:hint="default" w:ascii="Arial" w:hAnsi="Arial" w:eastAsia="仿宋_GB2312" w:cs="Times New Roman"/>
      <w:kern w:val="0"/>
      <w:sz w:val="28"/>
      <w:szCs w:val="20"/>
    </w:rPr>
  </w:style>
  <w:style w:type="character" w:customStyle="1" w:styleId="328">
    <w:name w:val="正文文本缩进 字符1"/>
    <w:aliases w:val="正文文字( 首段缩进两字） 字符1"/>
    <w:basedOn w:val="36"/>
    <w:uiPriority w:val="0"/>
    <w:rPr>
      <w:rFonts w:hint="eastAsia" w:ascii="仿宋_GB2312" w:hAnsi="Times New Roman" w:eastAsia="仿宋_GB2312" w:cs="Times New Roman"/>
      <w:sz w:val="28"/>
      <w:szCs w:val="20"/>
    </w:rPr>
  </w:style>
  <w:style w:type="character" w:customStyle="1" w:styleId="329">
    <w:name w:val="日期 字符1"/>
    <w:basedOn w:val="36"/>
    <w:uiPriority w:val="0"/>
    <w:rPr>
      <w:rFonts w:hint="eastAsia" w:ascii="宋体" w:hAnsi="宋体" w:eastAsia="宋体" w:cs="Times New Roman"/>
      <w:sz w:val="28"/>
      <w:szCs w:val="20"/>
    </w:rPr>
  </w:style>
  <w:style w:type="character" w:customStyle="1" w:styleId="330">
    <w:name w:val="正文文本 2 字符1"/>
    <w:basedOn w:val="36"/>
    <w:uiPriority w:val="0"/>
    <w:rPr>
      <w:rFonts w:hint="default" w:ascii="Times New Roman" w:hAnsi="Times New Roman" w:eastAsia="宋体" w:cs="Times New Roman"/>
      <w:b/>
      <w:color w:val="008000"/>
      <w:sz w:val="24"/>
      <w:szCs w:val="20"/>
    </w:rPr>
  </w:style>
  <w:style w:type="character" w:customStyle="1" w:styleId="331">
    <w:name w:val="正文文本缩进 2 字符1"/>
    <w:basedOn w:val="36"/>
    <w:uiPriority w:val="0"/>
    <w:rPr>
      <w:rFonts w:hint="eastAsia" w:ascii="方正书宋简体" w:hAnsi="Times New Roman" w:eastAsia="方正书宋简体" w:cs="Times New Roman"/>
      <w:sz w:val="28"/>
      <w:szCs w:val="20"/>
    </w:rPr>
  </w:style>
  <w:style w:type="character" w:customStyle="1" w:styleId="332">
    <w:name w:val="正文文本首行缩进 字符"/>
    <w:basedOn w:val="36"/>
    <w:uiPriority w:val="0"/>
    <w:rPr>
      <w:rFonts w:hint="default" w:ascii="Times New Roman" w:hAnsi="Times New Roman" w:eastAsia="宋体" w:cs="Times New Roman"/>
      <w:kern w:val="2"/>
      <w:sz w:val="24"/>
      <w:szCs w:val="24"/>
      <w:lang w:bidi="ar"/>
    </w:rPr>
  </w:style>
  <w:style w:type="character" w:customStyle="1" w:styleId="333">
    <w:name w:val=" Char Char7"/>
    <w:basedOn w:val="36"/>
    <w:link w:val="10"/>
    <w:uiPriority w:val="0"/>
    <w:rPr>
      <w:rFonts w:hint="eastAsia" w:ascii="宋体" w:hAnsi="宋体" w:eastAsia="黑体" w:cs="宋体"/>
      <w:b/>
      <w:sz w:val="24"/>
      <w:szCs w:val="24"/>
      <w:lang w:val="en-US" w:eastAsia="zh-CN" w:bidi="ar"/>
    </w:rPr>
  </w:style>
  <w:style w:type="character" w:customStyle="1" w:styleId="334">
    <w:name w:val=" Char Char6"/>
    <w:basedOn w:val="36"/>
    <w:link w:val="26"/>
    <w:uiPriority w:val="0"/>
    <w:rPr>
      <w:rFonts w:hint="eastAsia" w:ascii="黑体" w:hAnsi="Courier New" w:eastAsia="黑体" w:cs="Courier New"/>
      <w:szCs w:val="24"/>
      <w:lang w:val="en-US" w:eastAsia="zh-CN" w:bidi="ar"/>
    </w:rPr>
  </w:style>
  <w:style w:type="character" w:customStyle="1" w:styleId="335">
    <w:name w:val="标题6"/>
    <w:basedOn w:val="36"/>
    <w:uiPriority w:val="0"/>
  </w:style>
  <w:style w:type="character" w:customStyle="1" w:styleId="336">
    <w:name w:val="正文缩进 字符1"/>
    <w:aliases w:val="正文缩进4 字符,正文缩进11 字符,正文（首行缩进两字） Char11 字符,正文（首行缩进两字） Char3 字符,正文缩进2 Char Char Char Char Char1 字符,正文缩进2 Char Char Char1 字符,正文缩进31 字符,正文（首行缩进两字）11 字符,正文缩进2 Char Char1 Char1 字符,正文缩进2 Char Char2 字符,正文缩进2 Char Char Char Char Char Char1 字符,正文缩进1 字符"/>
    <w:basedOn w:val="36"/>
    <w:uiPriority w:val="0"/>
    <w:rPr>
      <w:rFonts w:hint="default" w:ascii="Times New Roman" w:hAnsi="Times New Roman" w:eastAsia="宋体" w:cs="Times New Roman"/>
      <w:sz w:val="28"/>
      <w:szCs w:val="20"/>
    </w:rPr>
  </w:style>
  <w:style w:type="character" w:customStyle="1" w:styleId="337">
    <w:name w:val="批注文字 字符1"/>
    <w:basedOn w:val="36"/>
    <w:uiPriority w:val="0"/>
    <w:rPr>
      <w:rFonts w:hint="default" w:ascii="Times New Roman" w:hAnsi="Times New Roman" w:eastAsia="宋体" w:cs="Times New Roman"/>
      <w:szCs w:val="24"/>
    </w:rPr>
  </w:style>
  <w:style w:type="character" w:customStyle="1" w:styleId="338">
    <w:name w:val="脚注文本 字符1"/>
    <w:basedOn w:val="36"/>
    <w:uiPriority w:val="0"/>
    <w:rPr>
      <w:rFonts w:hint="default" w:ascii="Times New Roman" w:hAnsi="Times New Roman" w:eastAsia="宋体" w:cs="Times New Roman"/>
      <w:sz w:val="18"/>
      <w:szCs w:val="18"/>
    </w:rPr>
  </w:style>
  <w:style w:type="character" w:customStyle="1" w:styleId="339">
    <w:name w:val="批注框文本 字符1"/>
    <w:basedOn w:val="36"/>
    <w:uiPriority w:val="0"/>
    <w:rPr>
      <w:rFonts w:hint="default" w:ascii="Times New Roman" w:hAnsi="Times New Roman" w:eastAsia="宋体" w:cs="Times New Roman"/>
      <w:sz w:val="18"/>
      <w:szCs w:val="18"/>
    </w:rPr>
  </w:style>
  <w:style w:type="character" w:customStyle="1" w:styleId="340">
    <w:name w:val="副标题 字符"/>
    <w:basedOn w:val="36"/>
    <w:uiPriority w:val="0"/>
    <w:rPr>
      <w:rFonts w:hint="default" w:ascii="Cambria" w:hAnsi="Cambria" w:eastAsia="宋体" w:cs="Times New Roman"/>
      <w:b/>
      <w:kern w:val="28"/>
      <w:sz w:val="32"/>
      <w:szCs w:val="32"/>
    </w:rPr>
  </w:style>
  <w:style w:type="character" w:customStyle="1" w:styleId="341">
    <w:name w:val="Char Char261"/>
    <w:basedOn w:val="36"/>
    <w:uiPriority w:val="0"/>
    <w:rPr>
      <w:rFonts w:hint="default" w:ascii="Arial" w:hAnsi="Arial" w:eastAsia="黑体" w:cs="Times New Roman"/>
      <w:b/>
      <w:kern w:val="0"/>
      <w:szCs w:val="20"/>
    </w:rPr>
  </w:style>
  <w:style w:type="character" w:customStyle="1" w:styleId="342">
    <w:name w:val="Char Char201"/>
    <w:basedOn w:val="36"/>
    <w:uiPriority w:val="0"/>
    <w:rPr>
      <w:rFonts w:hint="default" w:ascii="Arial" w:hAnsi="Arial" w:eastAsia="黑体" w:cs="Times New Roman"/>
      <w:kern w:val="0"/>
      <w:szCs w:val="20"/>
    </w:rPr>
  </w:style>
  <w:style w:type="character" w:customStyle="1" w:styleId="343">
    <w:name w:val="Char Char141"/>
    <w:basedOn w:val="36"/>
    <w:uiPriority w:val="0"/>
    <w:rPr>
      <w:rFonts w:hint="eastAsia" w:ascii="方正书宋简体" w:hAnsi="Times New Roman" w:eastAsia="方正书宋简体" w:cs="Times New Roman"/>
      <w:szCs w:val="20"/>
    </w:rPr>
  </w:style>
  <w:style w:type="character" w:customStyle="1" w:styleId="344">
    <w:name w:val="Char Char111"/>
    <w:basedOn w:val="36"/>
    <w:uiPriority w:val="0"/>
    <w:rPr>
      <w:rFonts w:hint="default" w:ascii="Times New Roman" w:hAnsi="Times New Roman" w:eastAsia="宋体" w:cs="Times New Roman"/>
      <w:szCs w:val="24"/>
    </w:rPr>
  </w:style>
  <w:style w:type="character" w:customStyle="1" w:styleId="345">
    <w:name w:val="Char Char241"/>
    <w:basedOn w:val="36"/>
    <w:uiPriority w:val="0"/>
    <w:rPr>
      <w:rFonts w:hint="eastAsia" w:ascii="仿宋_GB2312" w:hAnsi="Arial" w:eastAsia="仿宋_GB2312" w:cs="仿宋_GB2312"/>
      <w:kern w:val="2"/>
      <w:sz w:val="28"/>
    </w:rPr>
  </w:style>
  <w:style w:type="character" w:customStyle="1" w:styleId="346">
    <w:name w:val="Char Char231"/>
    <w:basedOn w:val="36"/>
    <w:uiPriority w:val="0"/>
    <w:rPr>
      <w:rFonts w:hint="eastAsia" w:ascii="仿宋_GB2312" w:hAnsi="Times New Roman" w:eastAsia="仿宋_GB2312" w:cs="仿宋_GB2312"/>
      <w:kern w:val="2"/>
      <w:sz w:val="28"/>
    </w:rPr>
  </w:style>
  <w:style w:type="character" w:customStyle="1" w:styleId="347">
    <w:name w:val="Char Char221"/>
    <w:basedOn w:val="36"/>
    <w:uiPriority w:val="0"/>
    <w:rPr>
      <w:rFonts w:hint="default" w:ascii="Arial" w:hAnsi="Arial" w:eastAsia="黑体" w:cs="Arial"/>
      <w:b/>
      <w:sz w:val="21"/>
    </w:rPr>
  </w:style>
  <w:style w:type="character" w:customStyle="1" w:styleId="348">
    <w:name w:val="题注 字符"/>
    <w:aliases w:val=" Char Char Char 字符, Char Char Char Char Char Char Char Char Char Char Char Char Char Char Char  字符,题注 Char 字符,实德题注 字符,Char Char Char Char Char Char Char Char Char Char Char Char Char Char Char 字符,题注 Char Char Char Char Char Char 字符"/>
    <w:basedOn w:val="36"/>
    <w:uiPriority w:val="0"/>
    <w:rPr>
      <w:rFonts w:hint="default" w:ascii="Arial" w:hAnsi="Arial" w:eastAsia="黑体" w:cs="Times New Roman"/>
      <w:sz w:val="24"/>
      <w:szCs w:val="24"/>
    </w:rPr>
  </w:style>
  <w:style w:type="character" w:customStyle="1" w:styleId="349">
    <w:name w:val="引用 Char"/>
    <w:basedOn w:val="36"/>
    <w:uiPriority w:val="0"/>
    <w:rPr>
      <w:i/>
      <w:color w:val="000000"/>
    </w:rPr>
  </w:style>
  <w:style w:type="character" w:customStyle="1" w:styleId="350">
    <w:name w:val="引用 字符1"/>
    <w:basedOn w:val="36"/>
    <w:uiPriority w:val="0"/>
    <w:rPr>
      <w:rFonts w:hint="default" w:ascii="Times New Roman" w:hAnsi="Times New Roman" w:eastAsia="宋体" w:cs="Times New Roman"/>
      <w:i/>
      <w:color w:val="000000"/>
      <w:kern w:val="0"/>
      <w:sz w:val="24"/>
      <w:szCs w:val="20"/>
    </w:rPr>
  </w:style>
  <w:style w:type="character" w:customStyle="1" w:styleId="351">
    <w:name w:val="明显引用 Char"/>
    <w:basedOn w:val="36"/>
    <w:uiPriority w:val="0"/>
    <w:rPr>
      <w:b/>
      <w:i/>
      <w:color w:val="4F81BD"/>
    </w:rPr>
  </w:style>
  <w:style w:type="character" w:customStyle="1" w:styleId="352">
    <w:name w:val="明显引用 字符1"/>
    <w:basedOn w:val="36"/>
    <w:uiPriority w:val="0"/>
    <w:rPr>
      <w:rFonts w:hint="default" w:ascii="Times New Roman" w:hAnsi="Times New Roman" w:eastAsia="宋体" w:cs="Times New Roman"/>
      <w:b/>
      <w:i/>
      <w:color w:val="4F81BD"/>
      <w:sz w:val="24"/>
    </w:rPr>
  </w:style>
  <w:style w:type="character" w:customStyle="1" w:styleId="353">
    <w:name w:val="标题9"/>
    <w:basedOn w:val="36"/>
    <w:uiPriority w:val="0"/>
  </w:style>
  <w:style w:type="character" w:customStyle="1" w:styleId="354">
    <w:name w:val="0.5正文缩进1 Char"/>
    <w:basedOn w:val="36"/>
    <w:link w:val="355"/>
    <w:uiPriority w:val="0"/>
    <w:rPr>
      <w:rFonts w:hint="eastAsia" w:ascii="仿宋_GB2312" w:eastAsia="仿宋_GB2312" w:cs="仿宋_GB2312"/>
      <w:sz w:val="24"/>
      <w:szCs w:val="24"/>
      <w:lang w:val="zh-CN" w:bidi="ar"/>
    </w:rPr>
  </w:style>
  <w:style w:type="paragraph" w:customStyle="1" w:styleId="355">
    <w:name w:val="0.5正文缩进1"/>
    <w:basedOn w:val="1"/>
    <w:link w:val="354"/>
    <w:uiPriority w:val="0"/>
    <w:pPr>
      <w:keepNext w:val="0"/>
      <w:keepLines w:val="0"/>
      <w:widowControl w:val="0"/>
      <w:suppressLineNumbers w:val="0"/>
      <w:adjustRightInd w:val="0"/>
      <w:snapToGrid w:val="0"/>
      <w:spacing w:before="0" w:beforeAutospacing="0" w:after="0" w:afterAutospacing="0" w:line="360" w:lineRule="auto"/>
      <w:ind w:left="0" w:right="0" w:firstLine="200" w:firstLineChars="200"/>
      <w:jc w:val="left"/>
    </w:pPr>
    <w:rPr>
      <w:rFonts w:hint="default" w:ascii="Times New Roman" w:hAnsi="Times New Roman" w:eastAsia="仿宋_GB2312" w:cs="Times New Roman"/>
      <w:kern w:val="0"/>
      <w:sz w:val="24"/>
      <w:szCs w:val="24"/>
      <w:lang w:val="en-US" w:eastAsia="zh-CN" w:bidi="ar"/>
    </w:rPr>
  </w:style>
  <w:style w:type="paragraph" w:customStyle="1" w:styleId="356">
    <w:name w:val="1正文段落"/>
    <w:basedOn w:val="1"/>
    <w:uiPriority w:val="0"/>
    <w:pPr>
      <w:keepNext w:val="0"/>
      <w:keepLines w:val="0"/>
      <w:widowControl w:val="0"/>
      <w:suppressLineNumbers w:val="0"/>
      <w:snapToGrid w:val="0"/>
      <w:spacing w:before="0" w:beforeAutospacing="0" w:after="0" w:afterAutospacing="0" w:line="360" w:lineRule="auto"/>
      <w:ind w:left="0" w:right="0" w:firstLine="480" w:firstLineChars="200"/>
      <w:jc w:val="left"/>
    </w:pPr>
    <w:rPr>
      <w:rFonts w:hint="default" w:ascii="Times New Roman" w:hAnsi="Times New Roman" w:eastAsia="宋体" w:cs="Times New Roman"/>
      <w:kern w:val="0"/>
      <w:sz w:val="24"/>
      <w:szCs w:val="24"/>
      <w:lang w:val="en-US" w:eastAsia="zh-CN" w:bidi="ar"/>
    </w:rPr>
  </w:style>
  <w:style w:type="table" w:customStyle="1" w:styleId="357">
    <w:name w:val="自建表格样式1"/>
    <w:basedOn w:val="32"/>
    <w:uiPriority w:val="0"/>
    <w:pPr>
      <w:keepNext w:val="0"/>
      <w:keepLines w:val="0"/>
      <w:widowControl/>
      <w:suppressLineNumbers w:val="0"/>
      <w:adjustRightInd w:val="0"/>
      <w:snapToGrid w:val="0"/>
      <w:spacing w:before="0" w:beforeAutospacing="0" w:after="0" w:afterAutospacing="0"/>
      <w:ind w:left="0" w:right="0"/>
      <w:jc w:val="center"/>
    </w:pPr>
    <w:rPr>
      <w:rFonts w:hint="default" w:ascii="Times New Roman" w:hAnsi="Times New Roman" w:cs="Times New Roman"/>
      <w:sz w:val="21"/>
      <w:szCs w:val="20"/>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
    <w:tcPr>
      <w:tcBorders>
        <w:top w:val="single" w:color="auto" w:sz="12" w:space="0"/>
        <w:left w:val="single" w:color="auto" w:sz="12" w:space="0"/>
        <w:bottom w:val="single" w:color="auto" w:sz="12" w:space="0"/>
        <w:right w:val="single" w:color="auto" w:sz="12" w:space="0"/>
      </w:tcBorders>
      <w:vAlign w:val="center"/>
    </w:tcPr>
    <w:tblStylePr w:type="firstRow">
      <w:rPr>
        <w:b/>
      </w:rPr>
      <w:tblPr/>
    </w:tblStylePr>
    <w:tblStylePr w:type="lastRow">
      <w:rPr>
        <w:b/>
      </w:rPr>
      <w:tblPr/>
    </w:tblStylePr>
    <w:tblStylePr w:type="firstCol">
      <w:rPr>
        <w:b/>
      </w:rPr>
      <w:tblPr/>
    </w:tblStylePr>
  </w:style>
  <w:style w:type="table" w:customStyle="1" w:styleId="358">
    <w:name w:val="样式1-wyt"/>
    <w:basedOn w:val="32"/>
    <w:uiPriority w:val="0"/>
    <w:pPr>
      <w:keepNext w:val="0"/>
      <w:keepLines w:val="0"/>
      <w:widowControl/>
      <w:suppressLineNumbers w:val="0"/>
      <w:spacing w:before="0" w:beforeAutospacing="0" w:after="0" w:afterAutospacing="0" w:line="300" w:lineRule="exact"/>
      <w:ind w:left="0" w:right="0"/>
      <w:jc w:val="center"/>
    </w:pPr>
    <w:rPr>
      <w:rFonts w:hint="default" w:ascii="Times New Roman" w:hAnsi="Times New Roman" w:cs="Times New Roman"/>
      <w:sz w:val="21"/>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cPr>
      <w:tcBorders>
        <w:top w:val="single" w:color="auto" w:sz="12" w:space="0"/>
        <w:left w:val="nil"/>
        <w:bottom w:val="single" w:color="auto" w:sz="12" w:space="0"/>
        <w:right w:val="nil"/>
      </w:tcBorders>
      <w:vAlign w:val="center"/>
    </w:tcPr>
  </w:style>
  <w:style w:type="table" w:customStyle="1" w:styleId="359">
    <w:name w:val="网格型-中对齐1"/>
    <w:basedOn w:val="32"/>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table" w:customStyle="1" w:styleId="360">
    <w:name w:val="浅色底纹 - 着色 2"/>
    <w:aliases w:val="浅色底纹 - 强调文字颜色 2,浅色底纹 - 强调文字颜色 22"/>
    <w:basedOn w:val="32"/>
    <w:uiPriority w:val="0"/>
    <w:pPr>
      <w:keepNext w:val="0"/>
      <w:keepLines w:val="0"/>
      <w:widowControl/>
      <w:suppressLineNumbers w:val="0"/>
      <w:spacing w:before="0" w:beforeAutospacing="0" w:after="0" w:afterAutospacing="0"/>
      <w:ind w:left="0" w:right="0"/>
    </w:pPr>
    <w:rPr>
      <w:rFonts w:hint="default" w:ascii="Times New Roman" w:hAnsi="Times New Roman" w:cs="Times New Roman"/>
      <w:b/>
      <w:i/>
      <w:color w:val="4F81BD"/>
      <w:kern w:val="2"/>
      <w:sz w:val="24"/>
      <w:szCs w:val="24"/>
    </w:rPr>
    <w:tblPr>
      <w:tblStyleRowBandSize w:val="1"/>
      <w:tblStyleColBandSize w:val="1"/>
      <w:tblBorders>
        <w:top w:val="single" w:color="C0504D" w:sz="8" w:space="0"/>
        <w:bottom w:val="single" w:color="C0504D" w:sz="8" w:space="0"/>
      </w:tblBorders>
      <w:tblCellMar>
        <w:top w:w="0" w:type="dxa"/>
        <w:left w:w="108" w:type="dxa"/>
        <w:bottom w:w="0" w:type="dxa"/>
        <w:right w:w="108" w:type="dxa"/>
      </w:tblCellMar>
    </w:tblPr>
    <w:tcPr>
      <w:tcBorders>
        <w:top w:val="single" w:color="C0504D" w:sz="8" w:space="0"/>
        <w:left w:val="nil"/>
        <w:bottom w:val="single" w:color="C0504D" w:sz="8" w:space="0"/>
        <w:right w:val="nil"/>
      </w:tcBorders>
    </w:tcPr>
    <w:tblStylePr w:type="firstRow">
      <w:pPr>
        <w:spacing w:before="0" w:beforeAutospacing="0" w:after="0" w:afterAutospacing="0" w:line="240" w:lineRule="auto"/>
      </w:pPr>
      <w:tblPr/>
      <w:tcPr>
        <w:tcBorders>
          <w:top w:val="single" w:color="C0504D" w:sz="8" w:space="0"/>
          <w:left w:val="nil"/>
          <w:bottom w:val="single" w:color="C0504D" w:sz="8" w:space="0"/>
          <w:right w:val="nil"/>
        </w:tcBorders>
      </w:tcPr>
    </w:tblStylePr>
    <w:tblStylePr w:type="lastRow">
      <w:pPr>
        <w:spacing w:before="0" w:beforeAutospacing="0" w:after="0" w:afterAutospacing="0" w:line="240" w:lineRule="auto"/>
      </w:pPr>
      <w:tblPr/>
      <w:tcPr>
        <w:tcBorders>
          <w:top w:val="single" w:color="C0504D" w:sz="8" w:space="0"/>
          <w:left w:val="nil"/>
          <w:bottom w:val="single" w:color="C0504D" w:sz="8" w:space="0"/>
          <w:right w:val="nil"/>
        </w:tcBorders>
      </w:tcPr>
    </w:tblStylePr>
    <w:tblStylePr w:type="band1Vert">
      <w:tblPr/>
      <w:tcPr>
        <w:tcBorders>
          <w:left w:val="nil"/>
          <w:right w:val="nil"/>
        </w:tcBorders>
        <w:shd w:val="clear" w:color="auto" w:fill="EFD3D2"/>
      </w:tcPr>
    </w:tblStylePr>
    <w:tblStylePr w:type="band1Horz">
      <w:tblPr/>
      <w:tcPr>
        <w:tcBorders>
          <w:left w:val="nil"/>
          <w:right w:val="nil"/>
        </w:tcBorders>
        <w:shd w:val="clear" w:color="auto" w:fill="EFD3D2"/>
      </w:tcPr>
    </w:tblStylePr>
  </w:style>
  <w:style w:type="table" w:customStyle="1" w:styleId="361">
    <w:name w:val="网格型"/>
    <w:aliases w:val="网格型-中对齐,灰度表格,网格型（pxg）,网格型c,yj网格,网格型刘,表格虚线,(环评报告表）,网格型!,三线表,网格型-无边竖线,表格类型,通用表格,表格样式"/>
    <w:basedOn w:val="32"/>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table" w:customStyle="1" w:styleId="362">
    <w:name w:val="网格型1"/>
    <w:basedOn w:val="32"/>
    <w:uiPriority w:val="0"/>
    <w:pPr>
      <w:keepNext w:val="0"/>
      <w:keepLines w:val="0"/>
      <w:widowControl w:val="0"/>
      <w:suppressLineNumbers w:val="0"/>
      <w:spacing w:before="0" w:beforeAutospacing="0" w:after="0" w:afterAutospacing="0" w:line="400" w:lineRule="exact"/>
      <w:ind w:left="0" w:right="0" w:firstLine="200" w:firstLineChars="20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table" w:customStyle="1" w:styleId="363">
    <w:name w:val="网格型2"/>
    <w:basedOn w:val="32"/>
    <w:uiPriority w:val="0"/>
    <w:pPr>
      <w:keepNext w:val="0"/>
      <w:keepLines w:val="0"/>
      <w:widowControl w:val="0"/>
      <w:suppressLineNumbers w:val="0"/>
      <w:spacing w:before="0" w:beforeAutospacing="0" w:after="0" w:afterAutospacing="0" w:line="400" w:lineRule="exact"/>
      <w:ind w:left="0" w:right="0" w:firstLine="200" w:firstLineChars="20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table" w:customStyle="1" w:styleId="364">
    <w:name w:val="网格型3"/>
    <w:basedOn w:val="32"/>
    <w:uiPriority w:val="0"/>
    <w:pPr>
      <w:keepNext w:val="0"/>
      <w:keepLines w:val="0"/>
      <w:widowControl w:val="0"/>
      <w:suppressLineNumbers w:val="0"/>
      <w:spacing w:before="0" w:beforeAutospacing="0" w:after="0" w:afterAutospacing="0" w:line="400" w:lineRule="exact"/>
      <w:ind w:left="0" w:right="0" w:firstLine="200" w:firstLineChars="20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table" w:customStyle="1" w:styleId="365">
    <w:name w:val="灰度表格1"/>
    <w:basedOn w:val="32"/>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tcPr>
      <w:tcBorders>
        <w:top w:val="single" w:color="000000" w:sz="4" w:space="0"/>
        <w:left w:val="single" w:color="000000" w:sz="4" w:space="0"/>
        <w:bottom w:val="single" w:color="000000" w:sz="4" w:space="0"/>
        <w:right w:val="single" w:color="000000" w:sz="4" w:space="0"/>
      </w:tcBorders>
    </w:tcPr>
  </w:style>
  <w:style w:type="table" w:customStyle="1" w:styleId="366">
    <w:name w:val="wyt-表格"/>
    <w:basedOn w:val="32"/>
    <w:uiPriority w:val="0"/>
    <w:pPr>
      <w:keepNext w:val="0"/>
      <w:keepLines w:val="0"/>
      <w:widowControl/>
      <w:suppressLineNumbers w:val="0"/>
      <w:spacing w:before="0" w:beforeAutospacing="0" w:after="0" w:afterAutospacing="0" w:line="300" w:lineRule="exact"/>
      <w:ind w:left="0" w:right="0"/>
    </w:pPr>
    <w:rPr>
      <w:rFonts w:hint="default" w:ascii="Times New Roman" w:hAnsi="Times New Roman" w:cs="Times New Roman"/>
      <w:sz w:val="21"/>
      <w:szCs w:val="20"/>
    </w:rPr>
    <w:tblP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tcPr>
      <w:tcBorders>
        <w:top w:val="single" w:color="auto" w:sz="12" w:space="0"/>
        <w:left w:val="nil"/>
        <w:bottom w:val="single" w:color="auto" w:sz="12" w:space="0"/>
        <w:right w:val="nil"/>
      </w:tcBorders>
    </w:tcPr>
  </w:style>
  <w:style w:type="table" w:customStyle="1" w:styleId="367">
    <w:name w:val="网格型5"/>
    <w:basedOn w:val="32"/>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s>
</file>

<file path=word/_rels/document.xml.rels><?xml version="1.0" encoding="UTF-8" standalone="yes"?>
<Relationships xmlns="http://schemas.openxmlformats.org/package/2006/relationships"><Relationship Id="rId96" Type="http://schemas.openxmlformats.org/officeDocument/2006/relationships/fontTable" Target="fontTable.xml"/><Relationship Id="rId95" Type="http://schemas.openxmlformats.org/officeDocument/2006/relationships/numbering" Target="numbering.xml"/><Relationship Id="rId94" Type="http://schemas.openxmlformats.org/officeDocument/2006/relationships/customXml" Target="../customXml/item1.xml"/><Relationship Id="rId93" Type="http://schemas.openxmlformats.org/officeDocument/2006/relationships/image" Target="http://www.anquan.com.cn/tubiao/image/huanj/HP008.jpg" TargetMode="External"/><Relationship Id="rId92" Type="http://schemas.openxmlformats.org/officeDocument/2006/relationships/image" Target="media/image63.jpeg"/><Relationship Id="rId91" Type="http://schemas.openxmlformats.org/officeDocument/2006/relationships/image" Target="http://www.anquan.com.cn/tubiao/image/huanj/HP007.jpg" TargetMode="External"/><Relationship Id="rId90" Type="http://schemas.openxmlformats.org/officeDocument/2006/relationships/image" Target="media/image62.jpeg"/><Relationship Id="rId9" Type="http://schemas.openxmlformats.org/officeDocument/2006/relationships/image" Target="media/image5.png"/><Relationship Id="rId89" Type="http://schemas.openxmlformats.org/officeDocument/2006/relationships/image" Target="http://www.anquan.com.cn/tubiao/image/huanj/HP006.jpg" TargetMode="External"/><Relationship Id="rId88" Type="http://schemas.openxmlformats.org/officeDocument/2006/relationships/image" Target="media/image61.jpeg"/><Relationship Id="rId87" Type="http://schemas.openxmlformats.org/officeDocument/2006/relationships/image" Target="http://www.anquan.com.cn/tubiao/image/huanj/HP005.jpg" TargetMode="External"/><Relationship Id="rId86" Type="http://schemas.openxmlformats.org/officeDocument/2006/relationships/image" Target="media/image60.jpeg"/><Relationship Id="rId85" Type="http://schemas.openxmlformats.org/officeDocument/2006/relationships/image" Target="http://www.anquan.com.cn/tubiao/image/huanj/HP004.jpg" TargetMode="External"/><Relationship Id="rId84" Type="http://schemas.openxmlformats.org/officeDocument/2006/relationships/image" Target="media/image59.jpeg"/><Relationship Id="rId83" Type="http://schemas.openxmlformats.org/officeDocument/2006/relationships/image" Target="http://www.anquan.com.cn/tubiao/image/huanj/HP003.jpg" TargetMode="External"/><Relationship Id="rId82" Type="http://schemas.openxmlformats.org/officeDocument/2006/relationships/image" Target="media/image58.jpeg"/><Relationship Id="rId81" Type="http://schemas.openxmlformats.org/officeDocument/2006/relationships/image" Target="media/image57.png"/><Relationship Id="rId80" Type="http://schemas.openxmlformats.org/officeDocument/2006/relationships/image" Target="media/image56.png"/><Relationship Id="rId8" Type="http://schemas.openxmlformats.org/officeDocument/2006/relationships/image" Target="media/image4.wmf"/><Relationship Id="rId79" Type="http://schemas.openxmlformats.org/officeDocument/2006/relationships/image" Target="media/image55.png"/><Relationship Id="rId78" Type="http://schemas.openxmlformats.org/officeDocument/2006/relationships/image" Target="media/image54.png"/><Relationship Id="rId77" Type="http://schemas.openxmlformats.org/officeDocument/2006/relationships/image" Target="media/image53.wmf"/><Relationship Id="rId76" Type="http://schemas.openxmlformats.org/officeDocument/2006/relationships/oleObject" Target="embeddings/oleObject21.bin"/><Relationship Id="rId75" Type="http://schemas.openxmlformats.org/officeDocument/2006/relationships/image" Target="media/image52.wmf"/><Relationship Id="rId74" Type="http://schemas.openxmlformats.org/officeDocument/2006/relationships/oleObject" Target="embeddings/oleObject20.bin"/><Relationship Id="rId73" Type="http://schemas.openxmlformats.org/officeDocument/2006/relationships/image" Target="media/image51.wmf"/><Relationship Id="rId72" Type="http://schemas.openxmlformats.org/officeDocument/2006/relationships/oleObject" Target="embeddings/oleObject19.bin"/><Relationship Id="rId71" Type="http://schemas.openxmlformats.org/officeDocument/2006/relationships/image" Target="media/image50.emf"/><Relationship Id="rId70" Type="http://schemas.openxmlformats.org/officeDocument/2006/relationships/image" Target="media/image49.wmf"/><Relationship Id="rId7" Type="http://schemas.openxmlformats.org/officeDocument/2006/relationships/oleObject" Target="embeddings/oleObject1.bin"/><Relationship Id="rId69" Type="http://schemas.openxmlformats.org/officeDocument/2006/relationships/image" Target="media/image48.wmf"/><Relationship Id="rId68" Type="http://schemas.openxmlformats.org/officeDocument/2006/relationships/image" Target="media/image47.png"/><Relationship Id="rId67" Type="http://schemas.openxmlformats.org/officeDocument/2006/relationships/image" Target="media/image46.wmf"/><Relationship Id="rId66" Type="http://schemas.openxmlformats.org/officeDocument/2006/relationships/oleObject" Target="embeddings/oleObject18.bin"/><Relationship Id="rId65" Type="http://schemas.openxmlformats.org/officeDocument/2006/relationships/image" Target="media/image45.png"/><Relationship Id="rId64" Type="http://schemas.openxmlformats.org/officeDocument/2006/relationships/image" Target="media/image44.jpeg"/><Relationship Id="rId63" Type="http://schemas.openxmlformats.org/officeDocument/2006/relationships/image" Target="media/image43.jpeg"/><Relationship Id="rId62" Type="http://schemas.openxmlformats.org/officeDocument/2006/relationships/image" Target="media/image42.jpeg"/><Relationship Id="rId61" Type="http://schemas.openxmlformats.org/officeDocument/2006/relationships/image" Target="media/image41.jpeg"/><Relationship Id="rId60" Type="http://schemas.openxmlformats.org/officeDocument/2006/relationships/image" Target="media/image40.jpeg"/><Relationship Id="rId6" Type="http://schemas.openxmlformats.org/officeDocument/2006/relationships/image" Target="media/image3.png"/><Relationship Id="rId59" Type="http://schemas.openxmlformats.org/officeDocument/2006/relationships/image" Target="media/image39.jpeg"/><Relationship Id="rId58" Type="http://schemas.openxmlformats.org/officeDocument/2006/relationships/image" Target="media/image38.png"/><Relationship Id="rId57" Type="http://schemas.openxmlformats.org/officeDocument/2006/relationships/image" Target="media/image37.png"/><Relationship Id="rId56" Type="http://schemas.openxmlformats.org/officeDocument/2006/relationships/image" Target="media/image36.png"/><Relationship Id="rId55" Type="http://schemas.openxmlformats.org/officeDocument/2006/relationships/image" Target="media/image35.png"/><Relationship Id="rId54" Type="http://schemas.openxmlformats.org/officeDocument/2006/relationships/oleObject" Target="embeddings/oleObject17.bin"/><Relationship Id="rId53" Type="http://schemas.openxmlformats.org/officeDocument/2006/relationships/image" Target="media/image34.wmf"/><Relationship Id="rId52" Type="http://schemas.openxmlformats.org/officeDocument/2006/relationships/oleObject" Target="embeddings/oleObject16.bin"/><Relationship Id="rId51" Type="http://schemas.openxmlformats.org/officeDocument/2006/relationships/image" Target="media/image33.wmf"/><Relationship Id="rId50" Type="http://schemas.openxmlformats.org/officeDocument/2006/relationships/oleObject" Target="embeddings/oleObject15.bin"/><Relationship Id="rId5" Type="http://schemas.openxmlformats.org/officeDocument/2006/relationships/image" Target="media/image2.emf"/><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wmf"/><Relationship Id="rId46" Type="http://schemas.openxmlformats.org/officeDocument/2006/relationships/oleObject" Target="embeddings/oleObject14.bin"/><Relationship Id="rId45" Type="http://schemas.openxmlformats.org/officeDocument/2006/relationships/image" Target="media/image29.wmf"/><Relationship Id="rId44" Type="http://schemas.openxmlformats.org/officeDocument/2006/relationships/oleObject" Target="embeddings/oleObject13.bin"/><Relationship Id="rId43" Type="http://schemas.openxmlformats.org/officeDocument/2006/relationships/image" Target="media/image28.wmf"/><Relationship Id="rId42" Type="http://schemas.openxmlformats.org/officeDocument/2006/relationships/oleObject" Target="embeddings/oleObject12.bin"/><Relationship Id="rId41" Type="http://schemas.openxmlformats.org/officeDocument/2006/relationships/image" Target="media/image27.wmf"/><Relationship Id="rId40" Type="http://schemas.openxmlformats.org/officeDocument/2006/relationships/oleObject" Target="embeddings/oleObject11.bin"/><Relationship Id="rId4" Type="http://schemas.openxmlformats.org/officeDocument/2006/relationships/image" Target="media/image1.jpeg"/><Relationship Id="rId39" Type="http://schemas.openxmlformats.org/officeDocument/2006/relationships/image" Target="media/image26.wmf"/><Relationship Id="rId38" Type="http://schemas.openxmlformats.org/officeDocument/2006/relationships/oleObject" Target="embeddings/oleObject10.bin"/><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jpeg"/><Relationship Id="rId34" Type="http://schemas.openxmlformats.org/officeDocument/2006/relationships/image" Target="media/image22.png"/><Relationship Id="rId33" Type="http://schemas.openxmlformats.org/officeDocument/2006/relationships/image" Target="media/image21.emf"/><Relationship Id="rId32" Type="http://schemas.openxmlformats.org/officeDocument/2006/relationships/oleObject" Target="embeddings/oleObject9.bin"/><Relationship Id="rId31" Type="http://schemas.openxmlformats.org/officeDocument/2006/relationships/image" Target="media/image20.emf"/><Relationship Id="rId30" Type="http://schemas.openxmlformats.org/officeDocument/2006/relationships/oleObject" Target="embeddings/oleObject8.bin"/><Relationship Id="rId3" Type="http://schemas.openxmlformats.org/officeDocument/2006/relationships/theme" Target="theme/theme1.xml"/><Relationship Id="rId29" Type="http://schemas.openxmlformats.org/officeDocument/2006/relationships/image" Target="media/image19.emf"/><Relationship Id="rId28" Type="http://schemas.openxmlformats.org/officeDocument/2006/relationships/oleObject" Target="embeddings/oleObject7.bin"/><Relationship Id="rId27" Type="http://schemas.openxmlformats.org/officeDocument/2006/relationships/image" Target="media/image18.emf"/><Relationship Id="rId26" Type="http://schemas.openxmlformats.org/officeDocument/2006/relationships/oleObject" Target="embeddings/oleObject6.bin"/><Relationship Id="rId25" Type="http://schemas.openxmlformats.org/officeDocument/2006/relationships/image" Target="media/image17.emf"/><Relationship Id="rId24" Type="http://schemas.openxmlformats.org/officeDocument/2006/relationships/oleObject" Target="embeddings/oleObject5.bin"/><Relationship Id="rId23" Type="http://schemas.openxmlformats.org/officeDocument/2006/relationships/image" Target="media/image16.emf"/><Relationship Id="rId22" Type="http://schemas.openxmlformats.org/officeDocument/2006/relationships/oleObject" Target="embeddings/oleObject4.bin"/><Relationship Id="rId21" Type="http://schemas.openxmlformats.org/officeDocument/2006/relationships/image" Target="media/image15.emf"/><Relationship Id="rId20" Type="http://schemas.openxmlformats.org/officeDocument/2006/relationships/oleObject" Target="embeddings/oleObject3.bin"/><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emf"/><Relationship Id="rId16" Type="http://schemas.openxmlformats.org/officeDocument/2006/relationships/oleObject" Target="embeddings/oleObject2.bin"/><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png"/><Relationship Id="rId10" Type="http://schemas.openxmlformats.org/officeDocument/2006/relationships/image" Target="media/image6.w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4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Sky123.Org</Company>
  <Pages>3</Pages>
  <Words>352</Words>
  <Characters>2007</Characters>
  <Lines>16</Lines>
  <Paragraphs>4</Paragraphs>
  <TotalTime>8</TotalTime>
  <ScaleCrop>false</ScaleCrop>
  <LinksUpToDate>false</LinksUpToDate>
  <CharactersWithSpaces>2355</CharactersWithSpaces>
  <Application>WPS Office_11.1.0.10000_F1E327BC-269C-435d-A152-05C5408002CA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2018-11-20T01:05:00Z</dcterms:created>
  <dc:creator>邵启宏</dc:creator>
  <cp:lastModifiedBy>Administrator</cp:lastModifiedBy>
  <dcterms:modified xsi:type="dcterms:W3CDTF">2020-11-20T03:43:32Z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2052-11.1.0.10000</vt:lpwstr>
  </property>
</Properties>
</file>