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7F" w:rsidRDefault="00E54F7F" w:rsidP="00E54F7F">
      <w:pPr>
        <w:rPr>
          <w:rFonts w:ascii="黑体" w:eastAsia="黑体" w:hAnsi="黑体"/>
          <w:sz w:val="32"/>
          <w:szCs w:val="32"/>
        </w:rPr>
      </w:pPr>
      <w:bookmarkStart w:id="0" w:name="_Toc15182"/>
      <w:bookmarkStart w:id="1" w:name="_Toc12452"/>
      <w:r>
        <w:rPr>
          <w:rFonts w:ascii="黑体" w:eastAsia="黑体" w:hAnsi="黑体" w:hint="eastAsia"/>
          <w:sz w:val="32"/>
          <w:szCs w:val="32"/>
        </w:rPr>
        <w:t>附件：6</w:t>
      </w:r>
    </w:p>
    <w:p w:rsidR="00E54F7F" w:rsidRDefault="00E54F7F" w:rsidP="00E54F7F">
      <w:pPr>
        <w:jc w:val="center"/>
        <w:rPr>
          <w:rFonts w:ascii="方正小标宋简体" w:eastAsia="方正小标宋简体"/>
          <w:sz w:val="44"/>
          <w:szCs w:val="44"/>
        </w:rPr>
      </w:pPr>
      <w:r w:rsidRPr="004E78CE">
        <w:rPr>
          <w:rFonts w:ascii="方正小标宋简体" w:eastAsia="方正小标宋简体" w:hint="eastAsia"/>
          <w:sz w:val="44"/>
          <w:szCs w:val="44"/>
        </w:rPr>
        <w:t>海城市畜禽养殖禁养区划定情况排查统计表</w:t>
      </w:r>
      <w:bookmarkEnd w:id="0"/>
      <w:bookmarkEnd w:id="1"/>
    </w:p>
    <w:p w:rsidR="00E54F7F" w:rsidRPr="004E78CE" w:rsidRDefault="00E54F7F" w:rsidP="00E54F7F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618" w:type="dxa"/>
        <w:tblInd w:w="-4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610"/>
        <w:gridCol w:w="1624"/>
        <w:gridCol w:w="307"/>
        <w:gridCol w:w="988"/>
        <w:gridCol w:w="394"/>
        <w:gridCol w:w="746"/>
        <w:gridCol w:w="394"/>
        <w:gridCol w:w="440"/>
        <w:gridCol w:w="439"/>
        <w:gridCol w:w="440"/>
        <w:gridCol w:w="394"/>
        <w:gridCol w:w="396"/>
        <w:gridCol w:w="418"/>
        <w:gridCol w:w="372"/>
        <w:gridCol w:w="417"/>
        <w:gridCol w:w="373"/>
        <w:gridCol w:w="350"/>
        <w:gridCol w:w="396"/>
        <w:gridCol w:w="395"/>
        <w:gridCol w:w="615"/>
        <w:gridCol w:w="417"/>
        <w:gridCol w:w="417"/>
        <w:gridCol w:w="526"/>
        <w:gridCol w:w="395"/>
        <w:gridCol w:w="394"/>
        <w:gridCol w:w="483"/>
        <w:gridCol w:w="329"/>
        <w:gridCol w:w="461"/>
      </w:tblGrid>
      <w:tr w:rsidR="00E54F7F" w:rsidTr="00AC5D12">
        <w:trPr>
          <w:trHeight w:val="582"/>
        </w:trPr>
        <w:tc>
          <w:tcPr>
            <w:tcW w:w="689" w:type="dxa"/>
            <w:vMerge w:val="restart"/>
            <w:vAlign w:val="center"/>
          </w:tcPr>
          <w:p w:rsidR="00E54F7F" w:rsidRDefault="00E54F7F" w:rsidP="00AC5D12">
            <w:pPr>
              <w:widowControl/>
              <w:tabs>
                <w:tab w:val="left" w:pos="209"/>
                <w:tab w:val="right" w:pos="590"/>
              </w:tabs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序号</w:t>
            </w:r>
          </w:p>
        </w:tc>
        <w:tc>
          <w:tcPr>
            <w:tcW w:w="610" w:type="dxa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禁养区名称</w:t>
            </w:r>
          </w:p>
        </w:tc>
        <w:tc>
          <w:tcPr>
            <w:tcW w:w="1624" w:type="dxa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划定依据</w:t>
            </w:r>
          </w:p>
        </w:tc>
        <w:tc>
          <w:tcPr>
            <w:tcW w:w="307" w:type="dxa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是否符合法律法规要求（是/否）</w:t>
            </w:r>
          </w:p>
        </w:tc>
        <w:tc>
          <w:tcPr>
            <w:tcW w:w="988" w:type="dxa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禁养区范围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  <w:vertAlign w:val="superscript"/>
              </w:rP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禁养区面积（平方公里）</w:t>
            </w:r>
          </w:p>
        </w:tc>
        <w:tc>
          <w:tcPr>
            <w:tcW w:w="746" w:type="dxa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所禁止的养殖规模标准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834" w:type="dxa"/>
            <w:gridSpan w:val="2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涉及关闭搬迁场户总数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涉及关闭搬迁场户总产能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低于省级政府确定规模养殖标准的关闭搬迁场户数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低于省级政府确定规模养殖标准的关闭搬迁场户产能3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新建场户数（含异地重建）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新建场户产能3（含异地重建）</w:t>
            </w:r>
          </w:p>
        </w:tc>
        <w:tc>
          <w:tcPr>
            <w:tcW w:w="395" w:type="dxa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是否需依法调整（是/否）</w:t>
            </w:r>
          </w:p>
        </w:tc>
        <w:tc>
          <w:tcPr>
            <w:tcW w:w="2764" w:type="dxa"/>
            <w:gridSpan w:val="6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拟依法调整的禁养区情况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调整后的情况</w:t>
            </w:r>
          </w:p>
        </w:tc>
        <w:tc>
          <w:tcPr>
            <w:tcW w:w="461" w:type="dxa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备注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  <w:vertAlign w:val="superscript"/>
              </w:rPr>
              <w:t>4</w:t>
            </w:r>
          </w:p>
        </w:tc>
      </w:tr>
      <w:tr w:rsidR="00E54F7F" w:rsidTr="00AC5D12">
        <w:trPr>
          <w:trHeight w:val="343"/>
        </w:trPr>
        <w:tc>
          <w:tcPr>
            <w:tcW w:w="689" w:type="dxa"/>
            <w:vMerge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610" w:type="dxa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624" w:type="dxa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307" w:type="dxa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988" w:type="dxa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394" w:type="dxa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746" w:type="dxa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395" w:type="dxa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61" w:type="dxa"/>
            <w:vMerge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</w:tr>
      <w:tr w:rsidR="00E54F7F" w:rsidTr="00AC5D12">
        <w:trPr>
          <w:trHeight w:val="316"/>
        </w:trPr>
        <w:tc>
          <w:tcPr>
            <w:tcW w:w="689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394" w:type="dxa"/>
            <w:vMerge w:val="restart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所有畜禽品种场户数（个）</w:t>
            </w:r>
          </w:p>
        </w:tc>
        <w:tc>
          <w:tcPr>
            <w:tcW w:w="440" w:type="dxa"/>
            <w:vMerge w:val="restart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其中生猪场户数（个）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所有畜禽品种产能3（万头）</w:t>
            </w:r>
          </w:p>
        </w:tc>
        <w:tc>
          <w:tcPr>
            <w:tcW w:w="440" w:type="dxa"/>
            <w:vMerge w:val="restart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其中生猪存栏量（万头）</w:t>
            </w:r>
          </w:p>
        </w:tc>
        <w:tc>
          <w:tcPr>
            <w:tcW w:w="394" w:type="dxa"/>
            <w:vMerge w:val="restart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所有畜禽品种场户数（个）</w:t>
            </w:r>
          </w:p>
        </w:tc>
        <w:tc>
          <w:tcPr>
            <w:tcW w:w="395" w:type="dxa"/>
            <w:vMerge w:val="restart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其中生猪场户数（个）</w:t>
            </w: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所有畜禽品种产能3（万头）</w:t>
            </w:r>
          </w:p>
        </w:tc>
        <w:tc>
          <w:tcPr>
            <w:tcW w:w="372" w:type="dxa"/>
            <w:vMerge w:val="restart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其中生猪存栏量（万头）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所有畜禽品种场户数（个）</w:t>
            </w:r>
          </w:p>
        </w:tc>
        <w:tc>
          <w:tcPr>
            <w:tcW w:w="373" w:type="dxa"/>
            <w:vMerge w:val="restart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其中生猪场户数（个）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所有畜禽品种产能3（万头）</w:t>
            </w:r>
          </w:p>
        </w:tc>
        <w:tc>
          <w:tcPr>
            <w:tcW w:w="395" w:type="dxa"/>
            <w:vMerge w:val="restart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其中生猪存栏量（万头）</w:t>
            </w:r>
          </w:p>
        </w:tc>
        <w:tc>
          <w:tcPr>
            <w:tcW w:w="395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拟调整禁养区范围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拟调整禁养区面积（平方公里）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涉及关闭搬迁畜禽养殖场户数（个）</w:t>
            </w:r>
          </w:p>
        </w:tc>
        <w:tc>
          <w:tcPr>
            <w:tcW w:w="526" w:type="dxa"/>
            <w:vMerge w:val="restart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其中关闭搬迁生猪场户数（个）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涉及关闭搬迁畜禽养殖场户产能3（万头）</w:t>
            </w:r>
          </w:p>
        </w:tc>
        <w:tc>
          <w:tcPr>
            <w:tcW w:w="394" w:type="dxa"/>
            <w:vMerge w:val="restart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其中关闭搬迁生猪存栏量（万头）</w:t>
            </w:r>
          </w:p>
        </w:tc>
        <w:tc>
          <w:tcPr>
            <w:tcW w:w="483" w:type="dxa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禁养区范围</w:t>
            </w:r>
          </w:p>
        </w:tc>
        <w:tc>
          <w:tcPr>
            <w:tcW w:w="329" w:type="dxa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禁养区面积（平方公里）</w:t>
            </w:r>
          </w:p>
        </w:tc>
        <w:tc>
          <w:tcPr>
            <w:tcW w:w="461" w:type="dxa"/>
            <w:vMerge w:val="restart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</w:tr>
      <w:tr w:rsidR="00E54F7F" w:rsidTr="00AC5D12">
        <w:trPr>
          <w:trHeight w:val="316"/>
        </w:trPr>
        <w:tc>
          <w:tcPr>
            <w:tcW w:w="689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40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40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5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72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73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5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526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4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83" w:type="dxa"/>
            <w:vMerge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29" w:type="dxa"/>
            <w:vMerge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61" w:type="dxa"/>
            <w:vMerge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</w:tr>
      <w:tr w:rsidR="00E54F7F" w:rsidTr="00AC5D12">
        <w:trPr>
          <w:trHeight w:val="509"/>
        </w:trPr>
        <w:tc>
          <w:tcPr>
            <w:tcW w:w="689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40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40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5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72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73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5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526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94" w:type="dxa"/>
            <w:vMerge/>
            <w:shd w:val="clear" w:color="auto" w:fill="C0C0C0"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83" w:type="dxa"/>
            <w:vMerge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329" w:type="dxa"/>
            <w:vMerge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61" w:type="dxa"/>
            <w:vMerge/>
            <w:vAlign w:val="center"/>
          </w:tcPr>
          <w:p w:rsidR="00E54F7F" w:rsidRDefault="00E54F7F" w:rsidP="00AC5D12">
            <w:pPr>
              <w:spacing w:line="160" w:lineRule="exact"/>
              <w:ind w:firstLine="220"/>
              <w:jc w:val="center"/>
              <w:rPr>
                <w:rFonts w:ascii="宋体" w:hAnsi="宋体" w:cs="宋体"/>
                <w:sz w:val="11"/>
                <w:szCs w:val="11"/>
              </w:rPr>
            </w:pPr>
          </w:p>
        </w:tc>
      </w:tr>
      <w:tr w:rsidR="00E54F7F" w:rsidTr="00AC5D12">
        <w:trPr>
          <w:trHeight w:val="1299"/>
        </w:trPr>
        <w:tc>
          <w:tcPr>
            <w:tcW w:w="68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铁东响堂管理区供水水源地和铁西中央堡供水水源地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《中华人民共和国水污染防治法》、《畜禽规模养殖污染防治条例》、《畜禽养殖禁养区划定技术指南》、《辽宁省水污染防治条例》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水源保护区的一二级保护区，以取水井为中心，外延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5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00m范围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/>
                <w:kern w:val="0"/>
                <w:sz w:val="11"/>
                <w:szCs w:val="11"/>
              </w:rPr>
              <w:t>13.212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《辽宁省畜禽禁养区划定技术指南》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2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3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否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无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526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83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水源保护区的一二级保护区，以取水井为中心，外延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5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00m范围</w:t>
            </w:r>
          </w:p>
        </w:tc>
        <w:tc>
          <w:tcPr>
            <w:tcW w:w="329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  <w:r>
              <w:rPr>
                <w:rFonts w:ascii="宋体" w:hAnsi="宋体" w:cs="宋体"/>
                <w:kern w:val="0"/>
                <w:sz w:val="11"/>
                <w:szCs w:val="11"/>
              </w:rPr>
              <w:t>13.212</w:t>
            </w:r>
          </w:p>
        </w:tc>
        <w:tc>
          <w:tcPr>
            <w:tcW w:w="461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</w:tr>
      <w:tr w:rsidR="00E54F7F" w:rsidTr="00AC5D12">
        <w:trPr>
          <w:trHeight w:val="1299"/>
        </w:trPr>
        <w:tc>
          <w:tcPr>
            <w:tcW w:w="68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西柳自来水公司水源地和南台自来水公司水源地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《中华人民共和国水污染防治法》、《畜禽规模养殖污染防治条例》、《畜禽养殖禁养区划定技术指南》、《辽宁省水污染防治条例》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水源保护区的一二级保护区，以取水井为中心，外延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5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00m范围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/>
                <w:kern w:val="0"/>
                <w:sz w:val="11"/>
                <w:szCs w:val="11"/>
              </w:rPr>
              <w:t>3.797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《辽宁省畜禽禁养区划定技术指南》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2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3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否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无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526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83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水源保护区的一二级保护区，以取水井为中心，外延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5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00m范围</w:t>
            </w:r>
          </w:p>
        </w:tc>
        <w:tc>
          <w:tcPr>
            <w:tcW w:w="329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/>
                <w:kern w:val="0"/>
                <w:sz w:val="11"/>
                <w:szCs w:val="11"/>
              </w:rPr>
              <w:t>3.797</w:t>
            </w:r>
          </w:p>
        </w:tc>
        <w:tc>
          <w:tcPr>
            <w:tcW w:w="461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</w:tr>
      <w:tr w:rsidR="00E54F7F" w:rsidTr="00AC5D12">
        <w:trPr>
          <w:trHeight w:val="1772"/>
        </w:trPr>
        <w:tc>
          <w:tcPr>
            <w:tcW w:w="68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城镇居民区为中心划分畜禽养殖禁养区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《畜禽规模养殖污染防治条例》、《畜禽养殖禁养区划定技术指南》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市区（海州管理区、兴海管理区、响堂管理区、验军管理区）、牛庄镇、腾鳌镇、西柳镇、南台镇、牌楼镇等地区的城镇居民区周边200m以内区域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/>
                <w:kern w:val="0"/>
                <w:sz w:val="11"/>
                <w:szCs w:val="11"/>
              </w:rPr>
              <w:t>106.29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《辽宁省畜禽禁养区划定技术指南》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2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3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海城河穿越城市区段按照辽河流域禁养区调整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6.87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526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83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原有的城镇居民区畜禽禁养区范围去掉海城河穿市区剩下的区域</w:t>
            </w:r>
          </w:p>
        </w:tc>
        <w:tc>
          <w:tcPr>
            <w:tcW w:w="329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99.42</w:t>
            </w:r>
          </w:p>
        </w:tc>
        <w:tc>
          <w:tcPr>
            <w:tcW w:w="461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2019年禁（限）养区划定中，海城河穿越市区段按照辽河流域禁养区调整</w:t>
            </w:r>
          </w:p>
        </w:tc>
      </w:tr>
      <w:tr w:rsidR="00E54F7F" w:rsidTr="00AC5D12">
        <w:trPr>
          <w:trHeight w:val="839"/>
        </w:trPr>
        <w:tc>
          <w:tcPr>
            <w:tcW w:w="68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海城九龙川省级自然保护区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《畜禽规模养殖污染防治条例》、《畜禽养殖禁养区划定技术指南》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九龙川省级自然保护区的核心区和缓冲区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16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《辽宁省畜禽禁养区划定技术指南》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2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3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否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无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526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83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九龙川省级自然保护区的核心区和缓冲区</w:t>
            </w:r>
          </w:p>
        </w:tc>
        <w:tc>
          <w:tcPr>
            <w:tcW w:w="329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16</w:t>
            </w:r>
          </w:p>
        </w:tc>
        <w:tc>
          <w:tcPr>
            <w:tcW w:w="461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</w:tr>
      <w:tr w:rsidR="00E54F7F" w:rsidTr="00AC5D12">
        <w:trPr>
          <w:trHeight w:val="894"/>
        </w:trPr>
        <w:tc>
          <w:tcPr>
            <w:tcW w:w="68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海城白云山省级自然保护区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《畜禽规模养殖污染防治条例》、《畜禽养殖禁养区划定技术指南》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白云山省级自然保护区的核心区和缓冲区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79.5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《辽宁省畜禽禁养区划定技术指南》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2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3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否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无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526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83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白云山省级自然保护区的核心区和缓冲区</w:t>
            </w:r>
          </w:p>
        </w:tc>
        <w:tc>
          <w:tcPr>
            <w:tcW w:w="329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79.5</w:t>
            </w:r>
          </w:p>
        </w:tc>
        <w:tc>
          <w:tcPr>
            <w:tcW w:w="461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</w:p>
        </w:tc>
      </w:tr>
      <w:tr w:rsidR="00E54F7F" w:rsidTr="00AC5D12">
        <w:trPr>
          <w:trHeight w:val="825"/>
        </w:trPr>
        <w:tc>
          <w:tcPr>
            <w:tcW w:w="68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浑河海城段沿岸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《中共辽宁省委办公厅、辽宁省人民政府办公厅关于印发&lt;辽河流域综合治理总体工作方案&gt;的通知》、《鞍山市关于开展畜禽禁）（限）养区划定工作的通知》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《辽宁省畜禽禁养区划定技术指南》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2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3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浑河东岸海城段岸线外围300米为限养区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/>
                <w:kern w:val="0"/>
                <w:sz w:val="11"/>
                <w:szCs w:val="11"/>
              </w:rPr>
              <w:t>17.73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526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83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浑河东岸海城段岸线外围300米为限养区</w:t>
            </w:r>
          </w:p>
        </w:tc>
        <w:tc>
          <w:tcPr>
            <w:tcW w:w="329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/>
                <w:kern w:val="0"/>
                <w:sz w:val="11"/>
                <w:szCs w:val="11"/>
              </w:rPr>
              <w:t>17.73</w:t>
            </w:r>
          </w:p>
        </w:tc>
        <w:tc>
          <w:tcPr>
            <w:tcW w:w="461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sz w:val="11"/>
                <w:szCs w:val="11"/>
              </w:rPr>
              <w:t>2019年划定新征限养区</w:t>
            </w:r>
          </w:p>
        </w:tc>
      </w:tr>
      <w:tr w:rsidR="00E54F7F" w:rsidTr="00AC5D12">
        <w:trPr>
          <w:trHeight w:val="825"/>
        </w:trPr>
        <w:tc>
          <w:tcPr>
            <w:tcW w:w="68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7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太子河海城段沿岸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《中共辽宁省委办公厅、辽宁省人民政府办公厅关于印发&lt;辽河流域综合治理总体工作方案&gt;的通知》、《鞍山市关于开展畜禽禁）（限）养区划定工作的通知》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《辽宁省畜禽禁养区划定技术指南》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2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3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太子河海城段两侧岸线外围300米为限养区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20.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1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4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526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83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太子河海城段两侧岸线外围300米为限养区</w:t>
            </w:r>
          </w:p>
        </w:tc>
        <w:tc>
          <w:tcPr>
            <w:tcW w:w="329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20.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1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4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461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sz w:val="11"/>
                <w:szCs w:val="11"/>
              </w:rPr>
              <w:t>2019年划定新征限养区</w:t>
            </w:r>
          </w:p>
        </w:tc>
      </w:tr>
      <w:tr w:rsidR="00E54F7F" w:rsidTr="00AC5D12">
        <w:trPr>
          <w:trHeight w:val="3286"/>
        </w:trPr>
        <w:tc>
          <w:tcPr>
            <w:tcW w:w="68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lastRenderedPageBreak/>
              <w:t>8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海城河沿岸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《中共辽宁省委办公厅、辽宁省人民政府办公厅关于印发&lt;辽河流域综合治理总体工作方案&gt;的通知》、《鞍山市关于开展畜禽禁）（限）养区划定工作的通知》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《辽宁省畜禽禁养区划定技术指南》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2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3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海城河市区段岸线外围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3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00m之内及</w:t>
            </w:r>
            <w:r>
              <w:rPr>
                <w:rFonts w:ascii="宋体" w:hAnsi="宋体" w:cs="宋体" w:hint="eastAsia"/>
                <w:sz w:val="11"/>
                <w:szCs w:val="11"/>
              </w:rPr>
              <w:t>牛庄镇西小村至海城河与太子河交汇处1</w:t>
            </w:r>
            <w:r>
              <w:rPr>
                <w:rFonts w:ascii="宋体" w:hAnsi="宋体" w:cs="宋体"/>
                <w:sz w:val="11"/>
                <w:szCs w:val="11"/>
              </w:rPr>
              <w:t>00</w:t>
            </w:r>
            <w:r>
              <w:rPr>
                <w:rFonts w:ascii="宋体" w:hAnsi="宋体" w:cs="宋体" w:hint="eastAsia"/>
                <w:sz w:val="11"/>
                <w:szCs w:val="11"/>
              </w:rPr>
              <w:t>米之内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划定为禁养区；该河段1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00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-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300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米范围内为限养区；其他海城河干流河段两侧岸线外围300米为限养区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/>
                <w:kern w:val="0"/>
                <w:sz w:val="11"/>
                <w:szCs w:val="11"/>
              </w:rPr>
              <w:t>58.16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526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83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海城河市区段岸线外围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3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00m之内及</w:t>
            </w:r>
            <w:r>
              <w:rPr>
                <w:rFonts w:ascii="宋体" w:hAnsi="宋体" w:cs="宋体" w:hint="eastAsia"/>
                <w:sz w:val="11"/>
                <w:szCs w:val="11"/>
              </w:rPr>
              <w:t>牛庄镇西小村至海城河与太子河交汇处1</w:t>
            </w:r>
            <w:r>
              <w:rPr>
                <w:rFonts w:ascii="宋体" w:hAnsi="宋体" w:cs="宋体"/>
                <w:sz w:val="11"/>
                <w:szCs w:val="11"/>
              </w:rPr>
              <w:t>00</w:t>
            </w:r>
            <w:r>
              <w:rPr>
                <w:rFonts w:ascii="宋体" w:hAnsi="宋体" w:cs="宋体" w:hint="eastAsia"/>
                <w:sz w:val="11"/>
                <w:szCs w:val="11"/>
              </w:rPr>
              <w:t>米之内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划定为禁养区；该河段1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00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-</w:t>
            </w:r>
            <w:r>
              <w:rPr>
                <w:rFonts w:ascii="宋体" w:hAnsi="宋体" w:cs="宋体"/>
                <w:kern w:val="0"/>
                <w:sz w:val="11"/>
                <w:szCs w:val="11"/>
              </w:rPr>
              <w:t>300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米范围内为限养区；其他海城河干流河段两侧岸线外围300米为限养区</w:t>
            </w:r>
          </w:p>
        </w:tc>
        <w:tc>
          <w:tcPr>
            <w:tcW w:w="329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/>
                <w:kern w:val="0"/>
                <w:sz w:val="11"/>
                <w:szCs w:val="11"/>
              </w:rPr>
              <w:t>58.16</w:t>
            </w:r>
          </w:p>
        </w:tc>
        <w:tc>
          <w:tcPr>
            <w:tcW w:w="461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sz w:val="11"/>
                <w:szCs w:val="11"/>
              </w:rPr>
              <w:t>2019年划定新征禁养区</w:t>
            </w:r>
            <w:r>
              <w:rPr>
                <w:rFonts w:ascii="宋体" w:hAnsi="宋体" w:cs="宋体"/>
                <w:sz w:val="11"/>
                <w:szCs w:val="11"/>
              </w:rPr>
              <w:t>11.37</w:t>
            </w:r>
            <w:r>
              <w:rPr>
                <w:rFonts w:ascii="宋体" w:hAnsi="宋体" w:cs="宋体" w:hint="eastAsia"/>
                <w:sz w:val="11"/>
                <w:szCs w:val="11"/>
              </w:rPr>
              <w:t>；新征限养区</w:t>
            </w:r>
            <w:r>
              <w:rPr>
                <w:rFonts w:ascii="宋体" w:hAnsi="宋体" w:cs="宋体"/>
                <w:sz w:val="11"/>
                <w:szCs w:val="11"/>
              </w:rPr>
              <w:t>45.79</w:t>
            </w:r>
          </w:p>
        </w:tc>
      </w:tr>
      <w:tr w:rsidR="00E54F7F" w:rsidTr="00AC5D12">
        <w:trPr>
          <w:trHeight w:val="561"/>
        </w:trPr>
        <w:tc>
          <w:tcPr>
            <w:tcW w:w="68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9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五道河沿岸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《中共辽宁省委办公厅、辽宁省人民政府办公厅关于印发&lt;辽河流域综合治理总体工作方案&gt;的通知》、《鞍山市关于开展畜禽禁）（限）养区划定工作的通知》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《辽宁省畜禽禁养区划定技术指南》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2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3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sz w:val="11"/>
                <w:szCs w:val="11"/>
              </w:rPr>
              <w:t>王石镇朱葛村至王石镇下英村、验军管理区董家村至耿庄镇大莫村、望台镇刘家台村至五道河与三通河交汇处，以上各段1</w:t>
            </w:r>
            <w:r>
              <w:rPr>
                <w:rFonts w:ascii="宋体" w:hAnsi="宋体" w:cs="宋体"/>
                <w:sz w:val="11"/>
                <w:szCs w:val="11"/>
              </w:rPr>
              <w:t>00</w:t>
            </w:r>
            <w:r>
              <w:rPr>
                <w:rFonts w:ascii="宋体" w:hAnsi="宋体" w:cs="宋体" w:hint="eastAsia"/>
                <w:sz w:val="11"/>
                <w:szCs w:val="11"/>
              </w:rPr>
              <w:t>米之内划定为禁养区外，1</w:t>
            </w:r>
            <w:r>
              <w:rPr>
                <w:rFonts w:ascii="宋体" w:hAnsi="宋体" w:cs="宋体"/>
                <w:sz w:val="11"/>
                <w:szCs w:val="11"/>
              </w:rPr>
              <w:t>00</w:t>
            </w:r>
            <w:r>
              <w:rPr>
                <w:rFonts w:ascii="宋体" w:hAnsi="宋体" w:cs="宋体" w:hint="eastAsia"/>
                <w:sz w:val="11"/>
                <w:szCs w:val="11"/>
              </w:rPr>
              <w:t>-</w:t>
            </w:r>
            <w:r>
              <w:rPr>
                <w:rFonts w:ascii="宋体" w:hAnsi="宋体" w:cs="宋体"/>
                <w:sz w:val="11"/>
                <w:szCs w:val="11"/>
              </w:rPr>
              <w:t>300</w:t>
            </w:r>
            <w:r>
              <w:rPr>
                <w:rFonts w:ascii="宋体" w:hAnsi="宋体" w:cs="宋体" w:hint="eastAsia"/>
                <w:sz w:val="11"/>
                <w:szCs w:val="11"/>
              </w:rPr>
              <w:t>米范围内化为限养区；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五道河其他干流河段两侧岸线外围300米为限养区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37.206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526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83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sz w:val="11"/>
                <w:szCs w:val="11"/>
              </w:rPr>
              <w:t>王石镇朱葛村至王石镇下英村、验军管理区董家村至耿庄镇大莫村、望台镇刘家台村至五道河与三通河交汇处，以上各段1</w:t>
            </w:r>
            <w:r>
              <w:rPr>
                <w:rFonts w:ascii="宋体" w:hAnsi="宋体" w:cs="宋体"/>
                <w:sz w:val="11"/>
                <w:szCs w:val="11"/>
              </w:rPr>
              <w:t>00</w:t>
            </w:r>
            <w:r>
              <w:rPr>
                <w:rFonts w:ascii="宋体" w:hAnsi="宋体" w:cs="宋体" w:hint="eastAsia"/>
                <w:sz w:val="11"/>
                <w:szCs w:val="11"/>
              </w:rPr>
              <w:t>米之内划定为禁养区外，1</w:t>
            </w:r>
            <w:r>
              <w:rPr>
                <w:rFonts w:ascii="宋体" w:hAnsi="宋体" w:cs="宋体"/>
                <w:sz w:val="11"/>
                <w:szCs w:val="11"/>
              </w:rPr>
              <w:t>00</w:t>
            </w:r>
            <w:r>
              <w:rPr>
                <w:rFonts w:ascii="宋体" w:hAnsi="宋体" w:cs="宋体" w:hint="eastAsia"/>
                <w:sz w:val="11"/>
                <w:szCs w:val="11"/>
              </w:rPr>
              <w:t>-</w:t>
            </w:r>
            <w:r>
              <w:rPr>
                <w:rFonts w:ascii="宋体" w:hAnsi="宋体" w:cs="宋体"/>
                <w:sz w:val="11"/>
                <w:szCs w:val="11"/>
              </w:rPr>
              <w:t>300</w:t>
            </w:r>
            <w:r>
              <w:rPr>
                <w:rFonts w:ascii="宋体" w:hAnsi="宋体" w:cs="宋体" w:hint="eastAsia"/>
                <w:sz w:val="11"/>
                <w:szCs w:val="11"/>
              </w:rPr>
              <w:t>米范围内化为限养区；</w:t>
            </w: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五道河其他干流河段两侧岸线外围300米为限养</w:t>
            </w:r>
            <w:r>
              <w:rPr>
                <w:rFonts w:ascii="宋体" w:hAnsi="宋体" w:cs="宋体" w:hint="eastAsia"/>
                <w:sz w:val="11"/>
                <w:szCs w:val="11"/>
              </w:rPr>
              <w:t>区</w:t>
            </w:r>
          </w:p>
        </w:tc>
        <w:tc>
          <w:tcPr>
            <w:tcW w:w="329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37.206</w:t>
            </w:r>
          </w:p>
        </w:tc>
        <w:tc>
          <w:tcPr>
            <w:tcW w:w="461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sz w:val="11"/>
                <w:szCs w:val="11"/>
              </w:rPr>
              <w:t>2019年划定新征禁养区3.7；新征限养区33.506</w:t>
            </w:r>
          </w:p>
        </w:tc>
      </w:tr>
      <w:tr w:rsidR="00E54F7F" w:rsidTr="00AC5D12">
        <w:trPr>
          <w:trHeight w:val="830"/>
        </w:trPr>
        <w:tc>
          <w:tcPr>
            <w:tcW w:w="68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10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八里河沿岸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《中共辽宁省委办公厅、辽宁省人民政府办公厅关于印发&lt;辽河流域综合治理总体工作方案&gt;的通知》、《鞍山市关于开展畜禽禁）（限）养区划定工作的通知》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《辽宁省畜禽禁养区划定技术指南》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40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2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73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是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八里河两侧岸线外围300米为限养区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/>
                <w:kern w:val="0"/>
                <w:sz w:val="11"/>
                <w:szCs w:val="11"/>
              </w:rPr>
              <w:t>27.66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526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394" w:type="dxa"/>
            <w:shd w:val="clear" w:color="auto" w:fill="C0C0C0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0</w:t>
            </w:r>
          </w:p>
        </w:tc>
        <w:tc>
          <w:tcPr>
            <w:tcW w:w="483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11"/>
                <w:szCs w:val="11"/>
              </w:rPr>
              <w:t>八里河两侧岸线外围300米为限养区</w:t>
            </w:r>
          </w:p>
        </w:tc>
        <w:tc>
          <w:tcPr>
            <w:tcW w:w="329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/>
                <w:kern w:val="0"/>
                <w:sz w:val="11"/>
                <w:szCs w:val="11"/>
              </w:rPr>
              <w:t>27.66</w:t>
            </w:r>
          </w:p>
        </w:tc>
        <w:tc>
          <w:tcPr>
            <w:tcW w:w="461" w:type="dxa"/>
            <w:vAlign w:val="center"/>
          </w:tcPr>
          <w:p w:rsidR="00E54F7F" w:rsidRDefault="00E54F7F" w:rsidP="00AC5D12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sz w:val="11"/>
                <w:szCs w:val="11"/>
              </w:rPr>
              <w:t>2019年划定新征限养区</w:t>
            </w:r>
          </w:p>
        </w:tc>
      </w:tr>
    </w:tbl>
    <w:p w:rsidR="00E54F7F" w:rsidRDefault="00E54F7F" w:rsidP="00E54F7F">
      <w:pPr>
        <w:rPr>
          <w:sz w:val="24"/>
          <w:szCs w:val="16"/>
        </w:rPr>
      </w:pPr>
      <w:r>
        <w:rPr>
          <w:rFonts w:hint="eastAsia"/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注：</w:t>
      </w:r>
      <w:r>
        <w:rPr>
          <w:rFonts w:hint="eastAsia"/>
          <w:sz w:val="24"/>
          <w:szCs w:val="16"/>
        </w:rPr>
        <w:t>1.2016</w:t>
      </w:r>
      <w:r>
        <w:rPr>
          <w:rFonts w:hint="eastAsia"/>
          <w:sz w:val="24"/>
          <w:szCs w:val="16"/>
        </w:rPr>
        <w:t>年，海城市政府已将水源地保护区、自然保护区、城镇居民区划定为禁养区，即上表中的</w:t>
      </w:r>
      <w:r>
        <w:rPr>
          <w:rFonts w:hint="eastAsia"/>
          <w:sz w:val="24"/>
          <w:szCs w:val="16"/>
        </w:rPr>
        <w:t>1</w:t>
      </w:r>
      <w:r>
        <w:rPr>
          <w:rFonts w:hint="eastAsia"/>
          <w:sz w:val="24"/>
          <w:szCs w:val="16"/>
        </w:rPr>
        <w:t>、</w:t>
      </w:r>
      <w:r>
        <w:rPr>
          <w:rFonts w:hint="eastAsia"/>
          <w:sz w:val="24"/>
          <w:szCs w:val="16"/>
        </w:rPr>
        <w:t>2</w:t>
      </w:r>
      <w:r>
        <w:rPr>
          <w:rFonts w:hint="eastAsia"/>
          <w:sz w:val="24"/>
          <w:szCs w:val="16"/>
        </w:rPr>
        <w:t>、</w:t>
      </w:r>
      <w:r>
        <w:rPr>
          <w:rFonts w:hint="eastAsia"/>
          <w:sz w:val="24"/>
          <w:szCs w:val="16"/>
        </w:rPr>
        <w:t>3</w:t>
      </w:r>
      <w:r>
        <w:rPr>
          <w:rFonts w:hint="eastAsia"/>
          <w:sz w:val="24"/>
          <w:szCs w:val="16"/>
        </w:rPr>
        <w:t>、</w:t>
      </w:r>
      <w:r>
        <w:rPr>
          <w:rFonts w:hint="eastAsia"/>
          <w:sz w:val="24"/>
          <w:szCs w:val="16"/>
        </w:rPr>
        <w:t>4</w:t>
      </w:r>
      <w:r>
        <w:rPr>
          <w:rFonts w:hint="eastAsia"/>
          <w:sz w:val="24"/>
          <w:szCs w:val="16"/>
        </w:rPr>
        <w:t>、</w:t>
      </w:r>
      <w:r>
        <w:rPr>
          <w:rFonts w:hint="eastAsia"/>
          <w:sz w:val="24"/>
          <w:szCs w:val="16"/>
        </w:rPr>
        <w:t>5</w:t>
      </w:r>
      <w:r>
        <w:rPr>
          <w:rFonts w:hint="eastAsia"/>
          <w:sz w:val="24"/>
          <w:szCs w:val="16"/>
        </w:rPr>
        <w:t>项。</w:t>
      </w:r>
    </w:p>
    <w:p w:rsidR="00E54F7F" w:rsidRDefault="00E54F7F" w:rsidP="00E54F7F">
      <w:pPr>
        <w:ind w:firstLine="480"/>
        <w:rPr>
          <w:sz w:val="24"/>
          <w:szCs w:val="16"/>
        </w:rPr>
      </w:pPr>
      <w:r>
        <w:rPr>
          <w:rFonts w:hint="eastAsia"/>
          <w:sz w:val="24"/>
          <w:szCs w:val="16"/>
        </w:rPr>
        <w:t>2.2019</w:t>
      </w:r>
      <w:r>
        <w:rPr>
          <w:rFonts w:hint="eastAsia"/>
          <w:sz w:val="24"/>
          <w:szCs w:val="16"/>
        </w:rPr>
        <w:t>年，海城市政府将海城河穿越市区段沿岸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>00</w:t>
      </w:r>
      <w:r>
        <w:rPr>
          <w:rFonts w:hint="eastAsia"/>
          <w:sz w:val="24"/>
          <w:szCs w:val="16"/>
        </w:rPr>
        <w:t>米范围内；牛庄镇西小村至海城河与太子河交汇处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00</w:t>
      </w:r>
      <w:r>
        <w:rPr>
          <w:rFonts w:hint="eastAsia"/>
          <w:sz w:val="24"/>
          <w:szCs w:val="16"/>
        </w:rPr>
        <w:t>米范围内，该河段岸线外围</w:t>
      </w:r>
      <w:r>
        <w:rPr>
          <w:rFonts w:hint="eastAsia"/>
          <w:sz w:val="24"/>
          <w:szCs w:val="16"/>
        </w:rPr>
        <w:t>100</w:t>
      </w:r>
      <w:r>
        <w:rPr>
          <w:rFonts w:hint="eastAsia"/>
          <w:sz w:val="24"/>
          <w:szCs w:val="16"/>
        </w:rPr>
        <w:t>米之内划定为禁养区，该河段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00</w:t>
      </w:r>
      <w:r>
        <w:rPr>
          <w:rFonts w:hint="eastAsia"/>
          <w:sz w:val="24"/>
          <w:szCs w:val="16"/>
        </w:rPr>
        <w:t>-</w:t>
      </w:r>
      <w:r>
        <w:rPr>
          <w:sz w:val="24"/>
          <w:szCs w:val="16"/>
        </w:rPr>
        <w:t>300</w:t>
      </w:r>
      <w:r>
        <w:rPr>
          <w:rFonts w:hint="eastAsia"/>
          <w:sz w:val="24"/>
          <w:szCs w:val="16"/>
        </w:rPr>
        <w:t>米范围内为限养区；将五道河</w:t>
      </w:r>
      <w:r>
        <w:rPr>
          <w:rFonts w:hint="eastAsia"/>
          <w:sz w:val="24"/>
        </w:rPr>
        <w:t>王石镇朱葛村至王石镇下英村、验军管理区董家村至耿庄镇大莫村闸门、望台镇刘家台村至五道河与三通河交汇处，以上各河段</w:t>
      </w:r>
      <w:r>
        <w:rPr>
          <w:rFonts w:hint="eastAsia"/>
          <w:sz w:val="24"/>
          <w:szCs w:val="16"/>
        </w:rPr>
        <w:t>岸线外围</w:t>
      </w:r>
      <w:r>
        <w:rPr>
          <w:rFonts w:hint="eastAsia"/>
          <w:sz w:val="24"/>
          <w:szCs w:val="16"/>
        </w:rPr>
        <w:t>100</w:t>
      </w:r>
      <w:r>
        <w:rPr>
          <w:rFonts w:hint="eastAsia"/>
          <w:sz w:val="24"/>
          <w:szCs w:val="16"/>
        </w:rPr>
        <w:t>米之内划定为禁养区，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00</w:t>
      </w:r>
      <w:r>
        <w:rPr>
          <w:rFonts w:hint="eastAsia"/>
          <w:sz w:val="24"/>
          <w:szCs w:val="16"/>
        </w:rPr>
        <w:t>-</w:t>
      </w:r>
      <w:r>
        <w:rPr>
          <w:sz w:val="24"/>
          <w:szCs w:val="16"/>
        </w:rPr>
        <w:t>300</w:t>
      </w:r>
      <w:r>
        <w:rPr>
          <w:rFonts w:hint="eastAsia"/>
          <w:sz w:val="24"/>
          <w:szCs w:val="16"/>
        </w:rPr>
        <w:t>米之内范围为限养区，太子河、浑河、五道河其他河段、八里河和海城河其它河段岸线外围</w:t>
      </w:r>
      <w:r>
        <w:rPr>
          <w:rFonts w:hint="eastAsia"/>
          <w:sz w:val="24"/>
          <w:szCs w:val="16"/>
        </w:rPr>
        <w:t>300</w:t>
      </w:r>
      <w:r>
        <w:rPr>
          <w:rFonts w:hint="eastAsia"/>
          <w:sz w:val="24"/>
          <w:szCs w:val="16"/>
        </w:rPr>
        <w:t>米划定为限养区。即上表中的</w:t>
      </w:r>
      <w:r>
        <w:rPr>
          <w:rFonts w:hint="eastAsia"/>
          <w:sz w:val="24"/>
          <w:szCs w:val="16"/>
        </w:rPr>
        <w:t>6</w:t>
      </w:r>
      <w:r>
        <w:rPr>
          <w:rFonts w:hint="eastAsia"/>
          <w:sz w:val="24"/>
          <w:szCs w:val="16"/>
        </w:rPr>
        <w:t>、</w:t>
      </w:r>
      <w:r>
        <w:rPr>
          <w:rFonts w:hint="eastAsia"/>
          <w:sz w:val="24"/>
          <w:szCs w:val="16"/>
        </w:rPr>
        <w:t>7</w:t>
      </w:r>
      <w:r>
        <w:rPr>
          <w:rFonts w:hint="eastAsia"/>
          <w:sz w:val="24"/>
          <w:szCs w:val="16"/>
        </w:rPr>
        <w:t>、</w:t>
      </w:r>
      <w:r>
        <w:rPr>
          <w:rFonts w:hint="eastAsia"/>
          <w:sz w:val="24"/>
          <w:szCs w:val="16"/>
        </w:rPr>
        <w:t>8</w:t>
      </w:r>
      <w:r>
        <w:rPr>
          <w:rFonts w:hint="eastAsia"/>
          <w:sz w:val="24"/>
          <w:szCs w:val="16"/>
        </w:rPr>
        <w:t>、</w:t>
      </w:r>
      <w:r>
        <w:rPr>
          <w:rFonts w:hint="eastAsia"/>
          <w:sz w:val="24"/>
          <w:szCs w:val="16"/>
        </w:rPr>
        <w:t>9</w:t>
      </w:r>
      <w:r>
        <w:rPr>
          <w:rFonts w:hint="eastAsia"/>
          <w:sz w:val="24"/>
          <w:szCs w:val="16"/>
        </w:rPr>
        <w:t>、</w:t>
      </w:r>
      <w:r>
        <w:rPr>
          <w:rFonts w:hint="eastAsia"/>
          <w:sz w:val="24"/>
          <w:szCs w:val="16"/>
        </w:rPr>
        <w:t>10</w:t>
      </w:r>
      <w:r>
        <w:rPr>
          <w:rFonts w:hint="eastAsia"/>
          <w:sz w:val="24"/>
          <w:szCs w:val="16"/>
        </w:rPr>
        <w:t>项。</w:t>
      </w:r>
    </w:p>
    <w:p w:rsidR="00E54F7F" w:rsidRDefault="00E54F7F" w:rsidP="00E54F7F">
      <w:pPr>
        <w:autoSpaceDE w:val="0"/>
        <w:autoSpaceDN w:val="0"/>
        <w:adjustRightInd w:val="0"/>
        <w:spacing w:line="360" w:lineRule="auto"/>
        <w:rPr>
          <w:rFonts w:ascii="Calibri" w:eastAsia="黑体" w:hAnsi="Calibri"/>
          <w:b/>
          <w:sz w:val="32"/>
          <w:szCs w:val="32"/>
        </w:rPr>
      </w:pPr>
    </w:p>
    <w:p w:rsidR="00E54F7F" w:rsidRDefault="00E54F7F" w:rsidP="00E54F7F">
      <w:pPr>
        <w:autoSpaceDE w:val="0"/>
        <w:autoSpaceDN w:val="0"/>
        <w:adjustRightInd w:val="0"/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E54F7F" w:rsidRDefault="00E54F7F" w:rsidP="00E54F7F">
      <w:pPr>
        <w:autoSpaceDE w:val="0"/>
        <w:autoSpaceDN w:val="0"/>
        <w:adjustRightInd w:val="0"/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000000" w:rsidRDefault="00E54F7F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7F" w:rsidRDefault="00E54F7F" w:rsidP="00E54F7F">
      <w:r>
        <w:separator/>
      </w:r>
    </w:p>
  </w:endnote>
  <w:endnote w:type="continuationSeparator" w:id="1">
    <w:p w:rsidR="00E54F7F" w:rsidRDefault="00E54F7F" w:rsidP="00E5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7F" w:rsidRDefault="00E54F7F" w:rsidP="00E54F7F">
      <w:r>
        <w:separator/>
      </w:r>
    </w:p>
  </w:footnote>
  <w:footnote w:type="continuationSeparator" w:id="1">
    <w:p w:rsidR="00E54F7F" w:rsidRDefault="00E54F7F" w:rsidP="00E54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F7F"/>
    <w:rsid w:val="00E5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F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F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2020-06-24T01:23:00Z</dcterms:created>
  <dcterms:modified xsi:type="dcterms:W3CDTF">2020-06-24T01:24:00Z</dcterms:modified>
</cp:coreProperties>
</file>