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F" w:rsidRDefault="003E311F" w:rsidP="003E311F">
      <w:pPr>
        <w:rPr>
          <w:rFonts w:ascii="黑体" w:eastAsia="黑体" w:hAnsi="黑体"/>
          <w:sz w:val="32"/>
          <w:szCs w:val="32"/>
        </w:rPr>
      </w:pPr>
      <w:bookmarkStart w:id="0" w:name="_Toc1207"/>
      <w:r>
        <w:rPr>
          <w:rFonts w:ascii="黑体" w:eastAsia="黑体" w:hAnsi="黑体" w:hint="eastAsia"/>
          <w:sz w:val="32"/>
          <w:szCs w:val="32"/>
        </w:rPr>
        <w:t>附件：2</w:t>
      </w:r>
    </w:p>
    <w:p w:rsidR="003E311F" w:rsidRPr="001351A3" w:rsidRDefault="003E311F" w:rsidP="003E311F">
      <w:pPr>
        <w:rPr>
          <w:rFonts w:ascii="黑体" w:eastAsia="黑体" w:hAnsi="黑体"/>
          <w:sz w:val="32"/>
          <w:szCs w:val="32"/>
        </w:rPr>
      </w:pPr>
    </w:p>
    <w:p w:rsidR="003E311F" w:rsidRDefault="003E311F" w:rsidP="003E311F">
      <w:pPr>
        <w:jc w:val="center"/>
        <w:rPr>
          <w:rFonts w:ascii="方正小标宋简体" w:eastAsia="方正小标宋简体"/>
          <w:sz w:val="44"/>
          <w:szCs w:val="44"/>
        </w:rPr>
      </w:pPr>
      <w:r w:rsidRPr="001351A3">
        <w:rPr>
          <w:rFonts w:ascii="方正小标宋简体" w:eastAsia="方正小标宋简体" w:hint="eastAsia"/>
          <w:sz w:val="44"/>
          <w:szCs w:val="44"/>
        </w:rPr>
        <w:t>以饮用水水源地为中心划定畜禽</w:t>
      </w:r>
    </w:p>
    <w:p w:rsidR="003E311F" w:rsidRPr="001351A3" w:rsidRDefault="003E311F" w:rsidP="003E311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351A3">
        <w:rPr>
          <w:rFonts w:ascii="方正小标宋简体" w:eastAsia="方正小标宋简体" w:hint="eastAsia"/>
          <w:sz w:val="44"/>
          <w:szCs w:val="44"/>
        </w:rPr>
        <w:t>养殖禁养区</w:t>
      </w:r>
      <w:bookmarkStart w:id="1" w:name="_Toc2878"/>
      <w:r w:rsidRPr="001351A3">
        <w:rPr>
          <w:rFonts w:ascii="方正小标宋简体" w:eastAsia="方正小标宋简体" w:hint="eastAsia"/>
          <w:sz w:val="44"/>
          <w:szCs w:val="44"/>
        </w:rPr>
        <w:t>范围统计表</w:t>
      </w:r>
      <w:bookmarkEnd w:id="0"/>
      <w:bookmarkEnd w:id="1"/>
    </w:p>
    <w:tbl>
      <w:tblPr>
        <w:tblW w:w="91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670"/>
        <w:gridCol w:w="1130"/>
        <w:gridCol w:w="2146"/>
        <w:gridCol w:w="1474"/>
        <w:gridCol w:w="2176"/>
      </w:tblGrid>
      <w:tr w:rsidR="003E311F" w:rsidTr="00AC5D12">
        <w:trPr>
          <w:trHeight w:val="799"/>
          <w:jc w:val="center"/>
        </w:trPr>
        <w:tc>
          <w:tcPr>
            <w:tcW w:w="50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编号</w:t>
            </w:r>
          </w:p>
        </w:tc>
        <w:tc>
          <w:tcPr>
            <w:tcW w:w="167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水源名称</w:t>
            </w:r>
          </w:p>
        </w:tc>
        <w:tc>
          <w:tcPr>
            <w:tcW w:w="113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水源类型</w:t>
            </w:r>
          </w:p>
        </w:tc>
        <w:tc>
          <w:tcPr>
            <w:tcW w:w="214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保护区位置</w:t>
            </w:r>
          </w:p>
        </w:tc>
        <w:tc>
          <w:tcPr>
            <w:tcW w:w="1474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一级保护区</w:t>
            </w:r>
          </w:p>
        </w:tc>
        <w:tc>
          <w:tcPr>
            <w:tcW w:w="217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二级保护区</w:t>
            </w:r>
          </w:p>
        </w:tc>
      </w:tr>
      <w:tr w:rsidR="003E311F" w:rsidTr="00AC5D12">
        <w:trPr>
          <w:trHeight w:val="1932"/>
          <w:jc w:val="center"/>
        </w:trPr>
        <w:tc>
          <w:tcPr>
            <w:tcW w:w="50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67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响堂管理区供水水源地和</w:t>
            </w:r>
            <w:r>
              <w:rPr>
                <w:rFonts w:hint="eastAsia"/>
                <w:kern w:val="0"/>
                <w:szCs w:val="21"/>
              </w:rPr>
              <w:t>经济开发区</w:t>
            </w:r>
            <w:r>
              <w:rPr>
                <w:kern w:val="0"/>
                <w:szCs w:val="21"/>
              </w:rPr>
              <w:t>中央堡供水水源地</w:t>
            </w:r>
          </w:p>
        </w:tc>
        <w:tc>
          <w:tcPr>
            <w:tcW w:w="113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地下水</w:t>
            </w:r>
          </w:p>
        </w:tc>
        <w:tc>
          <w:tcPr>
            <w:tcW w:w="214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东：牌楼镇孟官村；南：八里镇西甲村；西：八里镇南腰村；北：响堂管理区罗相村</w:t>
            </w:r>
          </w:p>
        </w:tc>
        <w:tc>
          <w:tcPr>
            <w:tcW w:w="1474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以取水井为中心，</w:t>
            </w: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米</w:t>
            </w:r>
            <w:r>
              <w:rPr>
                <w:kern w:val="0"/>
                <w:szCs w:val="21"/>
              </w:rPr>
              <w:t>为半径的圆形区域，一级保护区总面积</w:t>
            </w: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212</w:t>
            </w:r>
            <w:r>
              <w:rPr>
                <w:rFonts w:hint="eastAsia"/>
                <w:kern w:val="0"/>
                <w:szCs w:val="21"/>
              </w:rPr>
              <w:t>平方公里</w:t>
            </w:r>
          </w:p>
        </w:tc>
        <w:tc>
          <w:tcPr>
            <w:tcW w:w="217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以水井一级保护区边界向外径延伸</w:t>
            </w:r>
            <w:r>
              <w:rPr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米</w:t>
            </w:r>
            <w:r>
              <w:rPr>
                <w:kern w:val="0"/>
                <w:szCs w:val="21"/>
              </w:rPr>
              <w:t>为半径的区域，包括延伸到河流的水域，面积约</w:t>
            </w:r>
            <w:r>
              <w:rPr>
                <w:kern w:val="0"/>
                <w:szCs w:val="21"/>
              </w:rPr>
              <w:t>13.00</w:t>
            </w:r>
            <w:r>
              <w:rPr>
                <w:rFonts w:hint="eastAsia"/>
                <w:kern w:val="0"/>
                <w:szCs w:val="21"/>
              </w:rPr>
              <w:t>平方公里</w:t>
            </w:r>
          </w:p>
        </w:tc>
      </w:tr>
      <w:tr w:rsidR="003E311F" w:rsidTr="00AC5D12">
        <w:trPr>
          <w:trHeight w:val="1932"/>
          <w:jc w:val="center"/>
        </w:trPr>
        <w:tc>
          <w:tcPr>
            <w:tcW w:w="50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67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西柳自来水公司水源地和南台自来水公司水源地</w:t>
            </w:r>
          </w:p>
        </w:tc>
        <w:tc>
          <w:tcPr>
            <w:tcW w:w="1130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地下水</w:t>
            </w:r>
          </w:p>
        </w:tc>
        <w:tc>
          <w:tcPr>
            <w:tcW w:w="214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开发区</w:t>
            </w:r>
          </w:p>
        </w:tc>
        <w:tc>
          <w:tcPr>
            <w:tcW w:w="1474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以取水井为中心，</w:t>
            </w: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米</w:t>
            </w:r>
            <w:r>
              <w:rPr>
                <w:kern w:val="0"/>
                <w:szCs w:val="21"/>
              </w:rPr>
              <w:t>为半径的圆形区域为一级保护区，总面积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平方公里</w:t>
            </w:r>
          </w:p>
        </w:tc>
        <w:tc>
          <w:tcPr>
            <w:tcW w:w="2176" w:type="dxa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以一级保护区边界向外延伸</w:t>
            </w:r>
            <w:r>
              <w:rPr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米</w:t>
            </w:r>
            <w:r>
              <w:rPr>
                <w:kern w:val="0"/>
                <w:szCs w:val="21"/>
              </w:rPr>
              <w:t>为半径的区域，包括延伸到河流的水域为二级保护区，总面积</w:t>
            </w:r>
            <w:r>
              <w:rPr>
                <w:kern w:val="0"/>
                <w:szCs w:val="21"/>
              </w:rPr>
              <w:t>3.75</w:t>
            </w:r>
            <w:r>
              <w:rPr>
                <w:rFonts w:hint="eastAsia"/>
                <w:kern w:val="0"/>
                <w:szCs w:val="21"/>
              </w:rPr>
              <w:t>平方公里</w:t>
            </w:r>
            <w:r>
              <w:rPr>
                <w:kern w:val="0"/>
                <w:szCs w:val="21"/>
              </w:rPr>
              <w:t>。</w:t>
            </w:r>
          </w:p>
        </w:tc>
      </w:tr>
      <w:tr w:rsidR="003E311F" w:rsidTr="00AC5D12">
        <w:trPr>
          <w:trHeight w:val="483"/>
          <w:jc w:val="center"/>
        </w:trPr>
        <w:tc>
          <w:tcPr>
            <w:tcW w:w="5452" w:type="dxa"/>
            <w:gridSpan w:val="4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禁养区面积（</w:t>
            </w:r>
            <w:r>
              <w:rPr>
                <w:rFonts w:hint="eastAsia"/>
                <w:kern w:val="0"/>
                <w:szCs w:val="21"/>
              </w:rPr>
              <w:t>平方公里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650" w:type="dxa"/>
            <w:gridSpan w:val="2"/>
            <w:vAlign w:val="center"/>
          </w:tcPr>
          <w:p w:rsidR="003E311F" w:rsidRDefault="003E311F" w:rsidP="00AC5D12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szCs w:val="21"/>
              </w:rPr>
              <w:t>17.01</w:t>
            </w:r>
          </w:p>
        </w:tc>
      </w:tr>
    </w:tbl>
    <w:p w:rsidR="003E311F" w:rsidRDefault="003E311F" w:rsidP="003E311F">
      <w:pPr>
        <w:rPr>
          <w:sz w:val="24"/>
          <w:szCs w:val="16"/>
        </w:rPr>
        <w:sectPr w:rsidR="003E311F" w:rsidSect="00927378">
          <w:pgSz w:w="11906" w:h="16838"/>
          <w:pgMar w:top="2098" w:right="1418" w:bottom="2098" w:left="1418" w:header="851" w:footer="992" w:gutter="0"/>
          <w:pgNumType w:fmt="numberInDash"/>
          <w:cols w:space="720"/>
          <w:docGrid w:linePitch="435"/>
        </w:sectPr>
      </w:pPr>
      <w:bookmarkStart w:id="2" w:name="_Toc6881"/>
      <w:r>
        <w:rPr>
          <w:rFonts w:hint="eastAsia"/>
          <w:sz w:val="24"/>
          <w:szCs w:val="16"/>
        </w:rPr>
        <w:t>注：上表禁养区范围已于</w:t>
      </w:r>
      <w:r>
        <w:rPr>
          <w:rFonts w:hint="eastAsia"/>
          <w:sz w:val="24"/>
          <w:szCs w:val="16"/>
        </w:rPr>
        <w:t>2016</w:t>
      </w:r>
      <w:r>
        <w:rPr>
          <w:rFonts w:hint="eastAsia"/>
          <w:sz w:val="24"/>
          <w:szCs w:val="16"/>
        </w:rPr>
        <w:t>年《海城市畜禽养殖禁养区限养区划定方案》中划定。</w:t>
      </w:r>
    </w:p>
    <w:bookmarkEnd w:id="2"/>
    <w:p w:rsidR="00000000" w:rsidRPr="003E311F" w:rsidRDefault="003E311F"/>
    <w:sectPr w:rsidR="00000000" w:rsidRPr="003E3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1F" w:rsidRDefault="003E311F" w:rsidP="003E311F">
      <w:r>
        <w:separator/>
      </w:r>
    </w:p>
  </w:endnote>
  <w:endnote w:type="continuationSeparator" w:id="1">
    <w:p w:rsidR="003E311F" w:rsidRDefault="003E311F" w:rsidP="003E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1F" w:rsidRDefault="003E311F" w:rsidP="003E311F">
      <w:r>
        <w:separator/>
      </w:r>
    </w:p>
  </w:footnote>
  <w:footnote w:type="continuationSeparator" w:id="1">
    <w:p w:rsidR="003E311F" w:rsidRDefault="003E311F" w:rsidP="003E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11F"/>
    <w:rsid w:val="003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1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2020-06-24T01:22:00Z</dcterms:created>
  <dcterms:modified xsi:type="dcterms:W3CDTF">2020-06-24T01:22:00Z</dcterms:modified>
</cp:coreProperties>
</file>