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国务院办公厅关于全面放开养老服务市场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提升养老服务质量的若干意见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国办发〔2016〕91号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养老服务业既是涉及亿万群众福祉的民生事业，也是具有巨大发展潜力的朝阳产业。近年来，我国养老服务业快速发展，产业规模不断扩大，服务体系逐步完善，但仍面临供给结构不尽合理、市场潜力未充分释放、服务质量有待提高等问题。随着人口老龄化程度不断加深和人民生活水平逐步提高，老年群体多层次、多样化的服务需求持续增长，对扩大养老服务有效供给提出了更高要求。为促进养老服务业更好更快发展，经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面贯彻党的十八大和十八届三中、四中、五中、六中全会精神，深入学习贯彻习近平总书记系列重要讲话精神和治国理政新理念新思想新战略，认真落实党中央、国务院决策部署，紧紧围绕“五位一体”总体布局和“四个全面”战略布局，坚持以新发展理念引领经济发展新常态，坚持中国特色卫生与健康发展道路，持续深化简政放权、放管结合、优化服务改革，积极应对人口老龄化，培育健康养老意识，加快推进养老服务业供给侧结构性改革，保障基本需求，繁荣养老市场，提升服务质量，让广大老年群体享受优质养老服务，切实增强人民群众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深化改革，放开市场。进一步降低准入门槛，营造公平竞争环境，积极引导社会资本进入养老服务业，推动公办养老机构改革，充分激发各类市场主体活力。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改善结构，突出重点。补齐短板，将养老资源向居家社区服务倾斜，向农村倾斜，向失能、半失能老年人倾斜。进一步扩大护理型服务资源，大力培育发展小型化、连锁化、专业化服务机构。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鼓励创新，提质增效。树立健康养老理念，注重管理创新、产品创新和品牌创新，积极运用新技术，培育发展新业态，促进老年产品用品丰富多样、养老服务方便可及。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强化监管，优化环境。完善监督机制，健全评估制度，推动行业标准化和行业信用建设，加强行业自律，促进规范发展，维护老年人合法权益。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FF0000"/>
          <w:spacing w:val="0"/>
          <w:sz w:val="24"/>
          <w:szCs w:val="24"/>
          <w:bdr w:val="none" w:color="auto" w:sz="0" w:space="0"/>
          <w:shd w:val="clear" w:fill="FFFFFF"/>
        </w:rPr>
        <w:t>到2020年，养老服务市场全面放开，养老服务和产品有效供给能力大幅提升，供给结构更加合理，养老服务政策法规体系、行业质量标准体系进一步完善，信用体系基本建立，市场监管机制有效运行，服务质量明显改善，群众满意度显著提高，养老服务业成为促进经济社会发展的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二、全面放开养老服务市场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（四）进一步放宽准入条件。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降低准入门槛。设立营利性养老机构，应按“先照后证”的简化程序执行，在工商行政管理部门办理登记后，在辖区县级以上人民政府民政部门申请设立许可。在民政部门登记的非营利性养老机构，可以依法在其登记管理机关管辖范围内设立多个不具备法人资格的服务网点。非本地投资者举办养老服务项目与当地投资者享受同等政策待遇，当地不得以任何名目对此加以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放宽外资准入。在鼓励境外投资者在华举办营利性养老机构的基础上，进一步放开市场，鼓励境外投资者设立非营利性养老机构，其设立的非营利性养老机构与境内投资者设立的非营利性养老机构享受同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精简行政审批环节。全面清理、取消申办养老机构的不合理前置审批事项，优化审批程序，简化审批流程。申请设立养老服务类社会组织，符合直接登记条件的可以直接向民政部门依法申请登记，不再经由业务主管单位审查同意。支持新兴养老业态发展，对于养老机构以外的其他提供养老服务的主体，鼓励其依法办理法人登记并享受相关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（五）优化市场环境。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进一步改进政府服务。举办养老机构审批过程中涉及的各有关部门，都要主动公开审批程序和审批时限，推进行政审批标准化，加强对筹建养老机构的指导服务。加快推行养老机构申办一站式服务，建立“一门受理、一并办理”的网上并联审批平台，进一步提高审批效率。根据消防法和有关规定，制定既保障安全、又方便合理的养老机构设立和管理配套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完善价格形成机制。加快建立以市场形成价格为主的养老机构服务收费管理机制。对于民办营利性养老机构，服务收费项目和标准由经营者自主确定。对于民办非营利性养老机构，服务收费标准由经营者合理确定，有关部门对其财务收支状况、收费项目和调价频次进行必要监管，同时加强对价格水平的监测分析。对于政府运营的养老机构，以扣除政府投入、社会捐赠后的实际服务成本为依据，按照非营利原则，实行政府定价或政府指导价；对于以公建民营等方式运营的养老机构，采用招投标、委托运营等竞争性方式确定运营方，具体服务收费标准由运营方依据委托协议等合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加快公办养老机构改革。各地要因地制宜设置改革过渡期，加快推进具备向社会提供养老服务条件的公办养老机构转制成为企业或开展公建民营，</w:t>
      </w:r>
      <w:r>
        <w:rPr>
          <w:rFonts w:hint="eastAsia" w:ascii="宋体" w:hAnsi="宋体" w:eastAsia="宋体" w:cs="宋体"/>
          <w:i w:val="0"/>
          <w:iCs w:val="0"/>
          <w:caps w:val="0"/>
          <w:color w:val="FF0000"/>
          <w:spacing w:val="0"/>
          <w:sz w:val="24"/>
          <w:szCs w:val="24"/>
          <w:bdr w:val="none" w:color="auto" w:sz="0" w:space="0"/>
          <w:shd w:val="clear" w:fill="FFFFFF"/>
        </w:rPr>
        <w:t>到2020年政府运营的养老床位数占当地养老床位总数的比例应不超过50%。</w:t>
      </w:r>
      <w:r>
        <w:rPr>
          <w:rFonts w:hint="eastAsia" w:ascii="宋体" w:hAnsi="宋体" w:eastAsia="宋体" w:cs="宋体"/>
          <w:i w:val="0"/>
          <w:iCs w:val="0"/>
          <w:caps w:val="0"/>
          <w:color w:val="333333"/>
          <w:spacing w:val="0"/>
          <w:sz w:val="24"/>
          <w:szCs w:val="24"/>
          <w:bdr w:val="none" w:color="auto" w:sz="0" w:space="0"/>
          <w:shd w:val="clear" w:fill="FFFFFF"/>
        </w:rPr>
        <w:t>鼓励社会力量通过独资、合资、合作、联营、参股、租赁等方式，参与公办养老机构改革。完善公建民营养老机构管理办法，政府投资建设和购置的养老设施、新建居民区按规定配建并移交给民政部门的养老设施、国有单位培训疗养机构等改建的养老设施，均可实施公建民营。改革公办养老机构运营方式，鼓励实行服务外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加强行业信用建设。建立覆盖养老服务行业法人、从业人员和服务对象的行业信用体系。建立健全信用信息记录和归集机制，加强与全国信用信息共享平台的信息交换和共享，通过企业信用信息公示系统向社会公示相关企业的行政许可、行政处罚等信息。引入第三方征信机构，参与养老行业信用建设和信用监管。建立多部门、跨地区的联合奖惩机制，将信用信息作为各项支持政策的重要衡量因素，对诚实守信者在政府购买服务、债券发行等方面实行优先办理、简化程序等绿色通道支持激励政策，建立养老服务行业黑名单制度和市场退出机制，加强行业自律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三、大力提升居家社区养老生活品质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（六）推进居家社区养老服务全覆盖。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开展老年人养老需求评估，加快建设社区综合服务信息平台，对接供求信息，提供助餐、助洁、助行、助浴、助医等上门服务，提升居家养老服务覆盖率和服务水平。依托社区服务中心（站）、社区日间照料中心、卫生服务中心等资源，为老年人提供健康、文化、体育、法律援助等服务。鼓励建设小型社区养老院，满足老年人就近养老需求，方便亲属照护探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（七）提升农村养老服务能力和水平。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农村社区综合服务设施，拓展养老服务功能。鼓励各地建设农村幸福院等自助式、互助式养老服务设施，加强与农村危房改造等涉农基本住房保障政策的衔接。农村集体经济、农村土地流转等收益分配应充分考虑解决本村老年人的养老问题。加强农村敬老院建设和改造，推动服务设施达标，满足农村特困人员集中供养需求，为农村低收入老年人和失能、半失能老年人提供便捷可及的养老服务。鼓励专业社会工作者、社区工作者、志愿服务者加强对农村留守、困难、鳏寡、独居老年人的关爱保护和心理疏导、咨询等服务。充分依托农村基层党组织、自治组织和社会组织等，开展基层联络人登记，建立应急处置和评估帮扶机制，关注老年人的心理、安全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（八）提高老年人生活便捷化水平。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通过政府补贴、产业引导和业主众筹等方式，加快推进老旧居住小区和老年人家庭的无障碍改造，重点做好居住区缘石坡道、轮椅坡道、公共出入口、走道、楼梯、电梯候梯厅及轿厢等设施和部位的无障碍改造，优先安排贫困、高龄、失能等老年人家庭设施改造，组织开展多层老旧住宅电梯加装。支持开发老年宜居住宅和代际亲情住宅。</w:t>
      </w:r>
      <w:r>
        <w:rPr>
          <w:rFonts w:hint="eastAsia" w:ascii="宋体" w:hAnsi="宋体" w:eastAsia="宋体" w:cs="宋体"/>
          <w:i w:val="0"/>
          <w:iCs w:val="0"/>
          <w:caps w:val="0"/>
          <w:color w:val="FF0000"/>
          <w:spacing w:val="0"/>
          <w:sz w:val="24"/>
          <w:szCs w:val="24"/>
          <w:bdr w:val="none" w:color="auto" w:sz="0" w:space="0"/>
          <w:shd w:val="clear" w:fill="FFFFFF"/>
        </w:rPr>
        <w:t>各地在推进易地扶贫搬迁以及城镇棚户区、城乡危房改造和配套基础设施建设等保障性安居工程中，要统筹考虑适老化设施配套建设。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四、全力建设优质养老服务供给体系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（九）推进“互联网+”养老服务创新。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展智慧养老服务新业态，开发和运用智能硬件，推动移动互联网、云计算、物联网、大数据等与养老服务业结合，创新居家养老服务模式，重点推进老年人健康管理、紧急救援、精神慰藉、服务预约、物品代购等服务，开发更加多元、精准的私人订制服务。支持适合老年人的智能化产品、健康监测可穿戴设备、健康养老移动应用软件（APP）等设计开发。打通养老服务信息共享渠道，推进社区综合服务信息平台与户籍、医疗、社会保障等信息资源对接，促进养老服务公共信息资源向各类养老服务机构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（十）建立医养结合绿色通道。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建立医疗卫生机构设置审批绿色通道，支持养老机构开办老年病院、康复院、医务室等医疗卫生机构，将符合条件的养老机构内设医疗卫生机构按规定纳入城乡基本医疗保险定点范围。鼓励符合条件的执业医师到养老机构、社区老年照料机构内设的医疗卫生机构多点执业。开通预约就诊绿色通道，推进养老服务机构、社区老年照料机构与医疗机构对接，为老年人提供便捷医疗服务。提升医保经办服务能力，切实解决老年人异地就医直接结算问题。探索建立长期护理保险制度，形成多元化的保险筹资模式，推动解决失能人员基本生活照料和相关医疗护理等所需费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（十一）促进老年产品用品升级。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支持企业利用新技术、新工艺、新材料和新装备开发为老年人服务的产品用品，研发老年人乐于接受和方便使用的智能科技产品，丰富产品品种，提高产品安全性、可靠性和实用性；上述企业经认定为高新技术企业的，按规定享受企业所得税优惠。及时更新康复辅助器具配置目录，重点支持自主研发和生产康复辅助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（十二）发展适老金融服务。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规范和引导商业银行、保险公司等金融机构开发适合老年人的理财、保险产品，满足老年人金融服务需求，鼓励金融机构建设老年人无障碍设施，开辟服务绿色通道。强化老年人金融安全意识，加大金融消费权益保护力度。稳步推进养老金管理公司试点，按照国家有关规定，积极参与养老金管理相关业务，做好相关受托管理、投资管理和账户管理等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五、切实增强政策保障能力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（十三）加强统筹规划。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FF0000"/>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发挥规划引领作用，分级制定养老服务相关规划，与城乡规划、土地利用总体规划、城镇化规划、区域规划等相衔接，系统提升服务能力和水平。各地要进一步扩大面向居家社区、农村、失能半失能老年人的服务资源，结合实际提出养老床位结构的合理比例，</w:t>
      </w:r>
      <w:r>
        <w:rPr>
          <w:rFonts w:hint="eastAsia" w:ascii="宋体" w:hAnsi="宋体" w:eastAsia="宋体" w:cs="宋体"/>
          <w:i w:val="0"/>
          <w:iCs w:val="0"/>
          <w:caps w:val="0"/>
          <w:color w:val="FF0000"/>
          <w:spacing w:val="0"/>
          <w:sz w:val="24"/>
          <w:szCs w:val="24"/>
          <w:bdr w:val="none" w:color="auto" w:sz="0" w:space="0"/>
          <w:shd w:val="clear" w:fill="FFFFFF"/>
        </w:rPr>
        <w:t>到2020年护理型床位占当地养老床位总数的比例应不低于30%。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（十四）完善土地支持政策。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统筹利用闲置资源发展养老服务，有关部门应按程序依据规划调整其土地使用性质。营利性养老服务机构利用存量建设用地建设养老设施，涉及划拨建设用地使用权出让（租赁）或转让的，在原土地用途符合规划的前提下，允许补缴土地出让金（租金），办理协议出让或租赁手续。企事业单位、个人对城镇现有空闲的厂房、学校、社区用房等进行改造和利用，举办养老服务机构，经有关部门批准临时改变建筑使用功能从事非营利性养老服务且连续经营一年以上的，五年内土地使用性质可暂不作变更。民间资本举办的非营利性养老机构与政府举办的养老机构可依法使用农民集体所有的土地。对在养老服务领域采取政府和社会资本合作（PPP）方式的项目，可以国有建设用地使用权作价出资或者入股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（十五）提升养老服务人才素质。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将养老护理员培训作为职业培训和促进就业的重要内容。对参加养老服务技能培训或创业培训且培训合格的劳动者，按规定给予培训补贴。推动普通高校和职业院校开发养老服务和老年教育课程，为社区、老年教育机构及养老服务机构等提供教学资源及服务。完善职业技能等级与养老服务人员薪酬待遇挂钩机制。建立养老服务行业从业人员奖惩机制，提升养老护理队伍职业道德素养。将养老护理员纳入企业新型学徒制试点和城市积分入户政策范围。积极开发老年人力资源，为老年人的家庭成员提供养老服务培训，倡导“互助养老”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（十六）完善财政支持和投融资政策。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完善财政支持政策。各地要建立健全针对经济困难的高龄、失能老年人的补贴制度，统一设计、分类施补，提高补贴政策的精准度。对养老机构的运行补贴应根据接收失能老年人等情况合理发放。各级政府要加大投入，支持养老服务设施建设，切实落实养老机构相关税费优惠政策，落实彩票公益金支持养老服务体系建设政策要求。鼓励各地向符合条件的各类养老机构购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拓宽投融资渠道。鼓励社会资本采取建立基金、发行企业债券等方式筹集资金，用于建设养老设施、购置设备和收购改造社会闲置资源等。鼓励银行业金融机构以养老服务机构有偿取得的土地使用权、产权明晰的房产等固定资产和应收账款、动产、知识产权、股权等抵质押，提供信贷支持，满足养老服务机构多样化融资需求。有条件的地方在风险可控、不改变养老机构性质和用途的前提下，可探索养老服务机构其他资产抵押贷款的可行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六、加强监管和组织实施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（十七）加强服务监管。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要建立健全民政部门和相关部门协同配合的监管机制，加强对养老机构运营和服务的监管。严禁以举办养老机构名义从事房地产开发，严禁利用养老机构的房屋、场地、设施开展与养老服务无关的活动，严禁改变机构的养老服务性质。做好养老服务领域非法集资信息监测和分析工作，做好政策宣传和风险提示工作。对养老服务中虐老欺老等行为，对养老机构在收取保证金、办理会员卡和发行金融产品等活动中的违法违规行为，要依法严厉查处。加强养老设施和服务安全管理，建立定期检查机制，确保老年人人身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（十八）加强行业自律。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FF0000"/>
          <w:spacing w:val="0"/>
          <w:sz w:val="24"/>
          <w:szCs w:val="24"/>
          <w:bdr w:val="none" w:color="auto" w:sz="0" w:space="0"/>
          <w:shd w:val="clear" w:fill="FFFFFF"/>
        </w:rPr>
        <w:t>民政、质检等部门要进一步完善养老服务标准体系，抓紧制定管理和服务标准。</w:t>
      </w:r>
      <w:r>
        <w:rPr>
          <w:rFonts w:hint="eastAsia" w:ascii="宋体" w:hAnsi="宋体" w:eastAsia="宋体" w:cs="宋体"/>
          <w:i w:val="0"/>
          <w:iCs w:val="0"/>
          <w:caps w:val="0"/>
          <w:color w:val="333333"/>
          <w:spacing w:val="0"/>
          <w:sz w:val="24"/>
          <w:szCs w:val="24"/>
          <w:bdr w:val="none" w:color="auto" w:sz="0" w:space="0"/>
          <w:shd w:val="clear" w:fill="FFFFFF"/>
        </w:rPr>
        <w:t>落实养老机构综合评估和报告制度，开展第三方评估并向社会公布，评估结果应与政府购买服务、发放建设运营补贴等挂钩。政府运营的养老机构要实行老年人入住评估制度，综合评估申请入住老年人的情况，优先保障特困人员集中供养需求和其他经济困难的孤寡、失能、高龄等老年人的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（十九）加强宣传引导。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坚持以社会主义核心价值观为引领，弘扬中华民族尊老、敬老的社会风尚和传统美德，开展孝敬教育，营造养老、助老的良好社会氛围，加强对养老服务业发展过程中涌现出的先进典型和先进事迹的宣传报道，及时总结推广养老服务业综合改革试点中的好经验、好做法。依法打击虐待、伤害老年人及侵害老年人合法权益的行为。积极组织开展适合老年人的文化体育娱乐活动，引导老年人积极参与社区服务、公益活动和健康知识培训，丰富老年人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（二十）加强督促落实。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要把全面放开养老服务市场、提升养老服务质量摆在重要位置，建立组织实施机制，及时制定配套实施意见，对政策落实情况进行跟踪分析和监督检查，确保责任到位、工作到位、见到实效。各部门要加强协同配合，落实和完善相关优惠政策，共同促进养老服务提质增效。对不落实养老服务政策，或者在养老机构运营和服务中有违反法律法规行为的，依法依规追究相关人员的责任。国家发展改革委、民政部要会同有关部门加强对地方的指导，及时督促检查并报告工作进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附件：重点任务分工及进度安排表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2016年12月7日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重点任务分工及进度安排表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W w:w="907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17"/>
        <w:gridCol w:w="3819"/>
        <w:gridCol w:w="2271"/>
        <w:gridCol w:w="22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1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sz w:val="20"/>
                <w:szCs w:val="20"/>
                <w:bdr w:val="none" w:color="auto" w:sz="0" w:space="0"/>
              </w:rPr>
              <w:t>序号</w:t>
            </w:r>
          </w:p>
        </w:tc>
        <w:tc>
          <w:tcPr>
            <w:tcW w:w="381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sz w:val="20"/>
                <w:szCs w:val="20"/>
                <w:bdr w:val="none" w:color="auto" w:sz="0" w:space="0"/>
              </w:rPr>
              <w:t>工作任务</w:t>
            </w:r>
          </w:p>
        </w:tc>
        <w:tc>
          <w:tcPr>
            <w:tcW w:w="226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sz w:val="20"/>
                <w:szCs w:val="20"/>
                <w:bdr w:val="none" w:color="auto" w:sz="0" w:space="0"/>
              </w:rPr>
              <w:t>负责部门</w:t>
            </w:r>
          </w:p>
        </w:tc>
        <w:tc>
          <w:tcPr>
            <w:tcW w:w="226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bCs/>
                <w:sz w:val="20"/>
                <w:szCs w:val="20"/>
                <w:bdr w:val="none" w:color="auto" w:sz="0" w:space="0"/>
              </w:rPr>
              <w:t>时间进度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鼓励境外投资者设立非营利性养老机构</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民政部、公安部、国家发展改革委、商务部等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2016</w:t>
            </w:r>
            <w:r>
              <w:rPr>
                <w:rFonts w:hint="eastAsia" w:ascii="宋体" w:hAnsi="宋体" w:eastAsia="宋体" w:cs="宋体"/>
                <w:sz w:val="20"/>
                <w:szCs w:val="20"/>
                <w:bdr w:val="none" w:color="auto" w:sz="0" w:space="0"/>
              </w:rPr>
              <w:t>年</w:t>
            </w:r>
            <w:r>
              <w:rPr>
                <w:rFonts w:hint="default" w:ascii="Times New Roman" w:hAnsi="Times New Roman" w:cs="Times New Roman"/>
                <w:sz w:val="20"/>
                <w:szCs w:val="20"/>
                <w:bdr w:val="none" w:color="auto" w:sz="0" w:space="0"/>
              </w:rPr>
              <w:t>12</w:t>
            </w:r>
            <w:r>
              <w:rPr>
                <w:rFonts w:hint="eastAsia" w:ascii="宋体" w:hAnsi="宋体" w:eastAsia="宋体" w:cs="宋体"/>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全面清理、取消申办养老机构的不合理前置审批事项，优化审批程序，简化审批流程</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default" w:ascii="Times New Roman" w:hAnsi="Times New Roman" w:cs="Times New Roman"/>
                <w:color w:val="FF0000"/>
                <w:sz w:val="20"/>
                <w:szCs w:val="20"/>
                <w:bdr w:val="none" w:color="auto" w:sz="0" w:space="0"/>
              </w:rPr>
              <w:t>2016</w:t>
            </w:r>
            <w:r>
              <w:rPr>
                <w:rFonts w:hint="eastAsia" w:ascii="宋体" w:hAnsi="宋体" w:eastAsia="宋体" w:cs="宋体"/>
                <w:color w:val="FF0000"/>
                <w:sz w:val="20"/>
                <w:szCs w:val="20"/>
                <w:bdr w:val="none" w:color="auto" w:sz="0" w:space="0"/>
              </w:rPr>
              <w:t>年</w:t>
            </w:r>
            <w:r>
              <w:rPr>
                <w:rFonts w:hint="default" w:ascii="Times New Roman" w:hAnsi="Times New Roman" w:cs="Times New Roman"/>
                <w:color w:val="FF0000"/>
                <w:sz w:val="20"/>
                <w:szCs w:val="20"/>
                <w:bdr w:val="none" w:color="auto" w:sz="0" w:space="0"/>
              </w:rPr>
              <w:t>12</w:t>
            </w:r>
            <w:r>
              <w:rPr>
                <w:rFonts w:hint="eastAsia" w:ascii="宋体" w:hAnsi="宋体" w:eastAsia="宋体" w:cs="宋体"/>
                <w:color w:val="FF0000"/>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根据消防法和有关规定，制定既保障安全、又方便合理的养老机构设立和管理配套办法</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民政部、公安部、住房城乡建设部等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default" w:ascii="Times New Roman" w:hAnsi="Times New Roman" w:cs="Times New Roman"/>
                <w:color w:val="FF0000"/>
                <w:sz w:val="20"/>
                <w:szCs w:val="20"/>
                <w:bdr w:val="none" w:color="auto" w:sz="0" w:space="0"/>
              </w:rPr>
              <w:t>2017</w:t>
            </w:r>
            <w:r>
              <w:rPr>
                <w:rFonts w:hint="eastAsia" w:ascii="宋体" w:hAnsi="宋体" w:eastAsia="宋体" w:cs="宋体"/>
                <w:color w:val="FF0000"/>
                <w:sz w:val="20"/>
                <w:szCs w:val="20"/>
                <w:bdr w:val="none" w:color="auto" w:sz="0" w:space="0"/>
              </w:rPr>
              <w:t>年</w:t>
            </w:r>
            <w:r>
              <w:rPr>
                <w:rFonts w:hint="default" w:ascii="Times New Roman" w:hAnsi="Times New Roman" w:cs="Times New Roman"/>
                <w:color w:val="FF0000"/>
                <w:sz w:val="20"/>
                <w:szCs w:val="20"/>
                <w:bdr w:val="none" w:color="auto" w:sz="0" w:space="0"/>
              </w:rPr>
              <w:t>6</w:t>
            </w:r>
            <w:r>
              <w:rPr>
                <w:rFonts w:hint="eastAsia" w:ascii="宋体" w:hAnsi="宋体" w:eastAsia="宋体" w:cs="宋体"/>
                <w:color w:val="FF0000"/>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完善价格形成机制</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加快公办养老机构改革</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民政部、各省级人民政府</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加强行业信用建设</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民政部、国家发展改革委、人民银行、工商总局等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2017</w:t>
            </w:r>
            <w:r>
              <w:rPr>
                <w:rFonts w:hint="eastAsia" w:ascii="宋体" w:hAnsi="宋体" w:eastAsia="宋体" w:cs="宋体"/>
                <w:sz w:val="20"/>
                <w:szCs w:val="20"/>
                <w:bdr w:val="none" w:color="auto" w:sz="0" w:space="0"/>
              </w:rPr>
              <w:t>年</w:t>
            </w:r>
            <w:r>
              <w:rPr>
                <w:rFonts w:hint="default" w:ascii="Times New Roman" w:hAnsi="Times New Roman" w:cs="Times New Roman"/>
                <w:sz w:val="20"/>
                <w:szCs w:val="20"/>
                <w:bdr w:val="none" w:color="auto" w:sz="0" w:space="0"/>
              </w:rPr>
              <w:t>6</w:t>
            </w:r>
            <w:r>
              <w:rPr>
                <w:rFonts w:hint="eastAsia" w:ascii="宋体" w:hAnsi="宋体" w:eastAsia="宋体" w:cs="宋体"/>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7</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提高老年人生活便捷化水平</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住房城乡建设部、民政部、国家发展改革委等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8</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推进“互联网</w:t>
            </w:r>
            <w:r>
              <w:rPr>
                <w:rFonts w:hint="default" w:ascii="Times New Roman" w:hAnsi="Times New Roman" w:cs="Times New Roman"/>
                <w:color w:val="FF0000"/>
                <w:sz w:val="20"/>
                <w:szCs w:val="20"/>
                <w:bdr w:val="none" w:color="auto" w:sz="0" w:space="0"/>
              </w:rPr>
              <w:t>+</w:t>
            </w:r>
            <w:r>
              <w:rPr>
                <w:rFonts w:hint="eastAsia" w:ascii="宋体" w:hAnsi="宋体" w:eastAsia="宋体" w:cs="宋体"/>
                <w:color w:val="FF0000"/>
                <w:sz w:val="20"/>
                <w:szCs w:val="20"/>
                <w:bdr w:val="none" w:color="auto" w:sz="0" w:space="0"/>
              </w:rPr>
              <w:t>”养老服务创新</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工业和信息化部、科技部、民政部、国家卫生计生委、国家发展改革委等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9</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探索建立长期护理保险制度</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人力资源社会保障部、国家卫生计生委、财政部、民政部、国家发展改革委、保监会等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2016</w:t>
            </w:r>
            <w:r>
              <w:rPr>
                <w:rFonts w:hint="eastAsia" w:ascii="宋体" w:hAnsi="宋体" w:eastAsia="宋体" w:cs="宋体"/>
                <w:sz w:val="20"/>
                <w:szCs w:val="20"/>
                <w:bdr w:val="none" w:color="auto" w:sz="0" w:space="0"/>
              </w:rPr>
              <w:t>年</w:t>
            </w:r>
            <w:r>
              <w:rPr>
                <w:rFonts w:hint="default" w:ascii="Times New Roman" w:hAnsi="Times New Roman" w:cs="Times New Roman"/>
                <w:sz w:val="20"/>
                <w:szCs w:val="20"/>
                <w:bdr w:val="none" w:color="auto" w:sz="0" w:space="0"/>
              </w:rPr>
              <w:t>12</w:t>
            </w:r>
            <w:r>
              <w:rPr>
                <w:rFonts w:hint="eastAsia" w:ascii="宋体" w:hAnsi="宋体" w:eastAsia="宋体" w:cs="宋体"/>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10</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制定养老服务相关规划</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民政部、国家发展改革委等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2016</w:t>
            </w:r>
            <w:r>
              <w:rPr>
                <w:rFonts w:hint="eastAsia" w:ascii="宋体" w:hAnsi="宋体" w:eastAsia="宋体" w:cs="宋体"/>
                <w:sz w:val="20"/>
                <w:szCs w:val="20"/>
                <w:bdr w:val="none" w:color="auto" w:sz="0" w:space="0"/>
              </w:rPr>
              <w:t>年</w:t>
            </w:r>
            <w:r>
              <w:rPr>
                <w:rFonts w:hint="default" w:ascii="Times New Roman" w:hAnsi="Times New Roman" w:cs="Times New Roman"/>
                <w:sz w:val="20"/>
                <w:szCs w:val="20"/>
                <w:bdr w:val="none" w:color="auto" w:sz="0" w:space="0"/>
              </w:rPr>
              <w:t>12</w:t>
            </w:r>
            <w:r>
              <w:rPr>
                <w:rFonts w:hint="eastAsia" w:ascii="宋体" w:hAnsi="宋体" w:eastAsia="宋体" w:cs="宋体"/>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11</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完善土地支持政策</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国土资源部、住房城乡建设部、国家发展改革委、财政部、民政部等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12</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完善职业技能等级与养老服务人员薪酬待遇挂钩机制</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2016</w:t>
            </w:r>
            <w:r>
              <w:rPr>
                <w:rFonts w:hint="eastAsia" w:ascii="宋体" w:hAnsi="宋体" w:eastAsia="宋体" w:cs="宋体"/>
                <w:sz w:val="20"/>
                <w:szCs w:val="20"/>
                <w:bdr w:val="none" w:color="auto" w:sz="0" w:space="0"/>
              </w:rPr>
              <w:t>年</w:t>
            </w:r>
            <w:r>
              <w:rPr>
                <w:rFonts w:hint="default" w:ascii="Times New Roman" w:hAnsi="Times New Roman" w:cs="Times New Roman"/>
                <w:sz w:val="20"/>
                <w:szCs w:val="20"/>
                <w:bdr w:val="none" w:color="auto" w:sz="0" w:space="0"/>
              </w:rPr>
              <w:t>12</w:t>
            </w:r>
            <w:r>
              <w:rPr>
                <w:rFonts w:hint="eastAsia" w:ascii="宋体" w:hAnsi="宋体" w:eastAsia="宋体" w:cs="宋体"/>
                <w:sz w:val="20"/>
                <w:szCs w:val="20"/>
                <w:bdr w:val="none" w:color="auto" w:sz="0" w:space="0"/>
              </w:rPr>
              <w:t>月底前完成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13</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探索养老服务机构其他资产抵押贷款的可行模式</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bookmarkStart w:id="0" w:name="_GoBack" w:colFirst="1" w:colLast="3"/>
            <w:r>
              <w:rPr>
                <w:rFonts w:hint="default" w:ascii="Times New Roman" w:hAnsi="Times New Roman" w:cs="Times New Roman"/>
                <w:sz w:val="20"/>
                <w:szCs w:val="20"/>
                <w:bdr w:val="none" w:color="auto" w:sz="0" w:space="0"/>
              </w:rPr>
              <w:t>14</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加强服务监管</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民政部、人民银行、银监会、国土资源部、住房城乡建设部、公安部、全国老龄办等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持续实施</w:t>
            </w:r>
          </w:p>
        </w:tc>
      </w:tr>
      <w:bookmarkEnd w:id="0"/>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15</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完善养老服务标准体系</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民政部、质检总局等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16</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落实养老机构综合评估和报告制度</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持续实施</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1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17</w:t>
            </w:r>
          </w:p>
        </w:tc>
        <w:tc>
          <w:tcPr>
            <w:tcW w:w="381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政府运营的养老机构实行老年人入住评估制度</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eastAsia" w:ascii="宋体" w:hAnsi="宋体" w:eastAsia="宋体" w:cs="宋体"/>
                <w:color w:val="FF0000"/>
                <w:sz w:val="20"/>
                <w:szCs w:val="20"/>
                <w:bdr w:val="none" w:color="auto" w:sz="0" w:space="0"/>
              </w:rPr>
              <w:t>民政部等</w:t>
            </w:r>
          </w:p>
        </w:tc>
        <w:tc>
          <w:tcPr>
            <w:tcW w:w="226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color w:val="FF0000"/>
                <w:sz w:val="21"/>
                <w:szCs w:val="21"/>
              </w:rPr>
            </w:pPr>
            <w:r>
              <w:rPr>
                <w:rFonts w:hint="default" w:ascii="Times New Roman" w:hAnsi="Times New Roman" w:cs="Times New Roman"/>
                <w:color w:val="FF0000"/>
                <w:sz w:val="20"/>
                <w:szCs w:val="20"/>
                <w:bdr w:val="none" w:color="auto" w:sz="0" w:space="0"/>
              </w:rPr>
              <w:t>2016</w:t>
            </w:r>
            <w:r>
              <w:rPr>
                <w:rFonts w:hint="eastAsia" w:ascii="宋体" w:hAnsi="宋体" w:eastAsia="宋体" w:cs="宋体"/>
                <w:color w:val="FF0000"/>
                <w:sz w:val="20"/>
                <w:szCs w:val="20"/>
                <w:bdr w:val="none" w:color="auto" w:sz="0" w:space="0"/>
              </w:rPr>
              <w:t>年</w:t>
            </w:r>
            <w:r>
              <w:rPr>
                <w:rFonts w:hint="default" w:ascii="Times New Roman" w:hAnsi="Times New Roman" w:cs="Times New Roman"/>
                <w:color w:val="FF0000"/>
                <w:sz w:val="20"/>
                <w:szCs w:val="20"/>
                <w:bdr w:val="none" w:color="auto" w:sz="0" w:space="0"/>
              </w:rPr>
              <w:t>12</w:t>
            </w:r>
            <w:r>
              <w:rPr>
                <w:rFonts w:hint="eastAsia" w:ascii="宋体" w:hAnsi="宋体" w:eastAsia="宋体" w:cs="宋体"/>
                <w:color w:val="FF0000"/>
                <w:sz w:val="20"/>
                <w:szCs w:val="20"/>
                <w:bdr w:val="none" w:color="auto" w:sz="0" w:space="0"/>
              </w:rPr>
              <w:t>月底前完成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E7C58"/>
    <w:rsid w:val="261C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2021-04-25T01:20:21Z</dcterms:created>
  <dc:creator>Administrator</dc:creator>
  <cp:lastModifiedBy>Administrator</cp:lastModifiedBy>
  <dcterms:modified xsi:type="dcterms:W3CDTF">2021-04-25T01:54:20Z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69BFCA144B6D4391926848035368DAEF</vt:lpwstr>
  </property>
</Properties>
</file>