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关于2019年度金融企业国有资产</w:t>
      </w:r>
    </w:p>
    <w:p>
      <w:pPr>
        <w:autoSpaceDE w:val="0"/>
        <w:autoSpaceDN w:val="0"/>
        <w:adjustRightInd w:val="0"/>
        <w:spacing w:line="560" w:lineRule="exact"/>
        <w:ind w:firstLine="2200" w:firstLineChars="500"/>
        <w:jc w:val="both"/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/>
        </w:rPr>
        <w:t>管理情况的专项报告</w:t>
      </w:r>
    </w:p>
    <w:p>
      <w:pPr>
        <w:spacing w:line="560" w:lineRule="exact"/>
        <w:rPr>
          <w:rFonts w:hint="eastAsia" w:ascii="仿宋_GB2312" w:hAnsi="Times New Roman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为贯彻落实《中共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鞍山市委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关于建立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市政府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人大常委会报告国有资产管理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情况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制度的意见》（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鞍委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发〔201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〕33号）文件精神，加强人大和全社会对国有资产的监督，增加国有资产管理公开透明度，更好发挥国有资产服务发展、造福人民等方面的重要作用，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受市政府委托，市财政局结合我市实际，按照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“全口径”、“全覆盖”的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原则，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形成《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关于2019年度金融企业国有资产管理情况的专项报告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》，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请市人大常委会予以审议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一、国有金融资产管理情况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  <w:t>（一）资产负债情况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截至201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年底，我市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金融企业国有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资产总计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1,238.27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亿元，较上年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7.26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其中银行类金融企业资产合计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1,227.08亿元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，担保类金融企业资产合计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11.19亿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元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负债总计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1,145.86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亿元，较上年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18.72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其中银行类金融企业负债合计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1,144.77亿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元，担保类金融企业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负债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1.09亿元；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所有者权益合计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92.41亿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元，较上年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1.77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其中银行类金融企业所有者权益合计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82.32亿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元，担保类金融企业所有者权益合计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val="en-US" w:eastAsia="zh-CN"/>
        </w:rPr>
        <w:t>10.09亿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元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仿宋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  <w:t>）国有企业改革情况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党的十八大以来，我市积极推进党中央、国务院有关政策方针，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积极促进国有资</w:t>
      </w:r>
      <w:bookmarkStart w:id="0" w:name="_GoBack"/>
      <w:bookmarkEnd w:id="0"/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本、集体资本、非公有资本等交叉持股、相互融合，推动各种所有制资本取长补短、相互促进、共同发展。坚持激励机制和约束机制相结合，促使国有企业真正成为依法自主经营、自负盈亏、自担风险、自我约束、自我发展的独立市场主体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大力引进战略投资者作为工作重点之一，引进实力雄厚的大型企业及上市公司。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_GB2312" w:eastAsia="楷体_GB2312" w:cs="仿宋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仿宋"/>
          <w:kern w:val="0"/>
          <w:sz w:val="32"/>
          <w:szCs w:val="32"/>
          <w:lang w:val="en-US" w:eastAsia="zh-CN"/>
        </w:rPr>
        <w:t>）国有资产监管和风险控制情况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val="zh-CN" w:eastAsia="zh-CN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  <w:lang w:val="zh-CN" w:eastAsia="zh-CN"/>
        </w:rPr>
        <w:t>我市主要依据财政部关于金融企业财务和资产监管制度办法，对地方国有金融企业财务和国有资产进行监管，并实行本级负责制，上级财政部门对下级财政部门进行指导和监督。近几年来，我市不断加大管理力度，积极做好金融企业国有资产风险防范管理工作：一是做好地方国有金融企业产权登记、编报财务决算和季度快报，严格数据质量审核，及时掌握我市地方国有金融企业基本财务状况和资产运营情况。加强对报表数据的统计分析，不断提高防范财务和资产风险管理能力。二是积极开展地方金融企业绩效评价工作。聘请中介机构对我市地方国有金融企业开展绩效评价，对规范金融企业财务和资产管理等工作发挥了重要作用；国有金融企业绩效评价结果与企业负责人薪酬相挂钩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三、下一步工作思路和措施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金融是现代经济的核心，金融活、经济活，金融稳、经济稳。近年来，我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国有金融资本规模稳步增长，为全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经济平稳发展做出了积极贡献。但也要看到，当前我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管理还存在整体不强、布局不优、管理体制不顺、制度建设存在短板、防范风险任务艰巨、企业治理和激励约束机制尚不完善等矛盾和问题。中共中央、国务院《关于完善国有金融资本管理的指导意见》，是专门针对国有金融资本管理的顶层设计和重大部署，具有划时代的重要意义，为我们推进金融国资管理和改革提供了根本遵循和行动指南。下一步，我们将按照中央决策部署，统一思想、提高站位，切实履行完善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全市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国有金融资本管理的工作责任。 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一是全面贯彻落实中共中央、国务院《关于完善国有金融资本管理的指导意见》精神，建立健全我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国有金融资本管理体系。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根据中共鞍山市委、市政府《关于完善地方国有金融资本管理的实施意见》，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进一步统筹我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战略布局，既要避免对国有资本的过度占用，又要确保国有资本在主要金融领域、重点金融机构保持必要的控制力。优化国有金融资本管理体制，完善国有金融资本管理制度，加强和改进国有金融资本基础管理工作，促进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市属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金融企业持续健康经营。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二是大力促进金融服务全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实体经济发展。积极发展壮大全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金融业规模，丰富金融组织体系。发挥财政政策与金融政策的协同作用，引导金融机构合理扩大信贷规模，优化信贷投放结构，围绕实体经济发展需要创新金融产品和服务，促进更多金融资源向战略性新兴产业、高新技术产业、传统产业改造升级、民营经济等领域倾斜。更好推动普惠金融发展，引导金融机构加大工作力度，缓解小微企业、“三农”、科技等金融服务重点领域和薄弱环节的“融资难、融资贵”问题。推动国有金融机构履行好服务实体经济的主体责任，牢固树立与实体经济俱荣俱损理念，加强并改进对重点领域和薄弱环节的服务。发挥好绩效考核目标的导向作用，督促国有金融企业把握好发展方向、战略定位、经营重点，突出主业、做精专业，提高稳健发展能力、服务能力与核心竞争力。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三是着力防范化解金融风险。把主动防范化解金融风险放在更加重要的位置，坚决打好防范化解重大风险攻坚战，守住不发生系统性、区域性金融风险的底线。加大防范化解金融风险工作统筹力度，完善防范化解金融风险体制机制，保持对违法违规金融活动高压态势。督促国有金融企业履行好防控金融风险的主体责任，健全强化风险管理规制，坚持审慎、合规经营。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四是切实加强党对国有金融企业的领导。坚持党对国有金融企业的领导不动摇，充分发挥国有金融企业党委（党组）的领导作用，把加强党的领导和完善公司治理统一起来，规范党委（党组）参与重大决策的内容和程序规则，把党委（党组）会议研究讨论作为董事会决策重大问题的前置程序。坚持党管干部原则，加强国有金融企业领导班子和人才队伍建设，完善国有金融企业领导人员选任和考核问责机制，强化党内监督。切实落实全面从严治党“两个责任”，压紧压实国有金融机构党委（党组）主体责任。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五是夯实金融企业国有资产报告基础。深刻认识全口径报告金融企业国有资产管理情况对于切实摸清家底、发挥人大监督作用、提升管理公信力、推进国有金融资产治理现代化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具有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重大意义。加强财政部门与金融管理部门、国资管理部门之间“横向协作”，以及市县的“纵向联动”，形成工作合力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按照全口径、全覆盖、高标准、高质量的要求，建立健全我</w:t>
      </w: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Times New Roman" w:eastAsia="仿宋_GB2312" w:cs="仿宋"/>
          <w:kern w:val="0"/>
          <w:sz w:val="32"/>
          <w:szCs w:val="32"/>
        </w:rPr>
        <w:t>国有金融资本统计监测制度，全面夯实报告的管理基础。 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  <w:t>各位领导，市政府向市人大常委会报告国有资产管理情况制度建立后，市人大常委会第一次重点听取和审议金融企业国有资产管理情况，充分体现了市人大对国有金融资本管理工作的高度重视。我们将按照本次会议的审议意见，全力推进国有金融机构改革发展，努力做强做优做大国有金融资本，更好地发挥其在服务实体经济发展、推进金融改革开放、防范化解重大风险中的重要作用，为鞍山的“六稳六保”保驾护航。</w:t>
      </w: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</w:pP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</w:pPr>
    </w:p>
    <w:p>
      <w:pPr>
        <w:spacing w:line="360" w:lineRule="auto"/>
        <w:ind w:left="0" w:leftChars="0" w:firstLine="640" w:firstLineChars="200"/>
        <w:rPr>
          <w:rFonts w:hint="eastAsia" w:ascii="仿宋_GB2312" w:hAnsi="Times New Roman" w:eastAsia="仿宋_GB2312" w:cs="仿宋"/>
          <w:kern w:val="0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544B"/>
    <w:rsid w:val="1DBA24CF"/>
    <w:rsid w:val="2D4E013B"/>
    <w:rsid w:val="47A17B06"/>
    <w:rsid w:val="71E616A1"/>
    <w:rsid w:val="7FC3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岁月静好</cp:lastModifiedBy>
  <dcterms:modified xsi:type="dcterms:W3CDTF">2022-01-06T07:48:20Z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232543D195D342D387344AA05050D533</vt:lpwstr>
  </property>
</Properties>
</file>