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980F1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Times New Roman"/>
          <w:sz w:val="44"/>
          <w:szCs w:val="44"/>
          <w:lang w:val="en-US" w:eastAsia="zh-CN"/>
        </w:rPr>
      </w:pPr>
      <w:r>
        <w:rPr>
          <w:rFonts w:hint="eastAsia" w:ascii="黑体" w:hAnsi="黑体" w:eastAsia="黑体" w:cs="Times New Roman"/>
          <w:sz w:val="44"/>
          <w:szCs w:val="44"/>
          <w:lang w:val="en-US" w:eastAsia="zh-CN"/>
        </w:rPr>
        <w:t>鞍山市铁东区</w:t>
      </w:r>
      <w:r>
        <w:rPr>
          <w:rFonts w:hint="eastAsia" w:ascii="Times New Roman" w:hAnsi="Times New Roman" w:eastAsia="方正小标宋_GBK" w:cs="方正小标宋_GBK"/>
          <w:b w:val="0"/>
          <w:bCs w:val="0"/>
          <w:sz w:val="44"/>
          <w:szCs w:val="44"/>
          <w:lang w:val="en-US" w:eastAsia="zh-CN"/>
        </w:rPr>
        <w:t>2024</w:t>
      </w:r>
      <w:r>
        <w:rPr>
          <w:rFonts w:hint="eastAsia" w:ascii="黑体" w:hAnsi="黑体" w:eastAsia="黑体" w:cs="Times New Roman"/>
          <w:sz w:val="44"/>
          <w:szCs w:val="44"/>
          <w:lang w:val="en-US" w:eastAsia="zh-CN"/>
        </w:rPr>
        <w:t>年经济和社会发展</w:t>
      </w:r>
    </w:p>
    <w:p w14:paraId="1E5DC35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Times New Roman"/>
          <w:sz w:val="44"/>
          <w:szCs w:val="44"/>
          <w:lang w:val="en-US" w:eastAsia="zh-CN"/>
        </w:rPr>
      </w:pPr>
      <w:r>
        <w:rPr>
          <w:rFonts w:hint="eastAsia" w:ascii="黑体" w:hAnsi="黑体" w:eastAsia="黑体" w:cs="Times New Roman"/>
          <w:sz w:val="44"/>
          <w:szCs w:val="44"/>
          <w:lang w:val="en-US" w:eastAsia="zh-CN"/>
        </w:rPr>
        <w:t>统计公报</w:t>
      </w:r>
    </w:p>
    <w:p w14:paraId="34AA66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600" w:right="600"/>
        <w:jc w:val="left"/>
        <w:rPr>
          <w:rFonts w:ascii="Times New Roman" w:hAnsi="Times New Roman"/>
          <w:sz w:val="19"/>
          <w:szCs w:val="19"/>
        </w:rPr>
      </w:pPr>
      <w:r>
        <w:rPr>
          <w:rFonts w:hint="default" w:ascii="Times New Roman" w:hAnsi="Times New Roman" w:eastAsia="sans-serif" w:cs="Times New Roman"/>
          <w:i w:val="0"/>
          <w:iCs w:val="0"/>
          <w:caps w:val="0"/>
          <w:color w:val="000000"/>
          <w:spacing w:val="0"/>
          <w:kern w:val="0"/>
          <w:sz w:val="24"/>
          <w:szCs w:val="24"/>
          <w:shd w:val="clear" w:fill="FFFFFF"/>
          <w:lang w:val="en-US" w:eastAsia="zh-CN" w:bidi="ar"/>
        </w:rPr>
        <w:t> </w:t>
      </w:r>
    </w:p>
    <w:p w14:paraId="31AC0BA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楷体_GB2312"/>
          <w:sz w:val="36"/>
          <w:szCs w:val="36"/>
          <w:lang w:val="en-US" w:eastAsia="zh-CN"/>
        </w:rPr>
      </w:pPr>
      <w:r>
        <w:rPr>
          <w:rFonts w:hint="eastAsia" w:ascii="Times New Roman" w:hAnsi="Times New Roman" w:eastAsia="楷体_GB2312"/>
          <w:sz w:val="36"/>
          <w:szCs w:val="36"/>
          <w:lang w:val="en-US" w:eastAsia="zh-CN"/>
        </w:rPr>
        <w:t>铁东区统计局</w:t>
      </w:r>
    </w:p>
    <w:p w14:paraId="257F513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楷体_GB2312"/>
          <w:sz w:val="36"/>
          <w:szCs w:val="36"/>
          <w:lang w:val="en-US" w:eastAsia="zh-CN"/>
        </w:rPr>
      </w:pPr>
      <w:r>
        <w:rPr>
          <w:rFonts w:hint="eastAsia" w:ascii="Times New Roman" w:hAnsi="Times New Roman" w:eastAsia="楷体_GB2312"/>
          <w:sz w:val="36"/>
          <w:szCs w:val="36"/>
          <w:lang w:val="en-US" w:eastAsia="zh-CN"/>
        </w:rPr>
        <w:t>2025年4月20日</w:t>
      </w:r>
    </w:p>
    <w:p w14:paraId="79B8B4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600" w:right="600"/>
        <w:jc w:val="left"/>
        <w:rPr>
          <w:rFonts w:hint="eastAsia" w:ascii="Times New Roman" w:hAnsi="Times New Roman" w:eastAsia="仿宋" w:cs="仿宋"/>
          <w:sz w:val="32"/>
          <w:szCs w:val="32"/>
        </w:rPr>
      </w:pPr>
      <w:r>
        <w:rPr>
          <w:rFonts w:hint="eastAsia" w:ascii="Times New Roman" w:hAnsi="Times New Roman" w:eastAsia="仿宋" w:cs="仿宋"/>
          <w:i w:val="0"/>
          <w:iCs w:val="0"/>
          <w:caps w:val="0"/>
          <w:color w:val="000000"/>
          <w:spacing w:val="0"/>
          <w:kern w:val="0"/>
          <w:sz w:val="32"/>
          <w:szCs w:val="32"/>
          <w:shd w:val="clear" w:fill="FFFFFF"/>
          <w:lang w:val="en-US" w:eastAsia="zh-CN" w:bidi="ar"/>
        </w:rPr>
        <w:t> </w:t>
      </w:r>
    </w:p>
    <w:p w14:paraId="00172A5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Style w:val="8"/>
          <w:rFonts w:hint="eastAsia" w:ascii="Times New Roman" w:hAnsi="Times New Roman" w:eastAsia="宋体" w:cs="宋体"/>
          <w:i w:val="0"/>
          <w:iCs w:val="0"/>
          <w:caps w:val="0"/>
          <w:color w:val="000000"/>
          <w:spacing w:val="0"/>
          <w:kern w:val="0"/>
          <w:sz w:val="32"/>
          <w:szCs w:val="32"/>
          <w:shd w:val="clear" w:fill="FFFFFF"/>
          <w:lang w:val="en-US" w:eastAsia="zh-CN" w:bidi="ar"/>
        </w:rPr>
      </w:pPr>
      <w:r>
        <w:rPr>
          <w:rFonts w:hint="eastAsia" w:ascii="Times New Roman" w:hAnsi="Times New Roman" w:eastAsia="仿宋_GB2312" w:cs="仿宋_GB2312"/>
          <w:sz w:val="32"/>
          <w:szCs w:val="32"/>
          <w:lang w:val="en-US" w:eastAsia="zh-CN"/>
        </w:rPr>
        <w:t>2024年是实现“十四五”规划目标任务的关键一年，是深入实施全面振兴新突破三年行动的攻坚之年。面对复杂严峻的国际环境和艰巨繁重的改革发展稳定任务，全区各部门坚持以习近平新时代中国特色社会主义思想为指导，全面贯彻落实党的二十大和二十届三中全会精神，在省、市、区委、政府的坚强领导下，坚持稳中求进工作总基调，完整、准确、全面贯彻新发展理念，加快构建新发展格局，着力推动高质量发展，全面深化改革开放，加大宏观调控力度，着力扩大内需、优化结构、提振信心、防范化解风险，国民经济回升向好，高质量发展扎实推进，现代化产业体系建设取得重要进展，改革开放向纵深推进，安全发展基础巩固夯实，民生保障有力有效，社会大局和谐稳定，全区上下坚持以习近平新时代中国特色社会主义思想为指导，深入贯彻落实习近平总书记关于东北、辽宁全面振兴的重要讲话和指示批示精神。全区经济在爬坡过坎中稳健前行，逐月逐季承压修复、加快回升，赶上全国全省水平。</w:t>
      </w:r>
    </w:p>
    <w:p w14:paraId="0F81A39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sz w:val="32"/>
          <w:szCs w:val="32"/>
          <w:lang w:val="en-US" w:eastAsia="zh-CN"/>
        </w:rPr>
      </w:pPr>
    </w:p>
    <w:p w14:paraId="01814E2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sz w:val="32"/>
          <w:szCs w:val="32"/>
        </w:rPr>
      </w:pPr>
      <w:r>
        <w:rPr>
          <w:rFonts w:hint="eastAsia" w:ascii="Times New Roman" w:hAnsi="Times New Roman" w:eastAsia="黑体"/>
          <w:sz w:val="32"/>
          <w:szCs w:val="32"/>
          <w:lang w:val="en-US" w:eastAsia="zh-CN"/>
        </w:rPr>
        <w:t>一、综合</w:t>
      </w:r>
    </w:p>
    <w:p w14:paraId="260160A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6"/>
          <w:szCs w:val="36"/>
          <w:lang w:val="en-US" w:eastAsia="zh-CN"/>
        </w:rPr>
      </w:pPr>
      <w:r>
        <w:rPr>
          <w:rFonts w:hint="eastAsia" w:ascii="Times New Roman" w:hAnsi="Times New Roman" w:eastAsia="仿宋_GB2312" w:cs="仿宋_GB2312"/>
          <w:sz w:val="32"/>
          <w:szCs w:val="32"/>
          <w:lang w:val="en-US" w:eastAsia="zh-CN"/>
        </w:rPr>
        <w:t>初步核算，全区地区生产总值415.24亿元，同比增长4.1%。其中，第一产业增加值0.08亿元，同比增长2.4%；第二产业增加值122.64亿元，同比增长8.0%；第三产业增加值292.51亿元，同比增长2.8%。三次产业结构为1:29:70。分季度看，一季度铁东区地区生产总值同比增长4.1%，二季度增长6.2%，三季度增长3.6%，四季度增长4.1%。</w:t>
      </w:r>
    </w:p>
    <w:p w14:paraId="78E990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600"/>
        <w:jc w:val="left"/>
        <w:rPr>
          <w:rFonts w:ascii="Times New Roman" w:hAnsi="Times New Roman"/>
          <w:sz w:val="19"/>
          <w:szCs w:val="19"/>
        </w:rPr>
      </w:pPr>
      <w:r>
        <w:rPr>
          <w:rFonts w:ascii="Times New Roman" w:hAnsi="Times New Roman"/>
        </w:rPr>
        <w:drawing>
          <wp:inline distT="0" distB="0" distL="114300" distR="114300">
            <wp:extent cx="5324475" cy="2941955"/>
            <wp:effectExtent l="4445" t="4445" r="5080" b="635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2B7B97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600"/>
        <w:jc w:val="both"/>
        <w:rPr>
          <w:rFonts w:ascii="Times New Roman" w:hAnsi="Times New Roman"/>
          <w:sz w:val="19"/>
          <w:szCs w:val="19"/>
        </w:rPr>
      </w:pPr>
    </w:p>
    <w:p w14:paraId="31FFBB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600"/>
        <w:jc w:val="left"/>
        <w:rPr>
          <w:rFonts w:ascii="Times New Roman" w:hAnsi="Times New Roman"/>
          <w:sz w:val="19"/>
          <w:szCs w:val="19"/>
        </w:rPr>
      </w:pPr>
      <w:r>
        <w:rPr>
          <w:rFonts w:ascii="Times New Roman" w:hAnsi="Times New Roman"/>
        </w:rPr>
        <w:drawing>
          <wp:inline distT="0" distB="0" distL="114300" distR="114300">
            <wp:extent cx="5210810" cy="2839085"/>
            <wp:effectExtent l="5080" t="4445" r="22860" b="13970"/>
            <wp:docPr id="6"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25B452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600"/>
        <w:jc w:val="left"/>
        <w:rPr>
          <w:rFonts w:hint="eastAsia" w:ascii="Times New Roman" w:hAnsi="Times New Roman" w:eastAsia="黑体"/>
          <w:sz w:val="32"/>
          <w:szCs w:val="32"/>
          <w:lang w:val="en-US" w:eastAsia="zh-CN"/>
        </w:rPr>
      </w:pPr>
    </w:p>
    <w:p w14:paraId="59362A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600" w:firstLine="640" w:firstLineChars="200"/>
        <w:jc w:val="left"/>
        <w:rPr>
          <w:rFonts w:ascii="Times New Roman" w:hAnsi="Times New Roman"/>
          <w:sz w:val="32"/>
          <w:szCs w:val="32"/>
        </w:rPr>
      </w:pPr>
      <w:r>
        <w:rPr>
          <w:rFonts w:hint="eastAsia" w:ascii="Times New Roman" w:hAnsi="Times New Roman" w:eastAsia="黑体"/>
          <w:sz w:val="32"/>
          <w:szCs w:val="32"/>
          <w:lang w:val="en-US" w:eastAsia="zh-CN"/>
        </w:rPr>
        <w:t>二、农业</w:t>
      </w:r>
      <w:r>
        <w:rPr>
          <w:rStyle w:val="8"/>
          <w:rFonts w:hint="default" w:ascii="Times New Roman" w:hAnsi="Times New Roman" w:eastAsia="sans-serif" w:cs="Times New Roman"/>
          <w:i w:val="0"/>
          <w:iCs w:val="0"/>
          <w:caps w:val="0"/>
          <w:color w:val="000000"/>
          <w:spacing w:val="0"/>
          <w:kern w:val="0"/>
          <w:sz w:val="32"/>
          <w:szCs w:val="32"/>
          <w:shd w:val="clear" w:fill="FFFFFF"/>
          <w:lang w:val="en-US" w:eastAsia="zh-CN" w:bidi="ar"/>
        </w:rPr>
        <w:t> </w:t>
      </w:r>
    </w:p>
    <w:p w14:paraId="2A3FDC7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2024年农林牧渔增加值844万元，同比增长2.4%。</w:t>
      </w:r>
    </w:p>
    <w:p w14:paraId="311F792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一季度，全区农林牧渔增加值增速4.5%。一季度全区生猪出栏233头，同比增长72.6%，环比增长66.4%；牛出栏17头；羊出栏198只，同比增长6倍，环比增长8倍；活家禽出栏8277只,同比增长8.7倍，环比增长1.28倍。</w:t>
      </w:r>
    </w:p>
    <w:p w14:paraId="486E55F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上半年，全区农林牧渔增加值增速4.9%。上半年全区生猪出栏累计374头，同比增长96.8%；牛出栏累计40头，同比增长2倍；羊出栏累计245只，同比增长88.2%；活家禽出栏累计9573只，同比增长151.2%。蔬菜及食用菌产量2季度累计52.5吨，同比增长2.9%。</w:t>
      </w:r>
    </w:p>
    <w:p w14:paraId="781E665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前三季度，全区农林牧渔增加值增速4.9%。前三季度全区生猪出栏累计441头，同比下降39.5%；牛出栏累计46头，同比增长170.0%；羊出栏累计330头，同比增长63.37%；活家禽累计出栏23601只，同比增长164.88%。蔬菜及食用菌产量三季度累计505.85吨，同比下降23.9%；园林水果产量三季度累计1726.4吨，同比增长20.63%。</w:t>
      </w:r>
    </w:p>
    <w:p w14:paraId="786D4AA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sz w:val="32"/>
          <w:szCs w:val="32"/>
          <w:lang w:val="en-US" w:eastAsia="zh-CN"/>
        </w:rPr>
      </w:pPr>
      <w:r>
        <w:rPr>
          <w:rFonts w:hint="eastAsia" w:ascii="Times New Roman" w:hAnsi="Times New Roman" w:eastAsia="仿宋_GB2312" w:cs="仿宋_GB2312"/>
          <w:sz w:val="32"/>
          <w:szCs w:val="32"/>
          <w:lang w:val="en-US" w:eastAsia="zh-CN"/>
        </w:rPr>
        <w:t>全年，全区农林牧渔增加值增速2.4%。全年全区生猪累计出栏579头，同比下降33.37%；牛出栏84头，同比增长3.94倍；羊出栏489只，同比增长1.18倍，家禽出栏45384只，同比增长2.62倍。蔬菜及食用菌产量全年累计849.2吨，同比增长10.13%。我区粮食产量702.53吨，同比下降21.39%。</w:t>
      </w:r>
    </w:p>
    <w:p w14:paraId="590117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600" w:right="600"/>
        <w:jc w:val="left"/>
        <w:rPr>
          <w:rFonts w:hint="default" w:ascii="Times New Roman" w:hAnsi="Times New Roman"/>
          <w:sz w:val="32"/>
          <w:szCs w:val="32"/>
          <w:lang w:val="en-US" w:eastAsia="zh-CN"/>
        </w:rPr>
      </w:pPr>
      <w:r>
        <w:rPr>
          <w:rFonts w:hint="eastAsia" w:ascii="Times New Roman" w:hAnsi="Times New Roman" w:eastAsia="黑体"/>
          <w:sz w:val="32"/>
          <w:szCs w:val="32"/>
          <w:lang w:val="en-US" w:eastAsia="zh-CN"/>
        </w:rPr>
        <w:t>三、工业</w:t>
      </w:r>
    </w:p>
    <w:p w14:paraId="11526A7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6"/>
          <w:szCs w:val="36"/>
          <w:lang w:val="en-US" w:eastAsia="zh-CN"/>
        </w:rPr>
      </w:pPr>
      <w:r>
        <w:rPr>
          <w:rFonts w:hint="eastAsia" w:ascii="Times New Roman" w:hAnsi="Times New Roman" w:eastAsia="仿宋_GB2312" w:cs="仿宋_GB2312"/>
          <w:sz w:val="32"/>
          <w:szCs w:val="32"/>
          <w:lang w:val="en-US" w:eastAsia="zh-CN"/>
        </w:rPr>
        <w:t>全年全区工业增加值同比下降4.5</w:t>
      </w:r>
      <w:r>
        <w:rPr>
          <w:rFonts w:hint="default"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。规上工业增加值同比下降5.6%。</w:t>
      </w:r>
    </w:p>
    <w:p w14:paraId="41F67BD4">
      <w:pPr>
        <w:pStyle w:val="4"/>
        <w:ind w:left="0" w:leftChars="0" w:firstLine="0" w:firstLineChars="0"/>
        <w:rPr>
          <w:rFonts w:hint="eastAsia" w:ascii="Times New Roman" w:hAnsi="Times New Roman"/>
          <w:lang w:val="en-US" w:eastAsia="zh-CN"/>
        </w:rPr>
      </w:pPr>
      <w:r>
        <w:rPr>
          <w:rFonts w:ascii="Times New Roman" w:hAnsi="Times New Roman"/>
        </w:rPr>
        <w:drawing>
          <wp:inline distT="0" distB="0" distL="114300" distR="114300">
            <wp:extent cx="5302250" cy="2764155"/>
            <wp:effectExtent l="4445" t="4445" r="8255" b="12700"/>
            <wp:docPr id="7"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57FFE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600" w:right="600"/>
        <w:jc w:val="left"/>
        <w:rPr>
          <w:rFonts w:hint="eastAsia" w:ascii="Times New Roman" w:hAnsi="Times New Roman" w:eastAsia="黑体"/>
          <w:sz w:val="32"/>
          <w:szCs w:val="32"/>
          <w:lang w:val="en-US" w:eastAsia="zh-CN"/>
        </w:rPr>
      </w:pPr>
    </w:p>
    <w:p w14:paraId="757261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600" w:right="600"/>
        <w:jc w:val="left"/>
        <w:rPr>
          <w:rFonts w:ascii="Times New Roman" w:hAnsi="Times New Roman"/>
          <w:sz w:val="32"/>
          <w:szCs w:val="32"/>
        </w:rPr>
      </w:pPr>
      <w:r>
        <w:rPr>
          <w:rFonts w:hint="eastAsia" w:ascii="Times New Roman" w:hAnsi="Times New Roman" w:eastAsia="黑体"/>
          <w:sz w:val="32"/>
          <w:szCs w:val="32"/>
          <w:lang w:val="en-US" w:eastAsia="zh-CN"/>
        </w:rPr>
        <w:t>四、建筑业</w:t>
      </w:r>
    </w:p>
    <w:p w14:paraId="5BD6CC6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6"/>
          <w:szCs w:val="36"/>
          <w:lang w:val="en-US" w:eastAsia="zh-CN"/>
        </w:rPr>
      </w:pPr>
      <w:r>
        <w:rPr>
          <w:rFonts w:hint="eastAsia" w:ascii="Times New Roman" w:hAnsi="Times New Roman" w:eastAsia="仿宋_GB2312" w:cs="仿宋_GB2312"/>
          <w:sz w:val="32"/>
          <w:szCs w:val="32"/>
          <w:lang w:val="en-US" w:eastAsia="zh-CN"/>
        </w:rPr>
        <w:t>全年全区建筑业增加值同比增长23.0</w:t>
      </w:r>
      <w:r>
        <w:rPr>
          <w:rFonts w:hint="default"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。建筑业产值同比增长14.0</w:t>
      </w:r>
      <w:r>
        <w:rPr>
          <w:rFonts w:hint="default"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，建安工程投资同比增长11.5</w:t>
      </w:r>
      <w:r>
        <w:rPr>
          <w:rFonts w:hint="default"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w:t>
      </w:r>
    </w:p>
    <w:p w14:paraId="6F7A78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600"/>
        <w:jc w:val="left"/>
        <w:rPr>
          <w:rFonts w:ascii="Times New Roman" w:hAnsi="Times New Roman"/>
          <w:sz w:val="19"/>
          <w:szCs w:val="19"/>
        </w:rPr>
      </w:pPr>
      <w:r>
        <w:rPr>
          <w:rFonts w:ascii="Times New Roman" w:hAnsi="Times New Roman"/>
        </w:rPr>
        <w:drawing>
          <wp:inline distT="0" distB="0" distL="114300" distR="114300">
            <wp:extent cx="5339715" cy="2762250"/>
            <wp:effectExtent l="4445" t="4445" r="8890" b="146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D4982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600" w:right="600"/>
        <w:jc w:val="left"/>
        <w:rPr>
          <w:rFonts w:hint="eastAsia" w:ascii="Times New Roman" w:hAnsi="Times New Roman" w:eastAsia="黑体"/>
          <w:sz w:val="32"/>
          <w:szCs w:val="32"/>
          <w:lang w:val="en-US" w:eastAsia="zh-CN"/>
        </w:rPr>
      </w:pPr>
    </w:p>
    <w:p w14:paraId="380F60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600" w:right="600"/>
        <w:jc w:val="left"/>
        <w:rPr>
          <w:rFonts w:hint="eastAsia" w:ascii="Times New Roman" w:hAnsi="Times New Roman" w:eastAsia="黑体"/>
          <w:sz w:val="32"/>
          <w:szCs w:val="32"/>
          <w:lang w:val="en-US" w:eastAsia="zh-CN"/>
        </w:rPr>
      </w:pPr>
      <w:r>
        <w:rPr>
          <w:rFonts w:hint="eastAsia" w:ascii="Times New Roman" w:hAnsi="Times New Roman" w:eastAsia="黑体"/>
          <w:sz w:val="32"/>
          <w:szCs w:val="32"/>
          <w:lang w:val="en-US" w:eastAsia="zh-CN"/>
        </w:rPr>
        <w:t>五、服务业</w:t>
      </w:r>
    </w:p>
    <w:p w14:paraId="4C0C598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互联网和相关服务业增加值同比下降17.8%；软件和信息技术服务业增加值同比增长38.3%；租赁和商贸服务业增加值较去年持平；科学研究和技术服务业增加值同比下降4.2%；居民服务、修理和其他服务业增加值同比下降4.2%；文化、体育和娱乐业增加值同比增长9.4%。</w:t>
      </w:r>
    </w:p>
    <w:p w14:paraId="56A764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600" w:right="600"/>
        <w:jc w:val="left"/>
        <w:rPr>
          <w:rFonts w:hint="eastAsia" w:ascii="Times New Roman" w:hAnsi="Times New Roman" w:eastAsia="黑体"/>
          <w:sz w:val="32"/>
          <w:szCs w:val="32"/>
          <w:lang w:val="en-US" w:eastAsia="zh-CN"/>
        </w:rPr>
      </w:pPr>
    </w:p>
    <w:p w14:paraId="36F98B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600" w:right="600"/>
        <w:jc w:val="left"/>
        <w:rPr>
          <w:rFonts w:hint="eastAsia" w:ascii="Times New Roman" w:hAnsi="Times New Roman" w:eastAsia="黑体"/>
          <w:sz w:val="32"/>
          <w:szCs w:val="32"/>
          <w:lang w:val="en-US" w:eastAsia="zh-CN"/>
        </w:rPr>
      </w:pPr>
      <w:r>
        <w:rPr>
          <w:rFonts w:hint="eastAsia" w:ascii="Times New Roman" w:hAnsi="Times New Roman" w:eastAsia="黑体"/>
          <w:sz w:val="32"/>
          <w:szCs w:val="32"/>
          <w:lang w:val="en-US" w:eastAsia="zh-CN"/>
        </w:rPr>
        <w:t>六、贸易</w:t>
      </w:r>
    </w:p>
    <w:p w14:paraId="02085B2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2024年，全区社会消费品零售总额142.0亿元，同比增长1.4%，其中，限额以上社会消费品零售额65.7亿元，同比增长7.1%，较上年提高2.6个百分点。</w:t>
      </w:r>
    </w:p>
    <w:p w14:paraId="66C94DB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全年限额以上单位商品零售额中，粮油、食品类零售额同比增长15.3%，饮料类增长107.5%，烟酒类增长9.3%，服装、鞋帽、针纺织品类增长5.8%，化妆品类下降13.1%，金银珠宝类增长54.9%，日用品类下降15.6%，体育、娱乐用品类下降32.4%，书报杂志类下降22.7%，家用电器和音像器材类增长122.4%，中西药品类增长13.5%，文化办公用品类增长5.6%，家具类下降93.9%,通信器材类增长25.3%，石油及制品类增长4.2%。</w:t>
      </w:r>
    </w:p>
    <w:p w14:paraId="1812C6F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sz w:val="32"/>
          <w:szCs w:val="32"/>
          <w:lang w:val="en-US" w:eastAsia="zh-CN"/>
        </w:rPr>
      </w:pPr>
      <w:r>
        <w:rPr>
          <w:rFonts w:hint="eastAsia" w:ascii="Times New Roman" w:hAnsi="Times New Roman" w:eastAsia="仿宋_GB2312" w:cs="仿宋_GB2312"/>
          <w:sz w:val="32"/>
          <w:szCs w:val="32"/>
          <w:lang w:val="en-US" w:eastAsia="zh-CN"/>
        </w:rPr>
        <w:t>2024年，限上批发和零售业单位通过公共网络实现零售额5.0亿元，同比增长195.0%，占限上批零业零售额的比重（8.0%）。</w:t>
      </w:r>
    </w:p>
    <w:p w14:paraId="60B895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600" w:right="600"/>
        <w:jc w:val="left"/>
        <w:rPr>
          <w:rFonts w:hint="eastAsia" w:ascii="Times New Roman" w:hAnsi="Times New Roman"/>
          <w:sz w:val="32"/>
          <w:szCs w:val="32"/>
          <w:lang w:val="en-US" w:eastAsia="zh-CN"/>
        </w:rPr>
      </w:pPr>
      <w:r>
        <w:rPr>
          <w:rFonts w:hint="eastAsia" w:ascii="Times New Roman" w:hAnsi="Times New Roman" w:eastAsia="黑体"/>
          <w:sz w:val="32"/>
          <w:szCs w:val="32"/>
          <w:lang w:val="en-US" w:eastAsia="zh-CN"/>
        </w:rPr>
        <w:t>七、固定资产投资</w:t>
      </w:r>
    </w:p>
    <w:p w14:paraId="68A4A71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2024年全年，全区固定资产投资额同比增长10.1%。其中：建设项目投资额占总投资额46.5%，同比下降0.6%；房地产投资额占总投资额53.5%，同比增长21.3%。截至2024年12月我区投资增速始终保持2位数增长。</w:t>
      </w:r>
    </w:p>
    <w:p w14:paraId="28492DE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建安工程投资额占总投资额77.0%，同比增长11.5%。</w:t>
      </w:r>
    </w:p>
    <w:p w14:paraId="0984EB1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商品房销售面积完成19.6万平，同比下降13.7%，增速列全市第五。</w:t>
      </w:r>
    </w:p>
    <w:p w14:paraId="191AF5C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1.从产业结构上看：二产投资额同比增长19.2%；三产投资额同比增长7.3%；其中：三产投资额占投资总量75%。</w:t>
      </w:r>
    </w:p>
    <w:p w14:paraId="1B1A217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2.从经济类型看：全区公有制经济投资额同比增长13%；非公有制经济投资额同比增长7.1%。</w:t>
      </w:r>
    </w:p>
    <w:p w14:paraId="3545A18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3.从投资规模看：5千万以上在建项目60个，投资额同比增长11.3%；亿元以上在建项目46个，投资额同比增长39.5%；五亿以上在建项目17个，投资额同比增长74.8%；十亿以上在建项目10个，投资额同比增长99.3%。</w:t>
      </w:r>
    </w:p>
    <w:p w14:paraId="3C23F8E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社会类投资（占总投资额70%）同比增长15.5%,拉动率10.3%。</w:t>
      </w:r>
    </w:p>
    <w:p w14:paraId="3C2EF76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扩建项目13个，比去年同期增加2个，同比增长18.2%；投资额比去年同期增长214.7%。</w:t>
      </w:r>
    </w:p>
    <w:p w14:paraId="567ED7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600" w:right="600"/>
        <w:jc w:val="left"/>
        <w:rPr>
          <w:rFonts w:hint="eastAsia" w:ascii="Times New Roman" w:hAnsi="Times New Roman" w:eastAsia="黑体"/>
          <w:sz w:val="32"/>
          <w:szCs w:val="32"/>
          <w:lang w:val="en-US" w:eastAsia="zh-CN"/>
        </w:rPr>
      </w:pPr>
      <w:r>
        <w:rPr>
          <w:rFonts w:hint="eastAsia" w:ascii="Times New Roman" w:hAnsi="Times New Roman" w:eastAsia="黑体"/>
          <w:sz w:val="32"/>
          <w:szCs w:val="32"/>
          <w:lang w:val="en-US" w:eastAsia="zh-CN"/>
        </w:rPr>
        <w:t>八、人均可支配收入</w:t>
      </w:r>
    </w:p>
    <w:p w14:paraId="2EFE43A0">
      <w:pPr>
        <w:pStyle w:val="4"/>
        <w:numPr>
          <w:ilvl w:val="0"/>
          <w:numId w:val="0"/>
        </w:numPr>
        <w:ind w:firstLine="640" w:firstLineChars="200"/>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铁东区2024年城镇居民人均可支配收入57723元，同比增长3.5%。</w:t>
      </w:r>
    </w:p>
    <w:p w14:paraId="44E01CF7">
      <w:pPr>
        <w:pStyle w:val="4"/>
        <w:numPr>
          <w:ilvl w:val="0"/>
          <w:numId w:val="0"/>
        </w:numPr>
        <w:rPr>
          <w:rFonts w:hint="eastAsia" w:ascii="Times New Roman" w:hAnsi="Times New Roman"/>
          <w:lang w:val="en-US" w:eastAsia="zh-CN"/>
        </w:rPr>
      </w:pPr>
      <w:r>
        <w:rPr>
          <w:rFonts w:ascii="Times New Roman" w:hAnsi="Times New Roman"/>
        </w:rPr>
        <w:drawing>
          <wp:inline distT="0" distB="0" distL="114300" distR="114300">
            <wp:extent cx="5339715" cy="2895600"/>
            <wp:effectExtent l="4445" t="4445" r="8890" b="14605"/>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00ED3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600" w:right="600"/>
        <w:jc w:val="left"/>
        <w:rPr>
          <w:rFonts w:hint="eastAsia" w:ascii="Times New Roman" w:hAnsi="Times New Roman" w:eastAsia="黑体"/>
          <w:sz w:val="32"/>
          <w:szCs w:val="32"/>
          <w:lang w:val="en-US" w:eastAsia="zh-CN"/>
        </w:rPr>
      </w:pPr>
    </w:p>
    <w:p w14:paraId="26BEE9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600" w:right="600"/>
        <w:jc w:val="left"/>
        <w:rPr>
          <w:rStyle w:val="8"/>
          <w:rFonts w:hint="eastAsia" w:ascii="Times New Roman" w:hAnsi="Times New Roman" w:eastAsia="宋体" w:cs="宋体"/>
          <w:i w:val="0"/>
          <w:iCs w:val="0"/>
          <w:caps w:val="0"/>
          <w:color w:val="000000"/>
          <w:spacing w:val="0"/>
          <w:kern w:val="0"/>
          <w:sz w:val="32"/>
          <w:szCs w:val="32"/>
          <w:shd w:val="clear" w:fill="FFFFFF"/>
          <w:lang w:val="en-US" w:eastAsia="zh-CN" w:bidi="ar"/>
        </w:rPr>
      </w:pPr>
      <w:r>
        <w:rPr>
          <w:rFonts w:hint="eastAsia" w:ascii="Times New Roman" w:hAnsi="Times New Roman" w:eastAsia="黑体"/>
          <w:sz w:val="32"/>
          <w:szCs w:val="32"/>
          <w:lang w:val="en-US" w:eastAsia="zh-CN"/>
        </w:rPr>
        <w:t>九、财政金融</w:t>
      </w:r>
    </w:p>
    <w:p w14:paraId="6F018CA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仿宋_GB2312"/>
          <w:kern w:val="2"/>
          <w:sz w:val="36"/>
          <w:szCs w:val="36"/>
          <w:lang w:val="en-US" w:eastAsia="zh-CN" w:bidi="ar-SA"/>
        </w:rPr>
      </w:pPr>
      <w:r>
        <w:rPr>
          <w:rFonts w:hint="eastAsia" w:ascii="Times New Roman" w:hAnsi="Times New Roman" w:eastAsia="仿宋_GB2312" w:cs="仿宋_GB2312"/>
          <w:kern w:val="2"/>
          <w:sz w:val="32"/>
          <w:szCs w:val="32"/>
          <w:lang w:val="en-US" w:eastAsia="zh-CN" w:bidi="ar-SA"/>
        </w:rPr>
        <w:t>全年全区一般公共预算收入10.83亿元，同比增长</w:t>
      </w:r>
      <w:r>
        <w:rPr>
          <w:rFonts w:hint="default" w:ascii="Times New Roman" w:hAnsi="Times New Roman" w:eastAsia="仿宋_GB2312" w:cs="仿宋_GB2312"/>
          <w:kern w:val="2"/>
          <w:sz w:val="32"/>
          <w:szCs w:val="32"/>
          <w:lang w:val="en-US" w:eastAsia="zh-CN" w:bidi="ar-SA"/>
        </w:rPr>
        <w:t>6.</w:t>
      </w:r>
      <w:r>
        <w:rPr>
          <w:rFonts w:hint="eastAsia" w:ascii="Times New Roman" w:hAnsi="Times New Roman" w:eastAsia="仿宋_GB2312" w:cs="仿宋_GB2312"/>
          <w:kern w:val="2"/>
          <w:sz w:val="32"/>
          <w:szCs w:val="32"/>
          <w:lang w:val="en-US" w:eastAsia="zh-CN" w:bidi="ar-SA"/>
        </w:rPr>
        <w:t>3</w:t>
      </w:r>
      <w:r>
        <w:rPr>
          <w:rFonts w:hint="default" w:ascii="Times New Roman" w:hAnsi="Times New Roman" w:eastAsia="仿宋_GB2312" w:cs="仿宋_GB2312"/>
          <w:kern w:val="2"/>
          <w:sz w:val="32"/>
          <w:szCs w:val="32"/>
          <w:lang w:val="en-US" w:eastAsia="zh-CN" w:bidi="ar-SA"/>
        </w:rPr>
        <w:t>%</w:t>
      </w:r>
      <w:r>
        <w:rPr>
          <w:rFonts w:hint="eastAsia" w:ascii="Times New Roman" w:hAnsi="Times New Roman" w:eastAsia="仿宋_GB2312" w:cs="仿宋_GB2312"/>
          <w:kern w:val="2"/>
          <w:sz w:val="32"/>
          <w:szCs w:val="32"/>
          <w:lang w:val="en-US" w:eastAsia="zh-CN" w:bidi="ar-SA"/>
        </w:rPr>
        <w:t>；其中税收收入9.56亿元，同比增长6.1</w:t>
      </w:r>
      <w:r>
        <w:rPr>
          <w:rFonts w:hint="default" w:ascii="Times New Roman" w:hAnsi="Times New Roman" w:eastAsia="仿宋_GB2312" w:cs="仿宋_GB2312"/>
          <w:kern w:val="2"/>
          <w:sz w:val="32"/>
          <w:szCs w:val="32"/>
          <w:lang w:val="en-US" w:eastAsia="zh-CN" w:bidi="ar-SA"/>
        </w:rPr>
        <w:t>%</w:t>
      </w:r>
      <w:r>
        <w:rPr>
          <w:rFonts w:hint="eastAsia" w:ascii="Times New Roman" w:hAnsi="Times New Roman" w:eastAsia="仿宋_GB2312" w:cs="仿宋_GB2312"/>
          <w:kern w:val="2"/>
          <w:sz w:val="32"/>
          <w:szCs w:val="32"/>
          <w:lang w:val="en-US" w:eastAsia="zh-CN" w:bidi="ar-SA"/>
        </w:rPr>
        <w:t>。全区一般公共预算支出16.89亿元，同比下降3.8</w:t>
      </w:r>
      <w:r>
        <w:rPr>
          <w:rFonts w:hint="default" w:ascii="Times New Roman" w:hAnsi="Times New Roman" w:eastAsia="仿宋_GB2312" w:cs="仿宋_GB2312"/>
          <w:kern w:val="2"/>
          <w:sz w:val="32"/>
          <w:szCs w:val="32"/>
          <w:lang w:val="en-US" w:eastAsia="zh-CN" w:bidi="ar-SA"/>
        </w:rPr>
        <w:t>%</w:t>
      </w:r>
      <w:r>
        <w:rPr>
          <w:rFonts w:hint="eastAsia" w:ascii="Times New Roman" w:hAnsi="Times New Roman" w:eastAsia="仿宋_GB2312" w:cs="仿宋_GB2312"/>
          <w:kern w:val="2"/>
          <w:sz w:val="32"/>
          <w:szCs w:val="32"/>
          <w:lang w:val="en-US" w:eastAsia="zh-CN" w:bidi="ar-SA"/>
        </w:rPr>
        <w:t>。</w:t>
      </w:r>
      <w:bookmarkStart w:id="0" w:name="_GoBack"/>
      <w:bookmarkEnd w:id="0"/>
    </w:p>
    <w:p w14:paraId="5F1A88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600"/>
        <w:jc w:val="left"/>
        <w:rPr>
          <w:rFonts w:hint="default" w:ascii="Times New Roman" w:hAnsi="Times New Roman" w:eastAsia="sans-serif" w:cs="Times New Roman"/>
          <w:i w:val="0"/>
          <w:iCs w:val="0"/>
          <w:caps w:val="0"/>
          <w:color w:val="000000"/>
          <w:spacing w:val="0"/>
          <w:kern w:val="0"/>
          <w:sz w:val="24"/>
          <w:szCs w:val="24"/>
          <w:shd w:val="clear" w:fill="FFFFFF"/>
          <w:lang w:val="en-US" w:eastAsia="zh-CN" w:bidi="ar"/>
        </w:rPr>
      </w:pPr>
      <w:r>
        <w:rPr>
          <w:rFonts w:ascii="Times New Roman" w:hAnsi="Times New Roman"/>
        </w:rPr>
        <w:drawing>
          <wp:inline distT="0" distB="0" distL="114300" distR="114300">
            <wp:extent cx="5311775" cy="2971800"/>
            <wp:effectExtent l="4445" t="4445" r="17780"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5C19813">
      <w:pPr>
        <w:pStyle w:val="4"/>
        <w:ind w:left="0" w:leftChars="0" w:firstLine="0" w:firstLineChars="0"/>
        <w:rPr>
          <w:rFonts w:hint="default" w:ascii="Times New Roman" w:hAnsi="Times New Roman" w:eastAsia="sans-serif" w:cs="Times New Roman"/>
          <w:i w:val="0"/>
          <w:iCs w:val="0"/>
          <w:caps w:val="0"/>
          <w:color w:val="000000"/>
          <w:spacing w:val="0"/>
          <w:kern w:val="0"/>
          <w:sz w:val="24"/>
          <w:szCs w:val="24"/>
          <w:shd w:val="clear" w:fill="FFFFFF"/>
          <w:lang w:val="en-US" w:eastAsia="zh-CN" w:bidi="ar"/>
        </w:rPr>
      </w:pPr>
    </w:p>
    <w:p w14:paraId="173B4C4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left"/>
        <w:rPr>
          <w:rFonts w:hint="eastAsia" w:ascii="Times New Roman" w:hAnsi="Times New Roman" w:eastAsia="仿宋_GB2312" w:cs="Times New Roman"/>
          <w:b/>
          <w:bCs/>
          <w:kern w:val="0"/>
          <w:sz w:val="32"/>
          <w:szCs w:val="32"/>
          <w:lang w:val="en-US" w:eastAsia="zh-CN" w:bidi="ar-SA"/>
        </w:rPr>
      </w:pPr>
      <w:r>
        <w:rPr>
          <w:rFonts w:hint="eastAsia" w:ascii="Times New Roman" w:hAnsi="Times New Roman" w:eastAsia="仿宋_GB2312" w:cs="Times New Roman"/>
          <w:b/>
          <w:bCs/>
          <w:kern w:val="0"/>
          <w:sz w:val="32"/>
          <w:szCs w:val="32"/>
          <w:lang w:val="en-US" w:eastAsia="zh-CN" w:bidi="ar-SA"/>
        </w:rPr>
        <w:t>注释：</w:t>
      </w:r>
    </w:p>
    <w:p w14:paraId="3D0AD66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left"/>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1.本公报中2024年数据均为初步统计数据。部分指标数据在年报时可能还有调整。部分数据因四舍五入的原因，存在总计与分项合计不等的情况。</w:t>
      </w:r>
    </w:p>
    <w:p w14:paraId="1D6E57D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left"/>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2.地区生产总值、各产业增加值绝对数按现价计算，增长速度按不变价计算，为快报数据。</w:t>
      </w:r>
    </w:p>
    <w:p w14:paraId="6F650CC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left"/>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3.规模以上工业：统计范围为年主营业务收入2000万元以上的工业法人单位。</w:t>
      </w:r>
    </w:p>
    <w:p w14:paraId="372832F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left"/>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4.社会消费品零售总额统计中限额以上单位：指年主营业务收入2000万元以上的批发业单位、500万元以上的零售业单位、200万元以上的住宿和餐饮业单位。</w:t>
      </w:r>
    </w:p>
    <w:p w14:paraId="6E788D9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left"/>
        <w:rPr>
          <w:rFonts w:hint="default"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5.固定资产投资（不含农户）：统计范围为各种登记注册类型的法人单位以及个体经营进行的计划总投资500万元及以上的投资项目，不包括农户投资、军工和国防项目。</w:t>
      </w:r>
    </w:p>
    <w:p w14:paraId="1FE570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600" w:right="600"/>
        <w:jc w:val="left"/>
        <w:rPr>
          <w:rFonts w:hint="eastAsia" w:ascii="Times New Roman" w:hAnsi="Times New Roman" w:eastAsia="仿宋_GB2312" w:cs="Times New Roman"/>
          <w:kern w:val="0"/>
          <w:sz w:val="32"/>
          <w:szCs w:val="32"/>
          <w:lang w:val="en-US" w:eastAsia="zh-CN" w:bidi="ar-SA"/>
        </w:rPr>
      </w:pPr>
    </w:p>
    <w:p w14:paraId="4D1B1B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600" w:right="600"/>
        <w:jc w:val="left"/>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 </w:t>
      </w:r>
    </w:p>
    <w:p w14:paraId="447DB752">
      <w:pPr>
        <w:rPr>
          <w:rFonts w:hint="eastAsia" w:ascii="Times New Roman" w:hAnsi="Times New Roman" w:eastAsia="仿宋_GB2312" w:cs="Times New Roman"/>
          <w:kern w:val="0"/>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B44D3"/>
    <w:rsid w:val="00473031"/>
    <w:rsid w:val="00B701B7"/>
    <w:rsid w:val="00BF0E19"/>
    <w:rsid w:val="00E40880"/>
    <w:rsid w:val="00EA40E8"/>
    <w:rsid w:val="00F705B3"/>
    <w:rsid w:val="019C5F57"/>
    <w:rsid w:val="01EC3E90"/>
    <w:rsid w:val="020A2568"/>
    <w:rsid w:val="02533683"/>
    <w:rsid w:val="025A34EF"/>
    <w:rsid w:val="02F079B0"/>
    <w:rsid w:val="030A6CC4"/>
    <w:rsid w:val="03125B78"/>
    <w:rsid w:val="036A7762"/>
    <w:rsid w:val="038A3960"/>
    <w:rsid w:val="03B92498"/>
    <w:rsid w:val="04561A95"/>
    <w:rsid w:val="046441B2"/>
    <w:rsid w:val="04A24CDA"/>
    <w:rsid w:val="05A36F5B"/>
    <w:rsid w:val="05A827C4"/>
    <w:rsid w:val="05EA2DDC"/>
    <w:rsid w:val="063D4CBA"/>
    <w:rsid w:val="063F4ED6"/>
    <w:rsid w:val="064F2C3F"/>
    <w:rsid w:val="065B15E4"/>
    <w:rsid w:val="06856661"/>
    <w:rsid w:val="06FC6923"/>
    <w:rsid w:val="07603356"/>
    <w:rsid w:val="07B436A2"/>
    <w:rsid w:val="07DB29DD"/>
    <w:rsid w:val="083640B7"/>
    <w:rsid w:val="08A13C26"/>
    <w:rsid w:val="08F16230"/>
    <w:rsid w:val="090441B5"/>
    <w:rsid w:val="098B21E0"/>
    <w:rsid w:val="09975029"/>
    <w:rsid w:val="09B1630C"/>
    <w:rsid w:val="09E55D95"/>
    <w:rsid w:val="0A782765"/>
    <w:rsid w:val="0A7E3AF3"/>
    <w:rsid w:val="0AA479FE"/>
    <w:rsid w:val="0ABF0394"/>
    <w:rsid w:val="0ADF0A36"/>
    <w:rsid w:val="0AFA761E"/>
    <w:rsid w:val="0B077F8D"/>
    <w:rsid w:val="0B2621C1"/>
    <w:rsid w:val="0B61144B"/>
    <w:rsid w:val="0B860EB1"/>
    <w:rsid w:val="0BAD4690"/>
    <w:rsid w:val="0BD7170D"/>
    <w:rsid w:val="0C1464BD"/>
    <w:rsid w:val="0C1741FF"/>
    <w:rsid w:val="0C300E1D"/>
    <w:rsid w:val="0CC954FA"/>
    <w:rsid w:val="0D044784"/>
    <w:rsid w:val="0D1B7335"/>
    <w:rsid w:val="0D464D9C"/>
    <w:rsid w:val="0DA11FD2"/>
    <w:rsid w:val="0DB00467"/>
    <w:rsid w:val="0DB5782C"/>
    <w:rsid w:val="0E51617F"/>
    <w:rsid w:val="0F24110D"/>
    <w:rsid w:val="0F242EBB"/>
    <w:rsid w:val="0F3D3F7D"/>
    <w:rsid w:val="0F580DB7"/>
    <w:rsid w:val="0FB26719"/>
    <w:rsid w:val="0FCE50CD"/>
    <w:rsid w:val="0FD160F1"/>
    <w:rsid w:val="100E1475"/>
    <w:rsid w:val="104650B3"/>
    <w:rsid w:val="106612B1"/>
    <w:rsid w:val="10C81F6C"/>
    <w:rsid w:val="10E548CC"/>
    <w:rsid w:val="114809B7"/>
    <w:rsid w:val="11DC5CCF"/>
    <w:rsid w:val="11ED1C8A"/>
    <w:rsid w:val="124318AA"/>
    <w:rsid w:val="125A3098"/>
    <w:rsid w:val="12704669"/>
    <w:rsid w:val="12812537"/>
    <w:rsid w:val="12A14823"/>
    <w:rsid w:val="12A85BB1"/>
    <w:rsid w:val="12F11306"/>
    <w:rsid w:val="13286CF2"/>
    <w:rsid w:val="135B2C24"/>
    <w:rsid w:val="139323BD"/>
    <w:rsid w:val="13B10A95"/>
    <w:rsid w:val="14090C6E"/>
    <w:rsid w:val="144162BD"/>
    <w:rsid w:val="147E4E1C"/>
    <w:rsid w:val="14977C8B"/>
    <w:rsid w:val="14A90F1B"/>
    <w:rsid w:val="153B2D0D"/>
    <w:rsid w:val="15D171CD"/>
    <w:rsid w:val="165247B2"/>
    <w:rsid w:val="16EB42BE"/>
    <w:rsid w:val="174A7237"/>
    <w:rsid w:val="175B7696"/>
    <w:rsid w:val="176359F5"/>
    <w:rsid w:val="17654071"/>
    <w:rsid w:val="17942BA8"/>
    <w:rsid w:val="181B6E25"/>
    <w:rsid w:val="183121A5"/>
    <w:rsid w:val="18700F1F"/>
    <w:rsid w:val="18982224"/>
    <w:rsid w:val="18B54B84"/>
    <w:rsid w:val="18BC5F12"/>
    <w:rsid w:val="190B0C48"/>
    <w:rsid w:val="191B56DA"/>
    <w:rsid w:val="19257F5C"/>
    <w:rsid w:val="19D757C0"/>
    <w:rsid w:val="1A0A53A3"/>
    <w:rsid w:val="1A187AC0"/>
    <w:rsid w:val="1A1E7FDD"/>
    <w:rsid w:val="1A393593"/>
    <w:rsid w:val="1AD803C3"/>
    <w:rsid w:val="1B26620D"/>
    <w:rsid w:val="1BE6345A"/>
    <w:rsid w:val="1C073948"/>
    <w:rsid w:val="1C7F3E27"/>
    <w:rsid w:val="1C817B9F"/>
    <w:rsid w:val="1D1F4CC2"/>
    <w:rsid w:val="1D491D3F"/>
    <w:rsid w:val="1D6A0633"/>
    <w:rsid w:val="1E8E0351"/>
    <w:rsid w:val="1EC04283"/>
    <w:rsid w:val="1EDF295B"/>
    <w:rsid w:val="1EE7180F"/>
    <w:rsid w:val="1EFD1033"/>
    <w:rsid w:val="1F9740D3"/>
    <w:rsid w:val="1FA26D7C"/>
    <w:rsid w:val="1FDC50EC"/>
    <w:rsid w:val="1FF00B97"/>
    <w:rsid w:val="1FF22B62"/>
    <w:rsid w:val="1FF40688"/>
    <w:rsid w:val="20140D2A"/>
    <w:rsid w:val="206770AC"/>
    <w:rsid w:val="20784E15"/>
    <w:rsid w:val="20CB181E"/>
    <w:rsid w:val="20E24984"/>
    <w:rsid w:val="211865F8"/>
    <w:rsid w:val="21D62C26"/>
    <w:rsid w:val="21E85FCA"/>
    <w:rsid w:val="22723AE6"/>
    <w:rsid w:val="22931452"/>
    <w:rsid w:val="22AA3280"/>
    <w:rsid w:val="22DD3655"/>
    <w:rsid w:val="22E9024C"/>
    <w:rsid w:val="22FA4207"/>
    <w:rsid w:val="23201794"/>
    <w:rsid w:val="232F19D7"/>
    <w:rsid w:val="23776020"/>
    <w:rsid w:val="23AE6D9F"/>
    <w:rsid w:val="23DD1433"/>
    <w:rsid w:val="24247062"/>
    <w:rsid w:val="24443260"/>
    <w:rsid w:val="246C2EE2"/>
    <w:rsid w:val="24791413"/>
    <w:rsid w:val="24CA5E5B"/>
    <w:rsid w:val="251D5F8B"/>
    <w:rsid w:val="255A0F8D"/>
    <w:rsid w:val="257B0F03"/>
    <w:rsid w:val="25A91F14"/>
    <w:rsid w:val="25B6018D"/>
    <w:rsid w:val="26AA1AA0"/>
    <w:rsid w:val="26C2328E"/>
    <w:rsid w:val="271433BD"/>
    <w:rsid w:val="272D447F"/>
    <w:rsid w:val="27473793"/>
    <w:rsid w:val="27962024"/>
    <w:rsid w:val="27A44741"/>
    <w:rsid w:val="27BC5F2F"/>
    <w:rsid w:val="2835183D"/>
    <w:rsid w:val="28754330"/>
    <w:rsid w:val="28F90ABD"/>
    <w:rsid w:val="294837F2"/>
    <w:rsid w:val="294A756A"/>
    <w:rsid w:val="295126A7"/>
    <w:rsid w:val="29606D8E"/>
    <w:rsid w:val="299A22A0"/>
    <w:rsid w:val="2A111E36"/>
    <w:rsid w:val="2A222295"/>
    <w:rsid w:val="2A337FFE"/>
    <w:rsid w:val="2A571F3F"/>
    <w:rsid w:val="2A7D74CC"/>
    <w:rsid w:val="2AA9206F"/>
    <w:rsid w:val="2AF23A16"/>
    <w:rsid w:val="2B011EAB"/>
    <w:rsid w:val="2B141BDE"/>
    <w:rsid w:val="2B2D4A4E"/>
    <w:rsid w:val="2B801021"/>
    <w:rsid w:val="2C016606"/>
    <w:rsid w:val="2C212804"/>
    <w:rsid w:val="2C471B3F"/>
    <w:rsid w:val="2C82701B"/>
    <w:rsid w:val="2C9E20A7"/>
    <w:rsid w:val="2CC855F5"/>
    <w:rsid w:val="2D5C5ABE"/>
    <w:rsid w:val="2D80355B"/>
    <w:rsid w:val="2DA51213"/>
    <w:rsid w:val="2DD218DC"/>
    <w:rsid w:val="2DEC765C"/>
    <w:rsid w:val="2E04418C"/>
    <w:rsid w:val="2E1822CC"/>
    <w:rsid w:val="2E4B1DBB"/>
    <w:rsid w:val="2E825006"/>
    <w:rsid w:val="2E84707B"/>
    <w:rsid w:val="2F2919D0"/>
    <w:rsid w:val="2F2B1BEC"/>
    <w:rsid w:val="2F2D326E"/>
    <w:rsid w:val="2FE9188B"/>
    <w:rsid w:val="307849BD"/>
    <w:rsid w:val="30EE4C7F"/>
    <w:rsid w:val="312219FA"/>
    <w:rsid w:val="31413001"/>
    <w:rsid w:val="3199017C"/>
    <w:rsid w:val="31AD0696"/>
    <w:rsid w:val="31D65E3F"/>
    <w:rsid w:val="32326DEE"/>
    <w:rsid w:val="32EB76C8"/>
    <w:rsid w:val="32FF13C6"/>
    <w:rsid w:val="33174961"/>
    <w:rsid w:val="3361798A"/>
    <w:rsid w:val="33EC194A"/>
    <w:rsid w:val="34692F9B"/>
    <w:rsid w:val="34CB5A03"/>
    <w:rsid w:val="34CE54F3"/>
    <w:rsid w:val="34D851D6"/>
    <w:rsid w:val="356E7CB7"/>
    <w:rsid w:val="35CD7559"/>
    <w:rsid w:val="361A2073"/>
    <w:rsid w:val="36776206"/>
    <w:rsid w:val="369462C9"/>
    <w:rsid w:val="36B14785"/>
    <w:rsid w:val="36B424C7"/>
    <w:rsid w:val="36B85B13"/>
    <w:rsid w:val="36E0150E"/>
    <w:rsid w:val="36E27034"/>
    <w:rsid w:val="36E96615"/>
    <w:rsid w:val="370E1BD7"/>
    <w:rsid w:val="3821593A"/>
    <w:rsid w:val="384004B6"/>
    <w:rsid w:val="38683569"/>
    <w:rsid w:val="387168C2"/>
    <w:rsid w:val="38B22A36"/>
    <w:rsid w:val="38B467AE"/>
    <w:rsid w:val="38BE762D"/>
    <w:rsid w:val="3905700A"/>
    <w:rsid w:val="392A6A70"/>
    <w:rsid w:val="39A46823"/>
    <w:rsid w:val="39B12CEE"/>
    <w:rsid w:val="39C96289"/>
    <w:rsid w:val="3A0948D8"/>
    <w:rsid w:val="3A940645"/>
    <w:rsid w:val="3A970136"/>
    <w:rsid w:val="3AAD7959"/>
    <w:rsid w:val="3ACD3B57"/>
    <w:rsid w:val="3B0E03F8"/>
    <w:rsid w:val="3B3360B0"/>
    <w:rsid w:val="3B716BD9"/>
    <w:rsid w:val="3B765F9D"/>
    <w:rsid w:val="3B7D732B"/>
    <w:rsid w:val="3B9D352A"/>
    <w:rsid w:val="3BA0301A"/>
    <w:rsid w:val="3C277297"/>
    <w:rsid w:val="3C4E0CC8"/>
    <w:rsid w:val="3C7F70D3"/>
    <w:rsid w:val="3CFE1F77"/>
    <w:rsid w:val="3D7A7FC6"/>
    <w:rsid w:val="3DF633C5"/>
    <w:rsid w:val="3E8F7AA2"/>
    <w:rsid w:val="3ECA0ADA"/>
    <w:rsid w:val="3ED045EF"/>
    <w:rsid w:val="3F4978CC"/>
    <w:rsid w:val="3F8F587F"/>
    <w:rsid w:val="3FB47094"/>
    <w:rsid w:val="3FBA6DA0"/>
    <w:rsid w:val="3FCE0156"/>
    <w:rsid w:val="40204729"/>
    <w:rsid w:val="4021297B"/>
    <w:rsid w:val="40384169"/>
    <w:rsid w:val="4070745F"/>
    <w:rsid w:val="40827192"/>
    <w:rsid w:val="414508EB"/>
    <w:rsid w:val="41466412"/>
    <w:rsid w:val="4157061F"/>
    <w:rsid w:val="418807D8"/>
    <w:rsid w:val="418A5D8B"/>
    <w:rsid w:val="42134546"/>
    <w:rsid w:val="428B0580"/>
    <w:rsid w:val="42CB4E20"/>
    <w:rsid w:val="42F04887"/>
    <w:rsid w:val="43650DD1"/>
    <w:rsid w:val="43D16466"/>
    <w:rsid w:val="443D3AFC"/>
    <w:rsid w:val="44BA6EFA"/>
    <w:rsid w:val="44D426B2"/>
    <w:rsid w:val="44DF2E05"/>
    <w:rsid w:val="452B7DF8"/>
    <w:rsid w:val="46B61944"/>
    <w:rsid w:val="46BF44D1"/>
    <w:rsid w:val="47797541"/>
    <w:rsid w:val="47DE73A4"/>
    <w:rsid w:val="47E349BA"/>
    <w:rsid w:val="47EF335F"/>
    <w:rsid w:val="47F646ED"/>
    <w:rsid w:val="481B05F8"/>
    <w:rsid w:val="48401E0D"/>
    <w:rsid w:val="488C5052"/>
    <w:rsid w:val="48C93BB0"/>
    <w:rsid w:val="48DA5DBD"/>
    <w:rsid w:val="49831FB1"/>
    <w:rsid w:val="49E1317B"/>
    <w:rsid w:val="4A6718D3"/>
    <w:rsid w:val="4A7D2EA4"/>
    <w:rsid w:val="4A7F4E6E"/>
    <w:rsid w:val="4A9B332A"/>
    <w:rsid w:val="4ABE526B"/>
    <w:rsid w:val="4ADB5E1D"/>
    <w:rsid w:val="4AFF1B0B"/>
    <w:rsid w:val="4AFF7D5D"/>
    <w:rsid w:val="4B1F5D09"/>
    <w:rsid w:val="4B6422B6"/>
    <w:rsid w:val="4B885FA4"/>
    <w:rsid w:val="4BA10E14"/>
    <w:rsid w:val="4C0F3FD0"/>
    <w:rsid w:val="4CAD5597"/>
    <w:rsid w:val="4CC90623"/>
    <w:rsid w:val="4CE4545C"/>
    <w:rsid w:val="4CE4720A"/>
    <w:rsid w:val="4D942E5A"/>
    <w:rsid w:val="4D9F75D5"/>
    <w:rsid w:val="4DA22C22"/>
    <w:rsid w:val="4DB017E2"/>
    <w:rsid w:val="4DC46494"/>
    <w:rsid w:val="4DE90850"/>
    <w:rsid w:val="4E355844"/>
    <w:rsid w:val="4E6879C7"/>
    <w:rsid w:val="4EAA7FE0"/>
    <w:rsid w:val="4EEA4880"/>
    <w:rsid w:val="4F035942"/>
    <w:rsid w:val="4F5543EF"/>
    <w:rsid w:val="4FA90297"/>
    <w:rsid w:val="4FB8497E"/>
    <w:rsid w:val="4FDD6193"/>
    <w:rsid w:val="505521CD"/>
    <w:rsid w:val="50CF01D2"/>
    <w:rsid w:val="50EA500B"/>
    <w:rsid w:val="50EE4AFC"/>
    <w:rsid w:val="50F1639A"/>
    <w:rsid w:val="50F73284"/>
    <w:rsid w:val="51087240"/>
    <w:rsid w:val="51465B94"/>
    <w:rsid w:val="51510BE7"/>
    <w:rsid w:val="51764728"/>
    <w:rsid w:val="51956D25"/>
    <w:rsid w:val="52416EAD"/>
    <w:rsid w:val="52691F60"/>
    <w:rsid w:val="53095C1D"/>
    <w:rsid w:val="530A54F1"/>
    <w:rsid w:val="531B14AC"/>
    <w:rsid w:val="536C1D08"/>
    <w:rsid w:val="53901E9A"/>
    <w:rsid w:val="539F3E8B"/>
    <w:rsid w:val="53B4545D"/>
    <w:rsid w:val="53D61877"/>
    <w:rsid w:val="53FA7313"/>
    <w:rsid w:val="54404FC4"/>
    <w:rsid w:val="54596730"/>
    <w:rsid w:val="54BF40B9"/>
    <w:rsid w:val="5523289A"/>
    <w:rsid w:val="554A6079"/>
    <w:rsid w:val="55517407"/>
    <w:rsid w:val="555D03DB"/>
    <w:rsid w:val="557E470F"/>
    <w:rsid w:val="55EA33B8"/>
    <w:rsid w:val="56262642"/>
    <w:rsid w:val="563F3703"/>
    <w:rsid w:val="56617B1E"/>
    <w:rsid w:val="56644F18"/>
    <w:rsid w:val="56B57E6A"/>
    <w:rsid w:val="56C705CE"/>
    <w:rsid w:val="56D402F0"/>
    <w:rsid w:val="5737087F"/>
    <w:rsid w:val="579730CB"/>
    <w:rsid w:val="57C2639A"/>
    <w:rsid w:val="57C9597B"/>
    <w:rsid w:val="57D936E4"/>
    <w:rsid w:val="58093FC9"/>
    <w:rsid w:val="586D09FC"/>
    <w:rsid w:val="58AC2BA6"/>
    <w:rsid w:val="5999312B"/>
    <w:rsid w:val="59CC1752"/>
    <w:rsid w:val="59E545C2"/>
    <w:rsid w:val="59E7033A"/>
    <w:rsid w:val="59F842F5"/>
    <w:rsid w:val="5A317807"/>
    <w:rsid w:val="5A533C21"/>
    <w:rsid w:val="5A625C12"/>
    <w:rsid w:val="5A7A7400"/>
    <w:rsid w:val="5AD14B46"/>
    <w:rsid w:val="5B264E92"/>
    <w:rsid w:val="5B2B06FA"/>
    <w:rsid w:val="5B555777"/>
    <w:rsid w:val="5B81656C"/>
    <w:rsid w:val="5C2238AB"/>
    <w:rsid w:val="5C2C0286"/>
    <w:rsid w:val="5C855BE8"/>
    <w:rsid w:val="5C8F6A67"/>
    <w:rsid w:val="5D245401"/>
    <w:rsid w:val="5D335644"/>
    <w:rsid w:val="5D465377"/>
    <w:rsid w:val="5DA14CA4"/>
    <w:rsid w:val="5DAF5613"/>
    <w:rsid w:val="5DB913B9"/>
    <w:rsid w:val="5DBD65C1"/>
    <w:rsid w:val="5DFC012C"/>
    <w:rsid w:val="5E2356B9"/>
    <w:rsid w:val="5E5D6E1D"/>
    <w:rsid w:val="5ED370DF"/>
    <w:rsid w:val="5EE94B54"/>
    <w:rsid w:val="5F1D47FE"/>
    <w:rsid w:val="5F337B7D"/>
    <w:rsid w:val="5F4E49B7"/>
    <w:rsid w:val="5F9F5213"/>
    <w:rsid w:val="5FC353A5"/>
    <w:rsid w:val="5FD650D9"/>
    <w:rsid w:val="60695F4D"/>
    <w:rsid w:val="609C2D3C"/>
    <w:rsid w:val="60F375C4"/>
    <w:rsid w:val="61047A23"/>
    <w:rsid w:val="617701F5"/>
    <w:rsid w:val="623B6188"/>
    <w:rsid w:val="62465E1A"/>
    <w:rsid w:val="62516C98"/>
    <w:rsid w:val="625B3673"/>
    <w:rsid w:val="62BB2364"/>
    <w:rsid w:val="62E25B42"/>
    <w:rsid w:val="62EE44E7"/>
    <w:rsid w:val="630E06E5"/>
    <w:rsid w:val="63827325"/>
    <w:rsid w:val="63AE011A"/>
    <w:rsid w:val="63CB4828"/>
    <w:rsid w:val="63D57455"/>
    <w:rsid w:val="63D77671"/>
    <w:rsid w:val="63FC70D8"/>
    <w:rsid w:val="643C2F09"/>
    <w:rsid w:val="644D348F"/>
    <w:rsid w:val="645E38EF"/>
    <w:rsid w:val="649966D5"/>
    <w:rsid w:val="64AF7CA6"/>
    <w:rsid w:val="65000502"/>
    <w:rsid w:val="653D3504"/>
    <w:rsid w:val="656767D3"/>
    <w:rsid w:val="66860EDB"/>
    <w:rsid w:val="66B9305E"/>
    <w:rsid w:val="67002A3B"/>
    <w:rsid w:val="670F7122"/>
    <w:rsid w:val="6716400D"/>
    <w:rsid w:val="672F1572"/>
    <w:rsid w:val="675B2367"/>
    <w:rsid w:val="6784541A"/>
    <w:rsid w:val="67C717AB"/>
    <w:rsid w:val="685C1EF3"/>
    <w:rsid w:val="68692862"/>
    <w:rsid w:val="6897117D"/>
    <w:rsid w:val="68BC6E36"/>
    <w:rsid w:val="68DB3760"/>
    <w:rsid w:val="693E3CEF"/>
    <w:rsid w:val="695B03FD"/>
    <w:rsid w:val="696D1EDE"/>
    <w:rsid w:val="69990F25"/>
    <w:rsid w:val="69A973BA"/>
    <w:rsid w:val="6A4E7F61"/>
    <w:rsid w:val="6A521234"/>
    <w:rsid w:val="6AB9362D"/>
    <w:rsid w:val="6AC50223"/>
    <w:rsid w:val="6B054AC4"/>
    <w:rsid w:val="6B533A81"/>
    <w:rsid w:val="6B560E7C"/>
    <w:rsid w:val="6B706797"/>
    <w:rsid w:val="6B8005EE"/>
    <w:rsid w:val="6C2E3BA6"/>
    <w:rsid w:val="6C506213"/>
    <w:rsid w:val="6C5D26DE"/>
    <w:rsid w:val="6C621AA2"/>
    <w:rsid w:val="6C6972D4"/>
    <w:rsid w:val="6C9F2CF6"/>
    <w:rsid w:val="6CAB3449"/>
    <w:rsid w:val="6CEB697F"/>
    <w:rsid w:val="6CF748E0"/>
    <w:rsid w:val="6D34343E"/>
    <w:rsid w:val="6D714693"/>
    <w:rsid w:val="6DEA1D4F"/>
    <w:rsid w:val="6DEF3809"/>
    <w:rsid w:val="6E2E4332"/>
    <w:rsid w:val="6E31797E"/>
    <w:rsid w:val="6E3F653F"/>
    <w:rsid w:val="6E5042A8"/>
    <w:rsid w:val="6E753D0F"/>
    <w:rsid w:val="6EB02F99"/>
    <w:rsid w:val="6EB04D47"/>
    <w:rsid w:val="6F046E40"/>
    <w:rsid w:val="6F541B76"/>
    <w:rsid w:val="6F683873"/>
    <w:rsid w:val="6FE86762"/>
    <w:rsid w:val="702552C0"/>
    <w:rsid w:val="70293003"/>
    <w:rsid w:val="70A46B2D"/>
    <w:rsid w:val="70A97C9F"/>
    <w:rsid w:val="70E909E4"/>
    <w:rsid w:val="70EC5DDE"/>
    <w:rsid w:val="70F829D5"/>
    <w:rsid w:val="712D267F"/>
    <w:rsid w:val="719426FE"/>
    <w:rsid w:val="71A462ED"/>
    <w:rsid w:val="71E2790D"/>
    <w:rsid w:val="722F2426"/>
    <w:rsid w:val="72444124"/>
    <w:rsid w:val="73124222"/>
    <w:rsid w:val="7343262D"/>
    <w:rsid w:val="736B56E0"/>
    <w:rsid w:val="736D76AA"/>
    <w:rsid w:val="7399049F"/>
    <w:rsid w:val="73A155A6"/>
    <w:rsid w:val="73C31078"/>
    <w:rsid w:val="73F549C7"/>
    <w:rsid w:val="740623B2"/>
    <w:rsid w:val="740704ED"/>
    <w:rsid w:val="7463285B"/>
    <w:rsid w:val="74784559"/>
    <w:rsid w:val="74980757"/>
    <w:rsid w:val="74B9247B"/>
    <w:rsid w:val="74C7103C"/>
    <w:rsid w:val="75157FF9"/>
    <w:rsid w:val="755C3532"/>
    <w:rsid w:val="755F3023"/>
    <w:rsid w:val="759251A6"/>
    <w:rsid w:val="75A31161"/>
    <w:rsid w:val="75CD61DE"/>
    <w:rsid w:val="76277FE4"/>
    <w:rsid w:val="762C55FB"/>
    <w:rsid w:val="76636B42"/>
    <w:rsid w:val="7762504C"/>
    <w:rsid w:val="77664B3C"/>
    <w:rsid w:val="77CE4490"/>
    <w:rsid w:val="780954C8"/>
    <w:rsid w:val="78140F14"/>
    <w:rsid w:val="79515378"/>
    <w:rsid w:val="795D3D1D"/>
    <w:rsid w:val="797C23F5"/>
    <w:rsid w:val="797F0137"/>
    <w:rsid w:val="7A1563A6"/>
    <w:rsid w:val="7A5A025C"/>
    <w:rsid w:val="7A603AC5"/>
    <w:rsid w:val="7A613399"/>
    <w:rsid w:val="7A80033A"/>
    <w:rsid w:val="7A923E9A"/>
    <w:rsid w:val="7AD46261"/>
    <w:rsid w:val="7B1A0118"/>
    <w:rsid w:val="7B1F572E"/>
    <w:rsid w:val="7B564EC8"/>
    <w:rsid w:val="7B810197"/>
    <w:rsid w:val="7C09018C"/>
    <w:rsid w:val="7C3A0345"/>
    <w:rsid w:val="7C9537CE"/>
    <w:rsid w:val="7CC0084B"/>
    <w:rsid w:val="7E0B01EB"/>
    <w:rsid w:val="7E1A21DD"/>
    <w:rsid w:val="7E4576A7"/>
    <w:rsid w:val="7E4B05E8"/>
    <w:rsid w:val="7E5E656D"/>
    <w:rsid w:val="7EE12CFA"/>
    <w:rsid w:val="7F1D01D6"/>
    <w:rsid w:val="7F623E3B"/>
    <w:rsid w:val="7FAE7080"/>
    <w:rsid w:val="7FD50AB1"/>
    <w:rsid w:val="7FDD1714"/>
    <w:rsid w:val="7FF64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semiHidden/>
    <w:qFormat/>
    <w:uiPriority w:val="0"/>
    <w:rPr>
      <w:rFonts w:ascii="仿宋" w:hAnsi="仿宋" w:eastAsia="仿宋" w:cs="仿宋"/>
      <w:sz w:val="34"/>
      <w:szCs w:val="34"/>
      <w:lang w:eastAsia="en-US"/>
    </w:rPr>
  </w:style>
  <w:style w:type="paragraph" w:styleId="4">
    <w:name w:val="Body Text Indent"/>
    <w:basedOn w:val="1"/>
    <w:qFormat/>
    <w:uiPriority w:val="0"/>
    <w:pPr>
      <w:spacing w:after="120"/>
      <w:ind w:left="420" w:leftChars="200"/>
    </w:pPr>
    <w:rPr>
      <w:rFonts w:cs="Times New Roman"/>
      <w:kern w:val="0"/>
      <w:sz w:val="20"/>
      <w:szCs w:val="20"/>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6.xml"/><Relationship Id="rId8" Type="http://schemas.openxmlformats.org/officeDocument/2006/relationships/chart" Target="charts/chart5.xml"/><Relationship Id="rId7" Type="http://schemas.openxmlformats.org/officeDocument/2006/relationships/chart" Target="charts/chart4.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esktop\&#32479;&#35745;&#20844;&#25253;&#22270;&#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32479;&#35745;&#20844;&#25253;&#22270;&#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istrator\Desktop\&#32479;&#35745;&#20844;&#25253;&#22270;&#3492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32479;&#35745;&#20844;&#25253;&#22270;&#3492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32479;&#35745;&#20844;&#25253;&#22270;&#3492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32479;&#35745;&#20844;&#25253;&#2227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铁东区2022-2024年地区生产总值及增速</a:t>
            </a:r>
          </a:p>
        </c:rich>
      </c:tx>
      <c:layout/>
      <c:overlay val="0"/>
      <c:spPr>
        <a:noFill/>
        <a:ln>
          <a:noFill/>
        </a:ln>
        <a:effectLst/>
      </c:spPr>
    </c:title>
    <c:autoTitleDeleted val="0"/>
    <c:plotArea>
      <c:layout/>
      <c:barChart>
        <c:barDir val="col"/>
        <c:grouping val="clustered"/>
        <c:varyColors val="0"/>
        <c:ser>
          <c:idx val="0"/>
          <c:order val="0"/>
          <c:tx>
            <c:strRef>
              <c:f>[统计公报图表.xlsx]Sheet1!$B$16</c:f>
              <c:strCache>
                <c:ptCount val="1"/>
                <c:pt idx="0">
                  <c:v>地区生产总值（亿元）</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[统计公报图表.xlsx]Sheet1!$A$17:$A$19</c:f>
              <c:strCache>
                <c:ptCount val="3"/>
                <c:pt idx="0">
                  <c:v>2022年</c:v>
                </c:pt>
                <c:pt idx="1">
                  <c:v>2023年</c:v>
                </c:pt>
                <c:pt idx="2">
                  <c:v>2024年</c:v>
                </c:pt>
              </c:strCache>
            </c:strRef>
          </c:cat>
          <c:val>
            <c:numRef>
              <c:f>[统计公报图表.xlsx]Sheet1!$B$17:$B$19</c:f>
              <c:numCache>
                <c:formatCode>0.0_ </c:formatCode>
                <c:ptCount val="3"/>
                <c:pt idx="0">
                  <c:v>285.9102</c:v>
                </c:pt>
                <c:pt idx="1">
                  <c:v>314.6396</c:v>
                </c:pt>
                <c:pt idx="2">
                  <c:v>415.2397</c:v>
                </c:pt>
              </c:numCache>
            </c:numRef>
          </c:val>
        </c:ser>
        <c:dLbls>
          <c:showLegendKey val="0"/>
          <c:showVal val="1"/>
          <c:showCatName val="0"/>
          <c:showSerName val="0"/>
          <c:showPercent val="0"/>
          <c:showBubbleSize val="0"/>
        </c:dLbls>
        <c:gapWidth val="219"/>
        <c:overlap val="-27"/>
        <c:axId val="393003689"/>
        <c:axId val="325610160"/>
      </c:barChart>
      <c:lineChart>
        <c:grouping val="standard"/>
        <c:varyColors val="0"/>
        <c:ser>
          <c:idx val="1"/>
          <c:order val="1"/>
          <c:tx>
            <c:strRef>
              <c:f>[统计公报图表.xlsx]Sheet1!$C$16</c:f>
              <c:strCache>
                <c:ptCount val="1"/>
                <c:pt idx="0">
                  <c:v>增速（%）</c:v>
                </c:pt>
              </c:strCache>
            </c:strRef>
          </c:tx>
          <c:spPr>
            <a:ln w="28575" cap="rnd">
              <a:solidFill>
                <a:schemeClr val="accent5"/>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[统计公报图表.xlsx]Sheet1!$A$17:$A$19</c:f>
              <c:strCache>
                <c:ptCount val="3"/>
                <c:pt idx="0">
                  <c:v>2022年</c:v>
                </c:pt>
                <c:pt idx="1">
                  <c:v>2023年</c:v>
                </c:pt>
                <c:pt idx="2">
                  <c:v>2024年</c:v>
                </c:pt>
              </c:strCache>
            </c:strRef>
          </c:cat>
          <c:val>
            <c:numRef>
              <c:f>[统计公报图表.xlsx]Sheet1!$C$17:$C$19</c:f>
              <c:numCache>
                <c:formatCode>0.0_ </c:formatCode>
                <c:ptCount val="3"/>
                <c:pt idx="0">
                  <c:v>0.633519152941474</c:v>
                </c:pt>
                <c:pt idx="1">
                  <c:v>7.3</c:v>
                </c:pt>
                <c:pt idx="2">
                  <c:v>4.1</c:v>
                </c:pt>
              </c:numCache>
            </c:numRef>
          </c:val>
          <c:smooth val="0"/>
        </c:ser>
        <c:dLbls>
          <c:showLegendKey val="0"/>
          <c:showVal val="1"/>
          <c:showCatName val="0"/>
          <c:showSerName val="0"/>
          <c:showPercent val="0"/>
          <c:showBubbleSize val="0"/>
        </c:dLbls>
        <c:marker val="0"/>
        <c:smooth val="0"/>
        <c:axId val="526830576"/>
        <c:axId val="910010549"/>
      </c:lineChart>
      <c:catAx>
        <c:axId val="39300368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5610160"/>
        <c:crosses val="autoZero"/>
        <c:auto val="1"/>
        <c:lblAlgn val="ctr"/>
        <c:lblOffset val="100"/>
        <c:noMultiLvlLbl val="0"/>
      </c:catAx>
      <c:valAx>
        <c:axId val="325610160"/>
        <c:scaling>
          <c:orientation val="minMax"/>
        </c:scaling>
        <c:delete val="0"/>
        <c:axPos val="l"/>
        <c:majorGridlines>
          <c:spPr>
            <a:ln w="9525" cap="flat" cmpd="sng" algn="ctr">
              <a:solidFill>
                <a:schemeClr val="lt1">
                  <a:lumMod val="90200"/>
                </a:schemeClr>
              </a:solidFill>
              <a:round/>
            </a:ln>
            <a:effectLst/>
          </c:spPr>
        </c:majorGridlines>
        <c:numFmt formatCode="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3003689"/>
        <c:crosses val="autoZero"/>
        <c:crossBetween val="between"/>
      </c:valAx>
      <c:catAx>
        <c:axId val="526830576"/>
        <c:scaling>
          <c:orientation val="minMax"/>
        </c:scaling>
        <c:delete val="1"/>
        <c:axPos val="b"/>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10010549"/>
        <c:crosses val="autoZero"/>
        <c:auto val="1"/>
        <c:lblAlgn val="ctr"/>
        <c:lblOffset val="100"/>
        <c:noMultiLvlLbl val="0"/>
      </c:catAx>
      <c:valAx>
        <c:axId val="910010549"/>
        <c:scaling>
          <c:orientation val="minMax"/>
        </c:scaling>
        <c:delete val="0"/>
        <c:axPos val="r"/>
        <c:numFmt formatCode="0.0_ "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6830576"/>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6ceffc26-189d-4e55-b0db-17ea6556cb3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铁东区2022-2024年GDP分产业完成情况</a:t>
            </a:r>
          </a:p>
        </c:rich>
      </c:tx>
      <c:layout/>
      <c:overlay val="0"/>
      <c:spPr>
        <a:noFill/>
        <a:ln>
          <a:noFill/>
        </a:ln>
        <a:effectLst/>
      </c:spPr>
    </c:title>
    <c:autoTitleDeleted val="0"/>
    <c:plotArea>
      <c:layout/>
      <c:barChart>
        <c:barDir val="col"/>
        <c:grouping val="clustered"/>
        <c:varyColors val="0"/>
        <c:ser>
          <c:idx val="0"/>
          <c:order val="0"/>
          <c:tx>
            <c:strRef>
              <c:f>[统计公报图表.xlsx]Sheet2!$A$6</c:f>
              <c:strCache>
                <c:ptCount val="1"/>
                <c:pt idx="0">
                  <c:v>2022年</c:v>
                </c:pt>
              </c:strCache>
            </c:strRef>
          </c:tx>
          <c:spPr>
            <a:gradFill>
              <a:gsLst>
                <a:gs pos="0">
                  <a:schemeClr val="accent1">
                    <a:lumMod val="40000"/>
                    <a:lumOff val="60000"/>
                  </a:schemeClr>
                </a:gs>
                <a:gs pos="90000">
                  <a:schemeClr val="accent1"/>
                </a:gs>
              </a:gsLst>
              <a:lin ang="5400000" scaled="0"/>
            </a:gradFill>
            <a:ln>
              <a:gradFill>
                <a:gsLst>
                  <a:gs pos="0">
                    <a:schemeClr val="accent1"/>
                  </a:gs>
                  <a:gs pos="100000">
                    <a:schemeClr val="accent1">
                      <a:lumMod val="75000"/>
                    </a:schemeClr>
                  </a:gs>
                </a:gsLst>
                <a:lin ang="5400000" scaled="1"/>
              </a:gradFill>
            </a:ln>
            <a:effectLst>
              <a:outerShdw blurRad="76200" dist="25400" dir="2700000" algn="tl" rotWithShape="0">
                <a:schemeClr val="accent1">
                  <a:lumMod val="50000"/>
                  <a:alpha val="30000"/>
                </a:scheme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[统计公报图表.xlsx]Sheet2!$B$5:$D$5</c:f>
              <c:strCache>
                <c:ptCount val="3"/>
                <c:pt idx="0">
                  <c:v>一产</c:v>
                </c:pt>
                <c:pt idx="1">
                  <c:v>二产</c:v>
                </c:pt>
                <c:pt idx="2">
                  <c:v>三产</c:v>
                </c:pt>
              </c:strCache>
            </c:strRef>
          </c:cat>
          <c:val>
            <c:numRef>
              <c:f>[统计公报图表.xlsx]Sheet2!$B$6:$D$6</c:f>
              <c:numCache>
                <c:formatCode>0.00_ </c:formatCode>
                <c:ptCount val="3"/>
                <c:pt idx="0">
                  <c:v>0.0861</c:v>
                </c:pt>
                <c:pt idx="1">
                  <c:v>40.797</c:v>
                </c:pt>
                <c:pt idx="2">
                  <c:v>245.0271</c:v>
                </c:pt>
              </c:numCache>
            </c:numRef>
          </c:val>
        </c:ser>
        <c:ser>
          <c:idx val="1"/>
          <c:order val="1"/>
          <c:tx>
            <c:strRef>
              <c:f>[统计公报图表.xlsx]Sheet2!$A$7</c:f>
              <c:strCache>
                <c:ptCount val="1"/>
                <c:pt idx="0">
                  <c:v>2023年</c:v>
                </c:pt>
              </c:strCache>
            </c:strRef>
          </c:tx>
          <c:spPr>
            <a:gradFill>
              <a:gsLst>
                <a:gs pos="0">
                  <a:schemeClr val="accent2">
                    <a:lumMod val="40000"/>
                    <a:lumOff val="60000"/>
                  </a:schemeClr>
                </a:gs>
                <a:gs pos="90000">
                  <a:schemeClr val="accent2"/>
                </a:gs>
              </a:gsLst>
              <a:lin ang="5400000" scaled="0"/>
            </a:gradFill>
            <a:ln>
              <a:gradFill>
                <a:gsLst>
                  <a:gs pos="0">
                    <a:schemeClr val="accent2"/>
                  </a:gs>
                  <a:gs pos="100000">
                    <a:schemeClr val="accent2">
                      <a:lumMod val="75000"/>
                    </a:schemeClr>
                  </a:gs>
                </a:gsLst>
                <a:lin ang="5400000" scaled="1"/>
              </a:gradFill>
            </a:ln>
            <a:effectLst>
              <a:outerShdw blurRad="76200" dist="25400" dir="2700000" algn="tl" rotWithShape="0">
                <a:schemeClr val="accent2">
                  <a:lumMod val="50000"/>
                  <a:alpha val="30000"/>
                </a:scheme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[统计公报图表.xlsx]Sheet2!$B$5:$D$5</c:f>
              <c:strCache>
                <c:ptCount val="3"/>
                <c:pt idx="0">
                  <c:v>一产</c:v>
                </c:pt>
                <c:pt idx="1">
                  <c:v>二产</c:v>
                </c:pt>
                <c:pt idx="2">
                  <c:v>三产</c:v>
                </c:pt>
              </c:strCache>
            </c:strRef>
          </c:cat>
          <c:val>
            <c:numRef>
              <c:f>[统计公报图表.xlsx]Sheet2!$B$7:$D$7</c:f>
              <c:numCache>
                <c:formatCode>0.00_ </c:formatCode>
                <c:ptCount val="3"/>
                <c:pt idx="0">
                  <c:v>0.0688</c:v>
                </c:pt>
                <c:pt idx="1">
                  <c:v>50.7178</c:v>
                </c:pt>
                <c:pt idx="2">
                  <c:v>263.853</c:v>
                </c:pt>
              </c:numCache>
            </c:numRef>
          </c:val>
        </c:ser>
        <c:ser>
          <c:idx val="2"/>
          <c:order val="2"/>
          <c:tx>
            <c:strRef>
              <c:f>[统计公报图表.xlsx]Sheet2!$A$8</c:f>
              <c:strCache>
                <c:ptCount val="1"/>
                <c:pt idx="0">
                  <c:v>2024年</c:v>
                </c:pt>
              </c:strCache>
            </c:strRef>
          </c:tx>
          <c:spPr>
            <a:gradFill>
              <a:gsLst>
                <a:gs pos="0">
                  <a:schemeClr val="accent3">
                    <a:lumMod val="40000"/>
                    <a:lumOff val="60000"/>
                  </a:schemeClr>
                </a:gs>
                <a:gs pos="90000">
                  <a:schemeClr val="accent3"/>
                </a:gs>
              </a:gsLst>
              <a:lin ang="5400000" scaled="0"/>
            </a:gradFill>
            <a:ln>
              <a:gradFill>
                <a:gsLst>
                  <a:gs pos="0">
                    <a:schemeClr val="accent3"/>
                  </a:gs>
                  <a:gs pos="100000">
                    <a:schemeClr val="accent3">
                      <a:lumMod val="75000"/>
                    </a:schemeClr>
                  </a:gs>
                </a:gsLst>
                <a:lin ang="5400000" scaled="1"/>
              </a:gradFill>
            </a:ln>
            <a:effectLst>
              <a:outerShdw blurRad="76200" dist="25400" dir="2700000" algn="tl" rotWithShape="0">
                <a:schemeClr val="accent3">
                  <a:lumMod val="50000"/>
                  <a:alpha val="30000"/>
                </a:scheme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[统计公报图表.xlsx]Sheet2!$B$5:$D$5</c:f>
              <c:strCache>
                <c:ptCount val="3"/>
                <c:pt idx="0">
                  <c:v>一产</c:v>
                </c:pt>
                <c:pt idx="1">
                  <c:v>二产</c:v>
                </c:pt>
                <c:pt idx="2">
                  <c:v>三产</c:v>
                </c:pt>
              </c:strCache>
            </c:strRef>
          </c:cat>
          <c:val>
            <c:numRef>
              <c:f>[统计公报图表.xlsx]Sheet2!$B$8:$D$8</c:f>
              <c:numCache>
                <c:formatCode>0.00_ </c:formatCode>
                <c:ptCount val="3"/>
                <c:pt idx="0">
                  <c:v>0.0839</c:v>
                </c:pt>
                <c:pt idx="1">
                  <c:v>122.6411</c:v>
                </c:pt>
                <c:pt idx="2">
                  <c:v>292.5147</c:v>
                </c:pt>
              </c:numCache>
            </c:numRef>
          </c:val>
        </c:ser>
        <c:dLbls>
          <c:showLegendKey val="0"/>
          <c:showVal val="1"/>
          <c:showCatName val="0"/>
          <c:showSerName val="0"/>
          <c:showPercent val="0"/>
          <c:showBubbleSize val="0"/>
        </c:dLbls>
        <c:gapWidth val="260"/>
        <c:overlap val="-32"/>
        <c:axId val="993500747"/>
        <c:axId val="350735679"/>
      </c:barChart>
      <c:catAx>
        <c:axId val="99350074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0735679"/>
        <c:crosses val="autoZero"/>
        <c:auto val="1"/>
        <c:lblAlgn val="ctr"/>
        <c:lblOffset val="100"/>
        <c:noMultiLvlLbl val="0"/>
      </c:catAx>
      <c:valAx>
        <c:axId val="350735679"/>
        <c:scaling>
          <c:orientation val="minMax"/>
        </c:scaling>
        <c:delete val="1"/>
        <c:axPos val="l"/>
        <c:numFmt formatCode="0.00_ "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3500747"/>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edd6c8cc-2c49-4913-a7a0-017df2b7822a}"/>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铁东区2022-2024年工业增加值及</a:t>
            </a:r>
          </a:p>
          <a:p>
            <a:pPr defTabSz="914400">
              <a:defRPr lang="zh-CN" sz="1400" b="1" i="0" u="none" strike="noStrike" kern="1200" baseline="0">
                <a:solidFill>
                  <a:schemeClr val="tx1">
                    <a:lumMod val="75000"/>
                    <a:lumOff val="25000"/>
                  </a:schemeClr>
                </a:solidFill>
                <a:latin typeface="+mn-lt"/>
                <a:ea typeface="+mn-ea"/>
                <a:cs typeface="+mn-cs"/>
              </a:defRPr>
            </a:pPr>
            <a:r>
              <a:t>规上工业增加值增速</a:t>
            </a:r>
          </a:p>
        </c:rich>
      </c:tx>
      <c:layout/>
      <c:overlay val="0"/>
      <c:spPr>
        <a:noFill/>
        <a:ln>
          <a:noFill/>
        </a:ln>
        <a:effectLst/>
      </c:spPr>
    </c:title>
    <c:autoTitleDeleted val="0"/>
    <c:plotArea>
      <c:layout/>
      <c:barChart>
        <c:barDir val="col"/>
        <c:grouping val="clustered"/>
        <c:varyColors val="0"/>
        <c:dLbls>
          <c:showLegendKey val="0"/>
          <c:showVal val="1"/>
          <c:showCatName val="0"/>
          <c:showSerName val="0"/>
          <c:showPercent val="0"/>
          <c:showBubbleSize val="0"/>
        </c:dLbls>
        <c:gapWidth val="150"/>
        <c:overlap val="-25"/>
        <c:axId val="570353054"/>
        <c:axId val="37555826"/>
      </c:barChart>
      <c:lineChart>
        <c:grouping val="standard"/>
        <c:varyColors val="0"/>
        <c:ser>
          <c:idx val="0"/>
          <c:order val="0"/>
          <c:tx>
            <c:strRef>
              <c:f>[统计公报图表.xlsx]工业!$G$8</c:f>
              <c:strCache>
                <c:ptCount val="1"/>
                <c:pt idx="0">
                  <c:v>工业增加值增速（%）</c:v>
                </c:pt>
              </c:strCache>
            </c:strRef>
          </c:tx>
          <c:spPr>
            <a:ln w="28575" cap="rnd">
              <a:solidFill>
                <a:schemeClr val="accent6"/>
              </a:solidFill>
              <a:round/>
            </a:ln>
            <a:effectLst>
              <a:outerShdw blurRad="76200" dist="25400" dir="2700000" algn="tl" rotWithShape="0">
                <a:schemeClr val="accent6">
                  <a:lumMod val="50000"/>
                  <a:alpha val="30000"/>
                </a:schemeClr>
              </a:outerShdw>
            </a:effectLst>
          </c:spPr>
          <c:marker>
            <c:symbol val="none"/>
          </c:marker>
          <c:dLbls>
            <c:dLbl>
              <c:idx val="0"/>
              <c:layout>
                <c:manualLayout>
                  <c:x val="-0.110526315789474"/>
                  <c:y val="-0.041666666666666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[统计公报图表.xlsx]工业!$F$9:$F$11</c:f>
              <c:strCache>
                <c:ptCount val="3"/>
                <c:pt idx="0">
                  <c:v>2022年</c:v>
                </c:pt>
                <c:pt idx="1">
                  <c:v>2023年</c:v>
                </c:pt>
                <c:pt idx="2">
                  <c:v>2024年</c:v>
                </c:pt>
              </c:strCache>
            </c:strRef>
          </c:cat>
          <c:val>
            <c:numRef>
              <c:f>[统计公报图表.xlsx]工业!$G$9:$G$11</c:f>
              <c:numCache>
                <c:formatCode>0.0_ </c:formatCode>
                <c:ptCount val="3"/>
                <c:pt idx="0">
                  <c:v>-13.4757912642002</c:v>
                </c:pt>
                <c:pt idx="1">
                  <c:v>10.0963648171877</c:v>
                </c:pt>
                <c:pt idx="2">
                  <c:v>-4.53802334288638</c:v>
                </c:pt>
              </c:numCache>
            </c:numRef>
          </c:val>
          <c:smooth val="0"/>
        </c:ser>
        <c:ser>
          <c:idx val="1"/>
          <c:order val="1"/>
          <c:tx>
            <c:strRef>
              <c:f>[统计公报图表.xlsx]工业!$H$8</c:f>
              <c:strCache>
                <c:ptCount val="1"/>
                <c:pt idx="0">
                  <c:v>规上工业增加值增速（%）</c:v>
                </c:pt>
              </c:strCache>
            </c:strRef>
          </c:tx>
          <c:spPr>
            <a:ln w="28575" cap="rnd">
              <a:solidFill>
                <a:schemeClr val="accent5"/>
              </a:solidFill>
              <a:round/>
            </a:ln>
            <a:effectLst>
              <a:outerShdw blurRad="76200" dist="25400" dir="2700000" algn="tl" rotWithShape="0">
                <a:schemeClr val="accent5">
                  <a:lumMod val="50000"/>
                  <a:alpha val="30000"/>
                </a:schemeClr>
              </a:outerShdw>
            </a:effectLst>
          </c:spPr>
          <c:marker>
            <c:symbol val="none"/>
          </c:marker>
          <c:dLbls>
            <c:dLbl>
              <c:idx val="0"/>
              <c:layout>
                <c:manualLayout>
                  <c:x val="0.00197368421052632"/>
                  <c:y val="0.041666666666666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355263157894737"/>
                  <c:y val="0.059027777777777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[统计公报图表.xlsx]工业!$F$9:$F$11</c:f>
              <c:strCache>
                <c:ptCount val="3"/>
                <c:pt idx="0">
                  <c:v>2022年</c:v>
                </c:pt>
                <c:pt idx="1">
                  <c:v>2023年</c:v>
                </c:pt>
                <c:pt idx="2">
                  <c:v>2024年</c:v>
                </c:pt>
              </c:strCache>
            </c:strRef>
          </c:cat>
          <c:val>
            <c:numRef>
              <c:f>[统计公报图表.xlsx]工业!$H$9:$H$11</c:f>
              <c:numCache>
                <c:formatCode>General</c:formatCode>
                <c:ptCount val="3"/>
                <c:pt idx="0">
                  <c:v>-14.2</c:v>
                </c:pt>
                <c:pt idx="1">
                  <c:v>12.3</c:v>
                </c:pt>
                <c:pt idx="2">
                  <c:v>-5.6</c:v>
                </c:pt>
              </c:numCache>
            </c:numRef>
          </c:val>
          <c:smooth val="0"/>
        </c:ser>
        <c:dLbls>
          <c:showLegendKey val="0"/>
          <c:showVal val="1"/>
          <c:showCatName val="0"/>
          <c:showSerName val="0"/>
          <c:showPercent val="0"/>
          <c:showBubbleSize val="0"/>
        </c:dLbls>
        <c:marker val="0"/>
        <c:smooth val="0"/>
        <c:axId val="570353054"/>
        <c:axId val="37555826"/>
      </c:lineChart>
      <c:catAx>
        <c:axId val="57035305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7555826"/>
        <c:crosses val="autoZero"/>
        <c:auto val="1"/>
        <c:lblAlgn val="ctr"/>
        <c:lblOffset val="100"/>
        <c:noMultiLvlLbl val="0"/>
      </c:catAx>
      <c:valAx>
        <c:axId val="37555826"/>
        <c:scaling>
          <c:orientation val="minMax"/>
        </c:scaling>
        <c:delete val="1"/>
        <c:axPos val="l"/>
        <c:numFmt formatCode="0.0_ "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0353054"/>
        <c:crosses val="autoZero"/>
        <c:crossBetween val="between"/>
      </c:valAx>
      <c:spPr>
        <a:noFill/>
        <a:ln>
          <a:noFill/>
        </a:ln>
        <a:effectLst/>
      </c:spPr>
    </c:plotArea>
    <c:legend>
      <c:legendPos val="t"/>
      <c:layout>
        <c:manualLayout>
          <c:xMode val="edge"/>
          <c:yMode val="edge"/>
          <c:x val="0.205449101796407"/>
          <c:y val="0.21938892717666"/>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84458a8d-b6de-4c92-afc9-441399c85eb8}"/>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铁东区</a:t>
            </a:r>
            <a:r>
              <a:rPr lang="en-US" altLang="zh-CN"/>
              <a:t>2022-2024</a:t>
            </a:r>
            <a:r>
              <a:rPr altLang="en-US"/>
              <a:t>年</a:t>
            </a:r>
            <a:r>
              <a:t>建筑业增加值及产值增速</a:t>
            </a:r>
          </a:p>
        </c:rich>
      </c:tx>
      <c:layout/>
      <c:overlay val="0"/>
      <c:spPr>
        <a:noFill/>
        <a:ln>
          <a:noFill/>
        </a:ln>
        <a:effectLst/>
      </c:spPr>
    </c:title>
    <c:autoTitleDeleted val="0"/>
    <c:plotArea>
      <c:layout/>
      <c:barChart>
        <c:barDir val="col"/>
        <c:grouping val="clustered"/>
        <c:varyColors val="0"/>
        <c:dLbls>
          <c:showLegendKey val="0"/>
          <c:showVal val="1"/>
          <c:showCatName val="0"/>
          <c:showSerName val="0"/>
          <c:showPercent val="0"/>
          <c:showBubbleSize val="0"/>
        </c:dLbls>
        <c:gapWidth val="150"/>
        <c:overlap val="-25"/>
        <c:axId val="94597119"/>
        <c:axId val="31736227"/>
      </c:barChart>
      <c:lineChart>
        <c:grouping val="standard"/>
        <c:varyColors val="0"/>
        <c:ser>
          <c:idx val="0"/>
          <c:order val="0"/>
          <c:tx>
            <c:strRef>
              <c:f>[统计公报图表.xlsx]建筑业增加值!$G$7</c:f>
              <c:strCache>
                <c:ptCount val="1"/>
                <c:pt idx="0">
                  <c:v>增加值增速（%）</c:v>
                </c:pt>
              </c:strCache>
            </c:strRef>
          </c:tx>
          <c:spPr>
            <a:ln w="28575" cap="rnd">
              <a:solidFill>
                <a:schemeClr val="accent6"/>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[统计公报图表.xlsx]建筑业增加值!$F$8:$F$10</c:f>
              <c:strCache>
                <c:ptCount val="3"/>
                <c:pt idx="0">
                  <c:v>2022年</c:v>
                </c:pt>
                <c:pt idx="1">
                  <c:v>2023年</c:v>
                </c:pt>
                <c:pt idx="2">
                  <c:v>2024年</c:v>
                </c:pt>
              </c:strCache>
            </c:strRef>
          </c:cat>
          <c:val>
            <c:numRef>
              <c:f>[统计公报图表.xlsx]建筑业增加值!$G$8:$G$10</c:f>
              <c:numCache>
                <c:formatCode>0.0_ </c:formatCode>
                <c:ptCount val="3"/>
                <c:pt idx="0">
                  <c:v>-17.6239789183476</c:v>
                </c:pt>
                <c:pt idx="1">
                  <c:v>19.9762883946179</c:v>
                </c:pt>
                <c:pt idx="2">
                  <c:v>23.0402043201267</c:v>
                </c:pt>
              </c:numCache>
            </c:numRef>
          </c:val>
          <c:smooth val="0"/>
        </c:ser>
        <c:ser>
          <c:idx val="1"/>
          <c:order val="1"/>
          <c:tx>
            <c:strRef>
              <c:f>[统计公报图表.xlsx]建筑业增加值!$H$7</c:f>
              <c:strCache>
                <c:ptCount val="1"/>
                <c:pt idx="0">
                  <c:v>产值增速（%）</c:v>
                </c:pt>
              </c:strCache>
            </c:strRef>
          </c:tx>
          <c:spPr>
            <a:ln w="28575" cap="rnd">
              <a:solidFill>
                <a:schemeClr val="accent5"/>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[统计公报图表.xlsx]建筑业增加值!$F$8:$F$10</c:f>
              <c:strCache>
                <c:ptCount val="3"/>
                <c:pt idx="0">
                  <c:v>2022年</c:v>
                </c:pt>
                <c:pt idx="1">
                  <c:v>2023年</c:v>
                </c:pt>
                <c:pt idx="2">
                  <c:v>2024年</c:v>
                </c:pt>
              </c:strCache>
            </c:strRef>
          </c:cat>
          <c:val>
            <c:numRef>
              <c:f>[统计公报图表.xlsx]建筑业增加值!$H$8:$H$10</c:f>
              <c:numCache>
                <c:formatCode>0.0_ </c:formatCode>
                <c:ptCount val="3"/>
                <c:pt idx="0">
                  <c:v>-26.6</c:v>
                </c:pt>
                <c:pt idx="1">
                  <c:v>16.7</c:v>
                </c:pt>
                <c:pt idx="2">
                  <c:v>14</c:v>
                </c:pt>
              </c:numCache>
            </c:numRef>
          </c:val>
          <c:smooth val="0"/>
        </c:ser>
        <c:dLbls>
          <c:showLegendKey val="0"/>
          <c:showVal val="1"/>
          <c:showCatName val="0"/>
          <c:showSerName val="0"/>
          <c:showPercent val="0"/>
          <c:showBubbleSize val="0"/>
        </c:dLbls>
        <c:marker val="0"/>
        <c:smooth val="0"/>
        <c:axId val="94597119"/>
        <c:axId val="31736227"/>
      </c:lineChart>
      <c:catAx>
        <c:axId val="9459711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1736227"/>
        <c:crosses val="autoZero"/>
        <c:auto val="1"/>
        <c:lblAlgn val="ctr"/>
        <c:lblOffset val="100"/>
        <c:noMultiLvlLbl val="0"/>
      </c:catAx>
      <c:valAx>
        <c:axId val="31736227"/>
        <c:scaling>
          <c:orientation val="minMax"/>
        </c:scaling>
        <c:delete val="1"/>
        <c:axPos val="l"/>
        <c:numFmt formatCode="0.0_ "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597119"/>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abc71e3c-7170-4067-b484-7f92cbd3ca3f}"/>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铁东区</a:t>
            </a:r>
            <a:r>
              <a:rPr lang="en-US" altLang="zh-CN"/>
              <a:t>2022-2024</a:t>
            </a:r>
            <a:r>
              <a:rPr altLang="en-US"/>
              <a:t>年</a:t>
            </a:r>
            <a:r>
              <a:t>城镇居民可支配收入及增速</a:t>
            </a:r>
          </a:p>
        </c:rich>
      </c:tx>
      <c:layout>
        <c:manualLayout>
          <c:xMode val="edge"/>
          <c:yMode val="edge"/>
          <c:x val="0.14709847218832"/>
          <c:y val="0.0315058479532164"/>
        </c:manualLayout>
      </c:layout>
      <c:overlay val="0"/>
      <c:spPr>
        <a:noFill/>
        <a:ln>
          <a:noFill/>
        </a:ln>
        <a:effectLst/>
      </c:spPr>
    </c:title>
    <c:autoTitleDeleted val="0"/>
    <c:plotArea>
      <c:layout/>
      <c:barChart>
        <c:barDir val="col"/>
        <c:grouping val="clustered"/>
        <c:varyColors val="0"/>
        <c:ser>
          <c:idx val="0"/>
          <c:order val="0"/>
          <c:tx>
            <c:strRef>
              <c:f>[统计公报图表.xlsx]人均可支配!$B$7</c:f>
              <c:strCache>
                <c:ptCount val="1"/>
                <c:pt idx="0">
                  <c:v>城镇居民可支配收入（元）</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[统计公报图表.xlsx]人均可支配!$A$8:$A$10</c:f>
              <c:strCache>
                <c:ptCount val="3"/>
                <c:pt idx="0">
                  <c:v>2022年</c:v>
                </c:pt>
                <c:pt idx="1">
                  <c:v>2023年</c:v>
                </c:pt>
                <c:pt idx="2">
                  <c:v>2024年</c:v>
                </c:pt>
              </c:strCache>
            </c:strRef>
          </c:cat>
          <c:val>
            <c:numRef>
              <c:f>[统计公报图表.xlsx]人均可支配!$B$8:$B$10</c:f>
              <c:numCache>
                <c:formatCode>General</c:formatCode>
                <c:ptCount val="3"/>
                <c:pt idx="0">
                  <c:v>53911</c:v>
                </c:pt>
                <c:pt idx="1">
                  <c:v>55771</c:v>
                </c:pt>
                <c:pt idx="2">
                  <c:v>57723</c:v>
                </c:pt>
              </c:numCache>
            </c:numRef>
          </c:val>
        </c:ser>
        <c:dLbls>
          <c:showLegendKey val="0"/>
          <c:showVal val="1"/>
          <c:showCatName val="0"/>
          <c:showSerName val="0"/>
          <c:showPercent val="0"/>
          <c:showBubbleSize val="0"/>
        </c:dLbls>
        <c:gapWidth val="219"/>
        <c:overlap val="-27"/>
        <c:axId val="112580469"/>
        <c:axId val="925791674"/>
      </c:barChart>
      <c:lineChart>
        <c:grouping val="standard"/>
        <c:varyColors val="0"/>
        <c:ser>
          <c:idx val="1"/>
          <c:order val="1"/>
          <c:tx>
            <c:strRef>
              <c:f>[统计公报图表.xlsx]人均可支配!$C$7</c:f>
              <c:strCache>
                <c:ptCount val="1"/>
                <c:pt idx="0">
                  <c:v>增速（%）</c:v>
                </c:pt>
              </c:strCache>
            </c:strRef>
          </c:tx>
          <c:spPr>
            <a:ln w="28575" cap="rnd">
              <a:solidFill>
                <a:schemeClr val="accent5"/>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[统计公报图表.xlsx]人均可支配!$A$8:$A$10</c:f>
              <c:strCache>
                <c:ptCount val="3"/>
                <c:pt idx="0">
                  <c:v>2022年</c:v>
                </c:pt>
                <c:pt idx="1">
                  <c:v>2023年</c:v>
                </c:pt>
                <c:pt idx="2">
                  <c:v>2024年</c:v>
                </c:pt>
              </c:strCache>
            </c:strRef>
          </c:cat>
          <c:val>
            <c:numRef>
              <c:f>[统计公报图表.xlsx]人均可支配!$C$8:$C$10</c:f>
              <c:numCache>
                <c:formatCode>General</c:formatCode>
                <c:ptCount val="3"/>
                <c:pt idx="0">
                  <c:v>2.1</c:v>
                </c:pt>
                <c:pt idx="1">
                  <c:v>3.5</c:v>
                </c:pt>
                <c:pt idx="2">
                  <c:v>3.5</c:v>
                </c:pt>
              </c:numCache>
            </c:numRef>
          </c:val>
          <c:smooth val="0"/>
        </c:ser>
        <c:dLbls>
          <c:showLegendKey val="0"/>
          <c:showVal val="1"/>
          <c:showCatName val="0"/>
          <c:showSerName val="0"/>
          <c:showPercent val="0"/>
          <c:showBubbleSize val="0"/>
        </c:dLbls>
        <c:marker val="0"/>
        <c:smooth val="0"/>
        <c:axId val="525559758"/>
        <c:axId val="25867913"/>
      </c:lineChart>
      <c:catAx>
        <c:axId val="11258046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791674"/>
        <c:crosses val="autoZero"/>
        <c:auto val="1"/>
        <c:lblAlgn val="ctr"/>
        <c:lblOffset val="100"/>
        <c:noMultiLvlLbl val="0"/>
      </c:catAx>
      <c:valAx>
        <c:axId val="925791674"/>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2580469"/>
        <c:crosses val="autoZero"/>
        <c:crossBetween val="between"/>
      </c:valAx>
      <c:catAx>
        <c:axId val="525559758"/>
        <c:scaling>
          <c:orientation val="minMax"/>
        </c:scaling>
        <c:delete val="1"/>
        <c:axPos val="b"/>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867913"/>
        <c:crosses val="autoZero"/>
        <c:auto val="1"/>
        <c:lblAlgn val="ctr"/>
        <c:lblOffset val="100"/>
        <c:noMultiLvlLbl val="0"/>
      </c:catAx>
      <c:valAx>
        <c:axId val="25867913"/>
        <c:scaling>
          <c:orientation val="minMax"/>
        </c:scaling>
        <c:delete val="0"/>
        <c:axPos val="r"/>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5559758"/>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0560dcd1-b36f-4304-9c58-37a90ec2aee0}"/>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altLang="en-US"/>
              <a:t>铁东区</a:t>
            </a:r>
            <a:r>
              <a:rPr lang="en-US" altLang="zh-CN"/>
              <a:t>2022-2024</a:t>
            </a:r>
            <a:r>
              <a:rPr altLang="en-US"/>
              <a:t>年一般公共预算收入及其增速</a:t>
            </a:r>
            <a:endParaRPr lang="en-US" altLang="zh-CN"/>
          </a:p>
        </c:rich>
      </c:tx>
      <c:layout/>
      <c:overlay val="0"/>
      <c:spPr>
        <a:noFill/>
        <a:ln>
          <a:noFill/>
        </a:ln>
        <a:effectLst/>
      </c:spPr>
    </c:title>
    <c:autoTitleDeleted val="0"/>
    <c:plotArea>
      <c:layout/>
      <c:barChart>
        <c:barDir val="col"/>
        <c:grouping val="clustered"/>
        <c:varyColors val="0"/>
        <c:ser>
          <c:idx val="0"/>
          <c:order val="0"/>
          <c:tx>
            <c:strRef>
              <c:f>[统计公报图表.xlsx]财政!$B$3</c:f>
              <c:strCache>
                <c:ptCount val="1"/>
                <c:pt idx="0">
                  <c:v>一般公共预算收入（亿元）</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[统计公报图表.xlsx]财政!$A$4:$A$6</c:f>
              <c:strCache>
                <c:ptCount val="3"/>
                <c:pt idx="0">
                  <c:v>2022年</c:v>
                </c:pt>
                <c:pt idx="1">
                  <c:v>2023年</c:v>
                </c:pt>
                <c:pt idx="2">
                  <c:v>2024年</c:v>
                </c:pt>
              </c:strCache>
            </c:strRef>
          </c:cat>
          <c:val>
            <c:numRef>
              <c:f>[统计公报图表.xlsx]财政!$B$4:$B$6</c:f>
              <c:numCache>
                <c:formatCode>General</c:formatCode>
                <c:ptCount val="3"/>
                <c:pt idx="0">
                  <c:v>7.76</c:v>
                </c:pt>
                <c:pt idx="1">
                  <c:v>10.19</c:v>
                </c:pt>
                <c:pt idx="2">
                  <c:v>10.83</c:v>
                </c:pt>
              </c:numCache>
            </c:numRef>
          </c:val>
        </c:ser>
        <c:dLbls>
          <c:showLegendKey val="0"/>
          <c:showVal val="1"/>
          <c:showCatName val="0"/>
          <c:showSerName val="0"/>
          <c:showPercent val="0"/>
          <c:showBubbleSize val="0"/>
        </c:dLbls>
        <c:gapWidth val="150"/>
        <c:overlap val="-25"/>
        <c:axId val="818394736"/>
        <c:axId val="889561056"/>
      </c:barChart>
      <c:lineChart>
        <c:grouping val="standard"/>
        <c:varyColors val="0"/>
        <c:ser>
          <c:idx val="1"/>
          <c:order val="1"/>
          <c:tx>
            <c:strRef>
              <c:f>[统计公报图表.xlsx]财政!$C$3</c:f>
              <c:strCache>
                <c:ptCount val="1"/>
                <c:pt idx="0">
                  <c:v>增速（%）</c:v>
                </c:pt>
              </c:strCache>
            </c:strRef>
          </c:tx>
          <c:spPr>
            <a:ln w="28575" cap="rnd">
              <a:solidFill>
                <a:schemeClr val="accent5"/>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[统计公报图表.xlsx]财政!$A$4:$A$6</c:f>
              <c:strCache>
                <c:ptCount val="3"/>
                <c:pt idx="0">
                  <c:v>2022年</c:v>
                </c:pt>
                <c:pt idx="1">
                  <c:v>2023年</c:v>
                </c:pt>
                <c:pt idx="2">
                  <c:v>2024年</c:v>
                </c:pt>
              </c:strCache>
            </c:strRef>
          </c:cat>
          <c:val>
            <c:numRef>
              <c:f>[统计公报图表.xlsx]财政!$C$4:$C$6</c:f>
              <c:numCache>
                <c:formatCode>General</c:formatCode>
                <c:ptCount val="3"/>
                <c:pt idx="0">
                  <c:v>-28.1</c:v>
                </c:pt>
                <c:pt idx="1">
                  <c:v>31.3</c:v>
                </c:pt>
                <c:pt idx="2">
                  <c:v>6.3</c:v>
                </c:pt>
              </c:numCache>
            </c:numRef>
          </c:val>
          <c:smooth val="0"/>
        </c:ser>
        <c:dLbls>
          <c:showLegendKey val="0"/>
          <c:showVal val="1"/>
          <c:showCatName val="0"/>
          <c:showSerName val="0"/>
          <c:showPercent val="0"/>
          <c:showBubbleSize val="0"/>
        </c:dLbls>
        <c:marker val="0"/>
        <c:smooth val="0"/>
        <c:axId val="250481482"/>
        <c:axId val="731060161"/>
      </c:lineChart>
      <c:catAx>
        <c:axId val="81839473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9561056"/>
        <c:crosses val="autoZero"/>
        <c:auto val="1"/>
        <c:lblAlgn val="ctr"/>
        <c:lblOffset val="100"/>
        <c:noMultiLvlLbl val="0"/>
      </c:catAx>
      <c:valAx>
        <c:axId val="889561056"/>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8394736"/>
        <c:crosses val="autoZero"/>
        <c:crossBetween val="between"/>
      </c:valAx>
      <c:catAx>
        <c:axId val="250481482"/>
        <c:scaling>
          <c:orientation val="minMax"/>
        </c:scaling>
        <c:delete val="1"/>
        <c:axPos val="b"/>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31060161"/>
        <c:crosses val="autoZero"/>
        <c:auto val="1"/>
        <c:lblAlgn val="ctr"/>
        <c:lblOffset val="100"/>
        <c:noMultiLvlLbl val="0"/>
      </c:catAx>
      <c:valAx>
        <c:axId val="731060161"/>
        <c:scaling>
          <c:orientation val="minMax"/>
        </c:scaling>
        <c:delete val="1"/>
        <c:axPos val="r"/>
        <c:numFmt formatCode="General"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0481482"/>
        <c:crosses val="max"/>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54c38ac-c768-4a20-8466-2180bb298d9b}"/>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99">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29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299">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5">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styleClr val="auto"/>
    </cs:effectRef>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a:outerShdw blurRad="76200" dist="25400" dir="2700000" algn="tl" rotWithShape="0">
          <a:schemeClr val="phClr">
            <a:lumMod val="50000"/>
            <a:alpha val="30000"/>
          </a:schemeClr>
        </a:outerShdw>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29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30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styleClr val="auto"/>
    </cs:effectRef>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160000" scaled="1"/>
        </a:gradFill>
      </a:ln>
      <a:effectLst>
        <a:outerShdw blurRad="76200" dist="25400" dir="2700000" algn="tl" rotWithShape="0">
          <a:schemeClr val="phClr">
            <a:lumMod val="50000"/>
            <a:alpha val="30000"/>
          </a:schemeClr>
        </a:outerShdw>
      </a:effectLst>
    </cs:spPr>
  </cs:dataPoint>
  <cs:dataPoint3D>
    <cs:lnRef idx="0"/>
    <cs:fillRef idx="1">
      <cs:styleClr val="auto"/>
    </cs:fillRef>
    <cs:effectRef idx="0"/>
    <cs:fontRef idx="minor">
      <a:schemeClr val="tx1"/>
    </cs:fontRef>
  </cs:dataPoint3D>
  <cs:dataPointLine>
    <cs:lnRef idx="0">
      <cs:styleClr val="auto"/>
    </cs:lnRef>
    <cs:fillRef idx="1"/>
    <cs:effectRef idx="0">
      <cs:styleClr val="auto"/>
    </cs:effectRef>
    <cs:fontRef idx="minor">
      <a:schemeClr val="tx1"/>
    </cs:fontRef>
    <cs:spPr>
      <a:ln w="28575" cap="rnd">
        <a:solidFill>
          <a:schemeClr val="phClr"/>
        </a:solidFill>
        <a:round/>
      </a:ln>
      <a:effectLst>
        <a:outerShdw blurRad="76200" dist="25400" dir="2700000" algn="tl" rotWithShape="0">
          <a:schemeClr val="phClr">
            <a:lumMod val="50000"/>
            <a:alpha val="30000"/>
          </a:schemeClr>
        </a:outerShdw>
      </a:effectLst>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2244</Words>
  <Characters>2734</Characters>
  <Lines>0</Lines>
  <Paragraphs>0</Paragraphs>
  <TotalTime>56</TotalTime>
  <ScaleCrop>false</ScaleCrop>
  <LinksUpToDate>false</LinksUpToDate>
  <CharactersWithSpaces>2734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2025-02-18T07:40:00Z</dcterms:created>
  <dc:creator>Administrator</dc:creator>
  <cp:lastModifiedBy>L.</cp:lastModifiedBy>
  <dcterms:modified xsi:type="dcterms:W3CDTF">2025-04-27T02:19:18Z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eyJoZGlkIjoiMjI5ODY1NjhjZGU1MDRlOWE5MjFlMjQ0Y2I1YTVlYTMiLCJ1c2VySWQiOiI0NjAxMTY5NTIifQ==</vt:lpwstr>
  </property>
  <property fmtid="{D5CDD505-2E9C-101B-9397-08002B2CF9AE}" pid="4" name="ICV">
    <vt:lpwstr>A9D86584588C4C5B870A6C4661E91E66_13</vt:lpwstr>
  </property>
</Properties>
</file>