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关于辽宁省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鞍山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市无记名国债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（国库券）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常年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兑付点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信息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的公告</w:t>
      </w:r>
    </w:p>
    <w:p/>
    <w:p/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为便利社会公众办理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无记名国债（国库券）</w:t>
      </w:r>
      <w:r>
        <w:rPr>
          <w:rFonts w:ascii="仿宋_GB2312" w:hAnsi="仿宋_GB2312" w:eastAsia="仿宋_GB2312" w:cs="仿宋_GB2312"/>
          <w:sz w:val="32"/>
          <w:szCs w:val="32"/>
        </w:rPr>
        <w:t>兑付业务，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现将辽宁省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鞍山</w:t>
      </w:r>
      <w:r>
        <w:rPr>
          <w:rFonts w:hint="eastAsia" w:ascii="仿宋_GB2312" w:hAnsi="仿宋_GB2312" w:eastAsia="仿宋_GB2312" w:cs="仿宋_GB2312"/>
          <w:sz w:val="32"/>
          <w:szCs w:val="32"/>
        </w:rPr>
        <w:t>市无记名国债（国库券）常年兑付点</w:t>
      </w:r>
      <w:r>
        <w:rPr>
          <w:rFonts w:ascii="仿宋_GB2312" w:hAnsi="仿宋_GB2312" w:eastAsia="仿宋_GB2312" w:cs="仿宋_GB2312"/>
          <w:sz w:val="32"/>
          <w:szCs w:val="32"/>
        </w:rPr>
        <w:t>信息向社会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</w:t>
      </w:r>
      <w:r>
        <w:rPr>
          <w:rFonts w:ascii="仿宋_GB2312" w:hAnsi="仿宋_GB2312" w:eastAsia="仿宋_GB2312" w:cs="仿宋_GB2312"/>
          <w:sz w:val="32"/>
          <w:szCs w:val="32"/>
        </w:rPr>
        <w:t>告，详</w:t>
      </w:r>
      <w:r>
        <w:rPr>
          <w:rFonts w:hint="eastAsia" w:ascii="仿宋_GB2312" w:hAnsi="仿宋_GB2312" w:eastAsia="仿宋_GB2312" w:cs="仿宋_GB2312"/>
          <w:sz w:val="32"/>
          <w:szCs w:val="32"/>
        </w:rPr>
        <w:t>见附</w:t>
      </w:r>
      <w:r>
        <w:rPr>
          <w:rFonts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2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中国人民银行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鞍山</w:t>
      </w:r>
      <w:r>
        <w:rPr>
          <w:rFonts w:hint="eastAsia" w:ascii="仿宋_GB2312" w:hAnsi="仿宋_GB2312" w:eastAsia="仿宋_GB2312" w:cs="仿宋_GB2312"/>
          <w:sz w:val="32"/>
          <w:szCs w:val="32"/>
        </w:rPr>
        <w:t>市分行</w:t>
      </w:r>
    </w:p>
    <w:p>
      <w:pPr>
        <w:adjustRightInd w:val="0"/>
        <w:snapToGrid w:val="0"/>
        <w:spacing w:line="600" w:lineRule="exact"/>
        <w:ind w:firstLine="42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2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42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42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42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42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42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ascii="仿宋_GB2312" w:hAnsi="仿宋_GB2312" w:eastAsia="仿宋_GB2312" w:cs="仿宋_GB2312"/>
          <w:sz w:val="32"/>
          <w:szCs w:val="32"/>
        </w:rPr>
        <w:t>件</w:t>
      </w:r>
    </w:p>
    <w:p>
      <w:pPr>
        <w:spacing w:line="600" w:lineRule="exact"/>
        <w:ind w:firstLine="480" w:firstLineChars="1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辽宁省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鞍山市</w:t>
      </w:r>
      <w:r>
        <w:rPr>
          <w:rFonts w:hint="eastAsia" w:ascii="黑体" w:hAnsi="黑体" w:eastAsia="黑体" w:cs="黑体"/>
          <w:sz w:val="32"/>
          <w:szCs w:val="32"/>
        </w:rPr>
        <w:t>无记名国债</w:t>
      </w:r>
      <w:r>
        <w:rPr>
          <w:rFonts w:ascii="黑体" w:hAnsi="黑体" w:eastAsia="黑体" w:cs="黑体"/>
          <w:sz w:val="32"/>
          <w:szCs w:val="32"/>
        </w:rPr>
        <w:t>（国库券）</w:t>
      </w:r>
      <w:r>
        <w:rPr>
          <w:rFonts w:hint="eastAsia" w:ascii="黑体" w:hAnsi="黑体" w:eastAsia="黑体" w:cs="黑体"/>
          <w:sz w:val="32"/>
          <w:szCs w:val="32"/>
        </w:rPr>
        <w:t>常年兑付点</w:t>
      </w:r>
    </w:p>
    <w:p>
      <w:pPr>
        <w:spacing w:line="600" w:lineRule="exact"/>
        <w:ind w:firstLine="420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W w:w="8817" w:type="dxa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85"/>
        <w:gridCol w:w="2054"/>
        <w:gridCol w:w="2299"/>
        <w:gridCol w:w="2294"/>
      </w:tblGrid>
      <w:tr>
        <w:trPr>
          <w:trHeight w:val="1743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b/>
                <w:sz w:val="32"/>
                <w:lang w:eastAsia="zh-CN"/>
              </w:rPr>
              <w:t>地区</w:t>
            </w: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b/>
                <w:sz w:val="32"/>
                <w:lang w:eastAsia="zh-CN"/>
              </w:rPr>
              <w:t>市、县、区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" w:hAnsi="仿宋" w:eastAsia="仿宋"/>
                <w:b/>
                <w:sz w:val="32"/>
                <w:lang w:eastAsia="zh-CN"/>
              </w:rPr>
              <w:t>常年兑付点</w:t>
            </w:r>
          </w:p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b/>
                <w:sz w:val="32"/>
                <w:lang w:eastAsia="zh-CN"/>
              </w:rPr>
              <w:t>名称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b/>
                <w:sz w:val="32"/>
                <w:lang w:eastAsia="zh-CN"/>
              </w:rPr>
              <w:t>常年兑付点详细地址及电话</w:t>
            </w:r>
          </w:p>
        </w:tc>
        <w:tc>
          <w:tcPr>
            <w:tcW w:w="2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" w:hAnsi="仿宋" w:eastAsia="仿宋"/>
                <w:b/>
                <w:sz w:val="32"/>
                <w:lang w:eastAsia="zh-CN"/>
              </w:rPr>
              <w:t>服务监督</w:t>
            </w:r>
          </w:p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b/>
                <w:sz w:val="32"/>
                <w:lang w:eastAsia="zh-CN"/>
              </w:rPr>
              <w:t>电话</w:t>
            </w:r>
          </w:p>
        </w:tc>
      </w:tr>
      <w:tr>
        <w:trPr>
          <w:trHeight w:val="2041" w:hRule="atLeast"/>
        </w:trPr>
        <w:tc>
          <w:tcPr>
            <w:tcW w:w="48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鞍山市辖区</w:t>
            </w: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鞍山市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中国人民银行鞍山市分行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鞍山市铁东区前进路2号0412-2985799</w:t>
            </w:r>
          </w:p>
        </w:tc>
        <w:tc>
          <w:tcPr>
            <w:tcW w:w="2294" w:type="dxa"/>
            <w:vMerge w:val="restart"/>
            <w:tcBorders>
              <w:top w:val="nil"/>
              <w:left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jc w:val="left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中国人民银行鞍山市分行国库科电话0412-2985917</w:t>
            </w:r>
          </w:p>
        </w:tc>
      </w:tr>
      <w:tr>
        <w:trPr>
          <w:trHeight w:val="2390" w:hRule="atLeast"/>
        </w:trPr>
        <w:tc>
          <w:tcPr>
            <w:tcW w:w="48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海城市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中国农业银行股份有限公司海城市支行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1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鞍山市海城市光明路2号</w:t>
            </w:r>
          </w:p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0412-2029280</w:t>
            </w:r>
          </w:p>
        </w:tc>
        <w:tc>
          <w:tcPr>
            <w:tcW w:w="2294" w:type="dxa"/>
            <w:vMerge w:val="continue"/>
            <w:tcBorders>
              <w:top w:val="nil"/>
              <w:left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left="-83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rPr>
          <w:trHeight w:val="2401" w:hRule="atLeast"/>
        </w:trPr>
        <w:tc>
          <w:tcPr>
            <w:tcW w:w="48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台安县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中国农业银行股份有限公司台安县支行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鞍山市台安县光明街21号0412-4911228</w:t>
            </w:r>
          </w:p>
        </w:tc>
        <w:tc>
          <w:tcPr>
            <w:tcW w:w="2294" w:type="dxa"/>
            <w:vMerge w:val="continue"/>
            <w:tcBorders>
              <w:top w:val="nil"/>
              <w:left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</w:tr>
      <w:tr>
        <w:trPr>
          <w:trHeight w:val="2401" w:hRule="atLeast"/>
        </w:trPr>
        <w:tc>
          <w:tcPr>
            <w:tcW w:w="48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岫岩满族自治县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中国人民银行鞍山市分行岫岩营业管理部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hint="default" w:ascii="Calibri" w:hAnsi="宋体"/>
                <w:sz w:val="24"/>
              </w:rPr>
            </w:pPr>
            <w:r>
              <w:rPr>
                <w:rFonts w:hint="default" w:ascii="仿宋" w:hAnsi="仿宋" w:eastAsia="仿宋"/>
                <w:sz w:val="32"/>
                <w:lang w:eastAsia="zh-CN"/>
              </w:rPr>
              <w:t>鞍山市岫岩满族自治县阜昌路3段1号0412-7867102</w:t>
            </w:r>
          </w:p>
        </w:tc>
        <w:tc>
          <w:tcPr>
            <w:tcW w:w="2294" w:type="dxa"/>
            <w:vMerge w:val="continue"/>
            <w:tcBorders>
              <w:top w:val="nil"/>
              <w:left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</w:tr>
    </w:tbl>
    <w:p>
      <w:pPr>
        <w:jc w:val="both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50</Words>
  <Characters>290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2024-06-07T01:58:00Z</dcterms:created>
  <dc:creator>吉林赵悦</dc:creator>
  <cp:lastModifiedBy>Admin</cp:lastModifiedBy>
  <cp:lastPrinted>2025-04-15T06:03:00Z</cp:lastPrinted>
  <dcterms:modified xsi:type="dcterms:W3CDTF">2025-04-16T02:59:25Z</dcterms:modified>
  <dc:title>关于辽宁省锦州市无记名国债（国库券）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