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jc w:val="center"/>
        <w:textAlignment w:val="auto"/>
        <w:rPr>
          <w:rFonts w:hint="eastAsia" w:ascii="宋体" w:hAnsi="宋体" w:eastAsia="宋体" w:cs="宋体"/>
          <w:sz w:val="44"/>
          <w:szCs w:val="44"/>
        </w:rPr>
      </w:pPr>
    </w:p>
    <w:p>
      <w:pPr>
        <w:pStyle w:val="8"/>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jc w:val="center"/>
        <w:textAlignment w:val="auto"/>
        <w:rPr>
          <w:rFonts w:hint="eastAsia" w:ascii="宋体" w:hAnsi="宋体" w:eastAsia="宋体" w:cs="宋体"/>
          <w:sz w:val="44"/>
          <w:szCs w:val="44"/>
        </w:rPr>
      </w:pPr>
    </w:p>
    <w:p>
      <w:pPr>
        <w:pStyle w:val="2"/>
        <w:rPr>
          <w:rFonts w:hint="eastAsia"/>
        </w:rPr>
      </w:pPr>
      <w:r>
        <w:rPr>
          <w:rFonts w:hint="eastAsia"/>
        </w:rPr>
        <w:t>鞍山市控制吸烟条例（草案）</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rPr>
      </w:pPr>
    </w:p>
    <w:p>
      <w:pPr>
        <w:pStyle w:val="35"/>
        <w:rPr>
          <w:rFonts w:hint="eastAsia"/>
        </w:rPr>
      </w:pPr>
      <w:r>
        <w:rPr>
          <w:rFonts w:hint="eastAsia"/>
        </w:rPr>
        <w:t>第一章</w:t>
      </w:r>
      <w:r>
        <w:rPr>
          <w:rFonts w:hint="eastAsia"/>
          <w:lang w:val="en-US" w:eastAsia="zh-CN"/>
        </w:rPr>
        <w:t xml:space="preserve">  </w:t>
      </w:r>
      <w:r>
        <w:rPr>
          <w:rFonts w:hint="eastAsia"/>
        </w:rPr>
        <w:t>总</w:t>
      </w:r>
      <w:r>
        <w:rPr>
          <w:rFonts w:hint="eastAsia"/>
          <w:lang w:val="en-US" w:eastAsia="zh-CN"/>
        </w:rPr>
        <w:t xml:space="preserve">  </w:t>
      </w:r>
      <w:r>
        <w:rPr>
          <w:rFonts w:hint="eastAsia"/>
        </w:rPr>
        <w:t>则</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rPr>
      </w:pP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r>
        <w:rPr>
          <w:rFonts w:hint="eastAsia" w:ascii="黑体" w:hAnsi="黑体" w:eastAsia="黑体" w:cs="黑体"/>
          <w:b w:val="0"/>
          <w:bCs w:val="0"/>
        </w:rPr>
        <w:t xml:space="preserve">第一条  </w:t>
      </w:r>
      <w:r>
        <w:rPr>
          <w:rFonts w:hint="eastAsia"/>
        </w:rPr>
        <w:t>为了减少和防止烟草烟雾的危害，保障公众健康，创造良好的公共环境，提升城市文明水平，根据有关法律、法规，结合本市实际，制定本条例。</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r>
        <w:rPr>
          <w:rFonts w:hint="eastAsia" w:ascii="黑体" w:hAnsi="黑体" w:eastAsia="黑体" w:cs="黑体"/>
          <w:b w:val="0"/>
          <w:bCs w:val="0"/>
        </w:rPr>
        <w:t xml:space="preserve">第二条  </w:t>
      </w:r>
      <w:r>
        <w:rPr>
          <w:rFonts w:hint="eastAsia"/>
        </w:rPr>
        <w:t>本市行政区域内的控制吸烟工作适用本条例。</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r>
        <w:rPr>
          <w:rFonts w:hint="eastAsia" w:ascii="黑体" w:hAnsi="黑体" w:eastAsia="黑体" w:cs="黑体"/>
          <w:b w:val="0"/>
          <w:bCs w:val="0"/>
        </w:rPr>
        <w:t xml:space="preserve">第三条  </w:t>
      </w:r>
      <w:r>
        <w:rPr>
          <w:rFonts w:hint="eastAsia"/>
        </w:rPr>
        <w:t>控制吸烟工作应当坚持政府与社会共同治理，遵循政府主导、分类管理、单位负责、个人自律、社会监督的原则。</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r>
        <w:rPr>
          <w:rFonts w:hint="eastAsia" w:ascii="黑体" w:hAnsi="黑体" w:eastAsia="黑体" w:cs="黑体"/>
          <w:b w:val="0"/>
          <w:bCs w:val="0"/>
        </w:rPr>
        <w:t xml:space="preserve">第四条  </w:t>
      </w:r>
      <w:r>
        <w:rPr>
          <w:rFonts w:hint="eastAsia"/>
        </w:rPr>
        <w:t>市、县(市)区人民政府（含高新技术产业开发区管理委员会、鞍山经济开发区管理委员会、千山风景名胜区管理委员会，下同）应当加强对控制吸烟工作的领导，将控制吸烟工作纳入国民经济和社会发展规划，保障控制吸烟工作所需经费，推进控制吸烟工作体系建设。</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r>
        <w:rPr>
          <w:rFonts w:hint="eastAsia" w:ascii="黑体" w:hAnsi="黑体" w:eastAsia="黑体" w:cs="黑体"/>
          <w:b w:val="0"/>
          <w:bCs w:val="0"/>
        </w:rPr>
        <w:t xml:space="preserve">第五条  </w:t>
      </w:r>
      <w:r>
        <w:rPr>
          <w:rFonts w:hint="eastAsia"/>
        </w:rPr>
        <w:t>市、县(市)区爱国卫生运动委员会，在本级人民政府的领导下，组织、指导本行政区域内控制吸烟工作，研究和协调解决控制吸烟工作的重大问题，对在控制吸烟工作中作出突出成绩的单位和个人给予表彰。</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r>
        <w:rPr>
          <w:rFonts w:hint="eastAsia" w:ascii="黑体" w:hAnsi="黑体" w:eastAsia="黑体" w:cs="黑体"/>
          <w:b w:val="0"/>
          <w:bCs w:val="0"/>
        </w:rPr>
        <w:t>第六</w:t>
      </w:r>
      <w:r>
        <w:rPr>
          <w:rFonts w:hint="eastAsia" w:ascii="黑体" w:hAnsi="黑体" w:eastAsia="黑体" w:cs="黑体"/>
          <w:b w:val="0"/>
          <w:bCs w:val="0"/>
        </w:rPr>
        <w:t xml:space="preserve">条  </w:t>
      </w:r>
      <w:r>
        <w:rPr>
          <w:rFonts w:hint="eastAsia"/>
        </w:rPr>
        <w:t>市</w:t>
      </w:r>
      <w:r>
        <w:rPr>
          <w:rFonts w:hint="eastAsia"/>
        </w:rPr>
        <w:t>、县(市)区卫生健康主管部门是本市控制吸烟工作的主管部门，负责本行政区域控制吸烟工作，并履行下列职责：</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r>
        <w:rPr>
          <w:rFonts w:hint="eastAsia"/>
        </w:rPr>
        <w:t>(一)拟定并组织实施控制吸烟工作规划;</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r>
        <w:rPr>
          <w:rFonts w:hint="eastAsia"/>
        </w:rPr>
        <w:t>(二)组织、协调、指导控制吸烟工作;</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r>
        <w:rPr>
          <w:rFonts w:hint="eastAsia"/>
        </w:rPr>
        <w:t>(三)组织开展控制吸烟和吸烟有害健康的宣传教育;</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r>
        <w:rPr>
          <w:rFonts w:hint="eastAsia"/>
        </w:rPr>
        <w:t>(四)组织医疗卫生机构开展戒烟医疗服务、提供戒烟咨询和指导;</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r>
        <w:rPr>
          <w:rFonts w:hint="eastAsia"/>
        </w:rPr>
        <w:t>(五)组织开展对吸烟行为的干预工作，设立咨询热线，开展控制吸烟咨询服务;</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r>
        <w:rPr>
          <w:rFonts w:hint="eastAsia"/>
        </w:rPr>
        <w:t>(六)组织开展有关控制吸烟工作培训;</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r>
        <w:rPr>
          <w:rFonts w:hint="eastAsia"/>
        </w:rPr>
        <w:t>(七)定期对烟草流行情况进行监测和评价;</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r>
        <w:rPr>
          <w:rFonts w:hint="eastAsia"/>
        </w:rPr>
        <w:t>(八)法律、法规规定的其他职责。</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r>
        <w:rPr>
          <w:rFonts w:hint="eastAsia" w:ascii="黑体" w:hAnsi="黑体" w:eastAsia="黑体" w:cs="黑体"/>
          <w:b w:val="0"/>
          <w:bCs w:val="0"/>
        </w:rPr>
        <w:t xml:space="preserve">第七条  </w:t>
      </w:r>
      <w:r>
        <w:rPr>
          <w:rFonts w:hint="eastAsia"/>
        </w:rPr>
        <w:t>教育、公安、民政、人力资源和社会保障、城市管理、交通运输、商务、文旅广电、市场监督管理、机关事务等主管部门按照各自职责，负责控制吸烟的相关监督管理工作。</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r>
        <w:rPr>
          <w:rFonts w:hint="eastAsia"/>
        </w:rPr>
        <w:t>街道办事处、乡镇人民政府负责本辖区的控制吸烟工作。</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r>
        <w:rPr>
          <w:rFonts w:hint="eastAsia"/>
        </w:rPr>
        <w:t>村（居）民委员会应当协助街道办事处、乡镇人民政府开展控制吸烟工作。</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r>
        <w:rPr>
          <w:rFonts w:hint="eastAsia" w:ascii="黑体" w:hAnsi="黑体" w:eastAsia="黑体" w:cs="黑体"/>
          <w:b w:val="0"/>
          <w:bCs w:val="0"/>
        </w:rPr>
        <w:t xml:space="preserve">第八条  </w:t>
      </w:r>
      <w:r>
        <w:rPr>
          <w:rFonts w:hint="eastAsia"/>
        </w:rPr>
        <w:t>鼓励创建无烟党政机关，倡导无烟家庭，营造无烟环境。</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r>
        <w:rPr>
          <w:rFonts w:hint="eastAsia"/>
        </w:rPr>
        <w:t>鼓励控制吸烟协会、控制吸烟志愿者等社会组织和个人通过各种形式，依法参与控制吸烟工作。</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p>
    <w:p>
      <w:pPr>
        <w:pStyle w:val="35"/>
        <w:rPr>
          <w:rFonts w:hint="eastAsia"/>
        </w:rPr>
      </w:pPr>
      <w:r>
        <w:rPr>
          <w:rFonts w:hint="eastAsia"/>
        </w:rPr>
        <w:t>第二章  控制吸烟场所与区域</w:t>
      </w:r>
    </w:p>
    <w:p>
      <w:pPr>
        <w:pStyle w:val="35"/>
        <w:rPr>
          <w:rFonts w:hint="eastAsia"/>
        </w:rPr>
      </w:pP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r>
        <w:rPr>
          <w:rFonts w:hint="eastAsia" w:ascii="黑体" w:hAnsi="黑体" w:eastAsia="黑体" w:cs="黑体"/>
          <w:b w:val="0"/>
          <w:bCs w:val="0"/>
        </w:rPr>
        <w:t xml:space="preserve">第九条  </w:t>
      </w:r>
      <w:r>
        <w:rPr>
          <w:rFonts w:hint="eastAsia"/>
        </w:rPr>
        <w:t>室内公共场所及工作场所(含电梯轿厢)、公共交通工具内禁止吸烟。</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r>
        <w:rPr>
          <w:rFonts w:hint="eastAsia"/>
        </w:rPr>
        <w:t>餐饮服务场所、住宿休息服务场所和公共娱乐场所可以设置室内吸烟室。</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r>
        <w:rPr>
          <w:rFonts w:hint="eastAsia"/>
        </w:rPr>
        <w:t>鼓励依据前款规定设置室内吸烟室的场所经营者、管理者自行关闭吸烟室，全面禁止吸烟。</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r>
        <w:rPr>
          <w:rFonts w:hint="eastAsia" w:ascii="黑体" w:hAnsi="黑体" w:eastAsia="黑体" w:cs="黑体"/>
          <w:b w:val="0"/>
          <w:bCs w:val="0"/>
        </w:rPr>
        <w:t xml:space="preserve">第十条  </w:t>
      </w:r>
      <w:r>
        <w:rPr>
          <w:rFonts w:hint="eastAsia"/>
        </w:rPr>
        <w:t>下列室外区域禁止吸烟：</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r>
        <w:rPr>
          <w:rFonts w:hint="eastAsia"/>
        </w:rPr>
        <w:t>(一)幼儿园、中小学校、青少年活动中心、校外培训机构和儿童福利机构等未成年人集中活动的公共场所的室外区域;</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r>
        <w:rPr>
          <w:rFonts w:hint="eastAsia"/>
        </w:rPr>
        <w:t>(二)妇幼保健机构、儿童医院的室外区域;</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r>
        <w:rPr>
          <w:rFonts w:hint="eastAsia"/>
        </w:rPr>
        <w:t>(三)体育场馆、演出场所的露天观众坐席和露天比赛、健身、演出区域;</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r>
        <w:rPr>
          <w:rFonts w:hint="eastAsia"/>
        </w:rPr>
        <w:t>(四)对社会开放的文物保护单位的室外区域;</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r>
        <w:rPr>
          <w:rFonts w:hint="eastAsia"/>
        </w:rPr>
        <w:t>(五)人群聚集的公共交通工具的室外等候区域；</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r>
        <w:rPr>
          <w:rFonts w:hint="eastAsia"/>
        </w:rPr>
        <w:t>(六)法律、法规规定禁止吸烟的其他室外区域。</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r>
        <w:rPr>
          <w:rFonts w:hint="eastAsia"/>
        </w:rPr>
        <w:t>市、县(市)区人民政府可以根据举办大型活动的需要，划定临时性禁止吸烟的室外区域。</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r>
        <w:rPr>
          <w:rFonts w:hint="eastAsia" w:ascii="黑体" w:hAnsi="黑体" w:eastAsia="黑体" w:cs="黑体"/>
          <w:b w:val="0"/>
          <w:bCs w:val="0"/>
        </w:rPr>
        <w:t xml:space="preserve">第十一条  </w:t>
      </w:r>
      <w:r>
        <w:rPr>
          <w:rFonts w:hint="eastAsia"/>
        </w:rPr>
        <w:t>公共场所非禁止吸烟的室外区域，可以设置吸烟点。</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r>
        <w:rPr>
          <w:rFonts w:hint="eastAsia"/>
        </w:rPr>
        <w:t>吸烟点的设置应当遵守下列规定：</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r>
        <w:rPr>
          <w:rFonts w:hint="eastAsia"/>
        </w:rPr>
        <w:t>(一)避开人群密集区域和行人必经的主要通道;</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r>
        <w:rPr>
          <w:rFonts w:hint="eastAsia"/>
        </w:rPr>
        <w:t>(二)设置明显的指引标识、吸烟点标识和吸烟有害健康的警示标识;</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r>
        <w:rPr>
          <w:rFonts w:hint="eastAsia"/>
        </w:rPr>
        <w:t>(三)配置收集烟灰、烟蒂的器具。</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r>
        <w:rPr>
          <w:rFonts w:hint="eastAsia"/>
        </w:rPr>
        <w:t>(四)符合消防技术标准。</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r>
        <w:rPr>
          <w:rFonts w:hint="eastAsia"/>
        </w:rPr>
        <w:t>依据本条例第九条第二款规定设置的室内吸烟室，除应当符合前款规定条件外，还应当具备将烟雾与禁止吸烟区有效隔离和良好的通风换气条件。</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p>
    <w:p>
      <w:pPr>
        <w:pStyle w:val="35"/>
        <w:rPr>
          <w:rFonts w:hint="eastAsia"/>
        </w:rPr>
      </w:pPr>
      <w:r>
        <w:rPr>
          <w:rFonts w:hint="eastAsia"/>
        </w:rPr>
        <w:t>第三章  控制吸烟措施</w:t>
      </w:r>
    </w:p>
    <w:p>
      <w:pPr>
        <w:pStyle w:val="35"/>
        <w:rPr>
          <w:rFonts w:hint="eastAsia"/>
        </w:rPr>
      </w:pP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r>
        <w:rPr>
          <w:rFonts w:hint="eastAsia" w:ascii="黑体" w:hAnsi="黑体" w:eastAsia="黑体" w:cs="黑体"/>
          <w:b w:val="0"/>
          <w:bCs w:val="0"/>
        </w:rPr>
        <w:t xml:space="preserve">第十二条  </w:t>
      </w:r>
      <w:r>
        <w:rPr>
          <w:rFonts w:hint="eastAsia"/>
        </w:rPr>
        <w:t>禁止吸烟场所（区域）的经营者、管理者应当履行下列义务：</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r>
        <w:rPr>
          <w:rFonts w:hint="eastAsia"/>
        </w:rPr>
        <w:t>(一)建立控制吸烟管理制度，开展吸烟危害健康的宣传工作；</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r>
        <w:rPr>
          <w:rFonts w:hint="eastAsia"/>
        </w:rPr>
        <w:t>(二)不得放置与吸烟有关的器具；</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r>
        <w:rPr>
          <w:rFonts w:hint="eastAsia"/>
        </w:rPr>
        <w:t>(三)在场所的入口及其他显著位置设置醒目、清晰的禁止吸烟标识，公布投诉举报电话;</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r>
        <w:rPr>
          <w:rFonts w:hint="eastAsia"/>
        </w:rPr>
        <w:t>(四)对吸烟人员予以劝阻。</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r>
        <w:rPr>
          <w:rFonts w:hint="eastAsia"/>
        </w:rPr>
        <w:t>鼓励经营者、管理者依法采用烟雾报警、浓度监测、视频图像采集等技术手段，加强对控制吸烟工作的管理。</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r>
        <w:rPr>
          <w:rFonts w:hint="eastAsia" w:ascii="黑体" w:hAnsi="黑体" w:eastAsia="黑体" w:cs="黑体"/>
          <w:b w:val="0"/>
          <w:bCs w:val="0"/>
        </w:rPr>
        <w:t xml:space="preserve">第十三条  </w:t>
      </w:r>
      <w:r>
        <w:rPr>
          <w:rFonts w:hint="eastAsia"/>
        </w:rPr>
        <w:t>任何单位和个人有权对违反本条例的吸烟行为进行劝阻，有权要求禁止吸烟场所(区域)的经营者、管理者履行劝阻义务，有权对违反本条例规定的行为进行举报和投诉。</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r>
        <w:rPr>
          <w:rFonts w:hint="eastAsia" w:ascii="黑体" w:hAnsi="黑体" w:eastAsia="黑体" w:cs="黑体"/>
          <w:b w:val="0"/>
          <w:bCs w:val="0"/>
        </w:rPr>
        <w:t xml:space="preserve">第十四条  </w:t>
      </w:r>
      <w:r>
        <w:rPr>
          <w:rFonts w:hint="eastAsia"/>
        </w:rPr>
        <w:t>禁止向未成年人销售烟草制品或者电子烟。对难以判明是否已成年的，经营者应当要求其出示身份证件;对不能出示身份证件的，不得向其销售烟草制品或者电子烟。</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r>
        <w:rPr>
          <w:rFonts w:hint="eastAsia"/>
        </w:rPr>
        <w:t>烟草制品经营者应当在其营业场所显著位置设置吸烟有害健康和不向未成年人销售烟草制品的标识。</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r>
        <w:rPr>
          <w:rFonts w:hint="eastAsia" w:ascii="黑体" w:hAnsi="黑体" w:eastAsia="黑体" w:cs="黑体"/>
          <w:b w:val="0"/>
          <w:bCs w:val="0"/>
        </w:rPr>
        <w:t xml:space="preserve">第十五条  </w:t>
      </w:r>
      <w:r>
        <w:rPr>
          <w:rFonts w:hint="eastAsia"/>
        </w:rPr>
        <w:t>禁止在大众传播媒介或者公共场所、公共交通工具、户外发布烟草广告。禁止向未成年人发送任何形式的烟草广告。</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r>
        <w:rPr>
          <w:rFonts w:hint="eastAsia"/>
        </w:rPr>
        <w:t>禁止利用其他商品或者服务的广告、公益广告，宣传烟草制品名称、商标、包装、装潢以及类似内容。</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r>
        <w:rPr>
          <w:rFonts w:hint="eastAsia" w:ascii="黑体" w:hAnsi="黑体" w:eastAsia="黑体" w:cs="黑体"/>
          <w:b w:val="0"/>
          <w:bCs w:val="0"/>
        </w:rPr>
        <w:t xml:space="preserve">第十六条  </w:t>
      </w:r>
      <w:r>
        <w:rPr>
          <w:rFonts w:hint="eastAsia"/>
        </w:rPr>
        <w:t>鼓励有条件的医疗卫生机构设立戒烟门诊，为吸烟者提供专业的戒烟咨询、诊疗服务。</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rPr>
      </w:pPr>
    </w:p>
    <w:p>
      <w:pPr>
        <w:pStyle w:val="35"/>
        <w:rPr>
          <w:rFonts w:hint="eastAsia"/>
          <w:lang w:val="en-US" w:eastAsia="zh-CN"/>
        </w:rPr>
      </w:pPr>
      <w:r>
        <w:rPr>
          <w:rFonts w:hint="eastAsia"/>
          <w:lang w:val="en-US" w:eastAsia="zh-CN"/>
        </w:rPr>
        <w:t>第四章  宣传教育</w:t>
      </w:r>
    </w:p>
    <w:p>
      <w:pPr>
        <w:pStyle w:val="35"/>
        <w:rPr>
          <w:rFonts w:hint="eastAsia"/>
          <w:lang w:val="en-US" w:eastAsia="zh-CN"/>
        </w:rPr>
      </w:pP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lang w:val="en-US" w:eastAsia="zh-CN"/>
        </w:rPr>
      </w:pPr>
      <w:r>
        <w:rPr>
          <w:rFonts w:hint="eastAsia" w:ascii="黑体" w:hAnsi="黑体" w:eastAsia="黑体" w:cs="黑体"/>
          <w:b w:val="0"/>
          <w:bCs w:val="0"/>
          <w:lang w:val="en-US" w:eastAsia="zh-CN"/>
        </w:rPr>
        <w:t xml:space="preserve">第十七条  </w:t>
      </w:r>
      <w:r>
        <w:rPr>
          <w:rFonts w:hint="eastAsia"/>
          <w:lang w:val="en-US" w:eastAsia="zh-CN"/>
        </w:rPr>
        <w:t>市、县(市)区人民政府及其有关部门、街道办事处、乡镇人民政府应当组织开展多种形式的控制吸烟宣传教育工作。</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lang w:val="en-US" w:eastAsia="zh-CN"/>
        </w:rPr>
      </w:pPr>
      <w:r>
        <w:rPr>
          <w:rFonts w:hint="eastAsia" w:ascii="黑体" w:hAnsi="黑体" w:eastAsia="黑体" w:cs="黑体"/>
          <w:b w:val="0"/>
          <w:bCs w:val="0"/>
          <w:lang w:val="en-US" w:eastAsia="zh-CN"/>
        </w:rPr>
        <w:t xml:space="preserve">第十八条  </w:t>
      </w:r>
      <w:r>
        <w:rPr>
          <w:rFonts w:hint="eastAsia"/>
          <w:lang w:val="en-US" w:eastAsia="zh-CN"/>
        </w:rPr>
        <w:t>卫生健康主管部门应当每年制订控制吸烟宣传教育计划，采取多种形式开展控制吸烟宣传教育和培训活动。</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lang w:val="en-US" w:eastAsia="zh-CN"/>
        </w:rPr>
      </w:pPr>
      <w:r>
        <w:rPr>
          <w:rFonts w:hint="eastAsia"/>
          <w:lang w:val="en-US" w:eastAsia="zh-CN"/>
        </w:rPr>
        <w:t>医疗卫生机构应当开展控制吸烟宣传教育活动，提高患者对吸烟和接触烟草烟雾危害的认识。</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lang w:val="en-US" w:eastAsia="zh-CN"/>
        </w:rPr>
      </w:pPr>
      <w:r>
        <w:rPr>
          <w:rFonts w:hint="eastAsia" w:ascii="黑体" w:hAnsi="黑体" w:eastAsia="黑体" w:cs="黑体"/>
          <w:b w:val="0"/>
          <w:bCs w:val="0"/>
          <w:lang w:val="en-US" w:eastAsia="zh-CN"/>
        </w:rPr>
        <w:t xml:space="preserve">第十九条 </w:t>
      </w:r>
      <w:r>
        <w:rPr>
          <w:rFonts w:hint="eastAsia"/>
          <w:lang w:val="en-US" w:eastAsia="zh-CN"/>
        </w:rPr>
        <w:t xml:space="preserve"> 教育主管部门应当将控制吸烟教育纳入学校健康教育的教学计划，采取措施预防学生吸烟。</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lang w:val="en-US" w:eastAsia="zh-CN"/>
        </w:rPr>
      </w:pPr>
      <w:r>
        <w:rPr>
          <w:rFonts w:hint="eastAsia" w:ascii="黑体" w:hAnsi="黑体" w:eastAsia="黑体" w:cs="黑体"/>
          <w:b w:val="0"/>
          <w:bCs w:val="0"/>
          <w:lang w:val="en-US" w:eastAsia="zh-CN"/>
        </w:rPr>
        <w:t xml:space="preserve">第二十条  </w:t>
      </w:r>
      <w:r>
        <w:rPr>
          <w:rFonts w:hint="eastAsia"/>
          <w:lang w:val="en-US" w:eastAsia="zh-CN"/>
        </w:rPr>
        <w:t>工会、共青团、妇联、科协等团体应当结合各自工作对象的特点，开展控制吸烟宣传教育活动。</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lang w:val="en-US" w:eastAsia="zh-CN"/>
        </w:rPr>
      </w:pPr>
      <w:r>
        <w:rPr>
          <w:rFonts w:hint="eastAsia"/>
          <w:lang w:val="en-US" w:eastAsia="zh-CN"/>
        </w:rPr>
        <w:t>物业服务企业应当协助有关部门在其服务区域内开展控制吸烟宣传教育活动。</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lang w:val="en-US" w:eastAsia="zh-CN"/>
        </w:rPr>
      </w:pPr>
      <w:r>
        <w:rPr>
          <w:rFonts w:hint="eastAsia" w:ascii="黑体" w:hAnsi="黑体" w:eastAsia="黑体" w:cs="黑体"/>
          <w:b w:val="0"/>
          <w:bCs w:val="0"/>
          <w:lang w:val="en-US" w:eastAsia="zh-CN"/>
        </w:rPr>
        <w:t xml:space="preserve">第二十一条  </w:t>
      </w:r>
      <w:r>
        <w:rPr>
          <w:rFonts w:hint="eastAsia"/>
          <w:lang w:val="en-US" w:eastAsia="zh-CN"/>
        </w:rPr>
        <w:t>报刊、广播、电视、通讯、网站等有关媒体单位应当发挥舆论引导和监督作用，开展控制吸烟公益宣传活动，发布控制吸烟公益广告。</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lang w:val="en-US" w:eastAsia="zh-CN"/>
        </w:rPr>
      </w:pPr>
      <w:r>
        <w:rPr>
          <w:rFonts w:hint="eastAsia" w:ascii="黑体" w:hAnsi="黑体" w:eastAsia="黑体" w:cs="黑体"/>
          <w:b w:val="0"/>
          <w:bCs w:val="0"/>
          <w:lang w:val="en-US" w:eastAsia="zh-CN"/>
        </w:rPr>
        <w:t xml:space="preserve">第二十二条  </w:t>
      </w:r>
      <w:r>
        <w:rPr>
          <w:rFonts w:hint="eastAsia"/>
          <w:lang w:val="en-US" w:eastAsia="zh-CN"/>
        </w:rPr>
        <w:t>市、县(市)区人民政府应当在每年5月31日“世界无烟日”集中组织开展控制吸烟宣传活动，并倡导停止售烟、吸烟一天。</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lang w:val="en-US" w:eastAsia="zh-CN"/>
        </w:rPr>
      </w:pPr>
    </w:p>
    <w:p>
      <w:pPr>
        <w:pStyle w:val="35"/>
        <w:rPr>
          <w:rFonts w:hint="eastAsia"/>
          <w:lang w:val="en-US" w:eastAsia="zh-CN"/>
        </w:rPr>
      </w:pPr>
      <w:r>
        <w:rPr>
          <w:rFonts w:hint="eastAsia"/>
          <w:lang w:val="en-US" w:eastAsia="zh-CN"/>
        </w:rPr>
        <w:t>第五章  监督管理</w:t>
      </w:r>
    </w:p>
    <w:p>
      <w:pPr>
        <w:pStyle w:val="35"/>
        <w:rPr>
          <w:rFonts w:hint="eastAsia"/>
          <w:lang w:val="en-US" w:eastAsia="zh-CN"/>
        </w:rPr>
      </w:pP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lang w:val="en-US" w:eastAsia="zh-CN"/>
        </w:rPr>
      </w:pPr>
      <w:r>
        <w:rPr>
          <w:rFonts w:hint="eastAsia" w:ascii="黑体" w:hAnsi="黑体" w:eastAsia="黑体" w:cs="黑体"/>
          <w:b w:val="0"/>
          <w:bCs w:val="0"/>
          <w:lang w:val="en-US" w:eastAsia="zh-CN"/>
        </w:rPr>
        <w:t xml:space="preserve">第二十三条  </w:t>
      </w:r>
      <w:r>
        <w:rPr>
          <w:rFonts w:hint="eastAsia"/>
          <w:lang w:val="en-US" w:eastAsia="zh-CN"/>
        </w:rPr>
        <w:t>机关、企业事业单位、社会团体和其他社会组织应当将控制吸烟纳入本单位日常管理工作，可以采取签订不吸烟承诺书、聘请控制吸烟监督员以及利用网络信息技术等方式加强对吸烟行为的监督管理，其法定代表人或者主要负责人负责本单位的控制吸烟工作。</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lang w:val="en-US" w:eastAsia="zh-CN"/>
        </w:rPr>
      </w:pPr>
      <w:r>
        <w:rPr>
          <w:rFonts w:hint="eastAsia"/>
          <w:lang w:val="en-US" w:eastAsia="zh-CN"/>
        </w:rPr>
        <w:t>各类公务活动中不得提供、使用烟草制品和电子烟。</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lang w:val="en-US" w:eastAsia="zh-CN"/>
        </w:rPr>
      </w:pPr>
      <w:r>
        <w:rPr>
          <w:rFonts w:hint="eastAsia" w:ascii="黑体" w:hAnsi="黑体" w:eastAsia="黑体" w:cs="黑体"/>
          <w:b w:val="0"/>
          <w:bCs w:val="0"/>
          <w:lang w:val="en-US" w:eastAsia="zh-CN"/>
        </w:rPr>
        <w:t xml:space="preserve">第二十四条  </w:t>
      </w:r>
      <w:r>
        <w:rPr>
          <w:rFonts w:hint="eastAsia"/>
          <w:lang w:val="en-US" w:eastAsia="zh-CN"/>
        </w:rPr>
        <w:t>控制吸烟工作的监督执法按照下列规定实施：</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lang w:val="en-US" w:eastAsia="zh-CN"/>
        </w:rPr>
      </w:pPr>
      <w:r>
        <w:rPr>
          <w:rFonts w:hint="eastAsia"/>
          <w:lang w:val="en-US" w:eastAsia="zh-CN"/>
        </w:rPr>
        <w:t>(一)教育、人力资源和社会保障主管部门负责学校、学前教育机构及其监督管理的教育培训机构控烟工作的监督执法；</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lang w:val="en-US" w:eastAsia="zh-CN"/>
        </w:rPr>
      </w:pPr>
      <w:r>
        <w:rPr>
          <w:rFonts w:hint="eastAsia"/>
          <w:lang w:val="en-US" w:eastAsia="zh-CN"/>
        </w:rPr>
        <w:t>(二)公安机关负责宾馆、旅馆、酒店、歌舞厅，游艺厅（室）、按摩服务、洗浴服务、互联网上网服务营业场所及其监督管理范围内公共场所、工作场所控烟工作的监督执法;</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lang w:val="en-US" w:eastAsia="zh-CN"/>
        </w:rPr>
      </w:pPr>
      <w:r>
        <w:rPr>
          <w:rFonts w:hint="eastAsia"/>
          <w:lang w:val="en-US" w:eastAsia="zh-CN"/>
        </w:rPr>
        <w:t>(三)民政主管部门负责社会福利机构及其监督管理范围内公共场所、工作场所控烟工作的监督执法；</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lang w:val="en-US" w:eastAsia="zh-CN"/>
        </w:rPr>
      </w:pPr>
      <w:r>
        <w:rPr>
          <w:rFonts w:hint="eastAsia"/>
          <w:lang w:val="en-US" w:eastAsia="zh-CN"/>
        </w:rPr>
        <w:t>(四)城市管理部门负责园林、公园、广场及其监督管理范围内公共场所、工作场所控烟工作的监督执法;</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lang w:val="en-US" w:eastAsia="zh-CN"/>
        </w:rPr>
      </w:pPr>
      <w:r>
        <w:rPr>
          <w:rFonts w:hint="eastAsia"/>
          <w:lang w:val="en-US" w:eastAsia="zh-CN"/>
        </w:rPr>
        <w:t>(五)交通运输主管部门负责除民用航空器、火车外的公共交通工具及其相关公共场所、工作场所控烟工作的监督执法；</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lang w:val="en-US" w:eastAsia="zh-CN"/>
        </w:rPr>
      </w:pPr>
      <w:r>
        <w:rPr>
          <w:rFonts w:hint="eastAsia"/>
          <w:lang w:val="en-US" w:eastAsia="zh-CN"/>
        </w:rPr>
        <w:t>(六)商务、市场监督主管部门按照各自职责负责餐饮服务、商品药品批发零售、市场超市等场所及其监督管理范围内公共场所、工作场所控烟工作的监督执法;</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lang w:val="en-US" w:eastAsia="zh-CN"/>
        </w:rPr>
      </w:pPr>
      <w:r>
        <w:rPr>
          <w:rFonts w:hint="eastAsia"/>
          <w:lang w:val="en-US" w:eastAsia="zh-CN"/>
        </w:rPr>
        <w:t>(七)文旅广电主管部门负责文化场所、旅游景区、体育场馆及其监督管理范围内的公共场所、工作场所控烟工作的监督执法;</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lang w:val="en-US" w:eastAsia="zh-CN"/>
        </w:rPr>
      </w:pPr>
      <w:r>
        <w:rPr>
          <w:rFonts w:hint="eastAsia"/>
          <w:lang w:val="en-US" w:eastAsia="zh-CN"/>
        </w:rPr>
        <w:t>(八)卫生健康主管部门负责医疗卫生机构及其监督管理范围内的公共场所、工作场所控烟工作的监督执法；</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lang w:val="en-US" w:eastAsia="zh-CN"/>
        </w:rPr>
      </w:pPr>
      <w:r>
        <w:rPr>
          <w:rFonts w:hint="eastAsia"/>
          <w:lang w:val="en-US" w:eastAsia="zh-CN"/>
        </w:rPr>
        <w:t>(九)机关事务主管部门负责管辖范围内机关、事业单位公共场所、工作场所控烟工作的监督检查；</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lang w:val="en-US" w:eastAsia="zh-CN"/>
        </w:rPr>
      </w:pPr>
      <w:r>
        <w:rPr>
          <w:rFonts w:hint="eastAsia"/>
          <w:lang w:val="en-US" w:eastAsia="zh-CN"/>
        </w:rPr>
        <w:t>（十）烟草专卖部门负责禁止向未成年人销售烟草制品（含电子烟）的监督管理工作。</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lang w:val="en-US" w:eastAsia="zh-CN"/>
        </w:rPr>
      </w:pPr>
      <w:r>
        <w:rPr>
          <w:rFonts w:hint="eastAsia"/>
          <w:lang w:val="en-US" w:eastAsia="zh-CN"/>
        </w:rPr>
        <w:t>前款所列场所以外的公共场所、工作场所控制吸烟工作的监督执法，法律、法规有规定的，从其规定;法律、法规尚未规定的，由卫生健康主管部门负责。</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lang w:val="en-US" w:eastAsia="zh-CN"/>
        </w:rPr>
      </w:pPr>
      <w:r>
        <w:rPr>
          <w:rFonts w:hint="eastAsia"/>
          <w:lang w:val="en-US" w:eastAsia="zh-CN"/>
        </w:rPr>
        <w:t>民航、铁路管理部门依照国家有关规定，负责民用航空器、火车等公共交通工具及其等候场所等公共场所、工作场所的控制吸烟工作。</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lang w:val="en-US" w:eastAsia="zh-CN"/>
        </w:rPr>
      </w:pPr>
      <w:r>
        <w:rPr>
          <w:rFonts w:hint="eastAsia" w:ascii="黑体" w:hAnsi="黑体" w:eastAsia="黑体" w:cs="黑体"/>
          <w:b w:val="0"/>
          <w:bCs w:val="0"/>
          <w:lang w:val="en-US" w:eastAsia="zh-CN"/>
        </w:rPr>
        <w:t xml:space="preserve">第二十五条  </w:t>
      </w:r>
      <w:r>
        <w:rPr>
          <w:rFonts w:hint="eastAsia"/>
          <w:lang w:val="en-US" w:eastAsia="zh-CN"/>
        </w:rPr>
        <w:t>依据本条例第二十四条规定履行控制吸烟监督执法职责的部门，应当依法开展控制吸烟监督管理工作，并对违反本条例规定的行为进行调查核实，有关单位和个人应当协助配合并如实反映情况。</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lang w:val="en-US" w:eastAsia="zh-CN"/>
        </w:rPr>
      </w:pPr>
      <w:r>
        <w:rPr>
          <w:rFonts w:hint="eastAsia"/>
          <w:lang w:val="en-US" w:eastAsia="zh-CN"/>
        </w:rPr>
        <w:t>市、县(市)区爱国卫生运动委员会应当对有关部门履行控制吸烟职责的情况进行监督，定期对有关部门监督管理的场所进行检查、抽查，可以委托第三方组织或机构进行监测、评估，督促有关部门履行控制吸烟职责。</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lang w:val="en-US" w:eastAsia="zh-CN"/>
        </w:rPr>
      </w:pPr>
      <w:r>
        <w:rPr>
          <w:rFonts w:hint="eastAsia" w:ascii="黑体" w:hAnsi="黑体" w:eastAsia="黑体" w:cs="黑体"/>
          <w:b w:val="0"/>
          <w:bCs w:val="0"/>
          <w:lang w:val="en-US" w:eastAsia="zh-CN"/>
        </w:rPr>
        <w:t xml:space="preserve">第二十六条 </w:t>
      </w:r>
      <w:r>
        <w:rPr>
          <w:rFonts w:hint="eastAsia"/>
          <w:lang w:val="en-US" w:eastAsia="zh-CN"/>
        </w:rPr>
        <w:t>“12345”政务服务热线统一受理有关控制吸烟的咨询和投诉举报，并按照权限转交有关部门及时处理。</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lang w:val="en-US" w:eastAsia="zh-CN"/>
        </w:rPr>
      </w:pPr>
    </w:p>
    <w:p>
      <w:pPr>
        <w:pStyle w:val="35"/>
        <w:rPr>
          <w:rFonts w:hint="eastAsia"/>
          <w:lang w:val="en-US" w:eastAsia="zh-CN"/>
        </w:rPr>
      </w:pPr>
      <w:r>
        <w:rPr>
          <w:rFonts w:hint="eastAsia"/>
          <w:lang w:val="en-US" w:eastAsia="zh-CN"/>
        </w:rPr>
        <w:t>第六章  法律责任</w:t>
      </w:r>
    </w:p>
    <w:p>
      <w:pPr>
        <w:pStyle w:val="35"/>
        <w:rPr>
          <w:rFonts w:hint="eastAsia"/>
          <w:lang w:val="en-US" w:eastAsia="zh-CN"/>
        </w:rPr>
      </w:pP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lang w:val="en-US" w:eastAsia="zh-CN"/>
        </w:rPr>
      </w:pPr>
      <w:r>
        <w:rPr>
          <w:rFonts w:hint="eastAsia" w:ascii="黑体" w:hAnsi="黑体" w:eastAsia="黑体" w:cs="黑体"/>
          <w:b w:val="0"/>
          <w:bCs w:val="0"/>
          <w:lang w:val="en-US" w:eastAsia="zh-CN"/>
        </w:rPr>
        <w:t xml:space="preserve">第二十七条  </w:t>
      </w:r>
      <w:r>
        <w:rPr>
          <w:rFonts w:hint="eastAsia"/>
          <w:lang w:val="en-US" w:eastAsia="zh-CN"/>
        </w:rPr>
        <w:t>违反本条例，法律、法规已有规定的，从其规定。</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lang w:val="en-US" w:eastAsia="zh-CN"/>
        </w:rPr>
      </w:pPr>
      <w:r>
        <w:rPr>
          <w:rFonts w:hint="eastAsia" w:ascii="黑体" w:hAnsi="黑体" w:eastAsia="黑体" w:cs="黑体"/>
          <w:b w:val="0"/>
          <w:bCs w:val="0"/>
          <w:lang w:val="en-US" w:eastAsia="zh-CN"/>
        </w:rPr>
        <w:t xml:space="preserve">第二十八条  </w:t>
      </w:r>
      <w:r>
        <w:rPr>
          <w:rFonts w:hint="eastAsia"/>
          <w:lang w:val="en-US" w:eastAsia="zh-CN"/>
        </w:rPr>
        <w:t>违反本条例第九条、第十条规定，在禁止吸烟场所（区域）吸烟的，由市或者县(市)区相关主管部门给予警告，可以处二十元以上五十元以下罚款;在未成年人集中活动的室内公共场所、室外区域吸烟的，由市或者县(市)区卫生健康、教育、市场监督管理等主管部门按照职责分工责令改正，给予警告，可以并处五百元以下罚款。</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lang w:val="en-US" w:eastAsia="zh-CN"/>
        </w:rPr>
      </w:pPr>
      <w:r>
        <w:rPr>
          <w:rFonts w:hint="eastAsia" w:ascii="黑体" w:hAnsi="黑体" w:eastAsia="黑体" w:cs="黑体"/>
          <w:b w:val="0"/>
          <w:bCs w:val="0"/>
          <w:lang w:val="en-US" w:eastAsia="zh-CN"/>
        </w:rPr>
        <w:t xml:space="preserve">第二十九条  </w:t>
      </w:r>
      <w:r>
        <w:rPr>
          <w:rFonts w:hint="eastAsia"/>
          <w:lang w:val="en-US" w:eastAsia="zh-CN"/>
        </w:rPr>
        <w:t>违反本条例第十二条规定，禁止吸烟场所(区域)的经营者、管理者未履行义务的，或者违反本条例规定，室内吸烟室的设置不符合要求的，由市或者县(市)区相关主管部门责令改正。</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lang w:val="en-US" w:eastAsia="zh-CN"/>
        </w:rPr>
      </w:pPr>
      <w:r>
        <w:rPr>
          <w:rFonts w:hint="eastAsia"/>
          <w:lang w:val="en-US" w:eastAsia="zh-CN"/>
        </w:rPr>
        <w:t>未成年人集中活动的室内公共场所、室外区域的管理者或者经营者未及时制止吸烟的，由市或者县(市)区卫生健康、教育、市场监督管理等主管部门按照职责分工给予警告，并处一万元以下罚款。</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lang w:val="en-US" w:eastAsia="zh-CN"/>
        </w:rPr>
      </w:pPr>
      <w:r>
        <w:rPr>
          <w:rFonts w:hint="eastAsia" w:ascii="黑体" w:hAnsi="黑体" w:eastAsia="黑体" w:cs="黑体"/>
          <w:b w:val="0"/>
          <w:bCs w:val="0"/>
          <w:lang w:val="en-US" w:eastAsia="zh-CN"/>
        </w:rPr>
        <w:t xml:space="preserve">第三十条  </w:t>
      </w:r>
      <w:r>
        <w:rPr>
          <w:rFonts w:hint="eastAsia"/>
          <w:lang w:val="en-US" w:eastAsia="zh-CN"/>
        </w:rPr>
        <w:t>市、县(市)区相关主管部门及其工作人员在控制吸烟工作中，滥用职权、玩忽职守、徇私舞弊的，对直接负责的主管人员和其他直接责任人员依法给予处分;构成犯罪的，依法追究刑事责任。</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lang w:val="en-US" w:eastAsia="zh-CN"/>
        </w:rPr>
      </w:pPr>
    </w:p>
    <w:p>
      <w:pPr>
        <w:pStyle w:val="35"/>
        <w:rPr>
          <w:rFonts w:hint="eastAsia"/>
          <w:lang w:val="en-US" w:eastAsia="zh-CN"/>
        </w:rPr>
      </w:pPr>
      <w:r>
        <w:rPr>
          <w:rFonts w:hint="eastAsia"/>
          <w:lang w:val="en-US" w:eastAsia="zh-CN"/>
        </w:rPr>
        <w:t>第七章  附  则</w:t>
      </w:r>
    </w:p>
    <w:p>
      <w:pPr>
        <w:pStyle w:val="35"/>
        <w:rPr>
          <w:rFonts w:hint="eastAsia"/>
          <w:lang w:val="en-US" w:eastAsia="zh-CN"/>
        </w:rPr>
      </w:pP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lang w:val="en-US" w:eastAsia="zh-CN"/>
        </w:rPr>
      </w:pPr>
      <w:r>
        <w:rPr>
          <w:rFonts w:hint="eastAsia" w:ascii="黑体" w:hAnsi="黑体" w:eastAsia="黑体" w:cs="黑体"/>
          <w:b w:val="0"/>
          <w:bCs w:val="0"/>
          <w:lang w:val="en-US" w:eastAsia="zh-CN"/>
        </w:rPr>
        <w:t xml:space="preserve">第三十一条  </w:t>
      </w:r>
      <w:r>
        <w:rPr>
          <w:rFonts w:hint="eastAsia"/>
          <w:lang w:val="en-US" w:eastAsia="zh-CN"/>
        </w:rPr>
        <w:t>本条例中下列用语的含义：</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lang w:val="en-US" w:eastAsia="zh-CN"/>
        </w:rPr>
      </w:pPr>
      <w:r>
        <w:rPr>
          <w:rFonts w:hint="eastAsia"/>
          <w:lang w:val="en-US" w:eastAsia="zh-CN"/>
        </w:rPr>
        <w:t>本条例所称的公共场所，是指公众可以进出的场所或者供集体使用的场所，包括餐饮服务场所、住宿休息服务场所、公众娱乐场所、公用电梯等。</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lang w:val="en-US" w:eastAsia="zh-CN"/>
        </w:rPr>
      </w:pPr>
      <w:r>
        <w:rPr>
          <w:rFonts w:hint="eastAsia"/>
          <w:lang w:val="en-US" w:eastAsia="zh-CN"/>
        </w:rPr>
        <w:t>因特殊情况设置的室内吸烟室的具体要求，由市人民政府作出规定。</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lang w:val="en-US" w:eastAsia="zh-CN"/>
        </w:rPr>
      </w:pPr>
      <w:r>
        <w:rPr>
          <w:rFonts w:hint="eastAsia"/>
          <w:lang w:val="en-US" w:eastAsia="zh-CN"/>
        </w:rPr>
        <w:t>本条例所称吸烟，是指吸入、呼出烟草的烟雾或者有害电子烟气雾，以及持有点燃的烟草制品的行为。</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lang w:val="en-US" w:eastAsia="zh-CN"/>
        </w:rPr>
      </w:pPr>
      <w:r>
        <w:rPr>
          <w:rFonts w:hint="eastAsia"/>
          <w:lang w:val="en-US" w:eastAsia="zh-CN"/>
        </w:rPr>
        <w:t>本条例所称的室内，是指有顶部遮蔽且四周被围封面积达四周总面积50%以上的建筑物、构筑物内的所有空间。</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lang w:val="en-US" w:eastAsia="zh-CN"/>
        </w:rPr>
      </w:pPr>
      <w:r>
        <w:rPr>
          <w:rFonts w:hint="eastAsia"/>
          <w:lang w:val="en-US" w:eastAsia="zh-CN"/>
        </w:rPr>
        <w:t>本条例所称的室外，是指由公共场所、工作场所的所有者、经营者或管理者实际控制的建筑物以外的区域。</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630" w:firstLineChars="200"/>
        <w:jc w:val="both"/>
        <w:textAlignment w:val="auto"/>
        <w:rPr>
          <w:rFonts w:hint="eastAsia"/>
          <w:lang w:val="en-US" w:eastAsia="zh-CN"/>
        </w:rPr>
      </w:pPr>
      <w:bookmarkStart w:id="0" w:name="_GoBack"/>
      <w:r>
        <w:rPr>
          <w:rFonts w:hint="eastAsia" w:ascii="黑体" w:hAnsi="黑体" w:eastAsia="黑体" w:cs="黑体"/>
          <w:b w:val="0"/>
          <w:bCs w:val="0"/>
          <w:lang w:val="en-US" w:eastAsia="zh-CN"/>
        </w:rPr>
        <w:t xml:space="preserve">第三十二条  </w:t>
      </w:r>
      <w:bookmarkEnd w:id="0"/>
      <w:r>
        <w:rPr>
          <w:rFonts w:hint="eastAsia"/>
          <w:lang w:val="en-US" w:eastAsia="zh-CN"/>
        </w:rPr>
        <w:t>本条例自  年  月  日起施行。</w:t>
      </w: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rPr>
      </w:pP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rPr>
      </w:pP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rPr>
      </w:pP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rPr>
      </w:pPr>
    </w:p>
    <w:p>
      <w:pPr>
        <w:keepNext w:val="0"/>
        <w:keepLines w:val="0"/>
        <w:pageBreakBefore w:val="0"/>
        <w:widowControl w:val="0"/>
        <w:kinsoku w:val="0"/>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rPr>
      </w:pPr>
    </w:p>
    <w:p>
      <w:pPr>
        <w:ind w:firstLineChars="64"/>
      </w:pPr>
    </w:p>
    <w:sectPr>
      <w:headerReference r:id="rId7" w:type="first"/>
      <w:footerReference r:id="rId10" w:type="first"/>
      <w:headerReference r:id="rId5" w:type="default"/>
      <w:footerReference r:id="rId8" w:type="default"/>
      <w:headerReference r:id="rId6" w:type="even"/>
      <w:footerReference r:id="rId9" w:type="even"/>
      <w:pgSz w:w="11906" w:h="16838"/>
      <w:pgMar w:top="1928" w:right="1474" w:bottom="1814" w:left="1588" w:header="851" w:footer="794" w:gutter="0"/>
      <w:pgNumType w:fmt="decimal" w:start="1"/>
      <w:cols w:space="0" w:num="1"/>
      <w:rtlGutter w:val="0"/>
      <w:docGrid w:type="linesAndChars" w:linePitch="595" w:charSpace="7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0"/>
      </w:pPr>
      <w:r>
        <w:separator/>
      </w:r>
    </w:p>
  </w:endnote>
  <w:endnote w:type="continuationSeparator" w:id="1">
    <w:p>
      <w:pPr>
        <w:spacing w:line="240" w:lineRule="auto"/>
        <w:ind w:firstLine="6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240" w:lineRule="auto"/>
      <w:ind w:firstLine="0" w:firstLineChars="0"/>
      <w:rPr>
        <w:rFonts w:hint="eastAsia" w:asciiTheme="minorEastAsia" w:hAnsiTheme="minorEastAsia" w:eastAsiaTheme="minorEastAsia" w:cstheme="minorEastAsia"/>
        <w:spacing w:val="0"/>
        <w:sz w:val="28"/>
        <w:szCs w:val="28"/>
      </w:rPr>
    </w:pPr>
    <w:r>
      <w:rPr>
        <w:sz w:val="28"/>
      </w:rPr>
      <w:pict>
        <v:shape id="_x0000_s4103" o:spid="_x0000_s4103" o:spt="202" type="#_x0000_t202" style="position:absolute;left:0pt;margin-top:0pt;height:144pt;width:83.05pt;mso-position-horizontal:outside;mso-position-horizontal-relative:margin;z-index:251659264;mso-width-relative:page;mso-height-relative:page;" filled="f" stroked="f" coordsize="21600,21600">
          <v:path/>
          <v:fill on="f" focussize="0,0"/>
          <v:stroke on="f"/>
          <v:imagedata o:title=""/>
          <o:lock v:ext="edit" aspectratio="f"/>
          <v:textbox inset="0mm,0mm,0mm,0mm" style="mso-fit-shape-to-text:t;">
            <w:txbxContent>
              <w:p>
                <w:pPr>
                  <w:pStyle w:val="9"/>
                  <w:ind w:left="0" w:leftChars="0" w:firstLine="272" w:firstLineChars="100"/>
                  <w:jc w:val="both"/>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p>
    <w:pPr>
      <w:pStyle w:val="9"/>
      <w:wordWrap w:val="0"/>
      <w:spacing w:line="420" w:lineRule="exact"/>
      <w:ind w:right="4" w:rightChars="0" w:firstLine="0" w:firstLineChars="0"/>
      <w:jc w:val="right"/>
      <w:rPr>
        <w:rFonts w:asciiTheme="minorEastAsia" w:hAnsiTheme="minorEastAsia" w:eastAsiaTheme="minor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420" w:lineRule="exact"/>
      <w:ind w:firstLine="136" w:firstLineChars="50"/>
      <w:rPr>
        <w:rFonts w:asciiTheme="minorEastAsia" w:hAnsiTheme="minorEastAsia" w:eastAsiaTheme="minorEastAsia"/>
        <w:sz w:val="28"/>
        <w:szCs w:val="28"/>
      </w:rPr>
    </w:pPr>
    <w:r>
      <w:rPr>
        <w:sz w:val="28"/>
      </w:rPr>
      <w:pict>
        <v:shape id="_x0000_s4104" o:spid="_x0000_s4104"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p>
    <w:pPr>
      <w:pStyle w:val="9"/>
      <w:spacing w:line="420" w:lineRule="exact"/>
      <w:ind w:firstLine="0" w:firstLineChars="0"/>
      <w:rPr>
        <w:rFonts w:asciiTheme="minorEastAsia" w:hAnsiTheme="minorEastAsia" w:eastAsiaTheme="minorEastAsia"/>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4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0"/>
      </w:pPr>
      <w:r>
        <w:separator/>
      </w:r>
    </w:p>
  </w:footnote>
  <w:footnote w:type="continuationSeparator" w:id="1">
    <w:p>
      <w:pPr>
        <w:spacing w:line="240" w:lineRule="auto"/>
        <w:ind w:firstLine="63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4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4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4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evenAndOddHeaders w:val="1"/>
  <w:drawingGridHorizontalSpacing w:val="158"/>
  <w:drawingGridVerticalSpacing w:val="298"/>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ZiZDQ3N2EwODRhODY0YWI1ZTQ4ZjJkMGU4ZTc4ZTAifQ=="/>
  </w:docVars>
  <w:rsids>
    <w:rsidRoot w:val="00045540"/>
    <w:rsid w:val="00000D69"/>
    <w:rsid w:val="00003116"/>
    <w:rsid w:val="00010F44"/>
    <w:rsid w:val="00015738"/>
    <w:rsid w:val="00016FCD"/>
    <w:rsid w:val="00023C10"/>
    <w:rsid w:val="0002689C"/>
    <w:rsid w:val="00042C52"/>
    <w:rsid w:val="00043D65"/>
    <w:rsid w:val="00045540"/>
    <w:rsid w:val="00055AD7"/>
    <w:rsid w:val="00057C74"/>
    <w:rsid w:val="00060025"/>
    <w:rsid w:val="000624B4"/>
    <w:rsid w:val="00072919"/>
    <w:rsid w:val="00073F91"/>
    <w:rsid w:val="00074B47"/>
    <w:rsid w:val="0007517D"/>
    <w:rsid w:val="000766D0"/>
    <w:rsid w:val="00082907"/>
    <w:rsid w:val="00086632"/>
    <w:rsid w:val="000976C8"/>
    <w:rsid w:val="000A2D4A"/>
    <w:rsid w:val="000A4381"/>
    <w:rsid w:val="000B73ED"/>
    <w:rsid w:val="000C286E"/>
    <w:rsid w:val="000D63BF"/>
    <w:rsid w:val="000E2411"/>
    <w:rsid w:val="000E26EA"/>
    <w:rsid w:val="000E28EC"/>
    <w:rsid w:val="000F5873"/>
    <w:rsid w:val="00100033"/>
    <w:rsid w:val="00105ED6"/>
    <w:rsid w:val="001105D3"/>
    <w:rsid w:val="001174FB"/>
    <w:rsid w:val="00122D82"/>
    <w:rsid w:val="0012516C"/>
    <w:rsid w:val="00151016"/>
    <w:rsid w:val="00155253"/>
    <w:rsid w:val="00165E94"/>
    <w:rsid w:val="00167EA4"/>
    <w:rsid w:val="00171679"/>
    <w:rsid w:val="001839D5"/>
    <w:rsid w:val="00190173"/>
    <w:rsid w:val="00197FD4"/>
    <w:rsid w:val="001D2D81"/>
    <w:rsid w:val="001E3AE7"/>
    <w:rsid w:val="001E7D83"/>
    <w:rsid w:val="0020588E"/>
    <w:rsid w:val="00212E6F"/>
    <w:rsid w:val="00225593"/>
    <w:rsid w:val="00226488"/>
    <w:rsid w:val="002378D4"/>
    <w:rsid w:val="00240222"/>
    <w:rsid w:val="002437A0"/>
    <w:rsid w:val="00245703"/>
    <w:rsid w:val="002518F8"/>
    <w:rsid w:val="002606F4"/>
    <w:rsid w:val="00273206"/>
    <w:rsid w:val="0027768D"/>
    <w:rsid w:val="00290EAF"/>
    <w:rsid w:val="002B2F74"/>
    <w:rsid w:val="002B439E"/>
    <w:rsid w:val="002E3443"/>
    <w:rsid w:val="002E6BFF"/>
    <w:rsid w:val="002F6A57"/>
    <w:rsid w:val="003026E7"/>
    <w:rsid w:val="0030501D"/>
    <w:rsid w:val="0031115A"/>
    <w:rsid w:val="00315B7B"/>
    <w:rsid w:val="00352820"/>
    <w:rsid w:val="00356EF5"/>
    <w:rsid w:val="00366267"/>
    <w:rsid w:val="00372186"/>
    <w:rsid w:val="00376AE9"/>
    <w:rsid w:val="00393A4D"/>
    <w:rsid w:val="00393DD9"/>
    <w:rsid w:val="003A2235"/>
    <w:rsid w:val="003A22AC"/>
    <w:rsid w:val="003A3881"/>
    <w:rsid w:val="003B0D1E"/>
    <w:rsid w:val="003B54A9"/>
    <w:rsid w:val="003C02F7"/>
    <w:rsid w:val="003C3197"/>
    <w:rsid w:val="003D21C9"/>
    <w:rsid w:val="003F10CD"/>
    <w:rsid w:val="003F6AEC"/>
    <w:rsid w:val="00415484"/>
    <w:rsid w:val="0043219D"/>
    <w:rsid w:val="0043486D"/>
    <w:rsid w:val="00462BEF"/>
    <w:rsid w:val="00470550"/>
    <w:rsid w:val="00476BCA"/>
    <w:rsid w:val="00482DF2"/>
    <w:rsid w:val="004A18A6"/>
    <w:rsid w:val="004C2A3D"/>
    <w:rsid w:val="004C64C8"/>
    <w:rsid w:val="004D3E73"/>
    <w:rsid w:val="004D7CF9"/>
    <w:rsid w:val="004E4925"/>
    <w:rsid w:val="004E786F"/>
    <w:rsid w:val="00501EE6"/>
    <w:rsid w:val="00504767"/>
    <w:rsid w:val="005060E7"/>
    <w:rsid w:val="005351CC"/>
    <w:rsid w:val="00541D67"/>
    <w:rsid w:val="0054659F"/>
    <w:rsid w:val="00546B0B"/>
    <w:rsid w:val="00550CDC"/>
    <w:rsid w:val="0055624B"/>
    <w:rsid w:val="005661FD"/>
    <w:rsid w:val="00570121"/>
    <w:rsid w:val="00571027"/>
    <w:rsid w:val="0057524E"/>
    <w:rsid w:val="0057585A"/>
    <w:rsid w:val="00591913"/>
    <w:rsid w:val="0059577F"/>
    <w:rsid w:val="005B393E"/>
    <w:rsid w:val="005C03A6"/>
    <w:rsid w:val="005D4F34"/>
    <w:rsid w:val="005D5F95"/>
    <w:rsid w:val="00602F9D"/>
    <w:rsid w:val="006341B9"/>
    <w:rsid w:val="0064354D"/>
    <w:rsid w:val="00643C74"/>
    <w:rsid w:val="0064755C"/>
    <w:rsid w:val="006476B9"/>
    <w:rsid w:val="0065061A"/>
    <w:rsid w:val="00664BB7"/>
    <w:rsid w:val="00671E96"/>
    <w:rsid w:val="00686F3A"/>
    <w:rsid w:val="00697505"/>
    <w:rsid w:val="006A0C41"/>
    <w:rsid w:val="006B67C5"/>
    <w:rsid w:val="006C155E"/>
    <w:rsid w:val="006C55F7"/>
    <w:rsid w:val="006D1FDE"/>
    <w:rsid w:val="006E3878"/>
    <w:rsid w:val="006F3FA3"/>
    <w:rsid w:val="006F6BC8"/>
    <w:rsid w:val="007003CB"/>
    <w:rsid w:val="007028BF"/>
    <w:rsid w:val="00702CA7"/>
    <w:rsid w:val="00711B2B"/>
    <w:rsid w:val="0071759D"/>
    <w:rsid w:val="00754A4E"/>
    <w:rsid w:val="00764C36"/>
    <w:rsid w:val="007816AD"/>
    <w:rsid w:val="0079137B"/>
    <w:rsid w:val="00795BF5"/>
    <w:rsid w:val="007974C6"/>
    <w:rsid w:val="007B78BF"/>
    <w:rsid w:val="007D1C16"/>
    <w:rsid w:val="007E4640"/>
    <w:rsid w:val="007E5BF2"/>
    <w:rsid w:val="007E5C2C"/>
    <w:rsid w:val="007E7AF4"/>
    <w:rsid w:val="007F7053"/>
    <w:rsid w:val="007F799C"/>
    <w:rsid w:val="00810046"/>
    <w:rsid w:val="008121FF"/>
    <w:rsid w:val="008212DF"/>
    <w:rsid w:val="00822E74"/>
    <w:rsid w:val="00823DC8"/>
    <w:rsid w:val="00830D88"/>
    <w:rsid w:val="00836F51"/>
    <w:rsid w:val="0084516B"/>
    <w:rsid w:val="008464F0"/>
    <w:rsid w:val="00847AFB"/>
    <w:rsid w:val="0085513E"/>
    <w:rsid w:val="00864DA3"/>
    <w:rsid w:val="00866C66"/>
    <w:rsid w:val="00876A57"/>
    <w:rsid w:val="008849E6"/>
    <w:rsid w:val="00893307"/>
    <w:rsid w:val="00893A27"/>
    <w:rsid w:val="00893F83"/>
    <w:rsid w:val="008A7C3A"/>
    <w:rsid w:val="008A7D0D"/>
    <w:rsid w:val="008C42A9"/>
    <w:rsid w:val="008E25B0"/>
    <w:rsid w:val="008E2968"/>
    <w:rsid w:val="008F0F9D"/>
    <w:rsid w:val="008F7526"/>
    <w:rsid w:val="009020A4"/>
    <w:rsid w:val="0090346B"/>
    <w:rsid w:val="009049B7"/>
    <w:rsid w:val="00910D04"/>
    <w:rsid w:val="00921641"/>
    <w:rsid w:val="0092301D"/>
    <w:rsid w:val="00923F8F"/>
    <w:rsid w:val="00924650"/>
    <w:rsid w:val="00924938"/>
    <w:rsid w:val="00924F6A"/>
    <w:rsid w:val="00932A2F"/>
    <w:rsid w:val="0093654E"/>
    <w:rsid w:val="0094193D"/>
    <w:rsid w:val="00945F78"/>
    <w:rsid w:val="00947103"/>
    <w:rsid w:val="0095482C"/>
    <w:rsid w:val="009559B6"/>
    <w:rsid w:val="00970FA7"/>
    <w:rsid w:val="00972D7D"/>
    <w:rsid w:val="00974F3A"/>
    <w:rsid w:val="00983146"/>
    <w:rsid w:val="0098663C"/>
    <w:rsid w:val="009B5BD3"/>
    <w:rsid w:val="009C42EB"/>
    <w:rsid w:val="009C7CEA"/>
    <w:rsid w:val="009F0C59"/>
    <w:rsid w:val="009F5BAC"/>
    <w:rsid w:val="00A10520"/>
    <w:rsid w:val="00A1180F"/>
    <w:rsid w:val="00A122CC"/>
    <w:rsid w:val="00A13220"/>
    <w:rsid w:val="00A255DF"/>
    <w:rsid w:val="00A33F59"/>
    <w:rsid w:val="00A44AE3"/>
    <w:rsid w:val="00A466D8"/>
    <w:rsid w:val="00A53700"/>
    <w:rsid w:val="00A61E18"/>
    <w:rsid w:val="00A909A0"/>
    <w:rsid w:val="00A911CA"/>
    <w:rsid w:val="00AA047F"/>
    <w:rsid w:val="00AA5A70"/>
    <w:rsid w:val="00AA6A9F"/>
    <w:rsid w:val="00AC74A2"/>
    <w:rsid w:val="00AC74DC"/>
    <w:rsid w:val="00AD089F"/>
    <w:rsid w:val="00AD6079"/>
    <w:rsid w:val="00AE3CBC"/>
    <w:rsid w:val="00AF6B89"/>
    <w:rsid w:val="00B01631"/>
    <w:rsid w:val="00B055C9"/>
    <w:rsid w:val="00B33557"/>
    <w:rsid w:val="00B35436"/>
    <w:rsid w:val="00B36E26"/>
    <w:rsid w:val="00B4003B"/>
    <w:rsid w:val="00B45656"/>
    <w:rsid w:val="00B56EE0"/>
    <w:rsid w:val="00B75931"/>
    <w:rsid w:val="00BA794A"/>
    <w:rsid w:val="00BC40A9"/>
    <w:rsid w:val="00BC54AC"/>
    <w:rsid w:val="00BD7E1C"/>
    <w:rsid w:val="00BE0059"/>
    <w:rsid w:val="00BE7572"/>
    <w:rsid w:val="00BF1062"/>
    <w:rsid w:val="00BF64BD"/>
    <w:rsid w:val="00BF7FB6"/>
    <w:rsid w:val="00C17439"/>
    <w:rsid w:val="00C24E3F"/>
    <w:rsid w:val="00C24F4B"/>
    <w:rsid w:val="00C255D9"/>
    <w:rsid w:val="00C269A5"/>
    <w:rsid w:val="00C45D99"/>
    <w:rsid w:val="00C4645B"/>
    <w:rsid w:val="00C529F3"/>
    <w:rsid w:val="00C55D12"/>
    <w:rsid w:val="00C61A38"/>
    <w:rsid w:val="00C6413B"/>
    <w:rsid w:val="00C75248"/>
    <w:rsid w:val="00C82D32"/>
    <w:rsid w:val="00C8498C"/>
    <w:rsid w:val="00C9580F"/>
    <w:rsid w:val="00CA01F8"/>
    <w:rsid w:val="00CB335C"/>
    <w:rsid w:val="00CB555C"/>
    <w:rsid w:val="00CB7881"/>
    <w:rsid w:val="00CC0530"/>
    <w:rsid w:val="00CC364A"/>
    <w:rsid w:val="00CC54EE"/>
    <w:rsid w:val="00CD0BFA"/>
    <w:rsid w:val="00CD75F5"/>
    <w:rsid w:val="00CF1808"/>
    <w:rsid w:val="00D06194"/>
    <w:rsid w:val="00D07262"/>
    <w:rsid w:val="00D127BC"/>
    <w:rsid w:val="00D16242"/>
    <w:rsid w:val="00D25AE0"/>
    <w:rsid w:val="00D34A3A"/>
    <w:rsid w:val="00D3606F"/>
    <w:rsid w:val="00D43354"/>
    <w:rsid w:val="00D53745"/>
    <w:rsid w:val="00D56090"/>
    <w:rsid w:val="00D62D30"/>
    <w:rsid w:val="00D75D21"/>
    <w:rsid w:val="00D76BC2"/>
    <w:rsid w:val="00DA1A60"/>
    <w:rsid w:val="00DA1B5F"/>
    <w:rsid w:val="00DA340E"/>
    <w:rsid w:val="00DA5912"/>
    <w:rsid w:val="00DB0615"/>
    <w:rsid w:val="00DE03BC"/>
    <w:rsid w:val="00DE6EE4"/>
    <w:rsid w:val="00E2503A"/>
    <w:rsid w:val="00E2733A"/>
    <w:rsid w:val="00E42E29"/>
    <w:rsid w:val="00E43EBC"/>
    <w:rsid w:val="00E465B8"/>
    <w:rsid w:val="00E47E99"/>
    <w:rsid w:val="00E75C0D"/>
    <w:rsid w:val="00E929D1"/>
    <w:rsid w:val="00EB1A77"/>
    <w:rsid w:val="00EC197E"/>
    <w:rsid w:val="00EC5379"/>
    <w:rsid w:val="00EC6482"/>
    <w:rsid w:val="00ED2BD7"/>
    <w:rsid w:val="00ED7D81"/>
    <w:rsid w:val="00EE6014"/>
    <w:rsid w:val="00EF1D68"/>
    <w:rsid w:val="00EF3EFF"/>
    <w:rsid w:val="00F04C12"/>
    <w:rsid w:val="00F04E2D"/>
    <w:rsid w:val="00F07A58"/>
    <w:rsid w:val="00F20C33"/>
    <w:rsid w:val="00F2485B"/>
    <w:rsid w:val="00F26F95"/>
    <w:rsid w:val="00F324F2"/>
    <w:rsid w:val="00F46B7F"/>
    <w:rsid w:val="00F6528F"/>
    <w:rsid w:val="00F70544"/>
    <w:rsid w:val="00F83B7E"/>
    <w:rsid w:val="00F9084C"/>
    <w:rsid w:val="00FB025F"/>
    <w:rsid w:val="00FB0EBC"/>
    <w:rsid w:val="00FC37F9"/>
    <w:rsid w:val="00FD4C27"/>
    <w:rsid w:val="00FD712A"/>
    <w:rsid w:val="00FE4B01"/>
    <w:rsid w:val="00FE580F"/>
    <w:rsid w:val="00FF0F79"/>
    <w:rsid w:val="00FF3E4F"/>
    <w:rsid w:val="054D52F7"/>
    <w:rsid w:val="16C21859"/>
    <w:rsid w:val="1F51412B"/>
    <w:rsid w:val="286E3326"/>
    <w:rsid w:val="42AB6660"/>
    <w:rsid w:val="44DE708D"/>
    <w:rsid w:val="47EA3F9B"/>
    <w:rsid w:val="484637A7"/>
    <w:rsid w:val="499A554C"/>
    <w:rsid w:val="4A897A9B"/>
    <w:rsid w:val="4AD60806"/>
    <w:rsid w:val="4D354CC2"/>
    <w:rsid w:val="5488491F"/>
    <w:rsid w:val="5E9545E5"/>
    <w:rsid w:val="60982BD8"/>
    <w:rsid w:val="624502F4"/>
    <w:rsid w:val="62C54F90"/>
    <w:rsid w:val="6923595E"/>
    <w:rsid w:val="6D6537AA"/>
    <w:rsid w:val="6FAC5A25"/>
    <w:rsid w:val="7F0D3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0" w:lineRule="exact"/>
      <w:ind w:firstLine="200" w:firstLineChars="200"/>
      <w:jc w:val="both"/>
    </w:pPr>
    <w:rPr>
      <w:rFonts w:ascii="仿宋_GB2312" w:hAnsi="Times New Roman" w:eastAsia="仿宋_GB2312" w:cs="Times New Roman"/>
      <w:spacing w:val="-4"/>
      <w:kern w:val="2"/>
      <w:sz w:val="32"/>
      <w:szCs w:val="24"/>
      <w:lang w:val="en-US" w:eastAsia="zh-CN" w:bidi="ar-SA"/>
    </w:rPr>
  </w:style>
  <w:style w:type="paragraph" w:styleId="2">
    <w:name w:val="heading 1"/>
    <w:basedOn w:val="1"/>
    <w:next w:val="1"/>
    <w:link w:val="24"/>
    <w:qFormat/>
    <w:uiPriority w:val="0"/>
    <w:pPr>
      <w:keepNext/>
      <w:keepLines/>
      <w:ind w:firstLine="0" w:firstLineChars="0"/>
      <w:jc w:val="center"/>
      <w:outlineLvl w:val="0"/>
    </w:pPr>
    <w:rPr>
      <w:rFonts w:asciiTheme="minorEastAsia" w:eastAsiaTheme="minorEastAsia"/>
      <w:bCs/>
      <w:kern w:val="44"/>
      <w:sz w:val="44"/>
      <w:szCs w:val="44"/>
    </w:rPr>
  </w:style>
  <w:style w:type="paragraph" w:styleId="3">
    <w:name w:val="heading 2"/>
    <w:basedOn w:val="1"/>
    <w:next w:val="1"/>
    <w:link w:val="23"/>
    <w:qFormat/>
    <w:uiPriority w:val="0"/>
    <w:pPr>
      <w:keepNext/>
      <w:keepLines/>
      <w:spacing w:before="260" w:after="260" w:line="416" w:lineRule="auto"/>
      <w:outlineLvl w:val="1"/>
    </w:pPr>
    <w:rPr>
      <w:rFonts w:ascii="Arial" w:hAnsi="Arial" w:eastAsia="黑体"/>
      <w:b/>
      <w:bCs/>
      <w:szCs w:val="32"/>
    </w:rPr>
  </w:style>
  <w:style w:type="paragraph" w:styleId="4">
    <w:name w:val="heading 3"/>
    <w:basedOn w:val="1"/>
    <w:next w:val="1"/>
    <w:qFormat/>
    <w:uiPriority w:val="0"/>
    <w:pPr>
      <w:keepNext/>
      <w:keepLines/>
      <w:spacing w:line="560" w:lineRule="exact"/>
      <w:outlineLvl w:val="2"/>
    </w:pPr>
    <w:rPr>
      <w:rFonts w:ascii="Calibri" w:hAnsi="Calibri"/>
      <w:b/>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6"/>
    <w:qFormat/>
    <w:uiPriority w:val="0"/>
    <w:pPr>
      <w:spacing w:line="560" w:lineRule="exact"/>
    </w:pPr>
  </w:style>
  <w:style w:type="paragraph" w:styleId="6">
    <w:name w:val="Body Text Indent"/>
    <w:basedOn w:val="1"/>
    <w:autoRedefine/>
    <w:unhideWhenUsed/>
    <w:qFormat/>
    <w:uiPriority w:val="99"/>
    <w:pPr>
      <w:ind w:left="420" w:leftChars="200"/>
    </w:pPr>
    <w:rPr>
      <w:rFonts w:ascii="Calibri" w:hAnsi="Calibri" w:eastAsia="仿宋_GB2312"/>
      <w:sz w:val="36"/>
    </w:rPr>
  </w:style>
  <w:style w:type="paragraph" w:styleId="7">
    <w:name w:val="Date"/>
    <w:basedOn w:val="1"/>
    <w:next w:val="1"/>
    <w:link w:val="29"/>
    <w:autoRedefine/>
    <w:qFormat/>
    <w:uiPriority w:val="0"/>
    <w:pPr>
      <w:ind w:left="100" w:leftChars="2500"/>
    </w:pPr>
  </w:style>
  <w:style w:type="paragraph" w:styleId="8">
    <w:name w:val="Body Text Indent 2"/>
    <w:basedOn w:val="1"/>
    <w:next w:val="1"/>
    <w:autoRedefine/>
    <w:qFormat/>
    <w:uiPriority w:val="0"/>
    <w:pPr>
      <w:adjustRightInd w:val="0"/>
      <w:spacing w:line="360" w:lineRule="auto"/>
      <w:ind w:firstLine="420"/>
    </w:pPr>
    <w:rPr>
      <w:rFonts w:ascii="宋体" w:hAnsi="宋体" w:eastAsia="宋体"/>
      <w:szCs w:val="20"/>
    </w:rPr>
  </w:style>
  <w:style w:type="paragraph" w:styleId="9">
    <w:name w:val="footer"/>
    <w:basedOn w:val="1"/>
    <w:link w:val="21"/>
    <w:autoRedefine/>
    <w:qFormat/>
    <w:uiPriority w:val="99"/>
    <w:pPr>
      <w:tabs>
        <w:tab w:val="center" w:pos="4153"/>
        <w:tab w:val="right" w:pos="8306"/>
      </w:tabs>
      <w:snapToGrid w:val="0"/>
      <w:jc w:val="left"/>
    </w:pPr>
    <w:rPr>
      <w:sz w:val="18"/>
      <w:szCs w:val="18"/>
    </w:rPr>
  </w:style>
  <w:style w:type="paragraph" w:styleId="10">
    <w:name w:val="header"/>
    <w:basedOn w:val="1"/>
    <w:link w:val="20"/>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autoRedefine/>
    <w:unhideWhenUsed/>
    <w:qFormat/>
    <w:uiPriority w:val="39"/>
    <w:pPr>
      <w:widowControl/>
      <w:tabs>
        <w:tab w:val="right" w:leader="dot" w:pos="8505"/>
      </w:tabs>
      <w:adjustRightInd w:val="0"/>
      <w:snapToGrid w:val="0"/>
      <w:spacing w:line="500" w:lineRule="exact"/>
      <w:jc w:val="center"/>
    </w:pPr>
    <w:rPr>
      <w:rFonts w:ascii="方正小标宋_GBK" w:eastAsia="方正小标宋_GBK"/>
      <w:sz w:val="44"/>
      <w:szCs w:val="44"/>
    </w:rPr>
  </w:style>
  <w:style w:type="paragraph" w:styleId="12">
    <w:name w:val="Subtitle"/>
    <w:basedOn w:val="1"/>
    <w:next w:val="1"/>
    <w:link w:val="30"/>
    <w:autoRedefine/>
    <w:qFormat/>
    <w:uiPriority w:val="0"/>
    <w:pPr>
      <w:spacing w:before="240" w:after="60" w:line="312" w:lineRule="auto"/>
      <w:jc w:val="center"/>
      <w:outlineLvl w:val="1"/>
    </w:pPr>
    <w:rPr>
      <w:rFonts w:ascii="Cambria" w:hAnsi="Cambria"/>
      <w:b/>
      <w:bCs/>
      <w:kern w:val="28"/>
      <w:szCs w:val="32"/>
    </w:rPr>
  </w:style>
  <w:style w:type="paragraph" w:styleId="13">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14">
    <w:name w:val="Body Text First Indent 2"/>
    <w:basedOn w:val="6"/>
    <w:autoRedefine/>
    <w:unhideWhenUsed/>
    <w:qFormat/>
    <w:uiPriority w:val="99"/>
    <w:pPr>
      <w:keepNext w:val="0"/>
      <w:keepLines w:val="0"/>
      <w:widowControl w:val="0"/>
      <w:suppressLineNumbers w:val="0"/>
      <w:spacing w:before="0" w:beforeAutospacing="0" w:after="120" w:afterAutospacing="0" w:line="600" w:lineRule="exact"/>
      <w:ind w:left="420" w:leftChars="200" w:right="0" w:firstLine="420" w:firstLineChars="200"/>
      <w:jc w:val="both"/>
    </w:pPr>
    <w:rPr>
      <w:rFonts w:hint="eastAsia" w:ascii="仿宋_GB2312" w:hAnsi="仿宋_GB2312" w:eastAsia="仿宋_GB2312" w:cs="仿宋_GB2312"/>
      <w:kern w:val="2"/>
      <w:sz w:val="32"/>
      <w:szCs w:val="24"/>
      <w:lang w:val="en-US" w:eastAsia="zh-CN" w:bidi="ar"/>
    </w:rPr>
  </w:style>
  <w:style w:type="table" w:styleId="16">
    <w:name w:val="Table Grid"/>
    <w:basedOn w:val="15"/>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8">
    <w:name w:val="Strong"/>
    <w:basedOn w:val="17"/>
    <w:autoRedefine/>
    <w:qFormat/>
    <w:uiPriority w:val="99"/>
    <w:rPr>
      <w:b/>
    </w:rPr>
  </w:style>
  <w:style w:type="character" w:styleId="19">
    <w:name w:val="Hyperlink"/>
    <w:basedOn w:val="17"/>
    <w:autoRedefine/>
    <w:qFormat/>
    <w:uiPriority w:val="0"/>
    <w:rPr>
      <w:color w:val="0000FF"/>
      <w:u w:val="single"/>
    </w:rPr>
  </w:style>
  <w:style w:type="character" w:customStyle="1" w:styleId="20">
    <w:name w:val="页眉 Char"/>
    <w:basedOn w:val="17"/>
    <w:link w:val="10"/>
    <w:autoRedefine/>
    <w:qFormat/>
    <w:uiPriority w:val="0"/>
    <w:rPr>
      <w:kern w:val="2"/>
      <w:sz w:val="18"/>
      <w:szCs w:val="18"/>
    </w:rPr>
  </w:style>
  <w:style w:type="character" w:customStyle="1" w:styleId="21">
    <w:name w:val="页脚 Char"/>
    <w:basedOn w:val="17"/>
    <w:link w:val="9"/>
    <w:autoRedefine/>
    <w:qFormat/>
    <w:uiPriority w:val="99"/>
    <w:rPr>
      <w:kern w:val="2"/>
      <w:sz w:val="18"/>
      <w:szCs w:val="18"/>
    </w:rPr>
  </w:style>
  <w:style w:type="paragraph" w:customStyle="1" w:styleId="22">
    <w:name w:val="Char Char Char Char Char Char Char Char Char Char Char Char Char Char Char Char"/>
    <w:basedOn w:val="1"/>
    <w:autoRedefine/>
    <w:qFormat/>
    <w:uiPriority w:val="0"/>
    <w:pPr>
      <w:adjustRightInd w:val="0"/>
      <w:spacing w:line="360" w:lineRule="auto"/>
    </w:pPr>
    <w:rPr>
      <w:sz w:val="36"/>
      <w:szCs w:val="36"/>
    </w:rPr>
  </w:style>
  <w:style w:type="character" w:customStyle="1" w:styleId="23">
    <w:name w:val="标题 2 Char"/>
    <w:basedOn w:val="17"/>
    <w:link w:val="3"/>
    <w:autoRedefine/>
    <w:qFormat/>
    <w:uiPriority w:val="0"/>
    <w:rPr>
      <w:rFonts w:ascii="Arial" w:hAnsi="Arial" w:eastAsia="黑体"/>
      <w:b/>
      <w:bCs/>
      <w:kern w:val="2"/>
      <w:sz w:val="32"/>
      <w:szCs w:val="32"/>
    </w:rPr>
  </w:style>
  <w:style w:type="character" w:customStyle="1" w:styleId="24">
    <w:name w:val="标题 1 Char"/>
    <w:basedOn w:val="17"/>
    <w:link w:val="2"/>
    <w:autoRedefine/>
    <w:qFormat/>
    <w:uiPriority w:val="0"/>
    <w:rPr>
      <w:rFonts w:asciiTheme="minorEastAsia" w:eastAsiaTheme="minorEastAsia"/>
      <w:bCs/>
      <w:spacing w:val="-4"/>
      <w:kern w:val="44"/>
      <w:sz w:val="44"/>
      <w:szCs w:val="44"/>
    </w:rPr>
  </w:style>
  <w:style w:type="paragraph" w:customStyle="1" w:styleId="25">
    <w:name w:val="Char"/>
    <w:basedOn w:val="1"/>
    <w:autoRedefine/>
    <w:qFormat/>
    <w:uiPriority w:val="0"/>
    <w:pPr>
      <w:widowControl/>
      <w:spacing w:after="160" w:line="240" w:lineRule="exact"/>
      <w:jc w:val="left"/>
    </w:pPr>
    <w:rPr>
      <w:rFonts w:ascii="Verdana" w:hAnsi="Verdana" w:eastAsia="方正仿宋简体"/>
      <w:kern w:val="0"/>
      <w:sz w:val="24"/>
      <w:szCs w:val="32"/>
      <w:lang w:eastAsia="en-US"/>
    </w:rPr>
  </w:style>
  <w:style w:type="character" w:customStyle="1" w:styleId="26">
    <w:name w:val="正文文本 Char"/>
    <w:basedOn w:val="17"/>
    <w:link w:val="5"/>
    <w:autoRedefine/>
    <w:qFormat/>
    <w:uiPriority w:val="0"/>
    <w:rPr>
      <w:kern w:val="2"/>
      <w:sz w:val="32"/>
      <w:szCs w:val="24"/>
    </w:rPr>
  </w:style>
  <w:style w:type="paragraph" w:customStyle="1" w:styleId="27">
    <w:name w:val="楷体"/>
    <w:basedOn w:val="1"/>
    <w:link w:val="28"/>
    <w:autoRedefine/>
    <w:qFormat/>
    <w:uiPriority w:val="0"/>
    <w:pPr>
      <w:spacing w:line="600" w:lineRule="exact"/>
      <w:jc w:val="center"/>
    </w:pPr>
    <w:rPr>
      <w:rFonts w:ascii="方正楷体_GBK" w:eastAsia="方正楷体_GBK"/>
      <w:szCs w:val="32"/>
    </w:rPr>
  </w:style>
  <w:style w:type="character" w:customStyle="1" w:styleId="28">
    <w:name w:val="楷体 Char"/>
    <w:basedOn w:val="17"/>
    <w:link w:val="27"/>
    <w:autoRedefine/>
    <w:qFormat/>
    <w:uiPriority w:val="0"/>
    <w:rPr>
      <w:rFonts w:ascii="方正楷体_GBK" w:eastAsia="方正楷体_GBK"/>
      <w:kern w:val="2"/>
      <w:sz w:val="32"/>
      <w:szCs w:val="32"/>
    </w:rPr>
  </w:style>
  <w:style w:type="character" w:customStyle="1" w:styleId="29">
    <w:name w:val="日期 Char"/>
    <w:basedOn w:val="17"/>
    <w:link w:val="7"/>
    <w:autoRedefine/>
    <w:qFormat/>
    <w:uiPriority w:val="0"/>
    <w:rPr>
      <w:kern w:val="2"/>
      <w:sz w:val="21"/>
      <w:szCs w:val="24"/>
    </w:rPr>
  </w:style>
  <w:style w:type="character" w:customStyle="1" w:styleId="30">
    <w:name w:val="副标题 Char"/>
    <w:basedOn w:val="17"/>
    <w:link w:val="12"/>
    <w:autoRedefine/>
    <w:qFormat/>
    <w:uiPriority w:val="0"/>
    <w:rPr>
      <w:rFonts w:ascii="Cambria" w:hAnsi="Cambria" w:cs="Times New Roman"/>
      <w:b/>
      <w:bCs/>
      <w:kern w:val="28"/>
      <w:sz w:val="32"/>
      <w:szCs w:val="32"/>
    </w:rPr>
  </w:style>
  <w:style w:type="paragraph" w:customStyle="1" w:styleId="31">
    <w:name w:val="Char Char2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32">
    <w:name w:val="黑体"/>
    <w:basedOn w:val="1"/>
    <w:link w:val="33"/>
    <w:autoRedefine/>
    <w:qFormat/>
    <w:uiPriority w:val="0"/>
    <w:pPr>
      <w:spacing w:line="600" w:lineRule="exact"/>
    </w:pPr>
    <w:rPr>
      <w:rFonts w:ascii="方正黑体简体" w:eastAsia="黑体"/>
      <w:szCs w:val="32"/>
    </w:rPr>
  </w:style>
  <w:style w:type="character" w:customStyle="1" w:styleId="33">
    <w:name w:val="黑体 Char"/>
    <w:basedOn w:val="17"/>
    <w:link w:val="32"/>
    <w:autoRedefine/>
    <w:qFormat/>
    <w:uiPriority w:val="0"/>
    <w:rPr>
      <w:rFonts w:ascii="方正黑体简体" w:eastAsia="黑体"/>
      <w:spacing w:val="-4"/>
      <w:kern w:val="2"/>
      <w:sz w:val="32"/>
      <w:szCs w:val="32"/>
    </w:rPr>
  </w:style>
  <w:style w:type="paragraph" w:styleId="34">
    <w:name w:val="List Paragraph"/>
    <w:basedOn w:val="1"/>
    <w:autoRedefine/>
    <w:qFormat/>
    <w:uiPriority w:val="34"/>
    <w:pPr>
      <w:ind w:firstLine="420"/>
    </w:pPr>
  </w:style>
  <w:style w:type="paragraph" w:customStyle="1" w:styleId="35">
    <w:name w:val="章节黑体居中"/>
    <w:basedOn w:val="1"/>
    <w:link w:val="36"/>
    <w:autoRedefine/>
    <w:qFormat/>
    <w:uiPriority w:val="0"/>
    <w:pPr>
      <w:ind w:firstLine="0" w:firstLineChars="0"/>
      <w:jc w:val="center"/>
    </w:pPr>
    <w:rPr>
      <w:rFonts w:ascii="黑体" w:hAnsi="黑体" w:eastAsia="黑体"/>
    </w:rPr>
  </w:style>
  <w:style w:type="character" w:customStyle="1" w:styleId="36">
    <w:name w:val="章节黑体居中 Char"/>
    <w:basedOn w:val="17"/>
    <w:link w:val="35"/>
    <w:autoRedefine/>
    <w:qFormat/>
    <w:uiPriority w:val="0"/>
    <w:rPr>
      <w:rFonts w:ascii="黑体" w:hAnsi="黑体" w:eastAsia="黑体"/>
      <w:spacing w:val="-4"/>
      <w:kern w:val="2"/>
      <w:sz w:val="32"/>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3" textRotate="1"/>
    <customShpInfo spid="_x0000_s4104"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6A39CD-AC76-4AA5-B205-B26A3D183DD5}">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307</Words>
  <Characters>1750</Characters>
  <Lines>14</Lines>
  <Paragraphs>4</Paragraphs>
  <TotalTime>1</TotalTime>
  <ScaleCrop>false</ScaleCrop>
  <LinksUpToDate>false</LinksUpToDate>
  <CharactersWithSpaces>2053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2018-12-17T01:30:00Z</dcterms:created>
  <dc:creator>Administrator</dc:creator>
  <cp:lastModifiedBy> 趁微风不噪</cp:lastModifiedBy>
  <cp:lastPrinted>2024-03-08T05:52:57Z</cp:lastPrinted>
  <dcterms:modified xsi:type="dcterms:W3CDTF">2024-03-08T05:53:56Z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0C1C69704BB44D92AEA819A8C743824E_12</vt:lpwstr>
  </property>
</Properties>
</file>