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鞍山玉佛山风景名胜区总体规划（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2022-2035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的解读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</w:t>
      </w:r>
    </w:p>
    <w:p>
      <w:pPr>
        <w:pStyle w:val="2"/>
        <w:rPr>
          <w:rFonts w:hint="eastAsi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以习近平新时代生态文明思想为指导，建立布局合理、保护有力、管理有效的以国家公园为主体的自然保护地体系，确保重要自然生态系统、自然遗迹、自然景观和生物多样性得到系统性保护，提升生态产品供给能力。整合优化风景名胜区内的现有资源，实现依法有效保护。维护国家生态安全，为建设美丽中国、实现中华民族永续发展提供生态支撑。践行绿水青山就是金山银山理念，探索自然保护和资源利用新模式，不断满足人民群众对优美生态环境、优质生态服务的需要，按照建设新要求对景区开展规划。</w:t>
      </w:r>
    </w:p>
    <w:p>
      <w:pPr>
        <w:numPr>
          <w:ilvl w:val="0"/>
          <w:numId w:val="1"/>
        </w:numPr>
        <w:spacing w:line="630" w:lineRule="exact"/>
        <w:ind w:firstLine="64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评估论证</w:t>
      </w:r>
    </w:p>
    <w:p>
      <w:pPr>
        <w:pStyle w:val="2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在解读国家出台相关政策的前提下，在《关于建立以国家公园为主体的自然保护地体系的指导意见》及系列相关政策的指引下，《鞍山玉佛山风景名胜区总体规划（2022-2035）》（以下简称2022版总规）坚持以习近平新时代中国特色社会主义思想为指导，贯彻习近平生态文明思想。进一步明确了风景区的规划原则及目标，与国土空间规划协调，准确处理好与国土空间三区三线之间的关系，坚持问题导向、目标导向，坚持尊重历史、实事求是，科学合理界定风景名胜区范围，有效解决风景名胜区范图边界不清、与其他自然保护地交叉重叠、保护管理中矛盾冲突等历史遗留问题，确保重要生态系统、风景名胜资源、自然与人文景观得到有效保护。</w:t>
      </w:r>
    </w:p>
    <w:p>
      <w:pPr>
        <w:spacing w:line="560" w:lineRule="exact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以《风景名胜区条例》（2016修订）、《风景名胜区条例修改草案（征求意见稿）》、《风景名胜区总体规划标准》（GB/T 50298-2018）、</w:t>
      </w:r>
      <w:r>
        <w:rPr>
          <w:rFonts w:hint="eastAsia" w:ascii="仿宋" w:hAnsi="仿宋" w:eastAsia="仿宋"/>
          <w:sz w:val="32"/>
          <w:szCs w:val="32"/>
        </w:rPr>
        <w:t>《关于建立以国家公园为主体的自然保护地体系的指导意见》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2019年6月</w:t>
      </w:r>
      <w:r>
        <w:rPr>
          <w:rFonts w:hint="eastAsia" w:ascii="仿宋" w:hAnsi="仿宋" w:eastAsia="仿宋"/>
          <w:sz w:val="32"/>
          <w:szCs w:val="32"/>
          <w:lang w:eastAsia="zh-CN"/>
        </w:rPr>
        <w:t>）、《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中共中央  国务院关于建立国土空间规划体系并监督实施的若干意见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、《自然资源部关于风景名胜区有关事项的报告》为主要依据，结合景区资源，制定2022版总规。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2022版总规包含规划总则、保护规划、游赏规划、设施规划、社会协调发展规划、协调规划、近期规划的实施七个部分，其中“规划总则”、“保护规划”、“游赏规划”部分是2022版总规的核心内容，主要包括以下几方面内容：</w:t>
      </w:r>
    </w:p>
    <w:p>
      <w:pPr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一是</w:t>
      </w:r>
      <w:bookmarkStart w:id="0" w:name="_Toc1946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规划范围与面积</w:t>
      </w:r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。玉佛山风景名胜区北起山嘴子，南至营城子，东起魏家屯、汪家峪，西接鞍山城区的太平、深沟寺。风景区总面积为17.42平方公里，核心景区面积为8.27平方公里。</w:t>
      </w:r>
    </w:p>
    <w:p>
      <w:pPr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二是</w:t>
      </w:r>
      <w:bookmarkStart w:id="1" w:name="_Toc18852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规划定位与资源特色</w:t>
      </w:r>
      <w:bookmarkEnd w:id="1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。鞍山玉佛山风景名胜区性质为：以罕见的世界第一大玉佛、独特的岩石画地质景观、地质体景观、绚丽的地域性植被景观为资源特色，集生态保育、观光游览、休闲健身、科教文化等功能于一体，是服务于鞍山市民及外来游客的省级都市型山岳风景名胜区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firstLine="640" w:firstLineChars="200"/>
        <w:jc w:val="left"/>
        <w:textAlignment w:val="auto"/>
        <w:rPr>
          <w:rFonts w:hint="eastAsia" w:ascii="仿宋" w:hAnsi="仿宋" w:eastAsia="仿宋" w:cstheme="minorBidi"/>
          <w:color w:val="5B9BD5" w:themeColor="accent1"/>
          <w:kern w:val="2"/>
          <w:sz w:val="32"/>
          <w:szCs w:val="32"/>
          <w:lang w:val="en-US" w:eastAsia="zh-CN" w:bidi="ar-SA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鞍山玉佛山风景名胜区的风景资源共有2大类，8中类，29小类，其中人文景点60个，自然景点62个。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三是资源分级保护。 划分为一级、二级、三级保护区三个层次，实施分级控制保护，并对一、二级保护区实施重点保护控制。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64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1、一级保护区（严格禁止建设范围），即核心景区范围，面积 8.27平方公里。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64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2、二级保护区（严格限制建设范围），将生态环境和生态功能良好的区域划分为二级保护区，规划面积为8.90平方公里。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3、三级保护区（限制建设范围），在一、二级保护区以外的区域，是风景名胜区重要的设施建设区，规划面积0.25平方公里。</w:t>
      </w:r>
    </w:p>
    <w:p>
      <w:pPr>
        <w:spacing w:before="190" w:beforeLines="50" w:line="300" w:lineRule="auto"/>
        <w:ind w:firstLine="640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四是游赏规划。综合考虑鞍山玉佛山风景名胜区特色景观包括世界第一大玉佛、地域性植物景观、特色地质景观、城市园林及城市文脉。将玉佛山风景名胜区游赏结构规划为四个景区，分别为玉佛山景区、铁架山景区、卧龙山景区、凉亭山景区。展现风景区的特色景观，支撑风景名胜区游赏、教育、科普、文化展示等功能。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firstLine="640" w:firstLineChars="200"/>
        <w:jc w:val="lef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bookmarkStart w:id="2" w:name="_Toc1095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1、玉佛山景区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包括槐荫飘香、佛山晚钟两个游览区，36个景点。其中一级景点3个，二级景点20个，三级景点8个，四级景点6个。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firstLine="640" w:firstLineChars="200"/>
        <w:jc w:val="lef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bookmarkStart w:id="3" w:name="_Toc19030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2、铁架山景区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景区包括奇峰揽胜地质景观游览区、</w:t>
      </w:r>
      <w:bookmarkStart w:id="4" w:name="_Hlk519337955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峰花叠翠植物游览区</w:t>
      </w:r>
      <w:bookmarkEnd w:id="4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及</w:t>
      </w:r>
      <w:bookmarkStart w:id="5" w:name="_Hlk519338576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碧林藏秀生态恢复保育区</w:t>
      </w:r>
      <w:bookmarkEnd w:id="5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。有景点34处，一级景点1处，二级景点17处，三级景点7处，四级景点9处。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firstLine="640" w:firstLineChars="200"/>
        <w:jc w:val="lef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bookmarkStart w:id="6" w:name="_Toc19781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3、卧龙山景区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规划融合风景区的自然植被季相景观、市民休闲文化及城市变迁文化。规划景点19处，二级景点2处，三级景点8处，四级景点9个。</w:t>
      </w: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line="360" w:lineRule="auto"/>
        <w:ind w:firstLine="640" w:firstLineChars="200"/>
        <w:jc w:val="lef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bookmarkStart w:id="7" w:name="_Toc25678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4、凉亭山景区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规划景点13处，二级景点5处，三级景点6处，四级景点2处。</w:t>
      </w:r>
    </w:p>
    <w:p>
      <w:pPr>
        <w:pStyle w:val="2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五是相关规划协调。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1、生态保护规划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落实《环境保护法》等相关规定。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2、水资源保护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落实《水资源保护法》相关规定，加强水资源保护。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3、林地和特定区域保护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落实《森林法》、《自然保护区条例》等相关规定。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4、文物保护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落实《文物保护法》相关规定，做好与文物专项规划的实施协调。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5、宗教活动场所管理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落实《宗教活动场所管理》等相关规定。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6、旅游管理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落实《旅游法》等相关规定，规范旅游和旅游经营活动，提升旅游服务水平。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除以上几项重点工作内容外，2022版总规还明确了近期规划实施项目，包括云上钢道类、景区基础设施建设类、景区游赏设施建设</w:t>
      </w:r>
      <w:bookmarkStart w:id="8" w:name="_GoBack"/>
      <w:bookmarkEnd w:id="8"/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类、电力基础工程建设类、文物生态保护类、生态保护类、电力基础工程建设类、景区游赏设施建设类等方面建设项目规划。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0D838"/>
    <w:multiLevelType w:val="singleLevel"/>
    <w:tmpl w:val="5960D8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OGZkZDkyYTNkNDRhZTQyNjA0YzEyYjZiYjFjOTIifQ=="/>
  </w:docVars>
  <w:rsids>
    <w:rsidRoot w:val="00000000"/>
    <w:rsid w:val="05CE3ABA"/>
    <w:rsid w:val="0ABD0ABF"/>
    <w:rsid w:val="157A069E"/>
    <w:rsid w:val="381C5573"/>
    <w:rsid w:val="4D1834BA"/>
    <w:rsid w:val="4F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qFormat/>
    <w:uiPriority w:val="99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3665</Words>
  <Characters>3829</Characters>
  <Lines>0</Lines>
  <Paragraphs>0</Paragraphs>
  <TotalTime>1</TotalTime>
  <ScaleCrop>false</ScaleCrop>
  <LinksUpToDate>false</LinksUpToDate>
  <CharactersWithSpaces>3836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2023-03-08T01:20:00Z</dcterms:created>
  <dc:creator>Administrator</dc:creator>
  <cp:lastModifiedBy>媛媛</cp:lastModifiedBy>
  <dcterms:modified xsi:type="dcterms:W3CDTF">2023-03-08T03:33:40Z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45938A8185DE4989966CF9C960D61D9E</vt:lpwstr>
  </property>
</Properties>
</file>