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bidi w:val="0"/>
        <w:rPr>
          <w:rFonts w:hint="eastAsia" w:ascii="方正黑体_GBK" w:hAnsi="方正黑体_GBK" w:eastAsia="方正黑体_GBK" w:cs="方正黑体_GBK"/>
        </w:rPr>
      </w:pPr>
      <w:bookmarkStart w:id="0" w:name="_Toc16572"/>
      <w:r>
        <w:rPr>
          <w:rFonts w:hint="eastAsia" w:ascii="方正黑体_GBK" w:hAnsi="方正黑体_GBK" w:eastAsia="方正黑体_GBK" w:cs="方正黑体_GBK"/>
        </w:rPr>
        <w:t>鞍山市生态保护</w:t>
      </w:r>
      <w:r>
        <w:rPr>
          <w:rFonts w:hint="eastAsia" w:ascii="方正黑体_GBK" w:hAnsi="方正黑体_GBK" w:cs="方正黑体_GBK"/>
          <w:lang w:eastAsia="zh-CN"/>
        </w:rPr>
        <w:t>“</w:t>
      </w:r>
      <w:r>
        <w:rPr>
          <w:rFonts w:hint="eastAsia" w:ascii="方正黑体_GBK" w:hAnsi="方正黑体_GBK" w:eastAsia="方正黑体_GBK" w:cs="方正黑体_GBK"/>
        </w:rPr>
        <w:t>十四五</w:t>
      </w:r>
      <w:r>
        <w:rPr>
          <w:rFonts w:hint="eastAsia" w:ascii="方正黑体_GBK" w:hAnsi="方正黑体_GBK" w:cs="方正黑体_GBK"/>
          <w:lang w:eastAsia="zh-CN"/>
        </w:rPr>
        <w:t>”</w:t>
      </w:r>
      <w:r>
        <w:rPr>
          <w:rFonts w:hint="eastAsia" w:ascii="方正黑体_GBK" w:hAnsi="方正黑体_GBK" w:eastAsia="方正黑体_GBK" w:cs="方正黑体_GBK"/>
        </w:rPr>
        <w:t>规划</w:t>
      </w:r>
      <w:bookmarkEnd w:id="0"/>
    </w:p>
    <w:p>
      <w:pPr>
        <w:ind w:firstLine="480" w:firstLineChars="200"/>
        <w:rPr>
          <w:rFonts w:ascii="Times New Roman" w:hAnsi="Times New Roman"/>
          <w:u w:val="none"/>
        </w:rPr>
      </w:pPr>
      <w:bookmarkStart w:id="1" w:name="_Toc32286"/>
      <w:bookmarkStart w:id="2" w:name="_Toc22480"/>
      <w:bookmarkStart w:id="3" w:name="_Toc15625"/>
      <w:bookmarkStart w:id="4" w:name="_Toc29926"/>
      <w:bookmarkStart w:id="5" w:name="_Toc14500"/>
      <w:bookmarkStart w:id="6" w:name="_Toc2990"/>
      <w:bookmarkStart w:id="7" w:name="_Toc24955"/>
      <w:bookmarkStart w:id="8" w:name="_Toc9988"/>
      <w:bookmarkStart w:id="9" w:name="_Toc22799"/>
      <w:bookmarkStart w:id="10" w:name="_Toc28037"/>
      <w:bookmarkStart w:id="11" w:name="_Toc8073"/>
      <w:bookmarkStart w:id="12" w:name="_Toc32231"/>
      <w:bookmarkStart w:id="13" w:name="_Toc17294"/>
      <w:bookmarkStart w:id="14" w:name="_Toc32437"/>
      <w:bookmarkStart w:id="15" w:name="_Toc30956"/>
      <w:bookmarkStart w:id="16" w:name="_Toc8538"/>
      <w:bookmarkStart w:id="17" w:name="_Toc14566"/>
      <w:bookmarkStart w:id="18" w:name="_Toc30996"/>
      <w:bookmarkStart w:id="19" w:name="_Toc23441"/>
      <w:bookmarkStart w:id="20" w:name="_Toc31647"/>
      <w:bookmarkStart w:id="21" w:name="_Toc6533"/>
      <w:bookmarkStart w:id="22" w:name="_Toc24594"/>
      <w:bookmarkStart w:id="23" w:name="_Toc28096"/>
      <w:bookmarkStart w:id="24" w:name="_Toc13295"/>
      <w:r>
        <w:rPr>
          <w:rFonts w:hint="eastAsia"/>
          <w:lang w:val="en-US" w:eastAsia="zh-CN"/>
        </w:rPr>
        <w:t>为深入打好污染防治攻坚战，持续改善生态环境质量，</w:t>
      </w:r>
      <w:r>
        <w:rPr>
          <w:rFonts w:hint="eastAsia" w:ascii="Times New Roman" w:hAnsi="Times New Roman"/>
          <w:szCs w:val="30"/>
          <w:lang w:val="en-US" w:eastAsia="zh-CN" w:bidi="ar"/>
        </w:rPr>
        <w:t>以</w:t>
      </w:r>
      <w:r>
        <w:rPr>
          <w:rFonts w:ascii="Times New Roman" w:hAnsi="Times New Roman"/>
          <w:szCs w:val="30"/>
          <w:lang w:bidi="ar"/>
        </w:rPr>
        <w:t>生态环境高水平保护促进我市经济社会高质量发展，</w:t>
      </w:r>
      <w:r>
        <w:rPr>
          <w:rFonts w:hint="eastAsia"/>
        </w:rPr>
        <w:t>努力建设人与自然和谐共生的美丽</w:t>
      </w:r>
      <w:r>
        <w:rPr>
          <w:rFonts w:ascii="Times New Roman" w:hAnsi="Times New Roman"/>
          <w:szCs w:val="30"/>
          <w:u w:val="none"/>
          <w:lang w:bidi="ar"/>
        </w:rPr>
        <w:t>鞍山</w:t>
      </w:r>
      <w:r>
        <w:rPr>
          <w:rFonts w:hint="eastAsia"/>
          <w:u w:val="none"/>
          <w:lang w:val="en-US" w:eastAsia="zh-CN"/>
        </w:rPr>
        <w:t>，</w:t>
      </w:r>
      <w:r>
        <w:rPr>
          <w:rFonts w:hint="eastAsia"/>
          <w:highlight w:val="none"/>
          <w:u w:val="none"/>
          <w:lang w:val="en-US" w:eastAsia="zh-CN"/>
        </w:rPr>
        <w:t>依据</w:t>
      </w:r>
      <w:r>
        <w:rPr>
          <w:rFonts w:hint="eastAsia" w:cs="Times New Roman"/>
          <w:highlight w:val="none"/>
          <w:u w:val="none"/>
          <w:lang w:val="en-US" w:eastAsia="zh-CN"/>
        </w:rPr>
        <w:t>《辽宁省"十四五"生态环境保护规划》</w:t>
      </w:r>
      <w:r>
        <w:rPr>
          <w:rFonts w:hint="eastAsia"/>
          <w:highlight w:val="none"/>
          <w:u w:val="none"/>
          <w:lang w:val="en-US" w:eastAsia="zh-CN"/>
        </w:rPr>
        <w:t>《鞍山市国民经济和社会发展第十四个五</w:t>
      </w:r>
      <w:r>
        <w:rPr>
          <w:rFonts w:hint="eastAsia"/>
          <w:u w:val="none"/>
          <w:lang w:val="en-US" w:eastAsia="zh-CN"/>
        </w:rPr>
        <w:t>年规划及二0三五年远景目标纲要》制定本规划。</w:t>
      </w:r>
    </w:p>
    <w:p>
      <w:pPr>
        <w:pStyle w:val="38"/>
        <w:bidi w:val="0"/>
        <w:outlineLvl w:val="0"/>
      </w:pPr>
      <w:r>
        <w:rPr>
          <w:lang w:eastAsia="zh-CN"/>
        </w:rPr>
        <w:t>第</w:t>
      </w:r>
      <w:r>
        <w:rPr>
          <w:rFonts w:hint="default"/>
          <w:lang w:eastAsia="zh-CN"/>
        </w:rPr>
        <w:t>一</w:t>
      </w:r>
      <w:r>
        <w:rPr>
          <w:lang w:eastAsia="zh-CN"/>
        </w:rPr>
        <w:t>章</w:t>
      </w:r>
      <w:r>
        <w:rPr>
          <w:lang w:val="en-US" w:eastAsia="zh-CN"/>
        </w:rPr>
        <w:t xml:space="preserve"> </w:t>
      </w:r>
      <w:bookmarkEnd w:id="1"/>
      <w:bookmarkEnd w:id="2"/>
      <w:bookmarkEnd w:id="3"/>
      <w:bookmarkEnd w:id="4"/>
      <w:bookmarkEnd w:id="5"/>
      <w:bookmarkEnd w:id="6"/>
      <w:bookmarkEnd w:id="7"/>
      <w:bookmarkEnd w:id="8"/>
      <w:bookmarkEnd w:id="9"/>
      <w:bookmarkEnd w:id="10"/>
      <w:bookmarkEnd w:id="11"/>
      <w:r>
        <w:rPr>
          <w:rFonts w:hint="eastAsia"/>
          <w:lang w:val="en-US" w:eastAsia="zh-CN"/>
        </w:rPr>
        <w:t>“</w:t>
      </w:r>
      <w:r>
        <w:rPr>
          <w:rFonts w:hint="default"/>
          <w:lang w:val="en-US" w:eastAsia="zh-CN"/>
        </w:rPr>
        <w:t>十四五</w:t>
      </w:r>
      <w:r>
        <w:rPr>
          <w:rFonts w:hint="eastAsia"/>
          <w:lang w:val="en-US" w:eastAsia="zh-CN"/>
        </w:rPr>
        <w:t>”</w:t>
      </w:r>
      <w:r>
        <w:rPr>
          <w:rFonts w:hint="default"/>
          <w:lang w:val="en-US" w:eastAsia="zh-CN"/>
        </w:rPr>
        <w:t>生态环境保护形势</w:t>
      </w:r>
      <w:bookmarkEnd w:id="12"/>
      <w:bookmarkEnd w:id="13"/>
      <w:bookmarkEnd w:id="14"/>
      <w:bookmarkEnd w:id="15"/>
      <w:bookmarkEnd w:id="16"/>
      <w:bookmarkEnd w:id="17"/>
      <w:bookmarkEnd w:id="18"/>
      <w:bookmarkEnd w:id="19"/>
      <w:bookmarkEnd w:id="20"/>
      <w:bookmarkEnd w:id="21"/>
      <w:bookmarkEnd w:id="22"/>
      <w:bookmarkEnd w:id="23"/>
      <w:bookmarkEnd w:id="24"/>
    </w:p>
    <w:p>
      <w:pPr>
        <w:bidi w:val="0"/>
      </w:pPr>
      <w:bookmarkStart w:id="25" w:name="_Toc14462"/>
      <w:bookmarkStart w:id="26" w:name="_Toc26087"/>
      <w:bookmarkStart w:id="27" w:name="_Toc10537"/>
      <w:bookmarkStart w:id="28" w:name="_Toc10678"/>
      <w:bookmarkStart w:id="29" w:name="_Toc23802"/>
      <w:bookmarkStart w:id="30" w:name="_Toc3962"/>
      <w:bookmarkStart w:id="31" w:name="_Toc28072"/>
      <w:bookmarkStart w:id="32" w:name="_Toc26311"/>
      <w:bookmarkStart w:id="33" w:name="_Toc14144"/>
      <w:bookmarkStart w:id="34" w:name="_Toc9407"/>
      <w:bookmarkStart w:id="35" w:name="_Toc27871"/>
      <w:r>
        <w:rPr>
          <w:rFonts w:hint="eastAsia"/>
          <w:lang w:eastAsia="zh-CN"/>
        </w:rPr>
        <w:t>“</w:t>
      </w:r>
      <w:r>
        <w:rPr>
          <w:rFonts w:hint="default"/>
          <w:lang w:eastAsia="zh-CN"/>
        </w:rPr>
        <w:t>十四五</w:t>
      </w:r>
      <w:r>
        <w:rPr>
          <w:rFonts w:hint="eastAsia"/>
          <w:lang w:eastAsia="zh-CN"/>
        </w:rPr>
        <w:t>”</w:t>
      </w:r>
      <w:r>
        <w:rPr>
          <w:rFonts w:hint="default"/>
          <w:lang w:eastAsia="zh-CN"/>
        </w:rPr>
        <w:t>时期，鞍山市将全面贯彻落实党中央战略决策和辽宁省委工作部署，准确认识和把握国内外风险、挑战与机遇，加快实现鞍山市全面振兴全方位振兴，让绿色成为鞍山市高质量发展的鲜明底色，</w:t>
      </w:r>
      <w:r>
        <w:t>努力打造人与自然和谐共生的美丽鞍山。</w:t>
      </w:r>
    </w:p>
    <w:bookmarkEnd w:id="25"/>
    <w:bookmarkEnd w:id="26"/>
    <w:bookmarkEnd w:id="27"/>
    <w:bookmarkEnd w:id="28"/>
    <w:bookmarkEnd w:id="29"/>
    <w:bookmarkEnd w:id="30"/>
    <w:bookmarkEnd w:id="31"/>
    <w:bookmarkEnd w:id="32"/>
    <w:bookmarkEnd w:id="33"/>
    <w:bookmarkEnd w:id="34"/>
    <w:bookmarkEnd w:id="35"/>
    <w:p>
      <w:pPr>
        <w:pStyle w:val="47"/>
        <w:bidi w:val="0"/>
        <w:rPr>
          <w:rFonts w:hint="eastAsia"/>
          <w:b/>
          <w:bCs/>
        </w:rPr>
      </w:pPr>
      <w:bookmarkStart w:id="36" w:name="_Toc19611"/>
      <w:bookmarkStart w:id="37" w:name="_Toc8357"/>
      <w:bookmarkStart w:id="38" w:name="_Toc21700"/>
      <w:bookmarkStart w:id="39" w:name="_Toc3413"/>
      <w:bookmarkStart w:id="40" w:name="_Toc11354"/>
      <w:bookmarkStart w:id="41" w:name="_Toc12879"/>
      <w:bookmarkStart w:id="42" w:name="_Toc9721"/>
      <w:bookmarkStart w:id="43" w:name="_Toc12848"/>
      <w:bookmarkStart w:id="44" w:name="_Toc25207"/>
      <w:bookmarkStart w:id="45" w:name="_Toc2209"/>
      <w:bookmarkStart w:id="46" w:name="_Toc9723"/>
      <w:bookmarkStart w:id="47" w:name="_Toc30457"/>
      <w:bookmarkStart w:id="48" w:name="_Toc27027"/>
      <w:bookmarkStart w:id="49" w:name="_Toc301"/>
      <w:bookmarkStart w:id="50" w:name="_Toc27441"/>
      <w:bookmarkStart w:id="51" w:name="_Toc8404"/>
      <w:bookmarkStart w:id="52" w:name="_Toc5785"/>
      <w:bookmarkStart w:id="53" w:name="_Toc22365"/>
      <w:bookmarkStart w:id="54" w:name="_Toc29311"/>
      <w:bookmarkStart w:id="55" w:name="_Toc14743"/>
      <w:bookmarkStart w:id="56" w:name="_Toc2232"/>
      <w:bookmarkStart w:id="57" w:name="_Toc28339"/>
      <w:bookmarkStart w:id="58" w:name="_Toc1647"/>
      <w:r>
        <w:rPr>
          <w:rFonts w:hint="eastAsia"/>
          <w:b/>
          <w:bCs/>
        </w:rPr>
        <w:t>第一节 “十三五”生态环境保护成效</w:t>
      </w:r>
    </w:p>
    <w:p>
      <w:pPr>
        <w:bidi w:val="0"/>
        <w:rPr>
          <w:rFonts w:hint="eastAsia"/>
        </w:rPr>
      </w:pPr>
      <w:r>
        <w:rPr>
          <w:rFonts w:hint="eastAsia"/>
        </w:rPr>
        <w:t>“十三五”时期，我市以习近平生态文明思想为统领，坚持以改善和提升环境质量为核心，突出精准治污、科学治污、依法治污，统筹污染治理、生态保护，强化中央和省生态环境保护督察反馈问题整改，坚定不移打好污染防治攻坚战，生态环境质量大幅改善，生态文明建设和生态环境保护取得显著成效，二氧化硫、氮氧化物、化学需氧量、氨氮等主要污染物排放量超额完成减排任务，大气、水环境质量实现历史性好转，人民群众生态环境的获得感、幸福感和安全感大幅提升。</w:t>
      </w:r>
    </w:p>
    <w:p>
      <w:pPr>
        <w:bidi w:val="0"/>
        <w:rPr>
          <w:rFonts w:hint="eastAsia"/>
        </w:rPr>
      </w:pPr>
      <w:r>
        <w:rPr>
          <w:rFonts w:hint="eastAsia"/>
          <w:b/>
          <w:bCs/>
          <w:highlight w:val="none"/>
        </w:rPr>
        <w:t>绿色发展基础不断夯实</w:t>
      </w:r>
      <w:r>
        <w:rPr>
          <w:rFonts w:hint="eastAsia"/>
          <w:b/>
          <w:bCs/>
        </w:rPr>
        <w:t>。</w:t>
      </w:r>
      <w:r>
        <w:rPr>
          <w:rFonts w:hint="eastAsia"/>
        </w:rPr>
        <w:t>不断推动形成绿色产业布局、产业结构和生产方式。调整优化产业结构，推进行业绿色发展，以钢铁、菱镁、装备制造</w:t>
      </w:r>
      <w:r>
        <w:rPr>
          <w:rFonts w:hint="eastAsia"/>
          <w:lang w:val="en-US" w:eastAsia="zh-CN"/>
        </w:rPr>
        <w:t>等</w:t>
      </w:r>
      <w:r>
        <w:rPr>
          <w:rFonts w:hint="eastAsia"/>
        </w:rPr>
        <w:t>传统产业优化升级</w:t>
      </w:r>
      <w:r>
        <w:rPr>
          <w:rFonts w:hint="eastAsia"/>
          <w:lang w:val="en-US" w:eastAsia="zh-CN"/>
        </w:rPr>
        <w:t>取得</w:t>
      </w:r>
      <w:r>
        <w:rPr>
          <w:rFonts w:hint="eastAsia"/>
        </w:rPr>
        <w:t>成效</w:t>
      </w:r>
      <w:r>
        <w:rPr>
          <w:rFonts w:hint="eastAsia"/>
          <w:lang w:eastAsia="zh-CN"/>
        </w:rPr>
        <w:t>，</w:t>
      </w:r>
      <w:r>
        <w:rPr>
          <w:rFonts w:hint="eastAsia"/>
        </w:rPr>
        <w:t>拆除34户“地条钢”企业，淘汰落后产能460万吨，“多、小、散、乱”矿山整治</w:t>
      </w:r>
      <w:r>
        <w:rPr>
          <w:rFonts w:hint="eastAsia"/>
          <w:lang w:val="en-US" w:eastAsia="zh-CN"/>
        </w:rPr>
        <w:t>取得</w:t>
      </w:r>
      <w:r>
        <w:rPr>
          <w:rFonts w:hint="eastAsia"/>
        </w:rPr>
        <w:t>成效。清洁生产普及率明显提高，节能减排取得明显成效，鞍山市成功入选国家工业资源综合利用基地。能源结构进一步优化，实现风电、光伏零突破。农业基础不断夯实，新建高标准农田23.6万亩、设施农业0.78万亩。推进绿色低碳交通运输，全部淘汰黄标车，公共汽车、出租车采用天然气、混合动力或电能汽车比例达到100%。</w:t>
      </w:r>
    </w:p>
    <w:p>
      <w:pPr>
        <w:bidi w:val="0"/>
        <w:rPr>
          <w:rFonts w:hint="eastAsia"/>
        </w:rPr>
      </w:pPr>
      <w:r>
        <w:rPr>
          <w:rFonts w:hint="eastAsia"/>
          <w:b/>
          <w:bCs/>
        </w:rPr>
        <w:t>蓝天保卫战取得新成效。</w:t>
      </w:r>
      <w:r>
        <w:rPr>
          <w:rFonts w:hint="eastAsia"/>
        </w:rPr>
        <w:t>统筹实施压煤、治企、控车、降尘、防秸秆露天焚烧，“巩固气”成果稳固。城市建成区全面关停20蒸吨/小时燃煤小锅炉，禁止新建每小时20蒸吨以下的燃煤锅炉，全市127台20蒸吨/小时及以上燃煤锅炉全面实施提标改造，达到了特别排放限值标准。现有在产钢铁企业全部提标改造，实现达标排放。机动车尾气监控实现省、市、县三级联网。秸秆肥料化、饲料化、规模化综合利用成效显著。到2020年PM2.5浓度为43.7µg/m3，下降38.5%，环境空气质量优良天数由2015年的234天增加至2020年的306天，增加72天，创鞍山市有监测记录以来最好水平。</w:t>
      </w:r>
    </w:p>
    <w:p>
      <w:pPr>
        <w:bidi w:val="0"/>
        <w:rPr>
          <w:rFonts w:hint="eastAsia"/>
          <w:highlight w:val="none"/>
        </w:rPr>
      </w:pPr>
      <w:r>
        <w:rPr>
          <w:rFonts w:hint="eastAsia"/>
          <w:b/>
          <w:bCs/>
        </w:rPr>
        <w:t>碧水保卫战实现新突破。</w:t>
      </w:r>
      <w:r>
        <w:rPr>
          <w:rFonts w:hint="eastAsia"/>
          <w:highlight w:val="none"/>
        </w:rPr>
        <w:t>坚持工业源、城市生活源和农业源“三源齐控”，强化工程+管理措施，以国控、省控断面全面稳定达标为目标，对全市重污染河流采取“一河一策”、“一段一策”工程及管理措施，全面实施河流生态环境综合整治、污水处理厂建设、管网完善、排污口整治等工程，确保河流水质得到实质性改善。累计实施水污染治理项目67个，总投资达25亿元，新建了西柳、南台镇、王石、耿庄等污水处理厂，同时对腾鳌污水处理厂、台安县污水处理厂、岫岩县污水处理厂进行了提标改造；完善了南沙河、运粮河、杨柳河、五道河流域的污水截流管网，“突破水”成效显著。国控断面水质优良（达到或优于Ⅲ类）比例总体达到50%以上，城市建成区黑臭水体面积控制在10%以下。到2020年12个国、省控断面全部实现达标。其中，鞍山市6个国控断面水质全面消除劣Ⅴ类，持续保持优良水体比例，地级集中式饮用水水源地水质达标率100%。</w:t>
      </w:r>
    </w:p>
    <w:p>
      <w:pPr>
        <w:bidi w:val="0"/>
        <w:rPr>
          <w:rFonts w:hint="eastAsia"/>
        </w:rPr>
      </w:pPr>
      <w:r>
        <w:rPr>
          <w:rFonts w:hint="eastAsia"/>
          <w:b/>
          <w:bCs/>
        </w:rPr>
        <w:t>净土保卫战取得新进展。</w:t>
      </w:r>
      <w:r>
        <w:rPr>
          <w:rFonts w:hint="eastAsia"/>
        </w:rPr>
        <w:t>编制了《鞍山市土壤污染防治工作方案》、《鞍山市土壤污染治理与修复规划（2017-2020年）》，建立全市土壤污染风险源环境管理档案，“治理土”扎实有效。开展农用地土壤环境质量详查和耕地土壤环境污染等级划分，布设农用地土壤污染状况详查点位849个，首次摸清全市农用地土壤污染面积、分布及其对农产品质量的影响。采集321家重点行业企业用地信息，重点对29块重点行业企业用地污染调查与评价。建设用地污染地块安全利用率达到100%，修复污染地块面积1.34万平方米。</w:t>
      </w:r>
    </w:p>
    <w:p>
      <w:pPr>
        <w:bidi w:val="0"/>
        <w:rPr>
          <w:rFonts w:hint="eastAsia"/>
        </w:rPr>
      </w:pPr>
      <w:r>
        <w:rPr>
          <w:rFonts w:hint="eastAsia"/>
          <w:b/>
          <w:bCs/>
        </w:rPr>
        <w:t>生态保护与修复扎实推进。</w:t>
      </w:r>
      <w:r>
        <w:rPr>
          <w:rFonts w:hint="eastAsia"/>
        </w:rPr>
        <w:t>开展 “绿盾”自然保护地强化监督，持续开展生态保护红线评估调整和自然保护地优化整合，生态保护修复更加扎实。“十三五”期间全市308个行政村开展并完成了村屯绿化工作。完成造林面积共计23.3万亩，完成三北防护林工程3.73万亩，全市退耕还林保存面积8.9万亩。完成矿山复垦面积3208亩，人工造林和森林抚育58000亩，森林覆盖率达到 48%。严格自然保护地建设和管理，提前半年完成“绿盾”专项行动整改任务。</w:t>
      </w:r>
    </w:p>
    <w:p>
      <w:pPr>
        <w:bidi w:val="0"/>
        <w:rPr>
          <w:rFonts w:hint="eastAsia"/>
        </w:rPr>
      </w:pPr>
      <w:r>
        <w:rPr>
          <w:rFonts w:hint="eastAsia"/>
          <w:b/>
          <w:bCs/>
        </w:rPr>
        <w:t>美丽鞍山建设与农村环境整治取得新进展。</w:t>
      </w:r>
      <w:r>
        <w:rPr>
          <w:rFonts w:hint="eastAsia"/>
        </w:rPr>
        <w:t>成功创建“全国文明城市”蝉联“全国卫生城市”“全国双拥模范城市”，完成10个省级生态乡镇、99个生态村的创建任务，成功创建省级美丽示范村76个。农村生活垃圾处置体系基本覆盖所有行政村，完成215个建制村农村环境综合整治，完成43个建制村农村生活污水集中收集处理项目建设，新建无害化厕所3万座，农村饮水工程26处，</w:t>
      </w:r>
    </w:p>
    <w:p>
      <w:pPr>
        <w:bidi w:val="0"/>
        <w:rPr>
          <w:rFonts w:hint="eastAsia"/>
        </w:rPr>
      </w:pPr>
      <w:r>
        <w:rPr>
          <w:rFonts w:hint="eastAsia"/>
          <w:b/>
          <w:bCs/>
        </w:rPr>
        <w:t>环境安全总体平稳。</w:t>
      </w:r>
      <w:r>
        <w:rPr>
          <w:rFonts w:hint="eastAsia"/>
        </w:rPr>
        <w:t>生态环境明显改善，防范化解各类重大风险取得积极成效。以“一废一品一库”和核技术利用为重点，持续开展环境风险隐患排查治理行动。集中式饮用水水源地专项应急预案，做到“一源一案”。强化核与辐射环境监督管理，建立完善核安全工作协调机制，全市核与辐射环境安全形势总体平稳。</w:t>
      </w:r>
    </w:p>
    <w:p>
      <w:pPr>
        <w:bidi w:val="0"/>
        <w:rPr>
          <w:rFonts w:hint="eastAsia"/>
        </w:rPr>
      </w:pPr>
      <w:r>
        <w:rPr>
          <w:rFonts w:hint="eastAsia"/>
          <w:b/>
          <w:bCs/>
        </w:rPr>
        <w:t>生态环境治理体系不断完善。</w:t>
      </w:r>
      <w:r>
        <w:rPr>
          <w:rFonts w:hint="eastAsia"/>
        </w:rPr>
        <w:t>成立鞍山市生态文明建设和生态环境保护委员会，修订了《鞍山市生态环境保护工作责任规定（试行）》，出台《鞍山市推动构建现代环境治理体系实施方案》，调整了县（市）区生态环境保护机构管理体制、环境监察体制、环境监测体制，制定《鞍山市大气污染防治条例》、修订《鞍山市扬尘污染防治条例》等生态环境保护地方性法规，全面完成中央环保督察及“回头看”反馈意见25项整改任务，1160个环境信访案件全部按时办结销号。羊耳峪垃圾填埋场开始封场，腾鳌生活垃圾焚烧项目建成投产，垃圾围城问题得到根本解决。设立8890生态环保板块，推广生态环境微信及官方微博等畅通公众参与环境决策社会治理机制。</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Pr>
        <w:pStyle w:val="47"/>
        <w:numPr>
          <w:ilvl w:val="0"/>
          <w:numId w:val="4"/>
        </w:numPr>
        <w:bidi w:val="0"/>
        <w:rPr>
          <w:rFonts w:hint="eastAsia"/>
          <w:b/>
          <w:bCs/>
          <w:lang w:eastAsia="zh-CN"/>
        </w:rPr>
      </w:pPr>
      <w:r>
        <w:rPr>
          <w:rFonts w:hint="eastAsia"/>
          <w:b/>
          <w:bCs/>
          <w:lang w:eastAsia="zh-CN"/>
        </w:rPr>
        <w:t>“十四五”生态环境保护面临机遇和挑战</w:t>
      </w:r>
    </w:p>
    <w:p>
      <w:pPr>
        <w:numPr>
          <w:ilvl w:val="0"/>
          <w:numId w:val="0"/>
        </w:numPr>
        <w:bidi w:val="0"/>
        <w:ind w:firstLine="480" w:firstLineChars="200"/>
        <w:rPr>
          <w:rFonts w:hint="default"/>
          <w:lang w:val="en-US" w:eastAsia="zh-CN"/>
        </w:rPr>
      </w:pPr>
      <w:r>
        <w:rPr>
          <w:rFonts w:hint="eastAsia"/>
          <w:lang w:eastAsia="zh-CN"/>
        </w:rPr>
        <w:t>“</w:t>
      </w:r>
      <w:r>
        <w:t>十四五</w:t>
      </w:r>
      <w:r>
        <w:rPr>
          <w:rFonts w:hint="eastAsia"/>
          <w:lang w:eastAsia="zh-CN"/>
        </w:rPr>
        <w:t>”</w:t>
      </w:r>
      <w:r>
        <w:t>时期我市将迎来经济社会高质量发展与生态环境高水平保护的战略机遇，必将在全面振兴全方位振兴上取得新突破。作为传统老工业基地，我市结构性、根源性、趋势性污染突出，</w:t>
      </w:r>
      <w:r>
        <w:rPr>
          <w:rFonts w:hint="eastAsia"/>
          <w:lang w:eastAsia="zh-CN"/>
        </w:rPr>
        <w:t>“</w:t>
      </w:r>
      <w:r>
        <w:t>十四五</w:t>
      </w:r>
      <w:r>
        <w:rPr>
          <w:rFonts w:hint="eastAsia"/>
          <w:lang w:eastAsia="zh-CN"/>
        </w:rPr>
        <w:t>”</w:t>
      </w:r>
      <w:r>
        <w:t>期间，</w:t>
      </w:r>
      <w:r>
        <w:rPr>
          <w:rFonts w:hint="eastAsia"/>
          <w:lang w:val="en-US" w:eastAsia="zh-CN"/>
        </w:rPr>
        <w:t>我</w:t>
      </w:r>
      <w:r>
        <w:t>市经济高质量发展仍处于</w:t>
      </w:r>
      <w:r>
        <w:rPr>
          <w:rFonts w:hint="eastAsia"/>
          <w:lang w:eastAsia="zh-CN"/>
        </w:rPr>
        <w:t>“</w:t>
      </w:r>
      <w:r>
        <w:t>关键期</w:t>
      </w:r>
      <w:r>
        <w:rPr>
          <w:rFonts w:hint="eastAsia"/>
          <w:lang w:eastAsia="zh-CN"/>
        </w:rPr>
        <w:t>”</w:t>
      </w:r>
      <w:r>
        <w:t>，生态环境高水平保护仍处于</w:t>
      </w:r>
      <w:r>
        <w:rPr>
          <w:rFonts w:hint="eastAsia"/>
          <w:lang w:eastAsia="zh-CN"/>
        </w:rPr>
        <w:t>“</w:t>
      </w:r>
      <w:r>
        <w:t>攻坚期</w:t>
      </w:r>
      <w:r>
        <w:rPr>
          <w:rFonts w:hint="eastAsia"/>
          <w:lang w:eastAsia="zh-CN"/>
        </w:rPr>
        <w:t>”</w:t>
      </w:r>
      <w:r>
        <w:t>，机遇和挑战并存。</w:t>
      </w:r>
    </w:p>
    <w:p>
      <w:pPr>
        <w:bidi w:val="0"/>
        <w:rPr>
          <w:rFonts w:hint="default"/>
          <w:b/>
          <w:bCs/>
          <w:lang w:val="en-US" w:eastAsia="zh-CN"/>
        </w:rPr>
      </w:pPr>
      <w:bookmarkStart w:id="59" w:name="_Toc31527"/>
      <w:bookmarkStart w:id="60" w:name="_Toc5491"/>
      <w:bookmarkStart w:id="61" w:name="_Toc6885"/>
      <w:bookmarkStart w:id="62" w:name="_Toc9584"/>
      <w:bookmarkStart w:id="63" w:name="_Toc21758"/>
      <w:r>
        <w:rPr>
          <w:rFonts w:hint="default"/>
          <w:b/>
          <w:bCs/>
          <w:lang w:val="en-US" w:eastAsia="zh-CN"/>
        </w:rPr>
        <w:t>（一）面临机遇</w:t>
      </w:r>
      <w:bookmarkEnd w:id="59"/>
      <w:bookmarkEnd w:id="60"/>
      <w:bookmarkEnd w:id="61"/>
      <w:bookmarkEnd w:id="62"/>
      <w:bookmarkEnd w:id="63"/>
    </w:p>
    <w:p>
      <w:pPr>
        <w:bidi w:val="0"/>
        <w:rPr>
          <w:rFonts w:hint="default"/>
        </w:rPr>
      </w:pPr>
      <w:bookmarkStart w:id="64" w:name="_Toc23078"/>
      <w:bookmarkStart w:id="65" w:name="_Toc2488"/>
      <w:bookmarkStart w:id="66" w:name="_Toc9705"/>
      <w:r>
        <w:t>鞍山市坚持以习近平生态文明思想为指导，深入贯彻绿色发展理念，深化生态文明体制改革，不断完善生态环境保护制度体系，努力构建生态环境保护大格局，环境污染治理取得显著成效，人民群众获得感、幸福感持续增强，为</w:t>
      </w:r>
      <w:r>
        <w:rPr>
          <w:rFonts w:hint="eastAsia"/>
          <w:lang w:eastAsia="zh-CN"/>
        </w:rPr>
        <w:t>“</w:t>
      </w:r>
      <w:r>
        <w:t>十四五</w:t>
      </w:r>
      <w:r>
        <w:rPr>
          <w:rFonts w:hint="eastAsia"/>
          <w:lang w:eastAsia="zh-CN"/>
        </w:rPr>
        <w:t>”</w:t>
      </w:r>
      <w:r>
        <w:t>生态环境保护实现更高目标积累了宝贵经验。这一时期，也是鞍山市加快调整经济结构、优化产业区域布局、创新经济发展模式、提升科技创新能力、全面实施乡村振兴、构建现代化城市的关键时期。鞍山有较好的产业优势、资源优势，具有国内最完整的钢铁产业体系，</w:t>
      </w:r>
      <w:r>
        <w:rPr>
          <w:rFonts w:hint="eastAsia"/>
        </w:rPr>
        <w:t>鞍山地处全省</w:t>
      </w:r>
      <w:r>
        <w:rPr>
          <w:rFonts w:hint="eastAsia"/>
          <w:lang w:eastAsia="zh-CN"/>
        </w:rPr>
        <w:t>“</w:t>
      </w:r>
      <w:r>
        <w:rPr>
          <w:rFonts w:hint="eastAsia"/>
        </w:rPr>
        <w:t>一圈一带两区</w:t>
      </w:r>
      <w:r>
        <w:rPr>
          <w:rFonts w:hint="eastAsia"/>
          <w:lang w:eastAsia="zh-CN"/>
        </w:rPr>
        <w:t>”</w:t>
      </w:r>
      <w:r>
        <w:rPr>
          <w:rFonts w:hint="eastAsia"/>
        </w:rPr>
        <w:t>区域发展战略的交汇点</w:t>
      </w:r>
      <w:r>
        <w:rPr>
          <w:rFonts w:hint="eastAsia"/>
          <w:lang w:eastAsia="zh-CN"/>
        </w:rPr>
        <w:t>，</w:t>
      </w:r>
      <w:r>
        <w:rPr>
          <w:rFonts w:hint="default"/>
        </w:rPr>
        <w:t>发挥比较优势，实现错位发展</w:t>
      </w:r>
      <w:r>
        <w:rPr>
          <w:rFonts w:hint="default"/>
          <w:lang w:eastAsia="zh-CN"/>
        </w:rPr>
        <w:t>，</w:t>
      </w:r>
      <w:r>
        <w:rPr>
          <w:rFonts w:hint="default"/>
        </w:rPr>
        <w:t>走</w:t>
      </w:r>
      <w:r>
        <w:rPr>
          <w:rFonts w:hint="eastAsia"/>
          <w:lang w:eastAsia="zh-CN"/>
        </w:rPr>
        <w:t>“</w:t>
      </w:r>
      <w:r>
        <w:rPr>
          <w:rFonts w:hint="default"/>
        </w:rPr>
        <w:t>生态优先、绿色发展</w:t>
      </w:r>
      <w:r>
        <w:rPr>
          <w:rFonts w:hint="eastAsia"/>
          <w:lang w:eastAsia="zh-CN"/>
        </w:rPr>
        <w:t>”</w:t>
      </w:r>
      <w:r>
        <w:rPr>
          <w:rFonts w:hint="default"/>
        </w:rPr>
        <w:t>之路，将给</w:t>
      </w:r>
      <w:r>
        <w:rPr>
          <w:rFonts w:hint="default"/>
          <w:lang w:eastAsia="zh-CN"/>
        </w:rPr>
        <w:t>鞍山</w:t>
      </w:r>
      <w:r>
        <w:rPr>
          <w:rFonts w:hint="default"/>
        </w:rPr>
        <w:t>加速生态治理转型带来巨大发展机遇</w:t>
      </w:r>
      <w:r>
        <w:rPr>
          <w:rFonts w:hint="default"/>
          <w:lang w:eastAsia="zh-CN"/>
        </w:rPr>
        <w:t>。</w:t>
      </w:r>
    </w:p>
    <w:p>
      <w:pPr>
        <w:bidi w:val="0"/>
        <w:rPr>
          <w:rFonts w:hint="default"/>
          <w:lang w:val="en-US" w:eastAsia="zh-CN"/>
        </w:rPr>
      </w:pPr>
      <w:bookmarkStart w:id="67" w:name="_Toc10671"/>
      <w:bookmarkStart w:id="68" w:name="_Toc18269"/>
      <w:r>
        <w:rPr>
          <w:rFonts w:hint="default"/>
          <w:b/>
          <w:bCs/>
          <w:lang w:val="en-US" w:eastAsia="zh-CN"/>
        </w:rPr>
        <w:t>（二）面临挑战</w:t>
      </w:r>
      <w:bookmarkEnd w:id="64"/>
      <w:bookmarkEnd w:id="65"/>
      <w:bookmarkEnd w:id="66"/>
      <w:bookmarkEnd w:id="67"/>
      <w:bookmarkEnd w:id="68"/>
    </w:p>
    <w:p>
      <w:pPr>
        <w:bidi w:val="0"/>
        <w:rPr>
          <w:rFonts w:hint="default"/>
          <w:lang w:val="en-US" w:eastAsia="zh-CN"/>
        </w:rPr>
      </w:pPr>
      <w:r>
        <w:rPr>
          <w:rFonts w:hint="default"/>
          <w:b/>
          <w:bCs/>
        </w:rPr>
        <w:t>绿色低碳发展水平有待进一步提升</w:t>
      </w:r>
      <w:r>
        <w:rPr>
          <w:rFonts w:hint="default"/>
          <w:b/>
          <w:bCs/>
          <w:lang w:eastAsia="zh-CN"/>
        </w:rPr>
        <w:t>。</w:t>
      </w:r>
      <w:r>
        <w:rPr>
          <w:rFonts w:hint="default"/>
          <w:lang w:val="en-US" w:eastAsia="zh-CN"/>
        </w:rPr>
        <w:t>鞍山老工业基地重工业比重高，结构性问题尚未得到根本性解决</w:t>
      </w:r>
      <w:r>
        <w:rPr>
          <w:rFonts w:hint="eastAsia"/>
          <w:lang w:val="en-US" w:eastAsia="zh-CN"/>
        </w:rPr>
        <w:t>，</w:t>
      </w:r>
      <w:r>
        <w:rPr>
          <w:rFonts w:hint="default"/>
          <w:lang w:val="en-US" w:eastAsia="zh-CN"/>
        </w:rPr>
        <w:t>产业结构转型升级</w:t>
      </w:r>
      <w:r>
        <w:rPr>
          <w:rFonts w:hint="eastAsia"/>
          <w:lang w:val="en-US" w:eastAsia="zh-CN"/>
        </w:rPr>
        <w:t>难度较大；</w:t>
      </w:r>
      <w:r>
        <w:rPr>
          <w:rFonts w:hint="default"/>
          <w:lang w:val="en-US" w:eastAsia="zh-CN"/>
        </w:rPr>
        <w:t>新发展理念尚未全部转化成实践，创新体制机制尚未健全，创新驱动发展动力不强</w:t>
      </w:r>
      <w:r>
        <w:rPr>
          <w:rFonts w:hint="eastAsia"/>
          <w:lang w:val="en-US" w:eastAsia="zh-CN"/>
        </w:rPr>
        <w:t>；</w:t>
      </w:r>
      <w:r>
        <w:rPr>
          <w:rFonts w:hint="default"/>
          <w:lang w:val="en-US" w:eastAsia="zh-CN"/>
        </w:rPr>
        <w:t>践行绿色生产生活方式尚未全面形成，实现碳达蜂、碳中和目标任务艰巨。</w:t>
      </w:r>
    </w:p>
    <w:p>
      <w:pPr>
        <w:pageBreakBefore w:val="0"/>
        <w:widowControl/>
        <w:kinsoku/>
        <w:wordWrap/>
        <w:overflowPunct/>
        <w:topLinePunct w:val="0"/>
        <w:autoSpaceDE/>
        <w:autoSpaceDN/>
        <w:bidi w:val="0"/>
        <w:snapToGrid/>
        <w:spacing w:line="240" w:lineRule="auto"/>
        <w:ind w:left="0" w:leftChars="0" w:right="0" w:firstLine="482" w:firstLineChars="200"/>
        <w:jc w:val="both"/>
        <w:textAlignment w:val="auto"/>
        <w:rPr>
          <w:rFonts w:hint="default"/>
          <w:lang w:val="zh-CN" w:eastAsia="zh-CN"/>
        </w:rPr>
      </w:pPr>
      <w:r>
        <w:rPr>
          <w:rFonts w:hint="default"/>
          <w:b/>
          <w:bCs/>
        </w:rPr>
        <w:t>生态环境质量改善成效尚不稳固</w:t>
      </w:r>
      <w:bookmarkStart w:id="69" w:name="_Toc10541"/>
      <w:bookmarkStart w:id="70" w:name="_Toc31069"/>
      <w:bookmarkStart w:id="71" w:name="_Toc28492"/>
      <w:r>
        <w:rPr>
          <w:rFonts w:hint="default"/>
          <w:b/>
          <w:bCs/>
          <w:lang w:val="en-US" w:eastAsia="zh-CN"/>
        </w:rPr>
        <w:t>。</w:t>
      </w:r>
      <w:r>
        <w:rPr>
          <w:rFonts w:hint="eastAsia"/>
          <w:lang w:val="zh-CN" w:eastAsia="zh-CN"/>
        </w:rPr>
        <w:t>大气环境PM2.5超标依然严重。2020年PM2.5浓度为</w:t>
      </w:r>
      <w:r>
        <w:rPr>
          <w:rFonts w:hint="eastAsia"/>
          <w:lang w:val="en-US" w:eastAsia="zh-CN"/>
        </w:rPr>
        <w:t>43.7</w:t>
      </w:r>
      <w:r>
        <w:rPr>
          <w:rFonts w:hint="default"/>
          <w:lang w:val="en-US" w:eastAsia="zh-CN"/>
        </w:rPr>
        <w:t>µg/m3</w:t>
      </w:r>
      <w:r>
        <w:rPr>
          <w:rFonts w:hint="eastAsia"/>
          <w:lang w:val="zh-CN" w:eastAsia="zh-CN"/>
        </w:rPr>
        <w:t>，仍需降低20.5%能满足目标要求；部分河流断面水质仍属脆弱性达标</w:t>
      </w:r>
      <w:r>
        <w:rPr>
          <w:rFonts w:hint="default"/>
          <w:lang w:val="en-US" w:eastAsia="zh-CN"/>
        </w:rPr>
        <w:t>，</w:t>
      </w:r>
      <w:r>
        <w:rPr>
          <w:rFonts w:hint="eastAsia"/>
          <w:lang w:val="zh-CN" w:eastAsia="zh-CN"/>
        </w:rPr>
        <w:t>雨污合流制暗渠及雨排暗渠未形成有效管理机制</w:t>
      </w:r>
      <w:bookmarkEnd w:id="69"/>
      <w:bookmarkEnd w:id="70"/>
      <w:bookmarkEnd w:id="71"/>
      <w:r>
        <w:rPr>
          <w:rFonts w:hint="eastAsia"/>
          <w:lang w:val="zh-CN" w:eastAsia="zh-CN"/>
        </w:rPr>
        <w:t>；“十四五”鞍山</w:t>
      </w:r>
      <w:r>
        <w:rPr>
          <w:rFonts w:hint="default"/>
          <w:lang w:val="en-US" w:eastAsia="zh-CN"/>
        </w:rPr>
        <w:t>地表水达到或</w:t>
      </w:r>
      <w:r>
        <w:rPr>
          <w:rFonts w:hint="eastAsia"/>
          <w:lang w:val="en-US" w:eastAsia="zh-CN"/>
        </w:rPr>
        <w:t>好于</w:t>
      </w:r>
      <w:r>
        <w:rPr>
          <w:rFonts w:hint="default"/>
          <w:lang w:val="en-US" w:eastAsia="zh-CN"/>
        </w:rPr>
        <w:t>Ⅲ类</w:t>
      </w:r>
      <w:r>
        <w:rPr>
          <w:rFonts w:hint="eastAsia"/>
          <w:lang w:val="en-US" w:eastAsia="zh-CN"/>
        </w:rPr>
        <w:t>水体</w:t>
      </w:r>
      <w:r>
        <w:rPr>
          <w:rFonts w:hint="default"/>
          <w:lang w:val="en-US" w:eastAsia="zh-CN"/>
        </w:rPr>
        <w:t>比例</w:t>
      </w:r>
      <w:r>
        <w:rPr>
          <w:rFonts w:hint="eastAsia"/>
          <w:lang w:val="zh-CN" w:eastAsia="zh-CN"/>
        </w:rPr>
        <w:t>提升幅度大，</w:t>
      </w:r>
      <w:r>
        <w:rPr>
          <w:rFonts w:hint="default"/>
          <w:lang w:val="en-US" w:eastAsia="zh-CN"/>
        </w:rPr>
        <w:t>生态环境质量大幅改善面临较大挑战</w:t>
      </w:r>
      <w:r>
        <w:rPr>
          <w:rFonts w:hint="eastAsia"/>
          <w:lang w:val="en-US" w:eastAsia="zh-CN"/>
        </w:rPr>
        <w:t>。</w:t>
      </w:r>
    </w:p>
    <w:p>
      <w:pPr>
        <w:ind w:firstLine="482" w:firstLineChars="200"/>
        <w:jc w:val="both"/>
        <w:rPr>
          <w:rFonts w:hint="eastAsia" w:ascii="Times New Roman" w:hAnsi="Times New Roman" w:cs="Times New Roman"/>
          <w:i w:val="0"/>
          <w:iCs w:val="0"/>
          <w:caps w:val="0"/>
          <w:color w:val="auto"/>
          <w:spacing w:val="0"/>
          <w:sz w:val="24"/>
          <w:szCs w:val="24"/>
          <w:highlight w:val="none"/>
          <w:shd w:val="clear" w:color="auto" w:fill="auto"/>
          <w:lang w:val="zh-CN" w:eastAsia="zh-CN" w:bidi="ar"/>
        </w:rPr>
      </w:pPr>
      <w:r>
        <w:rPr>
          <w:rFonts w:hint="default"/>
          <w:b/>
          <w:bCs/>
          <w:lang w:val="en-US" w:eastAsia="zh-CN"/>
        </w:rPr>
        <w:t>环境安全风险不容忽视。</w:t>
      </w:r>
      <w:r>
        <w:rPr>
          <w:rFonts w:hint="eastAsia" w:ascii="Times New Roman" w:hAnsi="Times New Roman" w:cs="Times New Roman"/>
          <w:i w:val="0"/>
          <w:iCs w:val="0"/>
          <w:caps w:val="0"/>
          <w:color w:val="auto"/>
          <w:spacing w:val="0"/>
          <w:sz w:val="24"/>
          <w:szCs w:val="24"/>
          <w:highlight w:val="none"/>
          <w:shd w:val="clear" w:color="auto" w:fill="auto"/>
          <w:lang w:val="en-US" w:eastAsia="zh-CN" w:bidi="ar"/>
        </w:rPr>
        <w:t>全市</w:t>
      </w:r>
      <w:r>
        <w:rPr>
          <w:rFonts w:hint="eastAsia" w:ascii="Times New Roman" w:hAnsi="Times New Roman" w:cs="Times New Roman"/>
          <w:i w:val="0"/>
          <w:iCs w:val="0"/>
          <w:caps w:val="0"/>
          <w:color w:val="auto"/>
          <w:spacing w:val="0"/>
          <w:sz w:val="24"/>
          <w:szCs w:val="24"/>
          <w:highlight w:val="none"/>
          <w:shd w:val="clear" w:color="auto" w:fill="auto"/>
          <w:lang w:val="zh-CN" w:eastAsia="zh-CN" w:bidi="ar"/>
        </w:rPr>
        <w:t>每年产生大量尾矿、冶炼废渣等工业固体</w:t>
      </w:r>
      <w:r>
        <w:rPr>
          <w:rFonts w:hint="eastAsia" w:ascii="Times New Roman" w:hAnsi="Times New Roman" w:cs="Times New Roman"/>
          <w:b w:val="0"/>
          <w:bCs w:val="0"/>
          <w:sz w:val="24"/>
          <w:szCs w:val="24"/>
          <w:highlight w:val="none"/>
          <w:lang w:val="en-US" w:eastAsia="zh-CN" w:bidi="ar"/>
        </w:rPr>
        <w:t>废物</w:t>
      </w:r>
      <w:r>
        <w:rPr>
          <w:rFonts w:hint="eastAsia" w:ascii="Times New Roman" w:hAnsi="Times New Roman" w:cs="Times New Roman"/>
          <w:i w:val="0"/>
          <w:iCs w:val="0"/>
          <w:caps w:val="0"/>
          <w:color w:val="auto"/>
          <w:spacing w:val="0"/>
          <w:sz w:val="24"/>
          <w:szCs w:val="24"/>
          <w:highlight w:val="none"/>
          <w:shd w:val="clear" w:color="auto" w:fill="auto"/>
          <w:lang w:val="zh-CN" w:eastAsia="zh-CN" w:bidi="ar"/>
        </w:rPr>
        <w:t>，全市一般工业固体废</w:t>
      </w:r>
      <w:r>
        <w:rPr>
          <w:rFonts w:hint="eastAsia" w:ascii="Times New Roman" w:hAnsi="Times New Roman" w:cs="Times New Roman"/>
          <w:b w:val="0"/>
          <w:bCs w:val="0"/>
          <w:sz w:val="24"/>
          <w:szCs w:val="24"/>
          <w:highlight w:val="none"/>
          <w:lang w:val="en-US" w:eastAsia="zh-CN" w:bidi="ar"/>
        </w:rPr>
        <w:t>弃</w:t>
      </w:r>
      <w:r>
        <w:rPr>
          <w:rFonts w:hint="eastAsia" w:ascii="Times New Roman" w:hAnsi="Times New Roman" w:cs="Times New Roman"/>
          <w:i w:val="0"/>
          <w:iCs w:val="0"/>
          <w:caps w:val="0"/>
          <w:color w:val="auto"/>
          <w:spacing w:val="0"/>
          <w:sz w:val="24"/>
          <w:szCs w:val="24"/>
          <w:highlight w:val="none"/>
          <w:shd w:val="clear" w:color="auto" w:fill="auto"/>
          <w:lang w:val="zh-CN" w:eastAsia="zh-CN" w:bidi="ar"/>
        </w:rPr>
        <w:t>物综合利用率有待进一步提升</w:t>
      </w:r>
      <w:r>
        <w:rPr>
          <w:rFonts w:hint="eastAsia" w:cs="Times New Roman"/>
          <w:i w:val="0"/>
          <w:iCs w:val="0"/>
          <w:caps w:val="0"/>
          <w:color w:val="auto"/>
          <w:spacing w:val="0"/>
          <w:sz w:val="24"/>
          <w:szCs w:val="24"/>
          <w:highlight w:val="none"/>
          <w:shd w:val="clear" w:color="auto" w:fill="auto"/>
          <w:lang w:val="zh-CN" w:eastAsia="zh-CN" w:bidi="ar"/>
        </w:rPr>
        <w:t>；</w:t>
      </w:r>
      <w:r>
        <w:rPr>
          <w:rFonts w:hint="eastAsia" w:ascii="Times New Roman" w:hAnsi="Times New Roman" w:cs="Times New Roman"/>
          <w:i w:val="0"/>
          <w:iCs w:val="0"/>
          <w:caps w:val="0"/>
          <w:color w:val="auto"/>
          <w:spacing w:val="0"/>
          <w:sz w:val="24"/>
          <w:szCs w:val="24"/>
          <w:highlight w:val="none"/>
          <w:shd w:val="clear" w:color="auto" w:fill="auto"/>
          <w:lang w:val="zh-CN" w:eastAsia="zh-CN" w:bidi="ar"/>
        </w:rPr>
        <w:t>钢铁、有色金属、石油开采加工、化工等重点行业和涉重金属企业</w:t>
      </w:r>
      <w:r>
        <w:rPr>
          <w:rFonts w:hint="eastAsia" w:cs="Times New Roman"/>
          <w:i w:val="0"/>
          <w:iCs w:val="0"/>
          <w:caps w:val="0"/>
          <w:color w:val="auto"/>
          <w:spacing w:val="0"/>
          <w:sz w:val="24"/>
          <w:szCs w:val="24"/>
          <w:highlight w:val="none"/>
          <w:shd w:val="clear" w:color="auto" w:fill="auto"/>
          <w:lang w:val="zh-CN" w:eastAsia="zh-CN" w:bidi="ar"/>
        </w:rPr>
        <w:t>，</w:t>
      </w:r>
      <w:r>
        <w:rPr>
          <w:rFonts w:hint="eastAsia" w:ascii="Times New Roman" w:hAnsi="Times New Roman" w:cs="Times New Roman"/>
          <w:i w:val="0"/>
          <w:iCs w:val="0"/>
          <w:caps w:val="0"/>
          <w:color w:val="auto"/>
          <w:spacing w:val="0"/>
          <w:sz w:val="24"/>
          <w:szCs w:val="24"/>
          <w:highlight w:val="none"/>
          <w:shd w:val="clear" w:color="auto" w:fill="auto"/>
          <w:lang w:val="zh-CN" w:eastAsia="zh-CN" w:bidi="ar"/>
        </w:rPr>
        <w:t>多年的生产经营活动给周边土壤环境带来一定程度的污染风险隐患。</w:t>
      </w:r>
    </w:p>
    <w:p>
      <w:pPr>
        <w:bidi w:val="0"/>
        <w:rPr>
          <w:rFonts w:hint="default"/>
          <w:sz w:val="24"/>
          <w:szCs w:val="24"/>
          <w:highlight w:val="none"/>
          <w:lang w:val="zh-CN" w:eastAsia="zh-CN"/>
        </w:rPr>
      </w:pPr>
      <w:r>
        <w:rPr>
          <w:rFonts w:hint="eastAsia" w:ascii="Times New Roman" w:hAnsi="Times New Roman" w:cs="Times New Roman"/>
          <w:b/>
          <w:bCs/>
          <w:i w:val="0"/>
          <w:iCs w:val="0"/>
          <w:caps w:val="0"/>
          <w:color w:val="auto"/>
          <w:spacing w:val="0"/>
          <w:sz w:val="24"/>
          <w:szCs w:val="24"/>
          <w:highlight w:val="none"/>
          <w:shd w:val="clear" w:color="auto" w:fill="auto"/>
          <w:lang w:val="zh-CN" w:eastAsia="zh-CN" w:bidi="ar"/>
        </w:rPr>
        <w:t>生态环境治理体系和治理能力亟须增强。</w:t>
      </w:r>
      <w:r>
        <w:rPr>
          <w:rFonts w:hint="eastAsia" w:ascii="Times New Roman" w:hAnsi="Times New Roman" w:cs="Times New Roman"/>
          <w:i w:val="0"/>
          <w:iCs w:val="0"/>
          <w:caps w:val="0"/>
          <w:color w:val="auto"/>
          <w:spacing w:val="0"/>
          <w:sz w:val="24"/>
          <w:szCs w:val="24"/>
          <w:highlight w:val="none"/>
          <w:shd w:val="clear" w:color="auto" w:fill="auto"/>
          <w:lang w:val="zh-CN" w:eastAsia="zh-CN" w:bidi="ar"/>
        </w:rPr>
        <w:t>环境基础能力建设仍显不足</w:t>
      </w:r>
      <w:r>
        <w:rPr>
          <w:rFonts w:hint="eastAsia" w:cs="Times New Roman"/>
          <w:i w:val="0"/>
          <w:iCs w:val="0"/>
          <w:caps w:val="0"/>
          <w:color w:val="auto"/>
          <w:spacing w:val="0"/>
          <w:sz w:val="24"/>
          <w:szCs w:val="24"/>
          <w:highlight w:val="none"/>
          <w:shd w:val="clear" w:color="auto" w:fill="auto"/>
          <w:lang w:val="zh-CN" w:eastAsia="zh-CN" w:bidi="ar"/>
        </w:rPr>
        <w:t>；</w:t>
      </w:r>
      <w:r>
        <w:rPr>
          <w:rFonts w:hint="eastAsia" w:ascii="Times New Roman" w:hAnsi="Times New Roman" w:cs="Times New Roman"/>
          <w:i w:val="0"/>
          <w:iCs w:val="0"/>
          <w:caps w:val="0"/>
          <w:color w:val="auto"/>
          <w:spacing w:val="0"/>
          <w:sz w:val="24"/>
          <w:szCs w:val="24"/>
          <w:highlight w:val="none"/>
          <w:shd w:val="clear" w:color="auto" w:fill="auto"/>
          <w:lang w:val="zh-CN" w:eastAsia="zh-CN" w:bidi="ar"/>
        </w:rPr>
        <w:t>环境监测能力、环保执法能力、环境治理能力、环境风险管控能力和环境管理手段有待提升</w:t>
      </w:r>
      <w:r>
        <w:rPr>
          <w:rFonts w:hint="eastAsia" w:cs="Times New Roman"/>
          <w:i w:val="0"/>
          <w:iCs w:val="0"/>
          <w:caps w:val="0"/>
          <w:color w:val="auto"/>
          <w:spacing w:val="0"/>
          <w:sz w:val="24"/>
          <w:szCs w:val="24"/>
          <w:highlight w:val="none"/>
          <w:shd w:val="clear" w:color="auto" w:fill="auto"/>
          <w:lang w:val="zh-CN" w:eastAsia="zh-CN" w:bidi="ar"/>
        </w:rPr>
        <w:t>；</w:t>
      </w:r>
      <w:r>
        <w:rPr>
          <w:rFonts w:hint="eastAsia" w:ascii="Times New Roman" w:hAnsi="Times New Roman" w:cs="Times New Roman"/>
          <w:i w:val="0"/>
          <w:iCs w:val="0"/>
          <w:caps w:val="0"/>
          <w:color w:val="auto"/>
          <w:spacing w:val="0"/>
          <w:sz w:val="24"/>
          <w:szCs w:val="24"/>
          <w:highlight w:val="none"/>
          <w:shd w:val="clear" w:color="auto" w:fill="auto"/>
          <w:lang w:val="zh-CN" w:eastAsia="zh-CN" w:bidi="ar"/>
        </w:rPr>
        <w:t>环保监督与管理队伍有待增强，</w:t>
      </w:r>
      <w:r>
        <w:rPr>
          <w:rFonts w:hint="eastAsia" w:cs="Times New Roman"/>
          <w:i w:val="0"/>
          <w:iCs w:val="0"/>
          <w:caps w:val="0"/>
          <w:color w:val="auto"/>
          <w:spacing w:val="0"/>
          <w:sz w:val="24"/>
          <w:szCs w:val="24"/>
          <w:highlight w:val="none"/>
          <w:shd w:val="clear" w:color="auto" w:fill="auto"/>
          <w:lang w:val="zh-CN" w:eastAsia="zh-CN" w:bidi="ar"/>
        </w:rPr>
        <w:t>；</w:t>
      </w:r>
      <w:r>
        <w:rPr>
          <w:rFonts w:hint="eastAsia" w:ascii="Times New Roman" w:hAnsi="Times New Roman" w:cs="Times New Roman"/>
          <w:i w:val="0"/>
          <w:iCs w:val="0"/>
          <w:caps w:val="0"/>
          <w:color w:val="auto"/>
          <w:spacing w:val="0"/>
          <w:sz w:val="24"/>
          <w:szCs w:val="24"/>
          <w:highlight w:val="none"/>
          <w:shd w:val="clear" w:color="auto" w:fill="auto"/>
          <w:lang w:val="zh-CN" w:eastAsia="zh-CN" w:bidi="ar"/>
        </w:rPr>
        <w:t>现代监测技术、信息技术在环境治理领域的应用有待进一步加强。</w:t>
      </w:r>
    </w:p>
    <w:p>
      <w:pPr>
        <w:pStyle w:val="38"/>
        <w:bidi w:val="0"/>
        <w:rPr>
          <w:rFonts w:hint="default"/>
          <w:lang w:val="en-US" w:eastAsia="zh-CN"/>
        </w:rPr>
      </w:pPr>
      <w:bookmarkStart w:id="72" w:name="_Toc14574"/>
      <w:bookmarkStart w:id="73" w:name="_Toc28987"/>
      <w:bookmarkStart w:id="74" w:name="_Toc24682"/>
      <w:bookmarkStart w:id="75" w:name="_Toc20479"/>
      <w:bookmarkStart w:id="76" w:name="_Toc22174"/>
      <w:bookmarkStart w:id="77" w:name="_Toc14704"/>
      <w:bookmarkStart w:id="78" w:name="_Toc14697"/>
      <w:bookmarkStart w:id="79" w:name="_Toc1481"/>
      <w:bookmarkStart w:id="80" w:name="_Toc23162"/>
      <w:bookmarkStart w:id="81" w:name="_Toc19740"/>
      <w:bookmarkStart w:id="82" w:name="_Toc14490"/>
      <w:bookmarkStart w:id="83" w:name="_Toc20674"/>
      <w:bookmarkStart w:id="84" w:name="_Toc6094"/>
      <w:bookmarkStart w:id="85" w:name="_Toc5688"/>
      <w:bookmarkStart w:id="86" w:name="_Toc31474"/>
      <w:bookmarkStart w:id="87" w:name="_Toc5762"/>
      <w:bookmarkStart w:id="88" w:name="_Toc7837"/>
      <w:bookmarkStart w:id="89" w:name="_Toc26314"/>
      <w:bookmarkStart w:id="90" w:name="_Toc31433"/>
      <w:bookmarkStart w:id="91" w:name="_Toc15091"/>
      <w:bookmarkStart w:id="92" w:name="_Toc2884"/>
      <w:bookmarkStart w:id="93" w:name="_Toc9272"/>
      <w:bookmarkStart w:id="94" w:name="_Toc23676"/>
      <w:r>
        <w:rPr>
          <w:lang w:val="en-US" w:eastAsia="zh-CN"/>
        </w:rPr>
        <w:t>第</w:t>
      </w:r>
      <w:r>
        <w:rPr>
          <w:rFonts w:hint="default"/>
          <w:lang w:val="en-US" w:eastAsia="zh-CN"/>
        </w:rPr>
        <w:t>二</w:t>
      </w:r>
      <w:r>
        <w:rPr>
          <w:lang w:val="en-US" w:eastAsia="zh-CN"/>
        </w:rPr>
        <w:t xml:space="preserve">章 </w:t>
      </w:r>
      <w:r>
        <w:rPr>
          <w:lang w:eastAsia="zh-CN"/>
        </w:rPr>
        <w:t>指导思想与</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hint="eastAsia"/>
          <w:lang w:val="en-US" w:eastAsia="zh-CN"/>
        </w:rPr>
        <w:t>主要目标</w:t>
      </w:r>
      <w:bookmarkEnd w:id="94"/>
    </w:p>
    <w:p>
      <w:pPr>
        <w:pStyle w:val="47"/>
        <w:bidi w:val="0"/>
        <w:rPr>
          <w:rFonts w:hint="default"/>
          <w:b/>
          <w:bCs/>
          <w:lang w:val="en-US" w:eastAsia="zh-CN"/>
        </w:rPr>
      </w:pPr>
      <w:bookmarkStart w:id="95" w:name="_Toc16616"/>
      <w:bookmarkStart w:id="96" w:name="_Toc2536"/>
      <w:bookmarkStart w:id="97" w:name="_Toc1587"/>
      <w:bookmarkStart w:id="98" w:name="_Toc6462"/>
      <w:bookmarkStart w:id="99" w:name="_Toc1156"/>
      <w:bookmarkStart w:id="100" w:name="_Toc31500"/>
      <w:bookmarkStart w:id="101" w:name="_Toc26742"/>
      <w:bookmarkStart w:id="102" w:name="_Toc17655"/>
      <w:bookmarkStart w:id="103" w:name="_Toc12117"/>
      <w:bookmarkStart w:id="104" w:name="_Toc2706"/>
      <w:bookmarkStart w:id="105" w:name="_Toc27645"/>
      <w:bookmarkStart w:id="106" w:name="_Toc23590"/>
      <w:bookmarkStart w:id="107" w:name="_Toc31094"/>
      <w:bookmarkStart w:id="108" w:name="_Toc18220"/>
      <w:bookmarkStart w:id="109" w:name="_Toc8841"/>
      <w:bookmarkStart w:id="110" w:name="_Toc3676"/>
      <w:bookmarkStart w:id="111" w:name="_Toc27812"/>
      <w:bookmarkStart w:id="112" w:name="_Toc3696"/>
      <w:bookmarkStart w:id="113" w:name="_Toc8354"/>
      <w:bookmarkStart w:id="114" w:name="_Toc6325"/>
      <w:bookmarkStart w:id="115" w:name="_Toc11696"/>
      <w:bookmarkStart w:id="116" w:name="_Toc12155"/>
      <w:bookmarkStart w:id="117" w:name="_Toc31976"/>
      <w:r>
        <w:rPr>
          <w:rFonts w:hint="default"/>
          <w:b/>
          <w:bCs/>
          <w:lang w:val="en-US" w:eastAsia="zh-CN"/>
        </w:rPr>
        <w:t>第一节 指导思想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bidi w:val="0"/>
      </w:pPr>
      <w:bookmarkStart w:id="118" w:name="_Toc17592"/>
      <w:bookmarkStart w:id="119" w:name="_Toc20445"/>
      <w:bookmarkStart w:id="120" w:name="_Toc15901"/>
      <w:bookmarkStart w:id="121" w:name="_Toc18625"/>
      <w:bookmarkStart w:id="122" w:name="_Toc8089"/>
      <w:bookmarkStart w:id="123" w:name="_Toc29269"/>
      <w:bookmarkStart w:id="124" w:name="_Toc22364"/>
      <w:bookmarkStart w:id="125" w:name="_Toc16185"/>
      <w:bookmarkStart w:id="126" w:name="_Toc27488"/>
      <w:bookmarkStart w:id="127" w:name="_Toc28692"/>
      <w:bookmarkStart w:id="128" w:name="_Toc5809"/>
      <w:bookmarkStart w:id="129" w:name="_Toc10618"/>
      <w:bookmarkStart w:id="130" w:name="_Toc17071"/>
      <w:bookmarkStart w:id="131" w:name="_Toc22702"/>
      <w:bookmarkStart w:id="132" w:name="_Toc27778"/>
      <w:bookmarkStart w:id="133" w:name="_Toc10034"/>
      <w:bookmarkStart w:id="134" w:name="_Toc14164"/>
      <w:bookmarkStart w:id="135" w:name="_Toc21306"/>
      <w:bookmarkStart w:id="136" w:name="_Toc14216"/>
      <w:bookmarkStart w:id="137" w:name="_Toc22814"/>
      <w:bookmarkStart w:id="138" w:name="_Toc18946"/>
      <w:bookmarkStart w:id="139" w:name="_Toc16011"/>
      <w:bookmarkStart w:id="140" w:name="_Toc32458"/>
      <w:r>
        <w:rPr>
          <w:rFonts w:hint="eastAsia"/>
        </w:rPr>
        <w:t>以习近平新时代中国特色社会主义思想为指导，全面贯彻党的十九大和十九届</w:t>
      </w:r>
      <w:r>
        <w:rPr>
          <w:rFonts w:hint="eastAsia"/>
          <w:lang w:val="en-US" w:eastAsia="zh-CN"/>
        </w:rPr>
        <w:t>历届</w:t>
      </w:r>
      <w:r>
        <w:rPr>
          <w:rFonts w:hint="eastAsia"/>
        </w:rPr>
        <w:t>全会精神，深入贯彻习近平生态文明思想，</w:t>
      </w:r>
      <w:r>
        <w:rPr>
          <w:rFonts w:hint="eastAsia"/>
          <w:lang w:val="en-US" w:eastAsia="zh-CN"/>
        </w:rPr>
        <w:t>以满足人民日益增长的美好生活需要为根本目的，</w:t>
      </w:r>
      <w:r>
        <w:rPr>
          <w:rFonts w:hint="eastAsia"/>
        </w:rPr>
        <w:t>立足新发展阶段，</w:t>
      </w:r>
      <w:r>
        <w:rPr>
          <w:rFonts w:hint="eastAsia"/>
          <w:lang w:val="en-US" w:eastAsia="zh-CN"/>
        </w:rPr>
        <w:t>坚持生态优先、绿色</w:t>
      </w:r>
      <w:r>
        <w:rPr>
          <w:lang w:val="zh-CN"/>
        </w:rPr>
        <w:t>发展，</w:t>
      </w:r>
      <w:r>
        <w:rPr>
          <w:rFonts w:hint="eastAsia"/>
          <w:lang w:val="en-US" w:eastAsia="zh-CN"/>
        </w:rPr>
        <w:t>以实现减污降碳协同增效为总抓手，以改善生态环境质量为核心，以精准治污、科学治污、依法治污为工作方针，统筹污染治理、生态保护、应对气候变化，全面深入打好污染防治攻坚战，</w:t>
      </w:r>
      <w:r>
        <w:rPr>
          <w:rFonts w:hint="eastAsia"/>
        </w:rPr>
        <w:t>以</w:t>
      </w:r>
      <w:r>
        <w:rPr>
          <w:rFonts w:hint="eastAsia"/>
          <w:lang w:val="en-US" w:eastAsia="zh-CN"/>
        </w:rPr>
        <w:t>生态环境</w:t>
      </w:r>
      <w:r>
        <w:rPr>
          <w:rFonts w:hint="eastAsia"/>
        </w:rPr>
        <w:t>高水平保护推动高质量发展，</w:t>
      </w:r>
      <w:r>
        <w:t>促进经济社会发展全面绿色转型，加快建设人与自然和谐共生美丽</w:t>
      </w:r>
      <w:r>
        <w:rPr>
          <w:rFonts w:hint="eastAsia"/>
          <w:lang w:val="en-US" w:eastAsia="zh-CN"/>
        </w:rPr>
        <w:t>的</w:t>
      </w:r>
      <w:r>
        <w:t>鞍山。</w:t>
      </w:r>
    </w:p>
    <w:p>
      <w:pPr>
        <w:pStyle w:val="47"/>
        <w:bidi w:val="0"/>
        <w:rPr>
          <w:rFonts w:hint="eastAsia"/>
          <w:b/>
          <w:bCs/>
          <w:lang w:val="zh-CN"/>
        </w:rPr>
      </w:pPr>
      <w:r>
        <w:rPr>
          <w:rFonts w:hint="eastAsia"/>
          <w:b/>
          <w:bCs/>
          <w:lang w:val="zh-CN"/>
        </w:rPr>
        <w:t>第二节 基本原则</w:t>
      </w:r>
    </w:p>
    <w:p>
      <w:pPr>
        <w:bidi w:val="0"/>
        <w:rPr>
          <w:rFonts w:hint="eastAsia"/>
          <w:b/>
          <w:bCs/>
          <w:lang w:val="zh-CN"/>
        </w:rPr>
      </w:pPr>
      <w:r>
        <w:rPr>
          <w:rFonts w:hint="eastAsia"/>
          <w:b/>
          <w:bCs/>
          <w:lang w:val="zh-CN"/>
        </w:rPr>
        <w:t>（一）坚持生态优先，绿色发展</w:t>
      </w:r>
    </w:p>
    <w:p>
      <w:pPr>
        <w:bidi w:val="0"/>
        <w:rPr>
          <w:rFonts w:hint="eastAsia"/>
          <w:lang w:val="zh-CN"/>
        </w:rPr>
      </w:pPr>
      <w:r>
        <w:rPr>
          <w:rFonts w:hint="eastAsia"/>
          <w:lang w:val="zh-CN"/>
        </w:rPr>
        <w:t>坚持“绿水青山就是金山银山、冰天雪地也是金山银山”理念，深入实施可持续发展战略，推动生产方式、生活方式和城市建设绿色转型，全力打造鞍山市鲜明的绿色底色，以生态环境高水平保护促进经济社会高质量发展。</w:t>
      </w:r>
    </w:p>
    <w:p>
      <w:pPr>
        <w:bidi w:val="0"/>
        <w:rPr>
          <w:rFonts w:hint="eastAsia"/>
          <w:b/>
          <w:bCs/>
          <w:lang w:val="zh-CN"/>
        </w:rPr>
      </w:pPr>
      <w:r>
        <w:rPr>
          <w:rFonts w:hint="eastAsia"/>
          <w:b/>
          <w:bCs/>
          <w:lang w:val="zh-CN"/>
        </w:rPr>
        <w:t>（二）坚持以人民为中心，造福人民</w:t>
      </w:r>
    </w:p>
    <w:p>
      <w:pPr>
        <w:bidi w:val="0"/>
        <w:rPr>
          <w:rFonts w:hint="eastAsia"/>
          <w:lang w:val="zh-CN"/>
        </w:rPr>
      </w:pPr>
      <w:r>
        <w:rPr>
          <w:rFonts w:hint="eastAsia"/>
          <w:lang w:val="zh-CN"/>
        </w:rPr>
        <w:t>始终坚持以人民为中心，不断增进人民福祉。以改善生态环境质量为核心，着力解决人民群众身边的生态环境问题，提供更多优质的生态产品，不断增强人民对优美生态环境的幸福感、获得感和安全感。</w:t>
      </w:r>
    </w:p>
    <w:p>
      <w:pPr>
        <w:bidi w:val="0"/>
        <w:rPr>
          <w:rFonts w:hint="eastAsia"/>
          <w:b/>
          <w:bCs/>
          <w:lang w:val="zh-CN"/>
        </w:rPr>
      </w:pPr>
      <w:r>
        <w:rPr>
          <w:rFonts w:hint="eastAsia"/>
          <w:b/>
          <w:bCs/>
          <w:lang w:val="zh-CN"/>
        </w:rPr>
        <w:t>（三）坚持系统保护，综合施策</w:t>
      </w:r>
    </w:p>
    <w:p>
      <w:pPr>
        <w:bidi w:val="0"/>
        <w:rPr>
          <w:rFonts w:hint="eastAsia"/>
          <w:lang w:val="zh-CN"/>
        </w:rPr>
      </w:pPr>
      <w:r>
        <w:rPr>
          <w:rFonts w:hint="eastAsia"/>
          <w:lang w:val="zh-CN"/>
        </w:rPr>
        <w:t>树立生态环境治理的大局观、全局观，将山水林田湖草沙统筹于城乡一体化建设和生态环境保护修复与治理之中，坚持目标导向与问题导向结合，预防与治理统一，减污与增容并重，标本兼治、治本为主，远近结合、扎实推进，分区施策，分类治理。</w:t>
      </w:r>
    </w:p>
    <w:p>
      <w:pPr>
        <w:bidi w:val="0"/>
        <w:rPr>
          <w:rFonts w:hint="eastAsia"/>
          <w:lang w:val="zh-CN"/>
        </w:rPr>
      </w:pPr>
      <w:r>
        <w:rPr>
          <w:rFonts w:hint="eastAsia"/>
          <w:b/>
          <w:bCs/>
          <w:lang w:val="zh-CN"/>
        </w:rPr>
        <w:t>（四）坚持稳中求进，重点突破</w:t>
      </w:r>
    </w:p>
    <w:p>
      <w:pPr>
        <w:bidi w:val="0"/>
        <w:rPr>
          <w:rFonts w:hint="eastAsia"/>
          <w:lang w:val="zh-CN"/>
        </w:rPr>
      </w:pPr>
      <w:r>
        <w:rPr>
          <w:rFonts w:hint="eastAsia"/>
          <w:lang w:val="zh-CN"/>
        </w:rPr>
        <w:t>深入巩固污染防治攻坚战成果，加大生态环境保护力度，坚持延伸深度、拓展广度，重点突破产业绿色转型，协同降碳减排，应对气候变化。重点突破重点行业、重点领域深度治理，有力推动生态环境保护迈向新台阶。</w:t>
      </w:r>
    </w:p>
    <w:p>
      <w:pPr>
        <w:bidi w:val="0"/>
        <w:rPr>
          <w:rFonts w:hint="eastAsia"/>
          <w:b/>
          <w:bCs/>
          <w:lang w:val="zh-CN"/>
        </w:rPr>
      </w:pPr>
      <w:r>
        <w:rPr>
          <w:rFonts w:hint="eastAsia"/>
          <w:b/>
          <w:bCs/>
          <w:lang w:val="zh-CN"/>
        </w:rPr>
        <w:t>（五）坚持守住底线，防范风险</w:t>
      </w:r>
    </w:p>
    <w:p>
      <w:pPr>
        <w:bidi w:val="0"/>
        <w:rPr>
          <w:rFonts w:hint="eastAsia"/>
          <w:lang w:val="zh-CN"/>
        </w:rPr>
      </w:pPr>
      <w:r>
        <w:rPr>
          <w:rFonts w:hint="eastAsia"/>
          <w:lang w:val="zh-CN"/>
        </w:rPr>
        <w:t>坚持底线思维，保障生态环境安全。尊重自然、顺应自然、保护自然。守住资源利用上线、生态保护红线和环境质量底线，科学合理规划与开发自然资源，保障经济社会环境可持续发展，深化生态环境污染防治，有效防范环境风险。</w:t>
      </w:r>
    </w:p>
    <w:p>
      <w:pPr>
        <w:bidi w:val="0"/>
        <w:rPr>
          <w:rFonts w:hint="eastAsia"/>
          <w:b/>
          <w:bCs/>
          <w:lang w:val="zh-CN"/>
        </w:rPr>
      </w:pPr>
      <w:r>
        <w:rPr>
          <w:rFonts w:hint="eastAsia"/>
          <w:b/>
          <w:bCs/>
          <w:lang w:val="zh-CN"/>
        </w:rPr>
        <w:t>（六）坚持体制机制创新，激发内生动力</w:t>
      </w:r>
    </w:p>
    <w:p>
      <w:pPr>
        <w:bidi w:val="0"/>
        <w:rPr>
          <w:rFonts w:hint="eastAsia"/>
          <w:lang w:val="zh-CN"/>
        </w:rPr>
      </w:pPr>
      <w:r>
        <w:rPr>
          <w:rFonts w:hint="eastAsia"/>
          <w:lang w:val="zh-CN"/>
        </w:rPr>
        <w:t>完善科技创新体制，面向科技前沿，加大节能减排、清洁能源等绿色创新技术发展，引领经济社会发展全面绿色转型。完善生态文明领域统筹协调机制，增强市场活力，激发各类责任主体内生动力，推进生态环境治理体系和治理能力现代化。</w:t>
      </w:r>
    </w:p>
    <w:p>
      <w:pPr>
        <w:pStyle w:val="47"/>
        <w:bidi w:val="0"/>
        <w:rPr>
          <w:rFonts w:hint="eastAsia"/>
          <w:b/>
          <w:bCs/>
          <w:lang w:val="zh-CN"/>
        </w:rPr>
      </w:pPr>
      <w:r>
        <w:rPr>
          <w:rFonts w:hint="eastAsia"/>
          <w:b/>
          <w:bCs/>
          <w:lang w:val="zh-CN"/>
        </w:rPr>
        <w:t>第三节 规划目标</w:t>
      </w:r>
    </w:p>
    <w:p>
      <w:pPr>
        <w:bidi w:val="0"/>
        <w:rPr>
          <w:rFonts w:hint="eastAsia"/>
          <w:lang w:val="zh-CN"/>
        </w:rPr>
      </w:pPr>
      <w:r>
        <w:rPr>
          <w:rFonts w:hint="eastAsia"/>
          <w:lang w:val="zh-CN"/>
        </w:rPr>
        <w:t>到2025年，全市生态文明建设取得新进步，生产生活方式绿色转型取得新进展，能源资源配置更加合理，利用效率提高显著，主要污染物排放总量持续减少，水、大气、土壤等生态环境质量持续改善，生态安全屏障更加牢固，突出环境问题得到有效治理，生态环境治理体系和治理能力现代化水平明显提升。</w:t>
      </w:r>
    </w:p>
    <w:p>
      <w:pPr>
        <w:bidi w:val="0"/>
        <w:rPr>
          <w:rFonts w:hint="eastAsia"/>
          <w:lang w:val="zh-CN"/>
        </w:rPr>
      </w:pPr>
      <w:r>
        <w:rPr>
          <w:rFonts w:hint="eastAsia"/>
          <w:lang w:val="zh-CN"/>
        </w:rPr>
        <w:t>展望2035年的鞍山，生态环境根本好转，优质生态产品供给充足，广泛形成绿色生产生活方式，碳排放达峰后持续下降，生态系统服务功能总体恢复，基本建成山青、水碧、天蓝、土净、地绿、城美的生态宜居城市。显著增强应对气候变化能力，根本改善空气环境质量，全面提升水环境质量，水生态恢复取得明显成效，有效保障土壤环境安全，全面管控环境风险，</w:t>
      </w:r>
      <w:r>
        <w:rPr>
          <w:rFonts w:hint="eastAsia"/>
          <w:lang w:val="en-US" w:eastAsia="zh-CN"/>
        </w:rPr>
        <w:t>建设</w:t>
      </w:r>
      <w:r>
        <w:rPr>
          <w:rFonts w:hint="eastAsia"/>
          <w:lang w:val="zh-CN"/>
        </w:rPr>
        <w:t>成人与自然和谐共生的美丽鞍山。</w:t>
      </w:r>
    </w:p>
    <w:p>
      <w:pPr>
        <w:pStyle w:val="2"/>
        <w:rPr>
          <w:lang w:val="zh-CN"/>
        </w:rPr>
      </w:pP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Pr>
        <w:pStyle w:val="41"/>
        <w:bidi w:val="0"/>
        <w:ind w:firstLine="562" w:firstLineChars="200"/>
        <w:jc w:val="both"/>
        <w:rPr>
          <w:rFonts w:hint="default" w:ascii="楷体_GB2312" w:hAnsi="楷体_GB2312" w:eastAsia="方正黑体_GBK" w:cs="楷体_GB2312"/>
          <w:b/>
          <w:bCs/>
          <w:kern w:val="2"/>
          <w:sz w:val="28"/>
          <w:szCs w:val="32"/>
          <w:lang w:val="en-US" w:eastAsia="zh-CN" w:bidi="ar-SA"/>
        </w:rPr>
      </w:pPr>
      <w:bookmarkStart w:id="141" w:name="_Toc9929"/>
      <w:bookmarkStart w:id="142" w:name="_Toc1672"/>
      <w:bookmarkStart w:id="143" w:name="_Toc11087"/>
      <w:bookmarkStart w:id="144" w:name="_Toc19728"/>
      <w:bookmarkStart w:id="145" w:name="_Toc626"/>
      <w:bookmarkStart w:id="146" w:name="_Toc7852"/>
      <w:bookmarkStart w:id="147" w:name="_Toc2735"/>
      <w:bookmarkStart w:id="148" w:name="_Toc14664"/>
      <w:bookmarkStart w:id="149" w:name="_Toc12809"/>
      <w:bookmarkStart w:id="150" w:name="_Toc17346"/>
      <w:bookmarkStart w:id="151" w:name="_Toc14765"/>
      <w:bookmarkStart w:id="152" w:name="_Toc4347"/>
      <w:bookmarkStart w:id="153" w:name="_Toc23452"/>
      <w:bookmarkStart w:id="154" w:name="_Toc24501"/>
      <w:bookmarkStart w:id="155" w:name="_Toc30241"/>
      <w:bookmarkStart w:id="156" w:name="_Toc16124"/>
      <w:bookmarkStart w:id="157" w:name="_Toc9540"/>
      <w:bookmarkStart w:id="158" w:name="_Toc11662"/>
      <w:bookmarkStart w:id="159" w:name="_Toc998"/>
      <w:bookmarkStart w:id="160" w:name="_Toc29475"/>
      <w:bookmarkStart w:id="161" w:name="_Toc11335"/>
      <w:bookmarkStart w:id="162" w:name="_Toc3299"/>
      <w:bookmarkStart w:id="163" w:name="_Toc7177"/>
      <w:bookmarkStart w:id="164" w:name="_Toc32149"/>
      <w:r>
        <w:rPr>
          <w:rFonts w:hint="default" w:ascii="楷体_GB2312" w:hAnsi="楷体_GB2312" w:eastAsia="方正黑体_GBK" w:cs="楷体_GB2312"/>
          <w:b/>
          <w:bCs/>
          <w:kern w:val="2"/>
          <w:sz w:val="28"/>
          <w:szCs w:val="32"/>
          <w:lang w:val="en-US" w:eastAsia="zh-CN" w:bidi="ar-SA"/>
        </w:rPr>
        <w:t>表3-1</w:t>
      </w:r>
      <w:r>
        <w:rPr>
          <w:rFonts w:hint="eastAsia" w:ascii="楷体_GB2312" w:hAnsi="楷体_GB2312" w:eastAsia="方正黑体_GBK" w:cs="楷体_GB2312"/>
          <w:b/>
          <w:bCs/>
          <w:kern w:val="2"/>
          <w:sz w:val="28"/>
          <w:szCs w:val="32"/>
          <w:lang w:val="en-US" w:eastAsia="zh-CN" w:bidi="ar-SA"/>
        </w:rPr>
        <w:t xml:space="preserve">  </w:t>
      </w:r>
      <w:r>
        <w:rPr>
          <w:rFonts w:hint="eastAsia"/>
          <w:sz w:val="24"/>
          <w:szCs w:val="24"/>
          <w:lang w:val="en-US" w:eastAsia="zh-CN"/>
        </w:rPr>
        <w:t xml:space="preserve">    </w:t>
      </w:r>
      <w:r>
        <w:rPr>
          <w:rFonts w:hint="default" w:ascii="楷体_GB2312" w:hAnsi="楷体_GB2312" w:eastAsia="方正黑体_GBK" w:cs="楷体_GB2312"/>
          <w:b/>
          <w:bCs/>
          <w:kern w:val="2"/>
          <w:sz w:val="28"/>
          <w:szCs w:val="32"/>
          <w:lang w:val="en-US" w:eastAsia="zh-CN" w:bidi="ar-SA"/>
        </w:rPr>
        <w:t>鞍山市生态环境保护“十四五”规划指标体系</w:t>
      </w:r>
    </w:p>
    <w:p>
      <w:pPr>
        <w:pStyle w:val="41"/>
        <w:bidi w:val="0"/>
        <w:ind w:firstLine="482" w:firstLineChars="200"/>
        <w:jc w:val="both"/>
        <w:rPr>
          <w:rFonts w:hint="default"/>
          <w:sz w:val="24"/>
          <w:szCs w:val="24"/>
          <w:lang w:val="en-US" w:eastAsia="zh-CN"/>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5"/>
        <w:gridCol w:w="559"/>
        <w:gridCol w:w="4295"/>
        <w:gridCol w:w="1038"/>
        <w:gridCol w:w="1070"/>
        <w:gridCol w:w="1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992" w:type="dxa"/>
            <w:tcBorders>
              <w:tl2br w:val="nil"/>
              <w:tr2bl w:val="nil"/>
            </w:tcBorders>
            <w:noWrap w:val="0"/>
            <w:vAlign w:val="center"/>
          </w:tcPr>
          <w:p>
            <w:pPr>
              <w:pStyle w:val="65"/>
              <w:bidi w:val="0"/>
              <w:jc w:val="center"/>
              <w:rPr>
                <w:b/>
                <w:bCs/>
              </w:rPr>
            </w:pPr>
            <w:r>
              <w:rPr>
                <w:rFonts w:hint="default"/>
                <w:b/>
                <w:bCs/>
                <w:lang w:val="en-US" w:eastAsia="zh-CN"/>
              </w:rPr>
              <w:t>领域</w:t>
            </w:r>
          </w:p>
        </w:tc>
        <w:tc>
          <w:tcPr>
            <w:tcW w:w="525" w:type="dxa"/>
            <w:tcBorders>
              <w:tl2br w:val="nil"/>
              <w:tr2bl w:val="nil"/>
            </w:tcBorders>
            <w:noWrap w:val="0"/>
            <w:vAlign w:val="center"/>
          </w:tcPr>
          <w:p>
            <w:pPr>
              <w:pStyle w:val="65"/>
              <w:bidi w:val="0"/>
              <w:jc w:val="center"/>
              <w:rPr>
                <w:rFonts w:hint="default"/>
                <w:b/>
                <w:bCs/>
              </w:rPr>
            </w:pPr>
            <w:r>
              <w:rPr>
                <w:rFonts w:hint="default"/>
                <w:b/>
                <w:bCs/>
                <w:lang w:val="en-US" w:eastAsia="zh-CN"/>
              </w:rPr>
              <w:t>序号</w:t>
            </w:r>
          </w:p>
        </w:tc>
        <w:tc>
          <w:tcPr>
            <w:tcW w:w="4035" w:type="dxa"/>
            <w:tcBorders>
              <w:tl2br w:val="nil"/>
              <w:tr2bl w:val="nil"/>
            </w:tcBorders>
            <w:noWrap w:val="0"/>
            <w:vAlign w:val="center"/>
          </w:tcPr>
          <w:p>
            <w:pPr>
              <w:pStyle w:val="65"/>
              <w:bidi w:val="0"/>
              <w:jc w:val="center"/>
              <w:rPr>
                <w:rFonts w:hint="default"/>
                <w:b/>
                <w:bCs/>
              </w:rPr>
            </w:pPr>
            <w:r>
              <w:rPr>
                <w:rFonts w:hint="default"/>
                <w:b/>
                <w:bCs/>
                <w:lang w:val="en-US" w:eastAsia="zh-CN"/>
              </w:rPr>
              <w:t>指</w:t>
            </w:r>
            <w:r>
              <w:rPr>
                <w:rFonts w:hint="eastAsia"/>
                <w:b/>
                <w:bCs/>
                <w:lang w:val="en-US" w:eastAsia="zh-CN"/>
              </w:rPr>
              <w:t xml:space="preserve">    </w:t>
            </w:r>
            <w:r>
              <w:rPr>
                <w:rFonts w:hint="default"/>
                <w:b/>
                <w:bCs/>
                <w:lang w:val="en-US" w:eastAsia="zh-CN"/>
              </w:rPr>
              <w:t>标</w:t>
            </w:r>
          </w:p>
        </w:tc>
        <w:tc>
          <w:tcPr>
            <w:tcW w:w="975" w:type="dxa"/>
            <w:tcBorders>
              <w:tl2br w:val="nil"/>
              <w:tr2bl w:val="nil"/>
            </w:tcBorders>
            <w:noWrap w:val="0"/>
            <w:vAlign w:val="center"/>
          </w:tcPr>
          <w:p>
            <w:pPr>
              <w:pStyle w:val="65"/>
              <w:bidi w:val="0"/>
              <w:jc w:val="center"/>
              <w:rPr>
                <w:rFonts w:hint="default"/>
                <w:b/>
                <w:bCs/>
                <w:lang w:val="en-US" w:eastAsia="zh-CN"/>
              </w:rPr>
            </w:pPr>
            <w:r>
              <w:rPr>
                <w:rFonts w:hint="default"/>
                <w:b/>
                <w:bCs/>
                <w:lang w:val="en-US" w:eastAsia="zh-CN"/>
              </w:rPr>
              <w:t>2020年</w:t>
            </w:r>
          </w:p>
          <w:p>
            <w:pPr>
              <w:pStyle w:val="65"/>
              <w:bidi w:val="0"/>
              <w:jc w:val="center"/>
              <w:rPr>
                <w:rFonts w:hint="default"/>
                <w:b/>
                <w:bCs/>
              </w:rPr>
            </w:pPr>
            <w:r>
              <w:rPr>
                <w:rFonts w:hint="default"/>
                <w:b/>
                <w:bCs/>
                <w:lang w:val="en-US" w:eastAsia="zh-CN"/>
              </w:rPr>
              <w:t>现状</w:t>
            </w:r>
          </w:p>
        </w:tc>
        <w:tc>
          <w:tcPr>
            <w:tcW w:w="1005" w:type="dxa"/>
            <w:tcBorders>
              <w:tl2br w:val="nil"/>
              <w:tr2bl w:val="nil"/>
            </w:tcBorders>
            <w:noWrap w:val="0"/>
            <w:vAlign w:val="center"/>
          </w:tcPr>
          <w:p>
            <w:pPr>
              <w:pStyle w:val="65"/>
              <w:bidi w:val="0"/>
              <w:jc w:val="center"/>
              <w:rPr>
                <w:rFonts w:hint="default"/>
                <w:b/>
                <w:bCs/>
                <w:lang w:val="en-US" w:eastAsia="zh-CN"/>
              </w:rPr>
            </w:pPr>
            <w:r>
              <w:rPr>
                <w:rFonts w:hint="default"/>
                <w:b/>
                <w:bCs/>
                <w:lang w:val="en-US" w:eastAsia="zh-CN"/>
              </w:rPr>
              <w:t>2025年</w:t>
            </w:r>
          </w:p>
          <w:p>
            <w:pPr>
              <w:pStyle w:val="65"/>
              <w:bidi w:val="0"/>
              <w:jc w:val="center"/>
              <w:rPr>
                <w:rFonts w:hint="default"/>
                <w:b/>
                <w:bCs/>
              </w:rPr>
            </w:pPr>
            <w:r>
              <w:rPr>
                <w:rFonts w:hint="default"/>
                <w:b/>
                <w:bCs/>
                <w:lang w:val="en-US" w:eastAsia="zh-CN"/>
              </w:rPr>
              <w:t>目标</w:t>
            </w:r>
          </w:p>
        </w:tc>
        <w:tc>
          <w:tcPr>
            <w:tcW w:w="990" w:type="dxa"/>
            <w:tcBorders>
              <w:tl2br w:val="nil"/>
              <w:tr2bl w:val="nil"/>
            </w:tcBorders>
            <w:noWrap w:val="0"/>
            <w:vAlign w:val="center"/>
          </w:tcPr>
          <w:p>
            <w:pPr>
              <w:pStyle w:val="65"/>
              <w:bidi w:val="0"/>
              <w:jc w:val="center"/>
              <w:rPr>
                <w:rFonts w:hint="default"/>
                <w:b/>
                <w:bCs/>
                <w:lang w:val="en-US" w:eastAsia="zh-CN"/>
              </w:rPr>
            </w:pPr>
            <w:r>
              <w:rPr>
                <w:rFonts w:hint="default"/>
                <w:b/>
                <w:bCs/>
                <w:lang w:val="en-US" w:eastAsia="zh-CN"/>
              </w:rPr>
              <w:t>指标</w:t>
            </w:r>
          </w:p>
          <w:p>
            <w:pPr>
              <w:pStyle w:val="65"/>
              <w:bidi w:val="0"/>
              <w:jc w:val="center"/>
              <w:rPr>
                <w:rFonts w:hint="default"/>
                <w:b/>
                <w:bCs/>
              </w:rPr>
            </w:pPr>
            <w:r>
              <w:rPr>
                <w:rFonts w:hint="default"/>
                <w:b/>
                <w:bCs/>
                <w:lang w:val="en-US" w:eastAsia="zh-CN"/>
              </w:rPr>
              <w:t>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992" w:type="dxa"/>
            <w:vMerge w:val="restart"/>
            <w:tcBorders>
              <w:tl2br w:val="nil"/>
              <w:tr2bl w:val="nil"/>
            </w:tcBorders>
            <w:noWrap w:val="0"/>
            <w:vAlign w:val="center"/>
          </w:tcPr>
          <w:p>
            <w:pPr>
              <w:pStyle w:val="65"/>
              <w:bidi w:val="0"/>
              <w:jc w:val="center"/>
              <w:rPr>
                <w:rFonts w:hint="eastAsia"/>
                <w:lang w:val="en-US" w:eastAsia="zh-CN"/>
              </w:rPr>
            </w:pPr>
            <w:r>
              <w:rPr>
                <w:rFonts w:hint="eastAsia"/>
                <w:lang w:val="en-US" w:eastAsia="zh-CN"/>
              </w:rPr>
              <w:t>环境</w:t>
            </w:r>
          </w:p>
          <w:p>
            <w:pPr>
              <w:pStyle w:val="65"/>
              <w:bidi w:val="0"/>
              <w:jc w:val="center"/>
              <w:rPr>
                <w:rFonts w:hint="default"/>
              </w:rPr>
            </w:pPr>
            <w:r>
              <w:rPr>
                <w:rFonts w:hint="eastAsia"/>
                <w:lang w:val="en-US" w:eastAsia="zh-CN"/>
              </w:rPr>
              <w:t>治理</w:t>
            </w:r>
          </w:p>
        </w:tc>
        <w:tc>
          <w:tcPr>
            <w:tcW w:w="525" w:type="dxa"/>
            <w:tcBorders>
              <w:tl2br w:val="nil"/>
              <w:tr2bl w:val="nil"/>
            </w:tcBorders>
            <w:noWrap w:val="0"/>
            <w:vAlign w:val="center"/>
          </w:tcPr>
          <w:p>
            <w:pPr>
              <w:pStyle w:val="65"/>
              <w:bidi w:val="0"/>
              <w:jc w:val="center"/>
              <w:rPr>
                <w:rFonts w:hint="default"/>
              </w:rPr>
            </w:pPr>
            <w:r>
              <w:rPr>
                <w:rFonts w:hint="default"/>
                <w:lang w:val="en-US" w:eastAsia="zh-CN"/>
              </w:rPr>
              <w:t>1</w:t>
            </w:r>
          </w:p>
        </w:tc>
        <w:tc>
          <w:tcPr>
            <w:tcW w:w="4035" w:type="dxa"/>
            <w:tcBorders>
              <w:tl2br w:val="nil"/>
              <w:tr2bl w:val="nil"/>
            </w:tcBorders>
            <w:noWrap w:val="0"/>
            <w:vAlign w:val="top"/>
          </w:tcPr>
          <w:p>
            <w:pPr>
              <w:pStyle w:val="65"/>
              <w:bidi w:val="0"/>
              <w:jc w:val="both"/>
              <w:rPr>
                <w:rFonts w:hint="default"/>
              </w:rPr>
            </w:pPr>
            <w:r>
              <w:rPr>
                <w:rFonts w:hint="default"/>
                <w:lang w:val="en-US" w:eastAsia="zh-CN"/>
              </w:rPr>
              <w:t>城市细颗粒物浓度（µg/m3）</w:t>
            </w:r>
          </w:p>
        </w:tc>
        <w:tc>
          <w:tcPr>
            <w:tcW w:w="975" w:type="dxa"/>
            <w:tcBorders>
              <w:tl2br w:val="nil"/>
              <w:tr2bl w:val="nil"/>
            </w:tcBorders>
            <w:noWrap w:val="0"/>
            <w:vAlign w:val="center"/>
          </w:tcPr>
          <w:p>
            <w:pPr>
              <w:pStyle w:val="65"/>
              <w:bidi w:val="0"/>
              <w:jc w:val="center"/>
              <w:rPr>
                <w:rFonts w:hint="default"/>
                <w:lang w:val="en-US"/>
              </w:rPr>
            </w:pPr>
            <w:r>
              <w:rPr>
                <w:rFonts w:hint="default"/>
                <w:lang w:val="en-US" w:eastAsia="zh-CN"/>
              </w:rPr>
              <w:t>43.7</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35</w:t>
            </w:r>
          </w:p>
        </w:tc>
        <w:tc>
          <w:tcPr>
            <w:tcW w:w="990" w:type="dxa"/>
            <w:tcBorders>
              <w:tl2br w:val="nil"/>
              <w:tr2bl w:val="nil"/>
            </w:tcBorders>
            <w:noWrap w:val="0"/>
            <w:vAlign w:val="center"/>
          </w:tcPr>
          <w:p>
            <w:pPr>
              <w:pStyle w:val="65"/>
              <w:bidi w:val="0"/>
              <w:jc w:val="center"/>
              <w:rPr>
                <w:rFonts w:hint="default"/>
              </w:rPr>
            </w:pPr>
            <w:r>
              <w:rPr>
                <w:rFonts w:hint="default"/>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rPr>
            </w:pPr>
            <w:r>
              <w:rPr>
                <w:rFonts w:hint="default"/>
                <w:lang w:val="en-US" w:eastAsia="zh-CN"/>
              </w:rPr>
              <w:t>2</w:t>
            </w:r>
          </w:p>
        </w:tc>
        <w:tc>
          <w:tcPr>
            <w:tcW w:w="4035" w:type="dxa"/>
            <w:tcBorders>
              <w:tl2br w:val="nil"/>
              <w:tr2bl w:val="nil"/>
            </w:tcBorders>
            <w:noWrap w:val="0"/>
            <w:vAlign w:val="top"/>
          </w:tcPr>
          <w:p>
            <w:pPr>
              <w:pStyle w:val="65"/>
              <w:bidi w:val="0"/>
              <w:jc w:val="both"/>
              <w:rPr>
                <w:rFonts w:hint="default"/>
              </w:rPr>
            </w:pPr>
            <w:r>
              <w:rPr>
                <w:rFonts w:hint="default"/>
                <w:lang w:val="en-US" w:eastAsia="zh-CN"/>
              </w:rPr>
              <w:t>空气质量优良天数比例（%）</w:t>
            </w:r>
          </w:p>
        </w:tc>
        <w:tc>
          <w:tcPr>
            <w:tcW w:w="975" w:type="dxa"/>
            <w:tcBorders>
              <w:tl2br w:val="nil"/>
              <w:tr2bl w:val="nil"/>
            </w:tcBorders>
            <w:noWrap w:val="0"/>
            <w:vAlign w:val="center"/>
          </w:tcPr>
          <w:p>
            <w:pPr>
              <w:pStyle w:val="65"/>
              <w:bidi w:val="0"/>
              <w:jc w:val="center"/>
              <w:rPr>
                <w:rFonts w:hint="default"/>
              </w:rPr>
            </w:pPr>
            <w:r>
              <w:rPr>
                <w:rFonts w:hint="default"/>
                <w:lang w:val="en-US" w:eastAsia="zh-CN"/>
              </w:rPr>
              <w:t>83.6</w:t>
            </w:r>
          </w:p>
        </w:tc>
        <w:tc>
          <w:tcPr>
            <w:tcW w:w="1005" w:type="dxa"/>
            <w:tcBorders>
              <w:tl2br w:val="nil"/>
              <w:tr2bl w:val="nil"/>
            </w:tcBorders>
            <w:noWrap w:val="0"/>
            <w:vAlign w:val="center"/>
          </w:tcPr>
          <w:p>
            <w:pPr>
              <w:pStyle w:val="65"/>
              <w:bidi w:val="0"/>
              <w:jc w:val="center"/>
              <w:rPr>
                <w:rFonts w:hint="default"/>
                <w:lang w:val="en-US"/>
              </w:rPr>
            </w:pPr>
            <w:r>
              <w:rPr>
                <w:rFonts w:hint="default"/>
                <w:lang w:val="en-US" w:eastAsia="zh-CN"/>
              </w:rPr>
              <w:t>88.8</w:t>
            </w:r>
          </w:p>
        </w:tc>
        <w:tc>
          <w:tcPr>
            <w:tcW w:w="990" w:type="dxa"/>
            <w:tcBorders>
              <w:tl2br w:val="nil"/>
              <w:tr2bl w:val="nil"/>
            </w:tcBorders>
            <w:noWrap w:val="0"/>
            <w:vAlign w:val="center"/>
          </w:tcPr>
          <w:p>
            <w:pPr>
              <w:pStyle w:val="65"/>
              <w:bidi w:val="0"/>
              <w:jc w:val="center"/>
              <w:rPr>
                <w:rFonts w:hint="default"/>
              </w:rPr>
            </w:pPr>
            <w:r>
              <w:rPr>
                <w:rFonts w:hint="default"/>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rPr>
            </w:pPr>
            <w:r>
              <w:rPr>
                <w:rFonts w:hint="default"/>
                <w:lang w:val="en-US" w:eastAsia="zh-CN"/>
              </w:rPr>
              <w:t>3</w:t>
            </w:r>
          </w:p>
        </w:tc>
        <w:tc>
          <w:tcPr>
            <w:tcW w:w="4035" w:type="dxa"/>
            <w:tcBorders>
              <w:tl2br w:val="nil"/>
              <w:tr2bl w:val="nil"/>
            </w:tcBorders>
            <w:noWrap w:val="0"/>
            <w:vAlign w:val="top"/>
          </w:tcPr>
          <w:p>
            <w:pPr>
              <w:pStyle w:val="65"/>
              <w:bidi w:val="0"/>
              <w:jc w:val="both"/>
              <w:rPr>
                <w:rFonts w:hint="default"/>
                <w:lang w:val="en-US"/>
              </w:rPr>
            </w:pPr>
            <w:r>
              <w:rPr>
                <w:rFonts w:hint="default"/>
                <w:lang w:val="en-US" w:eastAsia="zh-CN"/>
              </w:rPr>
              <w:t>重污染天</w:t>
            </w:r>
            <w:r>
              <w:rPr>
                <w:rFonts w:hint="eastAsia"/>
                <w:lang w:val="en-US" w:eastAsia="zh-CN"/>
              </w:rPr>
              <w:t>数比率（%）</w:t>
            </w:r>
          </w:p>
        </w:tc>
        <w:tc>
          <w:tcPr>
            <w:tcW w:w="975" w:type="dxa"/>
            <w:tcBorders>
              <w:tl2br w:val="nil"/>
              <w:tr2bl w:val="nil"/>
            </w:tcBorders>
            <w:noWrap w:val="0"/>
            <w:vAlign w:val="center"/>
          </w:tcPr>
          <w:p>
            <w:pPr>
              <w:pStyle w:val="65"/>
              <w:bidi w:val="0"/>
              <w:jc w:val="center"/>
              <w:rPr>
                <w:rFonts w:hint="default"/>
              </w:rPr>
            </w:pPr>
            <w:r>
              <w:rPr>
                <w:rFonts w:hint="default"/>
                <w:lang w:val="en-US" w:eastAsia="zh-CN"/>
              </w:rPr>
              <w:t>2</w:t>
            </w:r>
          </w:p>
        </w:tc>
        <w:tc>
          <w:tcPr>
            <w:tcW w:w="1005" w:type="dxa"/>
            <w:tcBorders>
              <w:tl2br w:val="nil"/>
              <w:tr2bl w:val="nil"/>
            </w:tcBorders>
            <w:noWrap w:val="0"/>
            <w:vAlign w:val="center"/>
          </w:tcPr>
          <w:p>
            <w:pPr>
              <w:pStyle w:val="65"/>
              <w:bidi w:val="0"/>
              <w:jc w:val="center"/>
              <w:rPr>
                <w:rFonts w:hint="default"/>
                <w:lang w:val="en-US"/>
              </w:rPr>
            </w:pPr>
            <w:r>
              <w:rPr>
                <w:rFonts w:hint="default"/>
                <w:lang w:val="en-US" w:eastAsia="zh-CN"/>
              </w:rPr>
              <w:t>≤0.8</w:t>
            </w:r>
          </w:p>
        </w:tc>
        <w:tc>
          <w:tcPr>
            <w:tcW w:w="990" w:type="dxa"/>
            <w:tcBorders>
              <w:tl2br w:val="nil"/>
              <w:tr2bl w:val="nil"/>
            </w:tcBorders>
            <w:noWrap w:val="0"/>
            <w:vAlign w:val="center"/>
          </w:tcPr>
          <w:p>
            <w:pPr>
              <w:pStyle w:val="65"/>
              <w:bidi w:val="0"/>
              <w:jc w:val="center"/>
              <w:rPr>
                <w:rFonts w:hint="default"/>
              </w:rPr>
            </w:pPr>
            <w:r>
              <w:rPr>
                <w:rFonts w:hint="default"/>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rPr>
            </w:pPr>
            <w:r>
              <w:rPr>
                <w:rFonts w:hint="default"/>
                <w:lang w:val="en-US" w:eastAsia="zh-CN"/>
              </w:rPr>
              <w:t>4</w:t>
            </w:r>
          </w:p>
        </w:tc>
        <w:tc>
          <w:tcPr>
            <w:tcW w:w="4035" w:type="dxa"/>
            <w:tcBorders>
              <w:tl2br w:val="nil"/>
              <w:tr2bl w:val="nil"/>
            </w:tcBorders>
            <w:noWrap w:val="0"/>
            <w:vAlign w:val="top"/>
          </w:tcPr>
          <w:p>
            <w:pPr>
              <w:pStyle w:val="65"/>
              <w:bidi w:val="0"/>
              <w:jc w:val="both"/>
              <w:rPr>
                <w:rFonts w:hint="default"/>
              </w:rPr>
            </w:pPr>
            <w:r>
              <w:rPr>
                <w:rFonts w:hint="default"/>
                <w:lang w:val="en-US" w:eastAsia="zh-CN"/>
              </w:rPr>
              <w:t>地表水达到或</w:t>
            </w:r>
            <w:r>
              <w:rPr>
                <w:rFonts w:hint="eastAsia"/>
                <w:lang w:val="en-US" w:eastAsia="zh-CN"/>
              </w:rPr>
              <w:t>好于</w:t>
            </w:r>
            <w:r>
              <w:rPr>
                <w:rFonts w:hint="default"/>
                <w:lang w:val="en-US" w:eastAsia="zh-CN"/>
              </w:rPr>
              <w:t>Ⅲ类</w:t>
            </w:r>
            <w:r>
              <w:rPr>
                <w:rFonts w:hint="eastAsia"/>
                <w:lang w:val="en-US" w:eastAsia="zh-CN"/>
              </w:rPr>
              <w:t>水体</w:t>
            </w:r>
            <w:r>
              <w:rPr>
                <w:rFonts w:hint="default"/>
                <w:lang w:val="en-US" w:eastAsia="zh-CN"/>
              </w:rPr>
              <w:t>比例（%）</w:t>
            </w:r>
          </w:p>
        </w:tc>
        <w:tc>
          <w:tcPr>
            <w:tcW w:w="975" w:type="dxa"/>
            <w:tcBorders>
              <w:tl2br w:val="nil"/>
              <w:tr2bl w:val="nil"/>
            </w:tcBorders>
            <w:noWrap w:val="0"/>
            <w:vAlign w:val="center"/>
          </w:tcPr>
          <w:p>
            <w:pPr>
              <w:pStyle w:val="65"/>
              <w:bidi w:val="0"/>
              <w:jc w:val="center"/>
              <w:rPr>
                <w:rFonts w:hint="default"/>
              </w:rPr>
            </w:pPr>
            <w:r>
              <w:rPr>
                <w:rFonts w:hint="default"/>
                <w:lang w:val="en-US" w:eastAsia="zh-CN"/>
              </w:rPr>
              <w:t>58.3</w:t>
            </w:r>
          </w:p>
        </w:tc>
        <w:tc>
          <w:tcPr>
            <w:tcW w:w="1005" w:type="dxa"/>
            <w:tcBorders>
              <w:tl2br w:val="nil"/>
              <w:tr2bl w:val="nil"/>
            </w:tcBorders>
            <w:noWrap w:val="0"/>
            <w:vAlign w:val="center"/>
          </w:tcPr>
          <w:p>
            <w:pPr>
              <w:pStyle w:val="65"/>
              <w:bidi w:val="0"/>
              <w:jc w:val="center"/>
              <w:rPr>
                <w:rFonts w:hint="default"/>
              </w:rPr>
            </w:pPr>
            <w:r>
              <w:rPr>
                <w:rFonts w:hint="default"/>
                <w:lang w:val="en-US" w:eastAsia="zh-CN"/>
              </w:rPr>
              <w:t>80</w:t>
            </w:r>
          </w:p>
        </w:tc>
        <w:tc>
          <w:tcPr>
            <w:tcW w:w="990" w:type="dxa"/>
            <w:tcBorders>
              <w:tl2br w:val="nil"/>
              <w:tr2bl w:val="nil"/>
            </w:tcBorders>
            <w:noWrap w:val="0"/>
            <w:vAlign w:val="center"/>
          </w:tcPr>
          <w:p>
            <w:pPr>
              <w:pStyle w:val="65"/>
              <w:bidi w:val="0"/>
              <w:jc w:val="center"/>
              <w:rPr>
                <w:rFonts w:hint="default"/>
              </w:rPr>
            </w:pPr>
            <w:r>
              <w:rPr>
                <w:rFonts w:hint="default"/>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rPr>
            </w:pPr>
            <w:r>
              <w:rPr>
                <w:rFonts w:hint="default"/>
                <w:lang w:val="en-US" w:eastAsia="zh-CN"/>
              </w:rPr>
              <w:t>5</w:t>
            </w:r>
          </w:p>
        </w:tc>
        <w:tc>
          <w:tcPr>
            <w:tcW w:w="4035" w:type="dxa"/>
            <w:tcBorders>
              <w:tl2br w:val="nil"/>
              <w:tr2bl w:val="nil"/>
            </w:tcBorders>
            <w:noWrap w:val="0"/>
            <w:vAlign w:val="top"/>
          </w:tcPr>
          <w:p>
            <w:pPr>
              <w:pStyle w:val="65"/>
              <w:bidi w:val="0"/>
              <w:jc w:val="both"/>
              <w:rPr>
                <w:rFonts w:hint="default"/>
              </w:rPr>
            </w:pPr>
            <w:r>
              <w:rPr>
                <w:rFonts w:hint="default"/>
                <w:lang w:val="en-US" w:eastAsia="zh-CN"/>
              </w:rPr>
              <w:t>地表水劣Ⅴ类水体比例（%）</w:t>
            </w:r>
          </w:p>
        </w:tc>
        <w:tc>
          <w:tcPr>
            <w:tcW w:w="975" w:type="dxa"/>
            <w:tcBorders>
              <w:tl2br w:val="nil"/>
              <w:tr2bl w:val="nil"/>
            </w:tcBorders>
            <w:noWrap w:val="0"/>
            <w:vAlign w:val="center"/>
          </w:tcPr>
          <w:p>
            <w:pPr>
              <w:pStyle w:val="65"/>
              <w:bidi w:val="0"/>
              <w:jc w:val="center"/>
              <w:rPr>
                <w:rFonts w:hint="default"/>
              </w:rPr>
            </w:pPr>
            <w:r>
              <w:rPr>
                <w:rFonts w:hint="default"/>
                <w:lang w:val="en-US" w:eastAsia="zh-CN"/>
              </w:rPr>
              <w:t>0</w:t>
            </w:r>
          </w:p>
        </w:tc>
        <w:tc>
          <w:tcPr>
            <w:tcW w:w="1005" w:type="dxa"/>
            <w:tcBorders>
              <w:tl2br w:val="nil"/>
              <w:tr2bl w:val="nil"/>
            </w:tcBorders>
            <w:noWrap w:val="0"/>
            <w:vAlign w:val="center"/>
          </w:tcPr>
          <w:p>
            <w:pPr>
              <w:pStyle w:val="65"/>
              <w:bidi w:val="0"/>
              <w:jc w:val="center"/>
              <w:rPr>
                <w:rFonts w:hint="default"/>
              </w:rPr>
            </w:pPr>
            <w:r>
              <w:rPr>
                <w:rFonts w:hint="default"/>
                <w:lang w:val="en-US" w:eastAsia="zh-CN"/>
              </w:rPr>
              <w:t>0</w:t>
            </w:r>
          </w:p>
        </w:tc>
        <w:tc>
          <w:tcPr>
            <w:tcW w:w="990" w:type="dxa"/>
            <w:tcBorders>
              <w:tl2br w:val="nil"/>
              <w:tr2bl w:val="nil"/>
            </w:tcBorders>
            <w:noWrap w:val="0"/>
            <w:vAlign w:val="center"/>
          </w:tcPr>
          <w:p>
            <w:pPr>
              <w:pStyle w:val="65"/>
              <w:bidi w:val="0"/>
              <w:jc w:val="center"/>
              <w:rPr>
                <w:rFonts w:hint="default"/>
              </w:rPr>
            </w:pPr>
            <w:r>
              <w:rPr>
                <w:rFonts w:hint="default"/>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rPr>
            </w:pPr>
            <w:r>
              <w:rPr>
                <w:rFonts w:hint="default"/>
                <w:lang w:val="en-US" w:eastAsia="zh-CN"/>
              </w:rPr>
              <w:t>6</w:t>
            </w:r>
          </w:p>
        </w:tc>
        <w:tc>
          <w:tcPr>
            <w:tcW w:w="4035" w:type="dxa"/>
            <w:tcBorders>
              <w:tl2br w:val="nil"/>
              <w:tr2bl w:val="nil"/>
            </w:tcBorders>
            <w:noWrap w:val="0"/>
            <w:vAlign w:val="top"/>
          </w:tcPr>
          <w:p>
            <w:pPr>
              <w:pStyle w:val="65"/>
              <w:bidi w:val="0"/>
              <w:jc w:val="both"/>
              <w:rPr>
                <w:rFonts w:hint="default"/>
              </w:rPr>
            </w:pPr>
            <w:r>
              <w:rPr>
                <w:rFonts w:hint="default"/>
                <w:lang w:val="en-US" w:eastAsia="zh-CN"/>
              </w:rPr>
              <w:t>城市黑臭水体比例（%）</w:t>
            </w:r>
          </w:p>
        </w:tc>
        <w:tc>
          <w:tcPr>
            <w:tcW w:w="97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基本</w:t>
            </w:r>
          </w:p>
          <w:p>
            <w:pPr>
              <w:pStyle w:val="65"/>
              <w:bidi w:val="0"/>
              <w:jc w:val="center"/>
              <w:rPr>
                <w:rFonts w:hint="default"/>
              </w:rPr>
            </w:pPr>
            <w:r>
              <w:rPr>
                <w:rFonts w:hint="default"/>
                <w:lang w:val="en-US" w:eastAsia="zh-CN"/>
              </w:rPr>
              <w:t>消除</w:t>
            </w:r>
          </w:p>
        </w:tc>
        <w:tc>
          <w:tcPr>
            <w:tcW w:w="990" w:type="dxa"/>
            <w:tcBorders>
              <w:tl2br w:val="nil"/>
              <w:tr2bl w:val="nil"/>
            </w:tcBorders>
            <w:noWrap w:val="0"/>
            <w:vAlign w:val="center"/>
          </w:tcPr>
          <w:p>
            <w:pPr>
              <w:pStyle w:val="65"/>
              <w:bidi w:val="0"/>
              <w:jc w:val="center"/>
              <w:rPr>
                <w:rFonts w:hint="default"/>
              </w:rPr>
            </w:pPr>
            <w:r>
              <w:rPr>
                <w:rFonts w:hint="default"/>
                <w:lang w:val="en-US"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7</w:t>
            </w:r>
          </w:p>
        </w:tc>
        <w:tc>
          <w:tcPr>
            <w:tcW w:w="4035" w:type="dxa"/>
            <w:tcBorders>
              <w:tl2br w:val="nil"/>
              <w:tr2bl w:val="nil"/>
            </w:tcBorders>
            <w:noWrap w:val="0"/>
            <w:vAlign w:val="top"/>
          </w:tcPr>
          <w:p>
            <w:pPr>
              <w:pStyle w:val="65"/>
              <w:bidi w:val="0"/>
              <w:jc w:val="both"/>
              <w:rPr>
                <w:rFonts w:hint="default"/>
                <w:lang w:val="en-US" w:eastAsia="zh-CN"/>
              </w:rPr>
            </w:pPr>
            <w:r>
              <w:rPr>
                <w:rFonts w:hint="default"/>
                <w:lang w:val="en-US" w:eastAsia="zh-CN"/>
              </w:rPr>
              <w:t>地下水质量Ⅴ类水比例（%）</w:t>
            </w:r>
          </w:p>
        </w:tc>
        <w:tc>
          <w:tcPr>
            <w:tcW w:w="97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25</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不高于25</w:t>
            </w:r>
          </w:p>
        </w:tc>
        <w:tc>
          <w:tcPr>
            <w:tcW w:w="990"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rPr>
            </w:pPr>
            <w:r>
              <w:rPr>
                <w:rFonts w:hint="eastAsia"/>
                <w:lang w:val="en-US" w:eastAsia="zh-CN"/>
              </w:rPr>
              <w:t>8</w:t>
            </w:r>
          </w:p>
        </w:tc>
        <w:tc>
          <w:tcPr>
            <w:tcW w:w="4035" w:type="dxa"/>
            <w:tcBorders>
              <w:tl2br w:val="nil"/>
              <w:tr2bl w:val="nil"/>
            </w:tcBorders>
            <w:noWrap w:val="0"/>
            <w:vAlign w:val="top"/>
          </w:tcPr>
          <w:p>
            <w:pPr>
              <w:pStyle w:val="65"/>
              <w:bidi w:val="0"/>
              <w:jc w:val="both"/>
              <w:rPr>
                <w:rFonts w:hint="default"/>
              </w:rPr>
            </w:pPr>
            <w:r>
              <w:rPr>
                <w:rFonts w:hint="default"/>
                <w:lang w:val="en-US" w:eastAsia="zh-CN"/>
              </w:rPr>
              <w:t>县级</w:t>
            </w:r>
            <w:r>
              <w:rPr>
                <w:rFonts w:hint="eastAsia"/>
                <w:lang w:val="en-US" w:eastAsia="zh-CN"/>
              </w:rPr>
              <w:t>及</w:t>
            </w:r>
            <w:r>
              <w:rPr>
                <w:rFonts w:hint="default"/>
                <w:lang w:val="en-US" w:eastAsia="zh-CN"/>
              </w:rPr>
              <w:t>以上集中式饮用水水源</w:t>
            </w:r>
            <w:r>
              <w:rPr>
                <w:rFonts w:hint="eastAsia"/>
                <w:lang w:val="en-US" w:eastAsia="zh-CN"/>
              </w:rPr>
              <w:t>水质</w:t>
            </w:r>
            <w:r>
              <w:rPr>
                <w:rFonts w:hint="default"/>
                <w:lang w:val="en-US" w:eastAsia="zh-CN"/>
              </w:rPr>
              <w:t>达到或优于Ⅲ类比例（%）</w:t>
            </w:r>
          </w:p>
        </w:tc>
        <w:tc>
          <w:tcPr>
            <w:tcW w:w="97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100</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100</w:t>
            </w:r>
          </w:p>
        </w:tc>
        <w:tc>
          <w:tcPr>
            <w:tcW w:w="990" w:type="dxa"/>
            <w:tcBorders>
              <w:tl2br w:val="nil"/>
              <w:tr2bl w:val="nil"/>
            </w:tcBorders>
            <w:noWrap w:val="0"/>
            <w:vAlign w:val="center"/>
          </w:tcPr>
          <w:p>
            <w:pPr>
              <w:pStyle w:val="65"/>
              <w:bidi w:val="0"/>
              <w:jc w:val="center"/>
              <w:rPr>
                <w:rFonts w:hint="default"/>
              </w:rPr>
            </w:pPr>
            <w:r>
              <w:rPr>
                <w:rFonts w:hint="default"/>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9</w:t>
            </w:r>
          </w:p>
        </w:tc>
        <w:tc>
          <w:tcPr>
            <w:tcW w:w="4035" w:type="dxa"/>
            <w:tcBorders>
              <w:tl2br w:val="nil"/>
              <w:tr2bl w:val="nil"/>
            </w:tcBorders>
            <w:noWrap w:val="0"/>
            <w:vAlign w:val="top"/>
          </w:tcPr>
          <w:p>
            <w:pPr>
              <w:pStyle w:val="65"/>
              <w:bidi w:val="0"/>
              <w:jc w:val="both"/>
              <w:rPr>
                <w:rFonts w:hint="default"/>
                <w:lang w:val="en-US" w:eastAsia="zh-CN"/>
              </w:rPr>
            </w:pPr>
            <w:r>
              <w:rPr>
                <w:rFonts w:hint="eastAsia"/>
                <w:lang w:val="en-US" w:eastAsia="zh-CN"/>
              </w:rPr>
              <w:t>城市生活垃圾回收利用率（%）</w:t>
            </w:r>
          </w:p>
        </w:tc>
        <w:tc>
          <w:tcPr>
            <w:tcW w:w="97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35</w:t>
            </w:r>
          </w:p>
        </w:tc>
        <w:tc>
          <w:tcPr>
            <w:tcW w:w="990"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10</w:t>
            </w:r>
          </w:p>
        </w:tc>
        <w:tc>
          <w:tcPr>
            <w:tcW w:w="4035" w:type="dxa"/>
            <w:tcBorders>
              <w:tl2br w:val="nil"/>
              <w:tr2bl w:val="nil"/>
            </w:tcBorders>
            <w:noWrap w:val="0"/>
            <w:vAlign w:val="top"/>
          </w:tcPr>
          <w:p>
            <w:pPr>
              <w:pStyle w:val="65"/>
              <w:bidi w:val="0"/>
              <w:jc w:val="both"/>
              <w:rPr>
                <w:rFonts w:hint="default"/>
                <w:lang w:val="en-US" w:eastAsia="zh-CN"/>
              </w:rPr>
            </w:pPr>
            <w:r>
              <w:rPr>
                <w:rFonts w:hint="eastAsia"/>
                <w:lang w:val="en-US" w:eastAsia="zh-CN"/>
              </w:rPr>
              <w:t>农村生活污水治理率（%）</w:t>
            </w:r>
          </w:p>
        </w:tc>
        <w:tc>
          <w:tcPr>
            <w:tcW w:w="97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16.2</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35</w:t>
            </w:r>
          </w:p>
        </w:tc>
        <w:tc>
          <w:tcPr>
            <w:tcW w:w="990" w:type="dxa"/>
            <w:tcBorders>
              <w:tl2br w:val="nil"/>
              <w:tr2bl w:val="nil"/>
            </w:tcBorders>
            <w:noWrap w:val="0"/>
            <w:vAlign w:val="center"/>
          </w:tcPr>
          <w:p>
            <w:pPr>
              <w:pStyle w:val="65"/>
              <w:bidi w:val="0"/>
              <w:jc w:val="center"/>
              <w:rPr>
                <w:rFonts w:hint="eastAsia"/>
                <w:lang w:val="en-US" w:eastAsia="zh-CN"/>
              </w:rPr>
            </w:pPr>
            <w:r>
              <w:rPr>
                <w:rFonts w:hint="default"/>
                <w:lang w:val="en-US"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rPr>
            </w:pPr>
            <w:r>
              <w:rPr>
                <w:rFonts w:hint="default"/>
                <w:lang w:val="en-US" w:eastAsia="zh-CN"/>
              </w:rPr>
              <w:t>1</w:t>
            </w:r>
            <w:r>
              <w:rPr>
                <w:rFonts w:hint="eastAsia"/>
                <w:lang w:val="en-US" w:eastAsia="zh-CN"/>
              </w:rPr>
              <w:t>2</w:t>
            </w:r>
          </w:p>
        </w:tc>
        <w:tc>
          <w:tcPr>
            <w:tcW w:w="4035" w:type="dxa"/>
            <w:tcBorders>
              <w:tl2br w:val="nil"/>
              <w:tr2bl w:val="nil"/>
            </w:tcBorders>
            <w:noWrap w:val="0"/>
            <w:vAlign w:val="top"/>
          </w:tcPr>
          <w:p>
            <w:pPr>
              <w:pStyle w:val="65"/>
              <w:bidi w:val="0"/>
              <w:jc w:val="both"/>
              <w:rPr>
                <w:rFonts w:hint="default"/>
              </w:rPr>
            </w:pPr>
            <w:r>
              <w:rPr>
                <w:rFonts w:hint="eastAsia"/>
                <w:lang w:val="en-US" w:eastAsia="zh-CN"/>
              </w:rPr>
              <w:t>氮氧化物、挥发性有机物、化学需氧量、氨氮重点工程减排量（吨）</w:t>
            </w:r>
          </w:p>
        </w:tc>
        <w:tc>
          <w:tcPr>
            <w:tcW w:w="97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18962／2375／6598／12</w:t>
            </w:r>
            <w:r>
              <w:rPr>
                <w:rFonts w:hint="eastAsia"/>
                <w:lang w:val="en-US" w:eastAsia="zh-CN"/>
              </w:rPr>
              <w:t>1</w:t>
            </w:r>
          </w:p>
        </w:tc>
        <w:tc>
          <w:tcPr>
            <w:tcW w:w="990" w:type="dxa"/>
            <w:tcBorders>
              <w:tl2br w:val="nil"/>
              <w:tr2bl w:val="nil"/>
            </w:tcBorders>
            <w:noWrap w:val="0"/>
            <w:vAlign w:val="center"/>
          </w:tcPr>
          <w:p>
            <w:pPr>
              <w:pStyle w:val="65"/>
              <w:bidi w:val="0"/>
              <w:jc w:val="center"/>
              <w:rPr>
                <w:rFonts w:hint="default"/>
              </w:rPr>
            </w:pPr>
            <w:r>
              <w:rPr>
                <w:rFonts w:hint="eastAsia"/>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92" w:type="dxa"/>
            <w:vMerge w:val="restart"/>
            <w:tcBorders>
              <w:tl2br w:val="nil"/>
              <w:tr2bl w:val="nil"/>
            </w:tcBorders>
            <w:noWrap w:val="0"/>
            <w:vAlign w:val="center"/>
          </w:tcPr>
          <w:p>
            <w:pPr>
              <w:pStyle w:val="65"/>
              <w:bidi w:val="0"/>
              <w:jc w:val="center"/>
              <w:rPr>
                <w:rFonts w:hint="default"/>
              </w:rPr>
            </w:pPr>
            <w:r>
              <w:rPr>
                <w:rFonts w:hint="default"/>
                <w:lang w:val="en-US" w:eastAsia="zh-CN"/>
              </w:rPr>
              <w:t>应对气候变化</w:t>
            </w:r>
          </w:p>
        </w:tc>
        <w:tc>
          <w:tcPr>
            <w:tcW w:w="52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1</w:t>
            </w:r>
            <w:r>
              <w:rPr>
                <w:rFonts w:hint="eastAsia"/>
                <w:lang w:val="en-US" w:eastAsia="zh-CN"/>
              </w:rPr>
              <w:t>3</w:t>
            </w:r>
          </w:p>
        </w:tc>
        <w:tc>
          <w:tcPr>
            <w:tcW w:w="4035" w:type="dxa"/>
            <w:tcBorders>
              <w:tl2br w:val="nil"/>
              <w:tr2bl w:val="nil"/>
            </w:tcBorders>
            <w:noWrap w:val="0"/>
            <w:vAlign w:val="top"/>
          </w:tcPr>
          <w:p>
            <w:pPr>
              <w:pStyle w:val="65"/>
              <w:bidi w:val="0"/>
              <w:jc w:val="both"/>
              <w:rPr>
                <w:rFonts w:hint="default"/>
                <w:lang w:val="en-US" w:eastAsia="zh-CN"/>
              </w:rPr>
            </w:pPr>
            <w:r>
              <w:rPr>
                <w:rFonts w:hint="default"/>
                <w:lang w:val="en-US" w:eastAsia="zh-CN"/>
              </w:rPr>
              <w:t>单位地区生产总值二氧化碳排放降低(%）</w:t>
            </w:r>
          </w:p>
        </w:tc>
        <w:tc>
          <w:tcPr>
            <w:tcW w:w="97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3.6</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完成省下达目标</w:t>
            </w:r>
          </w:p>
        </w:tc>
        <w:tc>
          <w:tcPr>
            <w:tcW w:w="990"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1</w:t>
            </w:r>
            <w:r>
              <w:rPr>
                <w:rFonts w:hint="eastAsia"/>
                <w:lang w:val="en-US" w:eastAsia="zh-CN"/>
              </w:rPr>
              <w:t>4</w:t>
            </w:r>
          </w:p>
        </w:tc>
        <w:tc>
          <w:tcPr>
            <w:tcW w:w="4035" w:type="dxa"/>
            <w:tcBorders>
              <w:tl2br w:val="nil"/>
              <w:tr2bl w:val="nil"/>
            </w:tcBorders>
            <w:noWrap w:val="0"/>
            <w:vAlign w:val="top"/>
          </w:tcPr>
          <w:p>
            <w:pPr>
              <w:pStyle w:val="65"/>
              <w:bidi w:val="0"/>
              <w:jc w:val="both"/>
              <w:rPr>
                <w:rFonts w:hint="default"/>
                <w:lang w:val="en-US" w:eastAsia="zh-CN"/>
              </w:rPr>
            </w:pPr>
            <w:r>
              <w:rPr>
                <w:rFonts w:hint="default"/>
                <w:lang w:val="en-US" w:eastAsia="zh-CN"/>
              </w:rPr>
              <w:t>单位地区生产总值能源消耗降低（%）</w:t>
            </w:r>
          </w:p>
        </w:tc>
        <w:tc>
          <w:tcPr>
            <w:tcW w:w="97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[9]</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完成省下达目标</w:t>
            </w:r>
          </w:p>
        </w:tc>
        <w:tc>
          <w:tcPr>
            <w:tcW w:w="990"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15</w:t>
            </w:r>
          </w:p>
        </w:tc>
        <w:tc>
          <w:tcPr>
            <w:tcW w:w="4035" w:type="dxa"/>
            <w:tcBorders>
              <w:tl2br w:val="nil"/>
              <w:tr2bl w:val="nil"/>
            </w:tcBorders>
            <w:noWrap w:val="0"/>
            <w:vAlign w:val="top"/>
          </w:tcPr>
          <w:p>
            <w:pPr>
              <w:pStyle w:val="65"/>
              <w:bidi w:val="0"/>
              <w:jc w:val="both"/>
              <w:rPr>
                <w:rFonts w:hint="default"/>
                <w:lang w:val="en-US" w:eastAsia="zh-CN"/>
              </w:rPr>
            </w:pPr>
            <w:r>
              <w:rPr>
                <w:rFonts w:hint="eastAsia"/>
                <w:lang w:val="en-US" w:eastAsia="zh-CN"/>
              </w:rPr>
              <w:t>非化石能源占能源消费总量比重</w:t>
            </w:r>
            <w:r>
              <w:rPr>
                <w:rFonts w:hint="default"/>
                <w:lang w:val="en-US" w:eastAsia="zh-CN"/>
              </w:rPr>
              <w:t>（%）</w:t>
            </w:r>
          </w:p>
        </w:tc>
        <w:tc>
          <w:tcPr>
            <w:tcW w:w="97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完成省下达目标</w:t>
            </w:r>
          </w:p>
        </w:tc>
        <w:tc>
          <w:tcPr>
            <w:tcW w:w="990"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2" w:type="dxa"/>
            <w:vMerge w:val="restart"/>
            <w:tcBorders>
              <w:tl2br w:val="nil"/>
              <w:tr2bl w:val="nil"/>
            </w:tcBorders>
            <w:noWrap w:val="0"/>
            <w:vAlign w:val="center"/>
          </w:tcPr>
          <w:p>
            <w:pPr>
              <w:pStyle w:val="65"/>
              <w:bidi w:val="0"/>
              <w:jc w:val="center"/>
              <w:rPr>
                <w:rFonts w:hint="default"/>
              </w:rPr>
            </w:pPr>
            <w:r>
              <w:rPr>
                <w:rFonts w:hint="default"/>
                <w:lang w:val="en-US" w:eastAsia="zh-CN"/>
              </w:rPr>
              <w:t>环境风险防控</w:t>
            </w:r>
          </w:p>
        </w:tc>
        <w:tc>
          <w:tcPr>
            <w:tcW w:w="52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16</w:t>
            </w:r>
          </w:p>
        </w:tc>
        <w:tc>
          <w:tcPr>
            <w:tcW w:w="4035" w:type="dxa"/>
            <w:tcBorders>
              <w:tl2br w:val="nil"/>
              <w:tr2bl w:val="nil"/>
            </w:tcBorders>
            <w:noWrap w:val="0"/>
            <w:vAlign w:val="top"/>
          </w:tcPr>
          <w:p>
            <w:pPr>
              <w:pStyle w:val="65"/>
              <w:bidi w:val="0"/>
              <w:jc w:val="both"/>
              <w:rPr>
                <w:rFonts w:hint="default"/>
                <w:lang w:val="en-US" w:eastAsia="zh-CN"/>
              </w:rPr>
            </w:pPr>
            <w:r>
              <w:rPr>
                <w:rFonts w:hint="eastAsia"/>
                <w:lang w:val="en-US" w:eastAsia="zh-CN"/>
              </w:rPr>
              <w:t>受污染耕地安全利用率（%）</w:t>
            </w:r>
          </w:p>
        </w:tc>
        <w:tc>
          <w:tcPr>
            <w:tcW w:w="97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100</w:t>
            </w:r>
          </w:p>
        </w:tc>
        <w:tc>
          <w:tcPr>
            <w:tcW w:w="100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93左右</w:t>
            </w:r>
          </w:p>
        </w:tc>
        <w:tc>
          <w:tcPr>
            <w:tcW w:w="990"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992" w:type="dxa"/>
            <w:vMerge w:val="continue"/>
            <w:tcBorders>
              <w:tl2br w:val="nil"/>
              <w:tr2bl w:val="nil"/>
            </w:tcBorders>
            <w:noWrap w:val="0"/>
            <w:vAlign w:val="center"/>
          </w:tcPr>
          <w:p>
            <w:pPr>
              <w:pStyle w:val="65"/>
              <w:bidi w:val="0"/>
              <w:jc w:val="center"/>
              <w:rPr>
                <w:rFonts w:hint="default"/>
                <w:lang w:val="en-US" w:eastAsia="zh-CN"/>
              </w:rPr>
            </w:pPr>
          </w:p>
        </w:tc>
        <w:tc>
          <w:tcPr>
            <w:tcW w:w="52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17</w:t>
            </w:r>
          </w:p>
        </w:tc>
        <w:tc>
          <w:tcPr>
            <w:tcW w:w="4035" w:type="dxa"/>
            <w:tcBorders>
              <w:tl2br w:val="nil"/>
              <w:tr2bl w:val="nil"/>
            </w:tcBorders>
            <w:noWrap w:val="0"/>
            <w:vAlign w:val="top"/>
          </w:tcPr>
          <w:p>
            <w:pPr>
              <w:pStyle w:val="65"/>
              <w:bidi w:val="0"/>
              <w:jc w:val="both"/>
              <w:rPr>
                <w:rFonts w:hint="default"/>
                <w:lang w:val="en-US" w:eastAsia="zh-CN"/>
              </w:rPr>
            </w:pPr>
            <w:r>
              <w:rPr>
                <w:rFonts w:hint="eastAsia"/>
                <w:lang w:val="en-US" w:eastAsia="zh-CN"/>
              </w:rPr>
              <w:t>重点建设用地安全利用率（%）</w:t>
            </w:r>
          </w:p>
        </w:tc>
        <w:tc>
          <w:tcPr>
            <w:tcW w:w="97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90以上</w:t>
            </w:r>
          </w:p>
        </w:tc>
        <w:tc>
          <w:tcPr>
            <w:tcW w:w="1005" w:type="dxa"/>
            <w:tcBorders>
              <w:tl2br w:val="nil"/>
              <w:tr2bl w:val="nil"/>
            </w:tcBorders>
            <w:noWrap w:val="0"/>
            <w:vAlign w:val="center"/>
          </w:tcPr>
          <w:p>
            <w:pPr>
              <w:pStyle w:val="65"/>
              <w:bidi w:val="0"/>
              <w:jc w:val="center"/>
              <w:rPr>
                <w:rFonts w:hint="eastAsia"/>
                <w:lang w:val="en-US" w:eastAsia="zh-CN"/>
              </w:rPr>
            </w:pPr>
            <w:r>
              <w:rPr>
                <w:rFonts w:hint="eastAsia"/>
                <w:lang w:val="en-US" w:eastAsia="zh-CN"/>
              </w:rPr>
              <w:t>有效</w:t>
            </w:r>
          </w:p>
          <w:p>
            <w:pPr>
              <w:pStyle w:val="65"/>
              <w:bidi w:val="0"/>
              <w:jc w:val="center"/>
              <w:rPr>
                <w:rFonts w:hint="default"/>
                <w:lang w:val="en-US" w:eastAsia="zh-CN"/>
              </w:rPr>
            </w:pPr>
            <w:r>
              <w:rPr>
                <w:rFonts w:hint="eastAsia"/>
                <w:lang w:val="en-US" w:eastAsia="zh-CN"/>
              </w:rPr>
              <w:t>保障</w:t>
            </w:r>
          </w:p>
        </w:tc>
        <w:tc>
          <w:tcPr>
            <w:tcW w:w="990"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2" w:type="dxa"/>
            <w:vMerge w:val="continue"/>
            <w:tcBorders>
              <w:tl2br w:val="nil"/>
              <w:tr2bl w:val="nil"/>
            </w:tcBorders>
            <w:noWrap w:val="0"/>
            <w:vAlign w:val="center"/>
          </w:tcPr>
          <w:p>
            <w:pPr>
              <w:pStyle w:val="65"/>
              <w:bidi w:val="0"/>
              <w:jc w:val="center"/>
              <w:rPr>
                <w:rFonts w:hint="default"/>
                <w:lang w:val="en-US" w:eastAsia="zh-CN"/>
              </w:rPr>
            </w:pPr>
          </w:p>
        </w:tc>
        <w:tc>
          <w:tcPr>
            <w:tcW w:w="52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18</w:t>
            </w:r>
          </w:p>
        </w:tc>
        <w:tc>
          <w:tcPr>
            <w:tcW w:w="4035" w:type="dxa"/>
            <w:tcBorders>
              <w:tl2br w:val="nil"/>
              <w:tr2bl w:val="nil"/>
            </w:tcBorders>
            <w:noWrap w:val="0"/>
            <w:vAlign w:val="top"/>
          </w:tcPr>
          <w:p>
            <w:pPr>
              <w:pStyle w:val="65"/>
              <w:bidi w:val="0"/>
              <w:jc w:val="both"/>
              <w:rPr>
                <w:rFonts w:hint="default"/>
                <w:lang w:val="en-US" w:eastAsia="zh-CN"/>
              </w:rPr>
            </w:pPr>
            <w:r>
              <w:rPr>
                <w:rFonts w:hint="eastAsia"/>
                <w:lang w:val="en-US" w:eastAsia="zh-CN"/>
              </w:rPr>
              <w:t>放射源辐射事故年发生率（起/每万枚）</w:t>
            </w:r>
          </w:p>
        </w:tc>
        <w:tc>
          <w:tcPr>
            <w:tcW w:w="97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0</w:t>
            </w:r>
          </w:p>
        </w:tc>
        <w:tc>
          <w:tcPr>
            <w:tcW w:w="100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0</w:t>
            </w:r>
          </w:p>
        </w:tc>
        <w:tc>
          <w:tcPr>
            <w:tcW w:w="990" w:type="dxa"/>
            <w:tcBorders>
              <w:tl2br w:val="nil"/>
              <w:tr2bl w:val="nil"/>
            </w:tcBorders>
            <w:noWrap w:val="0"/>
            <w:vAlign w:val="center"/>
          </w:tcPr>
          <w:p>
            <w:pPr>
              <w:pStyle w:val="65"/>
              <w:bidi w:val="0"/>
              <w:jc w:val="center"/>
              <w:rPr>
                <w:rFonts w:hint="eastAsia"/>
                <w:lang w:val="en-US" w:eastAsia="zh-CN"/>
              </w:rPr>
            </w:pPr>
            <w:r>
              <w:rPr>
                <w:rFonts w:hint="eastAsia"/>
                <w:lang w:val="en-US"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992" w:type="dxa"/>
            <w:vMerge w:val="restart"/>
            <w:tcBorders>
              <w:tl2br w:val="nil"/>
              <w:tr2bl w:val="nil"/>
            </w:tcBorders>
            <w:noWrap w:val="0"/>
            <w:vAlign w:val="center"/>
          </w:tcPr>
          <w:p>
            <w:pPr>
              <w:pStyle w:val="65"/>
              <w:bidi w:val="0"/>
              <w:jc w:val="center"/>
              <w:rPr>
                <w:rFonts w:hint="default"/>
                <w:lang w:val="en-US" w:eastAsia="zh-CN"/>
              </w:rPr>
            </w:pPr>
            <w:r>
              <w:rPr>
                <w:rFonts w:hint="default"/>
                <w:lang w:val="en-US" w:eastAsia="zh-CN"/>
              </w:rPr>
              <w:t>生态</w:t>
            </w:r>
          </w:p>
          <w:p>
            <w:pPr>
              <w:pStyle w:val="65"/>
              <w:bidi w:val="0"/>
              <w:jc w:val="center"/>
              <w:rPr>
                <w:rFonts w:hint="default"/>
              </w:rPr>
            </w:pPr>
            <w:r>
              <w:rPr>
                <w:rFonts w:hint="eastAsia"/>
                <w:lang w:val="en-US" w:eastAsia="zh-CN"/>
              </w:rPr>
              <w:t>保护</w:t>
            </w:r>
          </w:p>
        </w:tc>
        <w:tc>
          <w:tcPr>
            <w:tcW w:w="525" w:type="dxa"/>
            <w:tcBorders>
              <w:tl2br w:val="nil"/>
              <w:tr2bl w:val="nil"/>
            </w:tcBorders>
            <w:noWrap w:val="0"/>
            <w:vAlign w:val="center"/>
          </w:tcPr>
          <w:p>
            <w:pPr>
              <w:pStyle w:val="65"/>
              <w:bidi w:val="0"/>
              <w:jc w:val="center"/>
              <w:rPr>
                <w:rFonts w:hint="default"/>
                <w:lang w:val="en-US"/>
              </w:rPr>
            </w:pPr>
            <w:r>
              <w:rPr>
                <w:rFonts w:hint="eastAsia"/>
                <w:lang w:val="en-US" w:eastAsia="zh-CN"/>
              </w:rPr>
              <w:t>19</w:t>
            </w:r>
          </w:p>
        </w:tc>
        <w:tc>
          <w:tcPr>
            <w:tcW w:w="4035" w:type="dxa"/>
            <w:tcBorders>
              <w:tl2br w:val="nil"/>
              <w:tr2bl w:val="nil"/>
            </w:tcBorders>
            <w:noWrap w:val="0"/>
            <w:vAlign w:val="top"/>
          </w:tcPr>
          <w:p>
            <w:pPr>
              <w:pStyle w:val="65"/>
              <w:bidi w:val="0"/>
              <w:jc w:val="both"/>
              <w:rPr>
                <w:rFonts w:hint="eastAsia"/>
              </w:rPr>
            </w:pPr>
            <w:r>
              <w:rPr>
                <w:rFonts w:hint="default"/>
                <w:lang w:val="en-US" w:eastAsia="zh-CN"/>
              </w:rPr>
              <w:t>生态质量指数（</w:t>
            </w:r>
            <w:r>
              <w:rPr>
                <w:rFonts w:hint="eastAsia"/>
                <w:lang w:val="en-US" w:eastAsia="zh-CN"/>
              </w:rPr>
              <w:t>EQI</w:t>
            </w:r>
            <w:r>
              <w:rPr>
                <w:rFonts w:hint="default"/>
                <w:lang w:val="en-US" w:eastAsia="zh-CN"/>
              </w:rPr>
              <w:t>）</w:t>
            </w:r>
            <w:r>
              <w:rPr>
                <w:rFonts w:hint="eastAsia"/>
                <w:lang w:val="en-US" w:eastAsia="zh-CN"/>
              </w:rPr>
              <w:t>*</w:t>
            </w:r>
          </w:p>
        </w:tc>
        <w:tc>
          <w:tcPr>
            <w:tcW w:w="97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w:t>
            </w:r>
          </w:p>
        </w:tc>
        <w:tc>
          <w:tcPr>
            <w:tcW w:w="1005" w:type="dxa"/>
            <w:tcBorders>
              <w:tl2br w:val="nil"/>
              <w:tr2bl w:val="nil"/>
            </w:tcBorders>
            <w:noWrap w:val="0"/>
            <w:vAlign w:val="center"/>
          </w:tcPr>
          <w:p>
            <w:pPr>
              <w:pStyle w:val="65"/>
              <w:bidi w:val="0"/>
              <w:jc w:val="center"/>
              <w:rPr>
                <w:rFonts w:hint="default"/>
              </w:rPr>
            </w:pPr>
            <w:r>
              <w:rPr>
                <w:rFonts w:hint="eastAsia"/>
                <w:lang w:val="en-US" w:eastAsia="zh-CN"/>
              </w:rPr>
              <w:t>稳中</w:t>
            </w:r>
            <w:r>
              <w:rPr>
                <w:rFonts w:hint="default"/>
                <w:lang w:val="en-US" w:eastAsia="zh-CN"/>
              </w:rPr>
              <w:t>向好</w:t>
            </w:r>
          </w:p>
        </w:tc>
        <w:tc>
          <w:tcPr>
            <w:tcW w:w="990" w:type="dxa"/>
            <w:tcBorders>
              <w:tl2br w:val="nil"/>
              <w:tr2bl w:val="nil"/>
            </w:tcBorders>
            <w:noWrap w:val="0"/>
            <w:vAlign w:val="center"/>
          </w:tcPr>
          <w:p>
            <w:pPr>
              <w:pStyle w:val="65"/>
              <w:bidi w:val="0"/>
              <w:jc w:val="center"/>
              <w:rPr>
                <w:rFonts w:hint="default"/>
              </w:rPr>
            </w:pPr>
            <w:r>
              <w:rPr>
                <w:rFonts w:hint="default"/>
                <w:lang w:val="en-US"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992" w:type="dxa"/>
            <w:vMerge w:val="continue"/>
            <w:tcBorders>
              <w:tl2br w:val="nil"/>
              <w:tr2bl w:val="nil"/>
            </w:tcBorders>
            <w:noWrap w:val="0"/>
            <w:vAlign w:val="center"/>
          </w:tcPr>
          <w:p>
            <w:pPr>
              <w:pStyle w:val="65"/>
              <w:bidi w:val="0"/>
              <w:jc w:val="center"/>
              <w:rPr>
                <w:rFonts w:hint="default"/>
                <w:lang w:val="en-US" w:eastAsia="zh-CN"/>
              </w:rPr>
            </w:pPr>
          </w:p>
        </w:tc>
        <w:tc>
          <w:tcPr>
            <w:tcW w:w="525" w:type="dxa"/>
            <w:tcBorders>
              <w:tl2br w:val="nil"/>
              <w:tr2bl w:val="nil"/>
            </w:tcBorders>
            <w:noWrap w:val="0"/>
            <w:vAlign w:val="center"/>
          </w:tcPr>
          <w:p>
            <w:pPr>
              <w:pStyle w:val="65"/>
              <w:bidi w:val="0"/>
              <w:jc w:val="center"/>
              <w:rPr>
                <w:rFonts w:hint="eastAsia"/>
                <w:lang w:val="en-US" w:eastAsia="zh-CN"/>
              </w:rPr>
            </w:pPr>
            <w:r>
              <w:rPr>
                <w:rFonts w:hint="default"/>
                <w:lang w:val="en-US" w:eastAsia="zh-CN"/>
              </w:rPr>
              <w:t>2</w:t>
            </w:r>
            <w:r>
              <w:rPr>
                <w:rFonts w:hint="eastAsia"/>
                <w:lang w:val="en-US" w:eastAsia="zh-CN"/>
              </w:rPr>
              <w:t>0</w:t>
            </w:r>
          </w:p>
        </w:tc>
        <w:tc>
          <w:tcPr>
            <w:tcW w:w="4035" w:type="dxa"/>
            <w:tcBorders>
              <w:tl2br w:val="nil"/>
              <w:tr2bl w:val="nil"/>
            </w:tcBorders>
            <w:noWrap w:val="0"/>
            <w:vAlign w:val="top"/>
          </w:tcPr>
          <w:p>
            <w:pPr>
              <w:pStyle w:val="65"/>
              <w:bidi w:val="0"/>
              <w:jc w:val="both"/>
              <w:rPr>
                <w:rFonts w:hint="default"/>
                <w:lang w:val="en-US" w:eastAsia="zh-CN"/>
              </w:rPr>
            </w:pPr>
            <w:r>
              <w:rPr>
                <w:rFonts w:hint="default"/>
                <w:lang w:val="en-US" w:eastAsia="zh-CN"/>
              </w:rPr>
              <w:t>森林覆盖率（%）</w:t>
            </w:r>
          </w:p>
        </w:tc>
        <w:tc>
          <w:tcPr>
            <w:tcW w:w="975"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48</w:t>
            </w:r>
          </w:p>
        </w:tc>
        <w:tc>
          <w:tcPr>
            <w:tcW w:w="100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48.5</w:t>
            </w:r>
          </w:p>
        </w:tc>
        <w:tc>
          <w:tcPr>
            <w:tcW w:w="990" w:type="dxa"/>
            <w:tcBorders>
              <w:tl2br w:val="nil"/>
              <w:tr2bl w:val="nil"/>
            </w:tcBorders>
            <w:noWrap w:val="0"/>
            <w:vAlign w:val="center"/>
          </w:tcPr>
          <w:p>
            <w:pPr>
              <w:pStyle w:val="65"/>
              <w:bidi w:val="0"/>
              <w:jc w:val="center"/>
              <w:rPr>
                <w:rFonts w:hint="default"/>
                <w:lang w:val="en-US" w:eastAsia="zh-CN"/>
              </w:rPr>
            </w:pPr>
            <w:r>
              <w:rPr>
                <w:rFonts w:hint="default"/>
                <w:lang w:val="en-US"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2" w:type="dxa"/>
            <w:vMerge w:val="continue"/>
            <w:tcBorders>
              <w:tl2br w:val="nil"/>
              <w:tr2bl w:val="nil"/>
            </w:tcBorders>
            <w:noWrap w:val="0"/>
            <w:vAlign w:val="center"/>
          </w:tcPr>
          <w:p>
            <w:pPr>
              <w:pStyle w:val="65"/>
              <w:bidi w:val="0"/>
              <w:jc w:val="center"/>
              <w:rPr>
                <w:rFonts w:hint="default"/>
              </w:rPr>
            </w:pPr>
          </w:p>
        </w:tc>
        <w:tc>
          <w:tcPr>
            <w:tcW w:w="52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21</w:t>
            </w:r>
          </w:p>
        </w:tc>
        <w:tc>
          <w:tcPr>
            <w:tcW w:w="4035" w:type="dxa"/>
            <w:tcBorders>
              <w:tl2br w:val="nil"/>
              <w:tr2bl w:val="nil"/>
            </w:tcBorders>
            <w:noWrap w:val="0"/>
            <w:vAlign w:val="top"/>
          </w:tcPr>
          <w:p>
            <w:pPr>
              <w:pStyle w:val="65"/>
              <w:bidi w:val="0"/>
              <w:jc w:val="both"/>
              <w:rPr>
                <w:rFonts w:hint="default"/>
                <w:lang w:val="en-US" w:eastAsia="zh-CN"/>
              </w:rPr>
            </w:pPr>
            <w:r>
              <w:rPr>
                <w:rFonts w:hint="default"/>
                <w:lang w:val="en-US" w:eastAsia="zh-CN"/>
              </w:rPr>
              <w:t>生态保护红线面积</w:t>
            </w:r>
          </w:p>
          <w:p>
            <w:pPr>
              <w:pStyle w:val="65"/>
              <w:bidi w:val="0"/>
              <w:jc w:val="both"/>
              <w:rPr>
                <w:rFonts w:hint="default"/>
              </w:rPr>
            </w:pPr>
            <w:r>
              <w:rPr>
                <w:rFonts w:hint="default"/>
                <w:lang w:val="en-US" w:eastAsia="zh-CN"/>
              </w:rPr>
              <w:t>（</w:t>
            </w:r>
            <w:r>
              <w:rPr>
                <w:rFonts w:hint="eastAsia"/>
                <w:lang w:val="en-US" w:eastAsia="zh-CN"/>
              </w:rPr>
              <w:t>万平方公里</w:t>
            </w:r>
            <w:r>
              <w:rPr>
                <w:rFonts w:hint="default"/>
                <w:lang w:val="en-US" w:eastAsia="zh-CN"/>
              </w:rPr>
              <w:t>）</w:t>
            </w:r>
          </w:p>
        </w:tc>
        <w:tc>
          <w:tcPr>
            <w:tcW w:w="975" w:type="dxa"/>
            <w:tcBorders>
              <w:tl2br w:val="nil"/>
              <w:tr2bl w:val="nil"/>
            </w:tcBorders>
            <w:noWrap w:val="0"/>
            <w:vAlign w:val="center"/>
          </w:tcPr>
          <w:p>
            <w:pPr>
              <w:pStyle w:val="65"/>
              <w:bidi w:val="0"/>
              <w:jc w:val="center"/>
              <w:rPr>
                <w:rFonts w:hint="default"/>
                <w:lang w:val="en-US" w:eastAsia="zh-CN"/>
              </w:rPr>
            </w:pPr>
            <w:r>
              <w:rPr>
                <w:rFonts w:hint="eastAsia"/>
                <w:lang w:val="en-US" w:eastAsia="zh-CN"/>
              </w:rPr>
              <w:t>--</w:t>
            </w:r>
          </w:p>
        </w:tc>
        <w:tc>
          <w:tcPr>
            <w:tcW w:w="1005" w:type="dxa"/>
            <w:tcBorders>
              <w:tl2br w:val="nil"/>
              <w:tr2bl w:val="nil"/>
            </w:tcBorders>
            <w:noWrap w:val="0"/>
            <w:vAlign w:val="center"/>
          </w:tcPr>
          <w:p>
            <w:pPr>
              <w:pStyle w:val="65"/>
              <w:bidi w:val="0"/>
              <w:jc w:val="center"/>
              <w:rPr>
                <w:rFonts w:hint="eastAsia"/>
                <w:lang w:eastAsia="zh-CN"/>
              </w:rPr>
            </w:pPr>
            <w:r>
              <w:rPr>
                <w:rFonts w:hint="eastAsia"/>
                <w:lang w:val="en-US" w:eastAsia="zh-CN"/>
              </w:rPr>
              <w:t>不减少</w:t>
            </w:r>
          </w:p>
        </w:tc>
        <w:tc>
          <w:tcPr>
            <w:tcW w:w="990" w:type="dxa"/>
            <w:tcBorders>
              <w:tl2br w:val="nil"/>
              <w:tr2bl w:val="nil"/>
            </w:tcBorders>
            <w:noWrap w:val="0"/>
            <w:vAlign w:val="center"/>
          </w:tcPr>
          <w:p>
            <w:pPr>
              <w:pStyle w:val="65"/>
              <w:bidi w:val="0"/>
              <w:jc w:val="center"/>
              <w:rPr>
                <w:rFonts w:hint="default"/>
              </w:rPr>
            </w:pPr>
            <w:r>
              <w:rPr>
                <w:rFonts w:hint="default"/>
                <w:lang w:val="en-US" w:eastAsia="zh-CN"/>
              </w:rPr>
              <w:t>约束性</w:t>
            </w:r>
          </w:p>
        </w:tc>
      </w:tr>
    </w:tbl>
    <w:p>
      <w:pPr>
        <w:rPr>
          <w:rFonts w:hint="default"/>
          <w:lang w:val="en-US" w:eastAsia="zh-CN"/>
        </w:rPr>
      </w:pPr>
      <w:r>
        <w:rPr>
          <w:rFonts w:hint="default" w:ascii="Calibri" w:hAnsi="Calibri" w:cs="Calibri"/>
          <w:lang w:val="en-US" w:eastAsia="zh-CN"/>
        </w:rPr>
        <w:t>①</w:t>
      </w:r>
      <w:r>
        <w:rPr>
          <w:rFonts w:hint="default"/>
          <w:lang w:val="en-US" w:eastAsia="zh-CN"/>
        </w:rPr>
        <w:t>具体指标根据国家和省相关情况进行调整。②带*的指标“十四五”统计口径较“十三五”有调整。</w:t>
      </w:r>
    </w:p>
    <w:p>
      <w:pPr>
        <w:pStyle w:val="38"/>
        <w:bidi w:val="0"/>
        <w:rPr>
          <w:rFonts w:hint="default"/>
          <w:lang w:val="en-US" w:eastAsia="zh-CN"/>
        </w:rPr>
      </w:pPr>
      <w:r>
        <w:rPr>
          <w:rFonts w:hint="default"/>
          <w:lang w:val="en-US" w:eastAsia="zh-CN"/>
        </w:rPr>
        <w:t>第三章 重点任务</w:t>
      </w:r>
    </w:p>
    <w:p>
      <w:pPr>
        <w:rPr>
          <w:rFonts w:hint="default"/>
          <w:lang w:val="en-US" w:eastAsia="zh-CN"/>
        </w:rPr>
      </w:pPr>
      <w:r>
        <w:rPr>
          <w:rFonts w:hint="default"/>
          <w:lang w:val="en-US" w:eastAsia="zh-CN"/>
        </w:rPr>
        <w:t>深化大气污染防治，统筹水环境、水资源、水生态系统治理，推进土壤污染防治攻坚战，强化环境风险防范，夯实生态修复，筑牢生态安全屏障，加强农村环境综合整治，提升生态系统的稳定性和可持续性，建立健全现代化生态环境治理体系，提升生态环境治理能力。</w:t>
      </w:r>
    </w:p>
    <w:p>
      <w:pPr>
        <w:pStyle w:val="47"/>
        <w:bidi w:val="0"/>
        <w:rPr>
          <w:rFonts w:hint="default"/>
          <w:b/>
          <w:bCs/>
          <w:lang w:val="en-US" w:eastAsia="zh-CN"/>
        </w:rPr>
      </w:pPr>
      <w:r>
        <w:rPr>
          <w:rFonts w:hint="default"/>
          <w:b/>
          <w:bCs/>
          <w:lang w:val="en-US" w:eastAsia="zh-CN"/>
        </w:rPr>
        <w:t>第一节 坚持创新驱动，全力推进产业绿色转型</w:t>
      </w:r>
    </w:p>
    <w:p>
      <w:pPr>
        <w:rPr>
          <w:rFonts w:hint="default"/>
          <w:b/>
          <w:bCs/>
          <w:lang w:val="en-US" w:eastAsia="zh-CN"/>
        </w:rPr>
      </w:pPr>
      <w:r>
        <w:rPr>
          <w:rFonts w:hint="default"/>
          <w:b/>
          <w:bCs/>
          <w:lang w:val="en-US" w:eastAsia="zh-CN"/>
        </w:rPr>
        <w:t>（一）完善绿色发展机制与政策</w:t>
      </w:r>
    </w:p>
    <w:p>
      <w:pPr>
        <w:rPr>
          <w:rFonts w:hint="default"/>
          <w:lang w:val="en-US" w:eastAsia="zh-CN"/>
        </w:rPr>
      </w:pPr>
      <w:r>
        <w:rPr>
          <w:rFonts w:hint="default"/>
          <w:b/>
          <w:bCs/>
          <w:lang w:val="en-US" w:eastAsia="zh-CN"/>
        </w:rPr>
        <w:t>完善绿色发展体系。</w:t>
      </w:r>
      <w:r>
        <w:rPr>
          <w:rFonts w:hint="default"/>
          <w:lang w:val="en-US" w:eastAsia="zh-CN"/>
        </w:rPr>
        <w:t>加快构建现代“两翼一体化”产业发展体系、生产体系、流通体系、消费体系的绿色低碳循环发展体系。强化“三线一单”引领和刚性约束作用，实施“三线一单”生态环境分区管控，推行环评审批和监督执法“两个正面清单”，实现重点产业园区规划环评全覆盖。实施煤炭消费总量和强度“双控”管理，严禁高耗煤、能效水平较低的项目建设，建成区内重污染企业全部改造或关闭。</w:t>
      </w:r>
    </w:p>
    <w:p>
      <w:pPr>
        <w:rPr>
          <w:rFonts w:hint="default"/>
          <w:lang w:val="en-US" w:eastAsia="zh-CN"/>
        </w:rPr>
      </w:pPr>
      <w:r>
        <w:rPr>
          <w:rFonts w:hint="default"/>
          <w:b/>
          <w:bCs/>
          <w:lang w:val="en-US" w:eastAsia="zh-CN"/>
        </w:rPr>
        <w:t>推动区域绿色协同发展。</w:t>
      </w:r>
      <w:r>
        <w:rPr>
          <w:rFonts w:hint="default"/>
          <w:lang w:val="en-US" w:eastAsia="zh-CN"/>
        </w:rPr>
        <w:t>坚持融入辽宁生态安全空间发展格局，融入沈阳现代化都市圈大气污染联防联控。推动铁东区、铁西区、立山区、千山区“四区互补”，加强高新区、经济开发区“两区一体化联动”，实现“六区融合一体”，打造各有侧重、紧密联系、相互融合、互利共赢的城区新发展格局。突出三县（市）特色，精准定位发展方向，加速推进城乡深度融合发展。</w:t>
      </w:r>
    </w:p>
    <w:p>
      <w:pPr>
        <w:rPr>
          <w:rFonts w:hint="default"/>
          <w:lang w:val="en-US" w:eastAsia="zh-CN"/>
        </w:rPr>
      </w:pPr>
      <w:r>
        <w:rPr>
          <w:rFonts w:hint="default"/>
          <w:b/>
          <w:bCs/>
          <w:lang w:val="en-US" w:eastAsia="zh-CN"/>
        </w:rPr>
        <w:t>加快绿色金融发展。</w:t>
      </w:r>
      <w:r>
        <w:rPr>
          <w:rFonts w:hint="default"/>
          <w:lang w:val="en-US" w:eastAsia="zh-CN"/>
        </w:rPr>
        <w:t>鼓励各类金融机构发展绿色供应链、绿色园区、绿色生产等绿色信贷品种，拓展信贷投放种类，支持信托金融机构采用多种方式为绿色发展提供金融服务。</w:t>
      </w:r>
    </w:p>
    <w:p>
      <w:pPr>
        <w:rPr>
          <w:rFonts w:hint="default"/>
          <w:lang w:val="en-US" w:eastAsia="zh-CN"/>
        </w:rPr>
      </w:pPr>
      <w:r>
        <w:rPr>
          <w:rFonts w:hint="default"/>
          <w:b/>
          <w:bCs/>
          <w:lang w:val="en-US" w:eastAsia="zh-CN"/>
        </w:rPr>
        <w:t>健全生态保护补偿机制。</w:t>
      </w:r>
      <w:r>
        <w:rPr>
          <w:rFonts w:hint="default"/>
          <w:lang w:val="en-US" w:eastAsia="zh-CN"/>
        </w:rPr>
        <w:t>建立健全对各类自然生态空间的占用补偿、损害赔偿与保护补偿的生态环境保护机制，完善市场化、多元化生态保护补偿机制，强化森林、湿地、沙化土地、水域、耕地等生态保护补偿。</w:t>
      </w:r>
    </w:p>
    <w:p>
      <w:pPr>
        <w:rPr>
          <w:rFonts w:hint="default"/>
          <w:b/>
          <w:bCs/>
          <w:lang w:val="en-US" w:eastAsia="zh-CN"/>
        </w:rPr>
      </w:pPr>
      <w:r>
        <w:rPr>
          <w:rFonts w:hint="default"/>
          <w:b/>
          <w:bCs/>
          <w:lang w:val="en-US" w:eastAsia="zh-CN"/>
        </w:rPr>
        <w:t>（二）推动产业绿色转型</w:t>
      </w:r>
    </w:p>
    <w:p>
      <w:pPr>
        <w:rPr>
          <w:rFonts w:hint="default"/>
          <w:lang w:val="en-US" w:eastAsia="zh-CN"/>
        </w:rPr>
      </w:pPr>
      <w:r>
        <w:rPr>
          <w:rFonts w:hint="default"/>
          <w:b/>
          <w:bCs/>
          <w:lang w:val="en-US" w:eastAsia="zh-CN"/>
        </w:rPr>
        <w:t>坚持生态优先，绿色发展。</w:t>
      </w:r>
      <w:r>
        <w:rPr>
          <w:rFonts w:hint="default"/>
          <w:lang w:val="en-US" w:eastAsia="zh-CN"/>
        </w:rPr>
        <w:t>践行绿水青山就是金山银山理念，完善生态文明领域统筹协调机制，深入落实《辽宁省改造升级“老字号”、深度开发“原字号”、培育壮大“新字号”专项行动计划》及“数字辽宁、智造强省”建设。加大制造业设备更新和技术改造投资力度，加快5G、工业互联网和各行业深度融合，推进工业绿色低碳发展，引导工业企业开展“技术升级改造”“数字化改造”“节能改造”和“环保改造”。</w:t>
      </w:r>
    </w:p>
    <w:p>
      <w:pPr>
        <w:rPr>
          <w:rFonts w:hint="default"/>
          <w:lang w:val="en-US" w:eastAsia="zh-CN"/>
        </w:rPr>
      </w:pPr>
      <w:r>
        <w:rPr>
          <w:rFonts w:hint="default"/>
          <w:b/>
          <w:bCs/>
          <w:lang w:val="en-US" w:eastAsia="zh-CN"/>
        </w:rPr>
        <w:t>推动重点行业企业和用能单位节能改造。</w:t>
      </w:r>
      <w:r>
        <w:rPr>
          <w:rFonts w:hint="default"/>
          <w:lang w:val="en-US" w:eastAsia="zh-CN"/>
        </w:rPr>
        <w:t>大力推动重点行业企业和重点用能单位实施节能改造项目，加快鞍钢集团工程技术产业和节能环保产业技术推广与应用，提升重点行业节能管理水平。到2023年底，推进全市重点工业企业和重点用能单位滚动重点节能改造，实现规模以上工业企业综合能源消费量下降率不低于全市单位地区总产值能源消耗降低率，冶金、菱镁、化工行业规模以上工业企业综合能源消费量下降6%。</w:t>
      </w:r>
    </w:p>
    <w:p>
      <w:pPr>
        <w:rPr>
          <w:rFonts w:hint="default"/>
          <w:lang w:val="en-US" w:eastAsia="zh-CN"/>
        </w:rPr>
      </w:pPr>
      <w:r>
        <w:rPr>
          <w:rFonts w:hint="default"/>
          <w:b/>
          <w:bCs/>
          <w:lang w:val="en-US" w:eastAsia="zh-CN"/>
        </w:rPr>
        <w:t>推进重点行业企业减排技术改造。</w:t>
      </w:r>
      <w:r>
        <w:rPr>
          <w:rFonts w:hint="default"/>
          <w:lang w:val="en-US" w:eastAsia="zh-CN"/>
        </w:rPr>
        <w:t>推进钢铁、菱镁、化工、有色等重点行业一批重点环保改造项目，加快除尘、脱硫脱硝系统升级改造，挥发性有机物（VOCs）治理。持续开展“双超”“双有”企业、超能耗限额企业强制性清洁生产审核，鼓励其他企业开展自愿性清洁生产审核。到2023年底，进一步削减钢铁、菱镁、水泥、化工等重点行业企业二氧化硫、氮氧化物、颗粒物、挥发性有机物（VOCs）等污染物排放总量，提升企业清洁生产水平。</w:t>
      </w:r>
    </w:p>
    <w:p>
      <w:pPr>
        <w:rPr>
          <w:rFonts w:hint="default"/>
          <w:b/>
          <w:bCs/>
          <w:lang w:val="en-US" w:eastAsia="zh-CN"/>
        </w:rPr>
      </w:pPr>
      <w:r>
        <w:rPr>
          <w:rFonts w:hint="default"/>
          <w:b/>
          <w:bCs/>
          <w:lang w:val="en-US" w:eastAsia="zh-CN"/>
        </w:rPr>
        <w:t>（三）推进能源结构清洁化</w:t>
      </w:r>
    </w:p>
    <w:p>
      <w:pPr>
        <w:rPr>
          <w:rFonts w:hint="default"/>
          <w:lang w:val="en-US" w:eastAsia="zh-CN"/>
        </w:rPr>
      </w:pPr>
      <w:r>
        <w:rPr>
          <w:rFonts w:hint="default"/>
          <w:b/>
          <w:bCs/>
          <w:lang w:val="en-US" w:eastAsia="zh-CN"/>
        </w:rPr>
        <w:t>严格控制能源消费总量和强度。</w:t>
      </w:r>
      <w:r>
        <w:rPr>
          <w:rFonts w:hint="default"/>
          <w:lang w:val="en-US" w:eastAsia="zh-CN"/>
        </w:rPr>
        <w:t>严格按照国家和省制定的能源消费总量和强度双控目标，做好节能降耗工作。深化工业、建筑、交通等领域和公共机构节能。坚决遏制高耗能、高排放项目盲目发展。</w:t>
      </w:r>
    </w:p>
    <w:p>
      <w:pPr>
        <w:rPr>
          <w:rFonts w:hint="default"/>
          <w:lang w:val="en-US" w:eastAsia="zh-CN"/>
        </w:rPr>
      </w:pPr>
      <w:r>
        <w:rPr>
          <w:rFonts w:hint="default"/>
          <w:b/>
          <w:bCs/>
          <w:lang w:val="en-US" w:eastAsia="zh-CN"/>
        </w:rPr>
        <w:t>加快发展清洁能源。</w:t>
      </w:r>
      <w:r>
        <w:rPr>
          <w:rFonts w:hint="default"/>
          <w:lang w:val="en-US" w:eastAsia="zh-CN"/>
        </w:rPr>
        <w:t>合理布局规划风、光、水、生物质、氢能等清洁能源项目，提高我市清洁能源装机占比，促进能源结构优化调整，推动非化石能源成为消费增量的主体。</w:t>
      </w:r>
    </w:p>
    <w:p>
      <w:pPr>
        <w:rPr>
          <w:rFonts w:hint="default"/>
          <w:lang w:val="en-US" w:eastAsia="zh-CN"/>
        </w:rPr>
      </w:pPr>
      <w:r>
        <w:rPr>
          <w:rFonts w:hint="default"/>
          <w:b/>
          <w:bCs/>
          <w:lang w:val="en-US" w:eastAsia="zh-CN"/>
        </w:rPr>
        <w:t>全面构建清洁低碳与安全的能源体系。</w:t>
      </w:r>
      <w:r>
        <w:rPr>
          <w:rFonts w:hint="default"/>
          <w:lang w:val="en-US" w:eastAsia="zh-CN"/>
        </w:rPr>
        <w:t>构建现代清洁能源市场体系，推进煤电油气产供储销体系建设，加强洁净型煤和环保炉具推广，提升能源安全保障能力。</w:t>
      </w:r>
    </w:p>
    <w:p>
      <w:pPr>
        <w:rPr>
          <w:rFonts w:hint="default"/>
          <w:lang w:val="en-US" w:eastAsia="zh-CN"/>
        </w:rPr>
      </w:pPr>
      <w:r>
        <w:rPr>
          <w:rFonts w:hint="default"/>
          <w:b/>
          <w:bCs/>
          <w:lang w:val="en-US" w:eastAsia="zh-CN"/>
        </w:rPr>
        <w:t>（四）推进交通结构低碳化</w:t>
      </w:r>
    </w:p>
    <w:p>
      <w:pPr>
        <w:rPr>
          <w:rFonts w:hint="default"/>
          <w:lang w:val="en-US" w:eastAsia="zh-CN"/>
        </w:rPr>
      </w:pPr>
      <w:r>
        <w:rPr>
          <w:rFonts w:hint="default"/>
          <w:b/>
          <w:bCs/>
          <w:lang w:val="en-US" w:eastAsia="zh-CN"/>
        </w:rPr>
        <w:t>着力优化道路货运结构。</w:t>
      </w:r>
      <w:r>
        <w:rPr>
          <w:rFonts w:hint="default"/>
          <w:lang w:val="en-US" w:eastAsia="zh-CN"/>
        </w:rPr>
        <w:t>推进大宗货物运输由公路有序向铁路转移，大宗货物年货运量150万吨以上的大型工矿企业和新建物流园区，拓展利用已有铁路专用线，到2025年，力争全市大宗货物铁路运输比例达到90%。</w:t>
      </w:r>
    </w:p>
    <w:p>
      <w:pPr>
        <w:rPr>
          <w:rFonts w:hint="default"/>
          <w:lang w:val="en-US" w:eastAsia="zh-CN"/>
        </w:rPr>
      </w:pPr>
      <w:r>
        <w:rPr>
          <w:rFonts w:hint="default"/>
          <w:b/>
          <w:bCs/>
          <w:lang w:val="en-US" w:eastAsia="zh-CN"/>
        </w:rPr>
        <w:t>加快车辆结构升级改造。</w:t>
      </w:r>
      <w:r>
        <w:rPr>
          <w:rFonts w:hint="default"/>
          <w:lang w:val="en-US" w:eastAsia="zh-CN"/>
        </w:rPr>
        <w:t>加快淘汰老旧车辆，禁止国家已淘汰的外省老旧柴油货车向全市转移注册登记，推广普及新能源车。持续推进城市客运行业“油改气”，鼓励客运、货运车辆优先使用清洁能源或新能源车辆，推动运输装备低碳升级，2025年底城市建成区客运、邮政、出租、通勤、轻型物流配送车辆全部使用新能源或清洁能源汽车，机场、铁路货场新增或更换作业车辆主要使用新能源或清洁能源汽车。</w:t>
      </w:r>
    </w:p>
    <w:p>
      <w:pPr>
        <w:rPr>
          <w:rFonts w:hint="default"/>
          <w:lang w:val="en-US" w:eastAsia="zh-CN"/>
        </w:rPr>
      </w:pPr>
      <w:r>
        <w:rPr>
          <w:rFonts w:hint="default"/>
          <w:b/>
          <w:bCs/>
          <w:lang w:val="en-US" w:eastAsia="zh-CN"/>
        </w:rPr>
        <w:t>（五）推进农业结构有机化</w:t>
      </w:r>
    </w:p>
    <w:p>
      <w:pPr>
        <w:rPr>
          <w:rFonts w:hint="default"/>
          <w:lang w:val="en-US" w:eastAsia="zh-CN"/>
        </w:rPr>
      </w:pPr>
      <w:r>
        <w:rPr>
          <w:rFonts w:hint="default"/>
          <w:b/>
          <w:bCs/>
          <w:lang w:val="en-US" w:eastAsia="zh-CN"/>
        </w:rPr>
        <w:t>推进种养模式生态化，推行种养结合、粮经轮作等模式。</w:t>
      </w:r>
      <w:r>
        <w:rPr>
          <w:rFonts w:hint="default"/>
          <w:lang w:val="en-US" w:eastAsia="zh-CN"/>
        </w:rPr>
        <w:t>开展稻渔生态绿色综合种养示范，推广稻渔综合种养、多品种混养等水产养殖生态循环模式。持续实施化肥农药减量增效，推广应用有机环保农药替代、测土配方施肥、新型肥料应用等化肥农药减量技术与模式。进一步优化调整养殖业布局，严格落实禁养区各项规定，合理控制养殖规模，鼓励引导新垦地等宜养区以地定畜。规范兽药、饲料添加剂的使用，推进养殖业减量用药，推进养殖过程清洁化。</w:t>
      </w:r>
    </w:p>
    <w:p>
      <w:pPr>
        <w:pStyle w:val="2"/>
        <w:rPr>
          <w:rFonts w:hint="default"/>
          <w:lang w:val="en-US" w:eastAsia="zh-CN"/>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416" w:hRule="atLeast"/>
          <w:tblHeader/>
          <w:jc w:val="center"/>
        </w:trPr>
        <w:tc>
          <w:tcPr>
            <w:tcW w:w="5000" w:type="pct"/>
            <w:noWrap/>
            <w:vAlign w:val="center"/>
          </w:tcPr>
          <w:p>
            <w:pPr>
              <w:pStyle w:val="41"/>
              <w:bidi w:val="0"/>
              <w:rPr>
                <w:rFonts w:hint="default"/>
                <w:lang w:val="en-US" w:eastAsia="zh-CN"/>
              </w:rPr>
            </w:pPr>
            <w:r>
              <w:rPr>
                <w:rFonts w:hint="default"/>
                <w:lang w:val="en-US" w:eastAsia="zh-CN"/>
              </w:rPr>
              <w:t>专栏一 产业绿色转型工程项目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962" w:hRule="atLeast"/>
          <w:tblHeader/>
          <w:jc w:val="center"/>
        </w:trPr>
        <w:tc>
          <w:tcPr>
            <w:tcW w:w="5000" w:type="pct"/>
            <w:noWrap/>
            <w:vAlign w:val="center"/>
          </w:tcPr>
          <w:p>
            <w:pPr>
              <w:pStyle w:val="65"/>
              <w:bidi w:val="0"/>
              <w:ind w:firstLine="360" w:firstLineChars="200"/>
              <w:jc w:val="left"/>
              <w:rPr>
                <w:rFonts w:hint="eastAsia"/>
                <w:lang w:val="en-US" w:eastAsia="zh-CN"/>
              </w:rPr>
            </w:pPr>
            <w:r>
              <w:rPr>
                <w:rFonts w:hint="eastAsia"/>
                <w:lang w:val="en-US" w:eastAsia="zh-CN"/>
              </w:rPr>
              <w:t>（一）绿色转型与节能环保改造项目</w:t>
            </w:r>
          </w:p>
          <w:p>
            <w:pPr>
              <w:pStyle w:val="65"/>
              <w:bidi w:val="0"/>
              <w:ind w:firstLine="360" w:firstLineChars="200"/>
              <w:jc w:val="left"/>
              <w:rPr>
                <w:rFonts w:hint="eastAsia"/>
                <w:lang w:val="en-US" w:eastAsia="zh-CN"/>
              </w:rPr>
            </w:pPr>
            <w:r>
              <w:rPr>
                <w:rFonts w:hint="default"/>
                <w:lang w:val="en-US" w:eastAsia="zh-CN"/>
              </w:rPr>
              <w:t>延伸钢铁、菱镁等产业链长板</w:t>
            </w:r>
            <w:r>
              <w:rPr>
                <w:rFonts w:hint="eastAsia"/>
                <w:lang w:val="en-US" w:eastAsia="zh-CN"/>
              </w:rPr>
              <w:t>，</w:t>
            </w:r>
            <w:r>
              <w:rPr>
                <w:rFonts w:hint="default"/>
                <w:lang w:val="en-US" w:eastAsia="zh-CN"/>
              </w:rPr>
              <w:t>打造新一代信息技术等新兴产业链</w:t>
            </w:r>
            <w:r>
              <w:rPr>
                <w:rFonts w:hint="eastAsia"/>
                <w:lang w:val="en-US" w:eastAsia="zh-CN"/>
              </w:rPr>
              <w:t>；</w:t>
            </w:r>
            <w:r>
              <w:rPr>
                <w:rFonts w:hint="eastAsia"/>
                <w:lang w:val="zh-CN" w:eastAsia="zh-CN"/>
              </w:rPr>
              <w:t>推进</w:t>
            </w:r>
            <w:r>
              <w:rPr>
                <w:rFonts w:hint="default"/>
                <w:lang w:val="en-US" w:eastAsia="zh-CN"/>
              </w:rPr>
              <w:t>鞍山市铁东区大孤山独立工矿区产业转型替代产业园建设项目</w:t>
            </w:r>
            <w:r>
              <w:rPr>
                <w:rFonts w:hint="eastAsia"/>
                <w:lang w:val="en-US" w:eastAsia="zh-CN"/>
              </w:rPr>
              <w:t>、</w:t>
            </w:r>
            <w:r>
              <w:rPr>
                <w:rFonts w:hint="default"/>
                <w:lang w:val="zh-CN" w:eastAsia="zh-CN"/>
              </w:rPr>
              <w:t>鞍钢集团工程技术产业和节能环保产业技术推广与应用</w:t>
            </w:r>
            <w:r>
              <w:rPr>
                <w:rFonts w:hint="eastAsia"/>
                <w:lang w:val="zh-CN" w:eastAsia="zh-CN"/>
              </w:rPr>
              <w:t>、</w:t>
            </w:r>
            <w:r>
              <w:rPr>
                <w:rFonts w:hint="default"/>
                <w:lang w:val="en-US" w:eastAsia="zh-CN"/>
              </w:rPr>
              <w:t>辽宁福鞍集团燃气轮机配套产业园项目</w:t>
            </w:r>
            <w:r>
              <w:rPr>
                <w:rFonts w:hint="eastAsia"/>
                <w:lang w:val="en-US" w:eastAsia="zh-CN"/>
              </w:rPr>
              <w:t>等</w:t>
            </w:r>
            <w:r>
              <w:rPr>
                <w:rFonts w:hint="default"/>
                <w:lang w:val="en-US" w:eastAsia="zh-CN"/>
              </w:rPr>
              <w:t>。</w:t>
            </w:r>
          </w:p>
          <w:p>
            <w:pPr>
              <w:pStyle w:val="65"/>
              <w:bidi w:val="0"/>
              <w:ind w:firstLine="360" w:firstLineChars="200"/>
              <w:jc w:val="left"/>
              <w:rPr>
                <w:rFonts w:hint="default"/>
                <w:lang w:val="en-US" w:eastAsia="zh-CN"/>
              </w:rPr>
            </w:pPr>
            <w:r>
              <w:rPr>
                <w:rFonts w:hint="default"/>
                <w:lang w:val="en-US" w:eastAsia="zh-CN"/>
              </w:rPr>
              <w:t>（二）</w:t>
            </w:r>
            <w:r>
              <w:rPr>
                <w:rFonts w:hint="default"/>
                <w:lang w:val="zh-CN" w:eastAsia="zh-CN"/>
              </w:rPr>
              <w:t>能源结构清洁化</w:t>
            </w:r>
            <w:r>
              <w:rPr>
                <w:rFonts w:hint="eastAsia"/>
                <w:lang w:val="zh-CN" w:eastAsia="zh-CN"/>
              </w:rPr>
              <w:t>项目</w:t>
            </w:r>
          </w:p>
          <w:p>
            <w:pPr>
              <w:pStyle w:val="65"/>
              <w:bidi w:val="0"/>
              <w:ind w:firstLine="360" w:firstLineChars="200"/>
              <w:jc w:val="left"/>
              <w:rPr>
                <w:rFonts w:hint="default"/>
                <w:lang w:val="en-US" w:eastAsia="zh-CN"/>
              </w:rPr>
            </w:pPr>
            <w:r>
              <w:rPr>
                <w:rFonts w:hint="default"/>
                <w:lang w:val="en-US" w:eastAsia="zh-CN"/>
              </w:rPr>
              <w:t>合理布局规划风、光、水、氢能等清洁能源项目</w:t>
            </w:r>
            <w:r>
              <w:rPr>
                <w:rFonts w:hint="eastAsia"/>
                <w:lang w:val="en-US" w:eastAsia="zh-CN"/>
              </w:rPr>
              <w:t>，推进辽宁九夷锂能股份有限公司高能锂离子动力电池扩产项目、</w:t>
            </w:r>
            <w:r>
              <w:rPr>
                <w:rFonts w:hint="default"/>
                <w:lang w:val="en-US" w:eastAsia="zh-CN"/>
              </w:rPr>
              <w:t>鞍山氢能产业园项目</w:t>
            </w:r>
            <w:r>
              <w:rPr>
                <w:rFonts w:hint="eastAsia"/>
                <w:lang w:val="en-US" w:eastAsia="zh-CN"/>
              </w:rPr>
              <w:t>、</w:t>
            </w:r>
            <w:r>
              <w:rPr>
                <w:rFonts w:hint="default"/>
                <w:lang w:val="en-US" w:eastAsia="zh-CN"/>
              </w:rPr>
              <w:t>南方电网综合能源有限公司智慧路灯制造基地项目</w:t>
            </w:r>
            <w:r>
              <w:rPr>
                <w:rFonts w:hint="eastAsia"/>
                <w:lang w:val="en-US" w:eastAsia="zh-CN"/>
              </w:rPr>
              <w:t>等</w:t>
            </w:r>
            <w:r>
              <w:rPr>
                <w:rFonts w:hint="default"/>
                <w:lang w:val="en-US" w:eastAsia="zh-CN"/>
              </w:rPr>
              <w:t>。</w:t>
            </w:r>
          </w:p>
          <w:p>
            <w:pPr>
              <w:pStyle w:val="65"/>
              <w:bidi w:val="0"/>
              <w:ind w:firstLine="360" w:firstLineChars="200"/>
              <w:jc w:val="left"/>
              <w:rPr>
                <w:rFonts w:hint="eastAsia"/>
                <w:lang w:val="en-US" w:eastAsia="zh-CN"/>
              </w:rPr>
            </w:pPr>
            <w:r>
              <w:rPr>
                <w:rFonts w:hint="eastAsia"/>
                <w:lang w:val="en-US" w:eastAsia="zh-CN"/>
              </w:rPr>
              <w:t>（三）运输结构调整工程</w:t>
            </w:r>
          </w:p>
          <w:p>
            <w:pPr>
              <w:pStyle w:val="65"/>
              <w:bidi w:val="0"/>
              <w:jc w:val="left"/>
              <w:rPr>
                <w:rFonts w:hint="default"/>
                <w:lang w:val="en-US" w:eastAsia="zh-CN"/>
              </w:rPr>
            </w:pPr>
            <w:r>
              <w:rPr>
                <w:rFonts w:hint="eastAsia"/>
                <w:lang w:val="en-US" w:eastAsia="zh-CN"/>
              </w:rPr>
              <w:t>淘汰老旧机动车辆，</w:t>
            </w:r>
            <w:r>
              <w:rPr>
                <w:rFonts w:hint="default"/>
                <w:lang w:val="en-US" w:eastAsia="zh-CN"/>
              </w:rPr>
              <w:t>提升全市大宗货物铁路运输比例</w:t>
            </w:r>
            <w:r>
              <w:rPr>
                <w:rFonts w:hint="eastAsia"/>
                <w:lang w:val="en-US" w:eastAsia="zh-CN"/>
              </w:rPr>
              <w:t>，</w:t>
            </w:r>
            <w:r>
              <w:rPr>
                <w:rFonts w:hint="default"/>
                <w:lang w:val="zh-CN" w:eastAsia="zh-CN"/>
              </w:rPr>
              <w:t>车辆结构升级改造</w:t>
            </w:r>
            <w:r>
              <w:rPr>
                <w:rFonts w:hint="eastAsia"/>
                <w:lang w:val="zh-CN" w:eastAsia="zh-CN"/>
              </w:rPr>
              <w:t>项目</w:t>
            </w:r>
            <w:r>
              <w:rPr>
                <w:rFonts w:hint="default"/>
                <w:lang w:val="en-US" w:eastAsia="zh-CN"/>
              </w:rPr>
              <w:t>。</w:t>
            </w:r>
          </w:p>
          <w:p>
            <w:pPr>
              <w:pStyle w:val="65"/>
              <w:bidi w:val="0"/>
              <w:ind w:firstLine="360" w:firstLineChars="200"/>
              <w:jc w:val="left"/>
              <w:rPr>
                <w:rFonts w:hint="eastAsia"/>
                <w:lang w:val="en-US" w:eastAsia="zh-CN"/>
              </w:rPr>
            </w:pPr>
            <w:r>
              <w:rPr>
                <w:rFonts w:hint="eastAsia"/>
                <w:lang w:val="en-US" w:eastAsia="zh-CN"/>
              </w:rPr>
              <w:t>（四）农业投入结构调整工程</w:t>
            </w:r>
          </w:p>
          <w:p>
            <w:pPr>
              <w:pStyle w:val="65"/>
              <w:bidi w:val="0"/>
              <w:ind w:firstLine="360" w:firstLineChars="200"/>
              <w:jc w:val="left"/>
              <w:rPr>
                <w:rFonts w:hint="default"/>
                <w:lang w:val="en-US" w:eastAsia="zh-CN"/>
              </w:rPr>
            </w:pPr>
            <w:r>
              <w:rPr>
                <w:rFonts w:hint="default"/>
                <w:lang w:val="en-US" w:eastAsia="zh-CN"/>
              </w:rPr>
              <w:t>选址台安县新华农场，开展稻渔生态绿色综合种养示范</w:t>
            </w:r>
            <w:r>
              <w:rPr>
                <w:rFonts w:hint="eastAsia"/>
                <w:lang w:val="en-US" w:eastAsia="zh-CN"/>
              </w:rPr>
              <w:t>；增加</w:t>
            </w:r>
            <w:r>
              <w:rPr>
                <w:rFonts w:hint="default"/>
                <w:lang w:val="en-US" w:eastAsia="zh-CN"/>
              </w:rPr>
              <w:t>有机环保农药替代、测土配方施肥、新型肥料应用等化肥农药减量技术</w:t>
            </w:r>
            <w:r>
              <w:rPr>
                <w:rFonts w:hint="eastAsia"/>
                <w:lang w:val="en-US" w:eastAsia="zh-CN"/>
              </w:rPr>
              <w:t>推广应用面积</w:t>
            </w:r>
            <w:r>
              <w:rPr>
                <w:rFonts w:hint="default"/>
                <w:lang w:val="en-US" w:eastAsia="zh-CN"/>
              </w:rPr>
              <w:t>。</w:t>
            </w:r>
          </w:p>
        </w:tc>
      </w:tr>
    </w:tbl>
    <w:p>
      <w:pPr>
        <w:pStyle w:val="47"/>
        <w:bidi w:val="0"/>
        <w:rPr>
          <w:rFonts w:hint="default"/>
          <w:b/>
          <w:bCs/>
          <w:lang w:val="en-US" w:eastAsia="zh-CN"/>
        </w:rPr>
      </w:pPr>
      <w:r>
        <w:rPr>
          <w:rFonts w:hint="default"/>
          <w:b/>
          <w:bCs/>
          <w:lang w:val="en-US" w:eastAsia="zh-CN"/>
        </w:rPr>
        <w:t>第二节 协同降碳减排，积极应对气候变化</w:t>
      </w:r>
    </w:p>
    <w:p>
      <w:pPr>
        <w:rPr>
          <w:rFonts w:hint="default"/>
          <w:b/>
          <w:bCs/>
          <w:lang w:val="en-US" w:eastAsia="zh-CN"/>
        </w:rPr>
      </w:pPr>
      <w:r>
        <w:rPr>
          <w:rFonts w:hint="default"/>
          <w:b/>
          <w:bCs/>
          <w:lang w:val="en-US" w:eastAsia="zh-CN"/>
        </w:rPr>
        <w:t>（一）制订碳排放达峰行动方案</w:t>
      </w:r>
    </w:p>
    <w:p>
      <w:pPr>
        <w:rPr>
          <w:rFonts w:hint="default"/>
          <w:lang w:val="en-US" w:eastAsia="zh-CN"/>
        </w:rPr>
      </w:pPr>
      <w:r>
        <w:rPr>
          <w:rFonts w:hint="default"/>
          <w:lang w:val="en-US" w:eastAsia="zh-CN"/>
        </w:rPr>
        <w:t>围绕辽宁省对我市碳排放达峰目标考核要求，制定我市碳达峰行动实施方案和配套措施，制定碳达峰实施路线图，实施以二氧化碳排放强度控制为主、二氧化碳排放总量控制为辅的制度。鼓励能源、工业、交通、建筑等重点领域制定碳达峰专项方案，推动钢铁、菱镁、建材、有色、化工、石化、电力等重点行业提出明确的达峰目标并制定达峰行动方案。</w:t>
      </w:r>
    </w:p>
    <w:p>
      <w:pPr>
        <w:rPr>
          <w:rFonts w:hint="default"/>
          <w:b/>
          <w:bCs/>
          <w:lang w:val="en-US" w:eastAsia="zh-CN"/>
        </w:rPr>
      </w:pPr>
      <w:r>
        <w:rPr>
          <w:rFonts w:hint="default"/>
          <w:b/>
          <w:bCs/>
          <w:lang w:val="en-US" w:eastAsia="zh-CN"/>
        </w:rPr>
        <w:t>（二）积极开展碳排放权交易市场</w:t>
      </w:r>
    </w:p>
    <w:p>
      <w:pPr>
        <w:rPr>
          <w:rFonts w:hint="default"/>
          <w:lang w:val="en-US" w:eastAsia="zh-CN"/>
        </w:rPr>
      </w:pPr>
      <w:r>
        <w:rPr>
          <w:rFonts w:hint="default"/>
          <w:lang w:val="en-US" w:eastAsia="zh-CN"/>
        </w:rPr>
        <w:t>将二氧化碳监测纳入生态环境日常监测体系，协同开展污染源排放与大气二氧化碳监测。开展重点排放单位二氧化碳排放监测、核算、数据报送、核查审核、配额分配、履约监管和监督检查工作，推进全市重点控排企业通过排污许可平台报送碳市场数据，保障企业碳排放数据质量，督促企业及时履约。推进重点排放单位碳排放交易，并接受监督管理。</w:t>
      </w:r>
    </w:p>
    <w:p>
      <w:pPr>
        <w:rPr>
          <w:rFonts w:hint="default"/>
          <w:lang w:val="en-US" w:eastAsia="zh-CN"/>
        </w:rPr>
      </w:pPr>
      <w:r>
        <w:rPr>
          <w:rFonts w:hint="default"/>
          <w:b/>
          <w:bCs/>
          <w:lang w:val="en-US" w:eastAsia="zh-CN"/>
        </w:rPr>
        <w:t>（三）控制温室气体排放</w:t>
      </w:r>
    </w:p>
    <w:p>
      <w:pPr>
        <w:rPr>
          <w:rFonts w:hint="default"/>
          <w:lang w:val="en-US" w:eastAsia="zh-CN"/>
        </w:rPr>
      </w:pPr>
      <w:r>
        <w:rPr>
          <w:rFonts w:hint="default"/>
          <w:b/>
          <w:bCs/>
          <w:lang w:val="en-US" w:eastAsia="zh-CN"/>
        </w:rPr>
        <w:t>控制温室气体排放。</w:t>
      </w:r>
      <w:r>
        <w:rPr>
          <w:rFonts w:hint="default"/>
          <w:lang w:val="en-US" w:eastAsia="zh-CN"/>
        </w:rPr>
        <w:t>控制工业、交通、建筑等重点领域二氧化碳排放，开展水泥生产原料替代技术，鼓励利用工业固体废物、转炉渣等非碳酸盐原料生产水泥。推动煤电、煤化工、钢铁、石化等行业开展二氧化碳捕集、利用与封存全流程示范工程。控制非二氧化碳温室气体排放，严格石化和化工行业无组织环境监测，建立工业非二氧化碳温室气体监测体系，减少无组织温室气体排放。</w:t>
      </w:r>
    </w:p>
    <w:p>
      <w:pPr>
        <w:rPr>
          <w:rFonts w:hint="default"/>
          <w:lang w:val="en-US" w:eastAsia="zh-CN"/>
        </w:rPr>
      </w:pPr>
      <w:r>
        <w:rPr>
          <w:rFonts w:hint="default"/>
          <w:b/>
          <w:bCs/>
          <w:lang w:val="en-US" w:eastAsia="zh-CN"/>
        </w:rPr>
        <w:t>加强低碳交通与建筑体系。</w:t>
      </w:r>
      <w:r>
        <w:rPr>
          <w:rFonts w:hint="default"/>
          <w:lang w:val="en-US" w:eastAsia="zh-CN"/>
        </w:rPr>
        <w:t>开展交通运输节能、发展低碳交通体系、加快充电基础设施建设，到2025年，“电-气”联合充电桩覆盖率达到80%以上，充电站覆盖率达到95%以上，加气站覆盖率达到85%以上。构建绿色低碳建筑体系，加快建筑节能改造，推行绿色建筑星级标准，推动可再生能源建筑应用，到2025年，城镇新建建筑中绿色建筑面积占比达到100%。</w:t>
      </w:r>
    </w:p>
    <w:p>
      <w:pPr>
        <w:rPr>
          <w:rFonts w:hint="default"/>
          <w:b/>
          <w:bCs/>
          <w:lang w:val="en-US" w:eastAsia="zh-CN"/>
        </w:rPr>
      </w:pPr>
      <w:r>
        <w:rPr>
          <w:rFonts w:hint="default"/>
          <w:b/>
          <w:bCs/>
          <w:lang w:val="en-US" w:eastAsia="zh-CN"/>
        </w:rPr>
        <w:t>（四）积极践行绿色低碳行动</w:t>
      </w:r>
    </w:p>
    <w:p>
      <w:pPr>
        <w:rPr>
          <w:rFonts w:hint="default"/>
          <w:lang w:val="en-US" w:eastAsia="zh-CN"/>
        </w:rPr>
      </w:pPr>
      <w:r>
        <w:rPr>
          <w:rFonts w:hint="default"/>
          <w:b/>
          <w:bCs/>
          <w:lang w:val="en-US" w:eastAsia="zh-CN"/>
        </w:rPr>
        <w:t>加大林草保护，增加林草碳汇。</w:t>
      </w:r>
      <w:r>
        <w:rPr>
          <w:rFonts w:hint="default"/>
          <w:lang w:val="en-US" w:eastAsia="zh-CN"/>
        </w:rPr>
        <w:t>加大林地保护力度，优化重点公益林和商品林结构，强化林业产业发展，加强公益林管理，提高现有林分质量，增加森林碳汇功能。加大草地保护力度与建设，增强草地碳汇功能，到 2025年底，全市森林蓄积量达到1600万立方米，完成造林面积18.2万亩，森林覆盖率达到48.5%，草地综合植被覆盖度达到88%。</w:t>
      </w:r>
    </w:p>
    <w:p>
      <w:pPr>
        <w:rPr>
          <w:rFonts w:hint="default"/>
          <w:lang w:val="en-US" w:eastAsia="zh-CN"/>
        </w:rPr>
      </w:pPr>
      <w:r>
        <w:rPr>
          <w:rFonts w:hint="default"/>
          <w:b/>
          <w:bCs/>
          <w:lang w:val="en-US" w:eastAsia="zh-CN"/>
        </w:rPr>
        <w:t>建设低碳示范点与工程。</w:t>
      </w:r>
      <w:r>
        <w:rPr>
          <w:rFonts w:hint="default"/>
          <w:lang w:val="en-US" w:eastAsia="zh-CN"/>
        </w:rPr>
        <w:t>推进低碳学校、低碳园区、低碳社区等建设。推进近零碳技术在能源、建筑、交通等重点领域的综合集成示范应用，推进CCUS试点在煤化工、火力发电、钢铁等行业示范应用。开展应对气候投融资基础工作，发布重点支持应对气候项目目录，完善气候信息披露制度，制定投资负面清单，引导更多资金投向应对气候变化领域的投资和融资活动，拒绝高碳投资，鼓励开展碳普惠试点建设。</w:t>
      </w:r>
    </w:p>
    <w:p>
      <w:pPr>
        <w:rPr>
          <w:rFonts w:hint="default"/>
          <w:lang w:val="en-US" w:eastAsia="zh-CN"/>
        </w:rPr>
      </w:pPr>
      <w:r>
        <w:rPr>
          <w:rFonts w:hint="default"/>
          <w:b/>
          <w:bCs/>
          <w:lang w:val="en-US" w:eastAsia="zh-CN"/>
        </w:rPr>
        <w:t>开展应对气候投融资基础工作。</w:t>
      </w:r>
      <w:r>
        <w:rPr>
          <w:rFonts w:hint="default"/>
          <w:lang w:val="en-US" w:eastAsia="zh-CN"/>
        </w:rPr>
        <w:t>发布重点支持应对气候项目目录，完善气候信息披露制度，制定投资负面清单，引导更多资金投向应对气候变化领域的投资和融资活动，拒绝高碳投资，鼓励开展碳普惠试点建设。</w:t>
      </w:r>
    </w:p>
    <w:p>
      <w:pPr>
        <w:pStyle w:val="2"/>
        <w:rPr>
          <w:rFonts w:hint="default"/>
          <w:lang w:val="en-US" w:eastAsia="zh-CN"/>
        </w:rPr>
      </w:pPr>
    </w:p>
    <w:tbl>
      <w:tblPr>
        <w:tblStyle w:val="22"/>
        <w:tblW w:w="9071" w:type="dxa"/>
        <w:tblInd w:w="0"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470" w:hRule="atLeast"/>
          <w:tblHeader/>
        </w:trPr>
        <w:tc>
          <w:tcPr>
            <w:tcW w:w="5000" w:type="pct"/>
            <w:noWrap/>
            <w:vAlign w:val="center"/>
          </w:tcPr>
          <w:p>
            <w:pPr>
              <w:pStyle w:val="66"/>
              <w:bidi w:val="0"/>
              <w:jc w:val="center"/>
              <w:rPr>
                <w:rFonts w:hint="default"/>
                <w:lang w:val="en-US" w:eastAsia="zh-CN"/>
              </w:rPr>
            </w:pPr>
            <w:r>
              <w:rPr>
                <w:rFonts w:hint="default"/>
                <w:b/>
                <w:bCs/>
                <w:sz w:val="24"/>
                <w:szCs w:val="24"/>
                <w:lang w:val="en-US" w:eastAsia="zh-CN"/>
              </w:rPr>
              <w:t>专栏二 应对气候变化重大工程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1706" w:hRule="atLeast"/>
          <w:tblHeader/>
        </w:trPr>
        <w:tc>
          <w:tcPr>
            <w:tcW w:w="5000" w:type="pct"/>
            <w:noWrap/>
            <w:vAlign w:val="center"/>
          </w:tcPr>
          <w:p>
            <w:pPr>
              <w:pStyle w:val="66"/>
              <w:bidi w:val="0"/>
              <w:rPr>
                <w:rFonts w:hint="default"/>
                <w:lang w:val="en-US" w:eastAsia="zh-CN"/>
              </w:rPr>
            </w:pPr>
            <w:r>
              <w:rPr>
                <w:rFonts w:hint="default"/>
                <w:lang w:val="en-US" w:eastAsia="zh-CN"/>
              </w:rPr>
              <w:t>（一）碳减排统计核算与达峰方案制定</w:t>
            </w:r>
          </w:p>
          <w:p>
            <w:pPr>
              <w:pStyle w:val="66"/>
              <w:bidi w:val="0"/>
              <w:rPr>
                <w:rFonts w:hint="default"/>
                <w:lang w:val="en-US" w:eastAsia="zh-CN"/>
              </w:rPr>
            </w:pPr>
            <w:r>
              <w:rPr>
                <w:rFonts w:hint="default"/>
                <w:lang w:val="en-US" w:eastAsia="zh-CN"/>
              </w:rPr>
              <w:t>编制鞍山市温室气体排放清单，编制鞍山市碳排放达峰行动方案</w:t>
            </w:r>
          </w:p>
          <w:p>
            <w:pPr>
              <w:pStyle w:val="66"/>
              <w:bidi w:val="0"/>
              <w:rPr>
                <w:rFonts w:hint="default"/>
                <w:lang w:val="en-US" w:eastAsia="zh-CN"/>
              </w:rPr>
            </w:pPr>
            <w:r>
              <w:rPr>
                <w:rFonts w:hint="default"/>
                <w:lang w:val="en-US" w:eastAsia="zh-CN"/>
              </w:rPr>
              <w:t>（二）碳减排工程</w:t>
            </w:r>
          </w:p>
          <w:p>
            <w:pPr>
              <w:pStyle w:val="66"/>
              <w:bidi w:val="0"/>
              <w:rPr>
                <w:rFonts w:hint="default"/>
                <w:lang w:val="en-US" w:eastAsia="zh-CN"/>
              </w:rPr>
            </w:pPr>
            <w:r>
              <w:rPr>
                <w:rFonts w:hint="eastAsia"/>
                <w:lang w:val="en-US" w:eastAsia="zh-CN"/>
              </w:rPr>
              <w:t>推进</w:t>
            </w:r>
            <w:r>
              <w:rPr>
                <w:rFonts w:hint="default"/>
                <w:lang w:val="en-US" w:eastAsia="zh-CN"/>
              </w:rPr>
              <w:t>近零碳技术在能源、建筑、交通等重点领域的综合集成示范应用</w:t>
            </w:r>
            <w:r>
              <w:rPr>
                <w:rFonts w:hint="eastAsia"/>
                <w:lang w:val="en-US" w:eastAsia="zh-CN"/>
              </w:rPr>
              <w:t>、</w:t>
            </w:r>
            <w:r>
              <w:rPr>
                <w:rFonts w:hint="default"/>
                <w:lang w:val="en-US" w:eastAsia="zh-CN"/>
              </w:rPr>
              <w:t>CCUS试点在煤化工、火力发电、钢铁等行业示范应用</w:t>
            </w:r>
            <w:r>
              <w:rPr>
                <w:rFonts w:hint="eastAsia"/>
                <w:lang w:val="en-US" w:eastAsia="zh-CN"/>
              </w:rPr>
              <w:t>。</w:t>
            </w:r>
          </w:p>
        </w:tc>
      </w:tr>
    </w:tbl>
    <w:p>
      <w:pPr>
        <w:pStyle w:val="47"/>
        <w:bidi w:val="0"/>
        <w:rPr>
          <w:rFonts w:hint="default"/>
          <w:b/>
          <w:bCs/>
          <w:lang w:val="en-US" w:eastAsia="zh-CN"/>
        </w:rPr>
      </w:pPr>
      <w:r>
        <w:rPr>
          <w:rFonts w:hint="default"/>
          <w:b/>
          <w:bCs/>
          <w:lang w:val="en-US" w:eastAsia="zh-CN"/>
        </w:rPr>
        <w:t>第三节 深化大气污染防治，提升大气环境质量</w:t>
      </w:r>
    </w:p>
    <w:p>
      <w:pPr>
        <w:rPr>
          <w:rFonts w:hint="default"/>
          <w:b/>
          <w:bCs/>
          <w:lang w:val="en-US" w:eastAsia="zh-CN"/>
        </w:rPr>
      </w:pPr>
      <w:r>
        <w:rPr>
          <w:rFonts w:hint="default"/>
          <w:b/>
          <w:bCs/>
          <w:lang w:val="en-US" w:eastAsia="zh-CN"/>
        </w:rPr>
        <w:t>（一）精准防控大气污染</w:t>
      </w:r>
    </w:p>
    <w:p>
      <w:pPr>
        <w:rPr>
          <w:rFonts w:hint="default"/>
          <w:lang w:val="en-US" w:eastAsia="zh-CN"/>
        </w:rPr>
      </w:pPr>
      <w:r>
        <w:rPr>
          <w:rFonts w:hint="default"/>
          <w:b/>
          <w:bCs/>
          <w:lang w:val="en-US" w:eastAsia="zh-CN"/>
        </w:rPr>
        <w:t>推进大气环境质量达标及持续改善。</w:t>
      </w:r>
      <w:r>
        <w:rPr>
          <w:rFonts w:hint="default"/>
          <w:lang w:val="en-US" w:eastAsia="zh-CN"/>
        </w:rPr>
        <w:t>编制大气环境质量限期达标规划，向社会公开空气质量达标路线图及污染防治重点任务，建立大气环境质量监测与污染源监测联动机制，加强秸秆焚烧视频监控系统建设，增强环境空气质量预测预警能力建设，建立大气污染源解析和污染源清单等工作常态化业务化机制，实现污染源精准管控。重点推进钢铁、菱镁、水泥、电厂热力等行业PM2.5、PM10总量减排，推动PM2.5与O3污染协同控制，到2025年O3得到有效控制，实现大气环境质量全面达标。</w:t>
      </w:r>
    </w:p>
    <w:p>
      <w:pPr>
        <w:rPr>
          <w:rFonts w:hint="default"/>
          <w:lang w:val="en-US" w:eastAsia="zh-CN"/>
        </w:rPr>
      </w:pPr>
      <w:r>
        <w:rPr>
          <w:rFonts w:hint="default"/>
          <w:b/>
          <w:bCs/>
          <w:lang w:val="en-US" w:eastAsia="zh-CN"/>
        </w:rPr>
        <w:t>健全重污染天气应对机制。</w:t>
      </w:r>
      <w:r>
        <w:rPr>
          <w:rFonts w:hint="default"/>
          <w:lang w:val="en-US" w:eastAsia="zh-CN"/>
        </w:rPr>
        <w:t>严格落实省、市、区（县）、企业四级重污染天气应急预案。强化市级应急预案与县区、企业应急预案对接。完善重污染天气预警应急启动、响应和解除机制，定期完善全市重污染天气应急预案，每年更新重污染天气重点行业企业应急减排名单，强化监督与效果评估，保障应急措施落实与完善。</w:t>
      </w:r>
    </w:p>
    <w:p>
      <w:pPr>
        <w:rPr>
          <w:rFonts w:hint="default"/>
          <w:b/>
          <w:bCs/>
          <w:lang w:val="en-US" w:eastAsia="zh-CN"/>
        </w:rPr>
      </w:pPr>
      <w:r>
        <w:rPr>
          <w:rFonts w:hint="default"/>
          <w:b/>
          <w:bCs/>
          <w:lang w:val="en-US" w:eastAsia="zh-CN"/>
        </w:rPr>
        <w:t>（二）深化固定源治理</w:t>
      </w:r>
    </w:p>
    <w:p>
      <w:pPr>
        <w:rPr>
          <w:rFonts w:hint="default"/>
          <w:lang w:val="en-US" w:eastAsia="zh-CN"/>
        </w:rPr>
      </w:pPr>
      <w:r>
        <w:rPr>
          <w:rFonts w:hint="default"/>
          <w:b/>
          <w:bCs/>
          <w:lang w:val="en-US" w:eastAsia="zh-CN"/>
        </w:rPr>
        <w:t>全面推动钢铁行业超低排放改造。</w:t>
      </w:r>
      <w:r>
        <w:rPr>
          <w:rFonts w:hint="default"/>
          <w:lang w:val="en-US" w:eastAsia="zh-CN"/>
        </w:rPr>
        <w:t>推进鞍钢集团、宝得钢铁、紫竹集团、后英钢铁、鞍山源鑫钢铁有限公司等超低排放改造，2023年底之前完成钢铁行业超低排放改造任务，钢铁企业在有组织排放、无组织排放和清洁运输方面全面达到超低排放标准要求。</w:t>
      </w:r>
    </w:p>
    <w:p>
      <w:pPr>
        <w:rPr>
          <w:rFonts w:hint="default"/>
          <w:lang w:val="en-US" w:eastAsia="zh-CN"/>
        </w:rPr>
      </w:pPr>
      <w:r>
        <w:rPr>
          <w:rFonts w:hint="default"/>
          <w:b/>
          <w:bCs/>
          <w:lang w:val="en-US" w:eastAsia="zh-CN"/>
        </w:rPr>
        <w:t>强化燃煤锅炉整治与清洁取暖。</w:t>
      </w:r>
      <w:r>
        <w:rPr>
          <w:rFonts w:hint="default"/>
          <w:lang w:val="en-US" w:eastAsia="zh-CN"/>
        </w:rPr>
        <w:t>开展城市建成区内20蒸吨/小时以上燃煤锅炉全面排查，逐步取消分散燃煤锅炉，严控新建燃煤锅炉，推动燃煤锅炉执行大气污染物特别排放限值。全面推进清洁供暖，坚持宜电则电、宜气则气、宜煤则煤、宜热则热原则，结合具体条件实施电能替代、天然气替代、集中供热替代、新能源替代及型煤替代等，加强供热热源和配套管网建设。</w:t>
      </w:r>
    </w:p>
    <w:p>
      <w:pPr>
        <w:rPr>
          <w:rFonts w:hint="default"/>
          <w:lang w:val="en-US" w:eastAsia="zh-CN"/>
        </w:rPr>
      </w:pPr>
      <w:r>
        <w:rPr>
          <w:rFonts w:hint="default"/>
          <w:b/>
          <w:bCs/>
          <w:lang w:val="en-US" w:eastAsia="zh-CN"/>
        </w:rPr>
        <w:t>深化工业炉窑治理。</w:t>
      </w:r>
      <w:r>
        <w:rPr>
          <w:rFonts w:hint="default"/>
          <w:lang w:val="en-US" w:eastAsia="zh-CN"/>
        </w:rPr>
        <w:t>按照“淘汰一批、替代一批、治理一批”的原则，坚持“突出重点、分类施策”，鼓励工业炉窑使用电、天然气、煤气等清洁能源。推进菱镁行业企业实施新型炉窑改造,重点整治海城、岫岩镁砂行业工业炉窑，推动工业炉窑全面实现污染物稳定达标排放。</w:t>
      </w:r>
    </w:p>
    <w:p>
      <w:pPr>
        <w:rPr>
          <w:rFonts w:hint="default"/>
          <w:lang w:val="en-US" w:eastAsia="zh-CN"/>
        </w:rPr>
      </w:pPr>
      <w:r>
        <w:rPr>
          <w:rFonts w:hint="default"/>
          <w:b/>
          <w:bCs/>
          <w:lang w:val="en-US" w:eastAsia="zh-CN"/>
        </w:rPr>
        <w:t>大力推进重点行业VOCs治理。</w:t>
      </w:r>
      <w:r>
        <w:rPr>
          <w:rFonts w:hint="default"/>
          <w:lang w:val="en-US" w:eastAsia="zh-CN"/>
        </w:rPr>
        <w:t>以臭氧污染高发期为重点，严控石化行业挥发性有机物(VOCs)污染，减少化工、金属表面处理和加工、涂装、有机化学原料制造、包装印刷、橡胶制品、油品储运销等重点行业及加油站等重点场所VOCs排放，有效控制VOCs排放总量。</w:t>
      </w:r>
    </w:p>
    <w:p>
      <w:pPr>
        <w:rPr>
          <w:rFonts w:hint="default"/>
          <w:b/>
          <w:bCs/>
          <w:lang w:val="en-US" w:eastAsia="zh-CN"/>
        </w:rPr>
      </w:pPr>
      <w:r>
        <w:rPr>
          <w:rFonts w:hint="default"/>
          <w:b/>
          <w:bCs/>
          <w:lang w:val="en-US" w:eastAsia="zh-CN"/>
        </w:rPr>
        <w:t>（三）强化移动源监管</w:t>
      </w:r>
    </w:p>
    <w:p>
      <w:pPr>
        <w:rPr>
          <w:rFonts w:hint="default"/>
          <w:lang w:val="en-US" w:eastAsia="zh-CN"/>
        </w:rPr>
      </w:pPr>
      <w:r>
        <w:rPr>
          <w:rFonts w:hint="default"/>
          <w:b/>
          <w:bCs/>
          <w:lang w:val="en-US" w:eastAsia="zh-CN"/>
        </w:rPr>
        <w:t>完善在用车检测维护制度，逐步执行国VI汽、柴油标准。</w:t>
      </w:r>
      <w:r>
        <w:rPr>
          <w:rFonts w:hint="default"/>
          <w:lang w:val="en-US" w:eastAsia="zh-CN"/>
        </w:rPr>
        <w:t>建立柴油车和非道路移动机械远程在线监控系统建设，完善“一车一档”，应用机动车遥感监测、抓拍黑烟车数据。开展新生产机动车、发动机、非道路移动机械监督检查，主要车（机）型系族年度抽检率达到80%以上，柴油车检测线现场检查全覆盖，柴油货车监督抽测比例不低于保有量的50%。非道路移动机械监督抽测比例不低于20 %，加速淘汰国三及以下营运柴油货车。</w:t>
      </w:r>
    </w:p>
    <w:p>
      <w:pPr>
        <w:rPr>
          <w:rFonts w:hint="default"/>
          <w:lang w:val="en-US" w:eastAsia="zh-CN"/>
        </w:rPr>
      </w:pPr>
      <w:r>
        <w:rPr>
          <w:rFonts w:hint="default"/>
          <w:b/>
          <w:bCs/>
          <w:lang w:val="en-US" w:eastAsia="zh-CN"/>
        </w:rPr>
        <w:t>（四）全面加强面源管控</w:t>
      </w:r>
    </w:p>
    <w:p>
      <w:pPr>
        <w:rPr>
          <w:rFonts w:hint="default"/>
          <w:lang w:val="en-US" w:eastAsia="zh-CN"/>
        </w:rPr>
      </w:pPr>
      <w:r>
        <w:rPr>
          <w:rFonts w:hint="default"/>
          <w:b/>
          <w:bCs/>
          <w:lang w:val="en-US" w:eastAsia="zh-CN"/>
        </w:rPr>
        <w:t>强化扬尘管控。</w:t>
      </w:r>
      <w:r>
        <w:rPr>
          <w:rFonts w:hint="default"/>
          <w:lang w:val="en-US" w:eastAsia="zh-CN"/>
        </w:rPr>
        <w:t>严格落实建筑工地“六个百分百”，加大对各县（市）区、开发区扬尘专项整治行动督促指导力度。城区及县城道路低尘机械化湿式清扫率稳定达到85%以上。加大城市出入口、城乡结合部等重要路段冲洗保洁力度。加大对矿山运输车辆、运输道路、矿物加工等扬尘防治。推进绿色矿山建设，实施矿山生态恢复工程，2025年底前完成全部可恢复矿山治理。彻底取缔占道经营砂石物料的经营场所，严厉查处车辆遗撒行为。全面开展建成区及县城裸露土地排查，争取实现城市裸露土地绿化全覆盖。</w:t>
      </w:r>
    </w:p>
    <w:p>
      <w:pPr>
        <w:rPr>
          <w:rFonts w:hint="default"/>
          <w:lang w:val="en-US" w:eastAsia="zh-CN"/>
        </w:rPr>
      </w:pPr>
      <w:r>
        <w:rPr>
          <w:rFonts w:hint="default"/>
          <w:b/>
          <w:bCs/>
          <w:lang w:val="en-US" w:eastAsia="zh-CN"/>
        </w:rPr>
        <w:t>严控各类焚烧污染。</w:t>
      </w:r>
      <w:r>
        <w:rPr>
          <w:rFonts w:hint="default"/>
          <w:lang w:val="en-US" w:eastAsia="zh-CN"/>
        </w:rPr>
        <w:t>严格落实秸秆禁烧管控措施，推进秸秆综合利用，落实秸秆离田要求；利用卫星遥感、高空瞭望等技术手段，建立秸秆焚烧监控体系；强化巡查督导，压实秸秆焚烧管控三级网格责任，严格责任追究。严格管控烟花爆竹燃放。根据空气质量改善要求，划定烟花爆竹禁放区域，禁止燃放烟花爆竹。严格管控祭祀焚烧行为。加强祭祀焚烧用品的源头管控，加大祭祀焚烧用品流通环节的执法检查力度，禁止祭祀焚烧用品流入市场；加强文明祭祀的宣传引导，倡导文明祭祀。</w:t>
      </w:r>
    </w:p>
    <w:p>
      <w:pPr>
        <w:rPr>
          <w:rFonts w:hint="default"/>
          <w:lang w:val="en-US" w:eastAsia="zh-CN"/>
        </w:rPr>
      </w:pPr>
      <w:r>
        <w:rPr>
          <w:rFonts w:hint="default"/>
          <w:b/>
          <w:bCs/>
          <w:lang w:val="en-US" w:eastAsia="zh-CN"/>
        </w:rPr>
        <w:t>开展油烟和露天烧烤专项整治。</w:t>
      </w:r>
      <w:r>
        <w:rPr>
          <w:rFonts w:hint="default"/>
          <w:lang w:val="en-US" w:eastAsia="zh-CN"/>
        </w:rPr>
        <w:t>推进餐饮油烟治理，餐饮企业油烟净化器做到应安尽安，并正常使用，实现油烟排放达标。强化露天烧烤监督监管，对未经许可占用城市道路、广场、绿地、居民区等公共场所从事店外露天烧烤、摆设大排档等行为进行专项整治，对配套设施不齐全、影响市容环境的露天烧烤点及时依法予以取缔。</w:t>
      </w:r>
    </w:p>
    <w:p>
      <w:pPr>
        <w:pStyle w:val="2"/>
        <w:rPr>
          <w:rFonts w:hint="default"/>
          <w:lang w:val="en-US" w:eastAsia="zh-CN"/>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jc w:val="center"/>
        </w:trPr>
        <w:tc>
          <w:tcPr>
            <w:tcW w:w="9071" w:type="dxa"/>
            <w:noWrap/>
            <w:vAlign w:val="center"/>
          </w:tcPr>
          <w:p>
            <w:pPr>
              <w:pStyle w:val="66"/>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sz w:val="24"/>
                <w:szCs w:val="24"/>
                <w:lang w:val="en-US" w:eastAsia="zh-CN"/>
              </w:rPr>
            </w:pPr>
            <w:r>
              <w:rPr>
                <w:rFonts w:hint="default"/>
                <w:b/>
                <w:bCs/>
                <w:sz w:val="24"/>
                <w:szCs w:val="24"/>
                <w:lang w:val="en-US" w:eastAsia="zh-CN"/>
              </w:rPr>
              <w:t>专栏三 蓝天工程项目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jc w:val="center"/>
        </w:trPr>
        <w:tc>
          <w:tcPr>
            <w:tcW w:w="9071" w:type="dxa"/>
            <w:noWrap/>
            <w:vAlign w:val="center"/>
          </w:tcPr>
          <w:p>
            <w:pPr>
              <w:pStyle w:val="66"/>
              <w:bidi w:val="0"/>
              <w:rPr>
                <w:rFonts w:hint="default"/>
                <w:lang w:val="zh-CN" w:eastAsia="zh-CN"/>
              </w:rPr>
            </w:pPr>
            <w:r>
              <w:rPr>
                <w:rFonts w:hint="default"/>
                <w:lang w:val="zh-CN" w:eastAsia="zh-CN"/>
              </w:rPr>
              <w:t>（</w:t>
            </w:r>
            <w:r>
              <w:rPr>
                <w:rFonts w:hint="eastAsia"/>
                <w:lang w:val="zh-CN" w:eastAsia="zh-CN"/>
              </w:rPr>
              <w:t>一</w:t>
            </w:r>
            <w:r>
              <w:rPr>
                <w:rFonts w:hint="default"/>
                <w:lang w:val="zh-CN" w:eastAsia="zh-CN"/>
              </w:rPr>
              <w:t>）</w:t>
            </w:r>
            <w:r>
              <w:rPr>
                <w:rFonts w:hint="eastAsia"/>
                <w:lang w:val="zh-CN" w:eastAsia="zh-CN"/>
              </w:rPr>
              <w:t>钢铁行业</w:t>
            </w:r>
            <w:r>
              <w:rPr>
                <w:rFonts w:hint="default"/>
                <w:lang w:val="zh-CN" w:eastAsia="zh-CN"/>
              </w:rPr>
              <w:t>超低排放改造工程</w:t>
            </w:r>
          </w:p>
          <w:p>
            <w:pPr>
              <w:pStyle w:val="66"/>
              <w:bidi w:val="0"/>
              <w:rPr>
                <w:rFonts w:hint="default"/>
                <w:lang w:val="en-US" w:eastAsia="zh-CN"/>
              </w:rPr>
            </w:pPr>
            <w:r>
              <w:rPr>
                <w:rFonts w:hint="default"/>
                <w:lang w:val="zh-CN" w:eastAsia="zh-CN"/>
              </w:rPr>
              <w:t>全面</w:t>
            </w:r>
            <w:r>
              <w:rPr>
                <w:rFonts w:hint="eastAsia"/>
                <w:lang w:val="zh-CN" w:eastAsia="zh-CN"/>
              </w:rPr>
              <w:t>推动海城市、千山区、经开区、铁西区钢铁企业</w:t>
            </w:r>
            <w:r>
              <w:rPr>
                <w:rFonts w:hint="default"/>
                <w:lang w:val="zh-CN" w:eastAsia="zh-CN"/>
              </w:rPr>
              <w:t>超低排放改造</w:t>
            </w:r>
            <w:r>
              <w:rPr>
                <w:rFonts w:hint="eastAsia"/>
                <w:lang w:val="zh-CN" w:eastAsia="zh-CN"/>
              </w:rPr>
              <w:t>项目</w:t>
            </w:r>
            <w:r>
              <w:rPr>
                <w:rFonts w:hint="eastAsia"/>
                <w:lang w:val="en-US" w:eastAsia="zh-CN"/>
              </w:rPr>
              <w:t>。</w:t>
            </w:r>
          </w:p>
          <w:p>
            <w:pPr>
              <w:pStyle w:val="66"/>
              <w:bidi w:val="0"/>
              <w:rPr>
                <w:rFonts w:hint="default"/>
                <w:lang w:val="en-US" w:eastAsia="zh-CN"/>
              </w:rPr>
            </w:pPr>
            <w:r>
              <w:rPr>
                <w:rFonts w:hint="default"/>
                <w:lang w:val="en-US" w:eastAsia="zh-CN"/>
              </w:rPr>
              <w:t>（</w:t>
            </w:r>
            <w:r>
              <w:rPr>
                <w:rFonts w:hint="eastAsia"/>
                <w:lang w:val="en-US" w:eastAsia="zh-CN"/>
              </w:rPr>
              <w:t>二</w:t>
            </w:r>
            <w:r>
              <w:rPr>
                <w:rFonts w:hint="default"/>
                <w:lang w:val="en-US" w:eastAsia="zh-CN"/>
              </w:rPr>
              <w:t>）工业炉窑综合整治工程</w:t>
            </w:r>
          </w:p>
          <w:p>
            <w:pPr>
              <w:pStyle w:val="66"/>
              <w:bidi w:val="0"/>
              <w:rPr>
                <w:rFonts w:hint="default"/>
                <w:lang w:val="en-US" w:eastAsia="zh-CN"/>
              </w:rPr>
            </w:pPr>
            <w:r>
              <w:rPr>
                <w:rFonts w:hint="eastAsia"/>
                <w:lang w:val="en-US" w:eastAsia="zh-CN"/>
              </w:rPr>
              <w:t>以镁砂行业工业</w:t>
            </w:r>
            <w:r>
              <w:rPr>
                <w:rFonts w:hint="default"/>
                <w:lang w:val="en-US" w:eastAsia="zh-CN"/>
              </w:rPr>
              <w:t>炉窑</w:t>
            </w:r>
            <w:r>
              <w:rPr>
                <w:rFonts w:hint="eastAsia"/>
                <w:lang w:val="en-US" w:eastAsia="zh-CN"/>
              </w:rPr>
              <w:t>治理为重点，</w:t>
            </w:r>
            <w:r>
              <w:rPr>
                <w:rFonts w:hint="default"/>
                <w:lang w:val="en-US" w:eastAsia="zh-CN"/>
              </w:rPr>
              <w:t>推动</w:t>
            </w:r>
            <w:r>
              <w:rPr>
                <w:rFonts w:hint="eastAsia"/>
                <w:lang w:val="en-US" w:eastAsia="zh-CN"/>
              </w:rPr>
              <w:t>海城市、岫岩县</w:t>
            </w:r>
            <w:r>
              <w:rPr>
                <w:rFonts w:hint="default"/>
                <w:lang w:val="en-US" w:eastAsia="zh-CN"/>
              </w:rPr>
              <w:t>工业炉窑</w:t>
            </w:r>
            <w:r>
              <w:rPr>
                <w:rFonts w:hint="eastAsia"/>
                <w:lang w:val="en-US" w:eastAsia="zh-CN"/>
              </w:rPr>
              <w:t>污染治理和</w:t>
            </w:r>
            <w:r>
              <w:rPr>
                <w:rFonts w:hint="default"/>
                <w:lang w:val="en-US" w:eastAsia="zh-CN"/>
              </w:rPr>
              <w:t>达标</w:t>
            </w:r>
            <w:r>
              <w:rPr>
                <w:rFonts w:hint="eastAsia"/>
                <w:lang w:val="en-US" w:eastAsia="zh-CN"/>
              </w:rPr>
              <w:t>监控</w:t>
            </w:r>
            <w:r>
              <w:rPr>
                <w:rFonts w:hint="default"/>
                <w:lang w:val="en-US" w:eastAsia="zh-CN"/>
              </w:rPr>
              <w:t>。</w:t>
            </w:r>
          </w:p>
          <w:p>
            <w:pPr>
              <w:pStyle w:val="66"/>
              <w:bidi w:val="0"/>
              <w:rPr>
                <w:rFonts w:hint="default"/>
                <w:lang w:val="en-US" w:eastAsia="zh-CN"/>
              </w:rPr>
            </w:pPr>
            <w:r>
              <w:rPr>
                <w:rFonts w:hint="default"/>
                <w:lang w:val="en-US" w:eastAsia="zh-CN"/>
              </w:rPr>
              <w:t>（</w:t>
            </w:r>
            <w:r>
              <w:rPr>
                <w:rFonts w:hint="eastAsia"/>
                <w:lang w:val="en-US" w:eastAsia="zh-CN"/>
              </w:rPr>
              <w:t>三</w:t>
            </w:r>
            <w:r>
              <w:rPr>
                <w:rFonts w:hint="default"/>
                <w:lang w:val="en-US" w:eastAsia="zh-CN"/>
              </w:rPr>
              <w:t>）重点行业挥发性有机物综合整治工程</w:t>
            </w:r>
          </w:p>
          <w:p>
            <w:pPr>
              <w:pStyle w:val="66"/>
              <w:bidi w:val="0"/>
              <w:rPr>
                <w:rFonts w:hint="default"/>
                <w:lang w:val="zh-CN" w:eastAsia="zh-CN"/>
              </w:rPr>
            </w:pPr>
            <w:r>
              <w:rPr>
                <w:rFonts w:hint="eastAsia"/>
                <w:lang w:val="zh-CN" w:eastAsia="zh-CN"/>
              </w:rPr>
              <w:t>重点</w:t>
            </w:r>
            <w:r>
              <w:rPr>
                <w:rFonts w:hint="default"/>
                <w:lang w:val="zh-CN" w:eastAsia="zh-CN"/>
              </w:rPr>
              <w:t>推动石化、化工</w:t>
            </w:r>
            <w:r>
              <w:rPr>
                <w:rFonts w:hint="default"/>
                <w:lang w:val="en-US" w:eastAsia="zh-CN"/>
              </w:rPr>
              <w:t>等重点行业企业61个挥发性有机物治理项目。</w:t>
            </w:r>
          </w:p>
          <w:p>
            <w:pPr>
              <w:pStyle w:val="66"/>
              <w:bidi w:val="0"/>
              <w:rPr>
                <w:rFonts w:hint="default"/>
                <w:lang w:val="en-US" w:eastAsia="zh-CN"/>
              </w:rPr>
            </w:pPr>
            <w:r>
              <w:rPr>
                <w:rFonts w:hint="default"/>
                <w:lang w:val="zh-CN" w:eastAsia="zh-CN"/>
              </w:rPr>
              <w:t>（</w:t>
            </w:r>
            <w:r>
              <w:rPr>
                <w:rFonts w:hint="eastAsia"/>
                <w:lang w:val="en-US" w:eastAsia="zh-CN"/>
              </w:rPr>
              <w:t>四</w:t>
            </w:r>
            <w:r>
              <w:rPr>
                <w:rFonts w:hint="default"/>
                <w:lang w:val="zh-CN" w:eastAsia="zh-CN"/>
              </w:rPr>
              <w:t>）重污染天气</w:t>
            </w:r>
            <w:r>
              <w:rPr>
                <w:rFonts w:hint="default"/>
                <w:lang w:val="en-US" w:eastAsia="zh-CN"/>
              </w:rPr>
              <w:t>应对</w:t>
            </w:r>
            <w:r>
              <w:rPr>
                <w:rFonts w:hint="eastAsia"/>
                <w:lang w:val="en-US" w:eastAsia="zh-CN"/>
              </w:rPr>
              <w:t>项目</w:t>
            </w:r>
          </w:p>
          <w:p>
            <w:pPr>
              <w:pStyle w:val="66"/>
              <w:bidi w:val="0"/>
              <w:rPr>
                <w:rFonts w:hint="default"/>
                <w:lang w:val="en-US" w:eastAsia="zh-CN"/>
              </w:rPr>
            </w:pPr>
            <w:r>
              <w:rPr>
                <w:rFonts w:hint="default"/>
                <w:lang w:val="en-US" w:eastAsia="zh-CN"/>
              </w:rPr>
              <w:t>完善重污染天气预警应急启动、响应和解除机制，定期完善全市重污染天气</w:t>
            </w:r>
            <w:r>
              <w:rPr>
                <w:rFonts w:hint="default"/>
                <w:lang w:val="zh-CN" w:eastAsia="zh-CN"/>
              </w:rPr>
              <w:t>应急预案，每年</w:t>
            </w:r>
            <w:r>
              <w:rPr>
                <w:rFonts w:hint="default"/>
                <w:lang w:val="en-US" w:eastAsia="zh-CN"/>
              </w:rPr>
              <w:t>更新重污染天气重点行业企业应急减排名单。</w:t>
            </w:r>
          </w:p>
        </w:tc>
      </w:tr>
    </w:tbl>
    <w:p>
      <w:pPr>
        <w:pStyle w:val="2"/>
        <w:rPr>
          <w:rFonts w:hint="default"/>
          <w:lang w:val="en-US" w:eastAsia="zh-CN"/>
        </w:rPr>
      </w:pPr>
    </w:p>
    <w:p>
      <w:pPr>
        <w:pStyle w:val="47"/>
        <w:bidi w:val="0"/>
        <w:rPr>
          <w:rFonts w:hint="default"/>
          <w:b/>
          <w:bCs/>
          <w:lang w:val="en-US" w:eastAsia="zh-CN"/>
        </w:rPr>
      </w:pPr>
      <w:r>
        <w:rPr>
          <w:rFonts w:hint="default"/>
          <w:b/>
          <w:bCs/>
          <w:lang w:val="en-US" w:eastAsia="zh-CN"/>
        </w:rPr>
        <w:t>第四节 强化“三水”统筹，全面改善水生态环境质量</w:t>
      </w:r>
    </w:p>
    <w:p>
      <w:pPr>
        <w:bidi w:val="0"/>
        <w:rPr>
          <w:rFonts w:hint="default"/>
          <w:b/>
          <w:bCs/>
          <w:lang w:val="en-US" w:eastAsia="zh-CN"/>
        </w:rPr>
      </w:pPr>
      <w:r>
        <w:rPr>
          <w:rFonts w:hint="default"/>
          <w:b/>
          <w:bCs/>
          <w:lang w:val="en-US" w:eastAsia="zh-CN"/>
        </w:rPr>
        <w:t>（一）强化水污染监管</w:t>
      </w:r>
    </w:p>
    <w:p>
      <w:pPr>
        <w:bidi w:val="0"/>
        <w:rPr>
          <w:rFonts w:hint="default"/>
          <w:lang w:val="en-US" w:eastAsia="zh-CN"/>
        </w:rPr>
      </w:pPr>
      <w:r>
        <w:rPr>
          <w:rFonts w:hint="default"/>
          <w:lang w:val="en-US" w:eastAsia="zh-CN"/>
        </w:rPr>
        <w:t>健全水污染治理长效机制。建立健全国家/省/市/县区/乡镇五级水环境管理体系，落实主体责任。推进沿河暗渠巡查管理机制，常态化检查和维护沿河排水暗渠、管网及强排泵站等设施。对污水处理设施运行以及河流水质变化情况实施跟踪巡查，聘用有资质的第三方对国、省控及市控断面所在河流日常监管提供技术和数据支撑。</w:t>
      </w:r>
    </w:p>
    <w:p>
      <w:pPr>
        <w:bidi w:val="0"/>
        <w:rPr>
          <w:rFonts w:hint="default"/>
          <w:lang w:val="en-US" w:eastAsia="zh-CN"/>
        </w:rPr>
      </w:pPr>
      <w:r>
        <w:rPr>
          <w:rFonts w:hint="default"/>
          <w:b/>
          <w:bCs/>
          <w:lang w:val="en-US" w:eastAsia="zh-CN"/>
        </w:rPr>
        <w:t>加强黑臭水体监督管理。</w:t>
      </w:r>
      <w:r>
        <w:rPr>
          <w:rFonts w:hint="default"/>
          <w:lang w:val="en-US" w:eastAsia="zh-CN"/>
        </w:rPr>
        <w:t>持续开展城市建成区内黑臭水体整治专项督查，定期实施交叉监测，巩固黑臭水体治理成果，基本消除劣V类水质断面。重点对台安县桑林镇黑臭水体进行整治，开展农村黑臭水体监督与管理，定期排查与整治农村黑臭水体。</w:t>
      </w:r>
    </w:p>
    <w:p>
      <w:pPr>
        <w:bidi w:val="0"/>
        <w:rPr>
          <w:rFonts w:hint="default"/>
          <w:lang w:val="en-US" w:eastAsia="zh-CN"/>
        </w:rPr>
      </w:pPr>
      <w:r>
        <w:rPr>
          <w:rFonts w:hint="default"/>
          <w:b/>
          <w:bCs/>
          <w:lang w:val="en-US" w:eastAsia="zh-CN"/>
        </w:rPr>
        <w:t>加强沿河污染管控。</w:t>
      </w:r>
      <w:r>
        <w:rPr>
          <w:rFonts w:hint="default"/>
          <w:lang w:val="en-US" w:eastAsia="zh-CN"/>
        </w:rPr>
        <w:t>加强沿河及园区工业企业监管力度，严查超标排污、非法偷排等问题。加强河道管理，及时清理河道、河面及河流沿岸的各类垃圾及漂浮物。加强沿河排放口管控，确保沿河两岸无违法排污。依据《鞍山市辽、浑、太干流及其支流畜禽禁（限）养区划定方案》，结合养殖场(小区)备案、环评审批、排污许可发放等工作，落实养殖户主体责任。强化监测和执法监管，彻底排查畜禽养殖污染源，杜绝畜禽养殖废水直排以及粪污乱堆乱放，严控禁养区内畜禽养殖污染。</w:t>
      </w:r>
    </w:p>
    <w:p>
      <w:pPr>
        <w:bidi w:val="0"/>
        <w:rPr>
          <w:rFonts w:hint="default"/>
          <w:lang w:val="en-US" w:eastAsia="zh-CN"/>
        </w:rPr>
      </w:pPr>
      <w:r>
        <w:rPr>
          <w:rFonts w:hint="default"/>
          <w:b/>
          <w:bCs/>
          <w:lang w:val="en-US" w:eastAsia="zh-CN"/>
        </w:rPr>
        <w:t>强化水污染智慧化监管。</w:t>
      </w:r>
      <w:r>
        <w:rPr>
          <w:rFonts w:hint="default"/>
          <w:lang w:val="en-US" w:eastAsia="zh-CN"/>
        </w:rPr>
        <w:t>建设“多源水环境数据库”、南沙河排水智慧监控平台系统。在跨区断面、重点排污口及流域管网重点位置设置自动采样点或视频监控，采集多源数据。强化污水治理设施过程监控，2023年底前市级工业集聚区污水处理设施全部安装自动在线监控装置，2025年底前县级工业集聚区污水处理设施全部安装自动在线监控装置。</w:t>
      </w:r>
    </w:p>
    <w:p>
      <w:pPr>
        <w:bidi w:val="0"/>
        <w:rPr>
          <w:rFonts w:hint="default"/>
          <w:b/>
          <w:bCs/>
          <w:lang w:val="en-US" w:eastAsia="zh-CN"/>
        </w:rPr>
      </w:pPr>
      <w:r>
        <w:rPr>
          <w:rFonts w:hint="default"/>
          <w:b/>
          <w:bCs/>
          <w:lang w:val="en-US" w:eastAsia="zh-CN"/>
        </w:rPr>
        <w:t>（二）深化水污染治理</w:t>
      </w:r>
    </w:p>
    <w:p>
      <w:pPr>
        <w:bidi w:val="0"/>
        <w:rPr>
          <w:rFonts w:hint="default"/>
          <w:lang w:val="en-US" w:eastAsia="zh-CN"/>
        </w:rPr>
      </w:pPr>
      <w:r>
        <w:rPr>
          <w:rFonts w:hint="default"/>
          <w:b/>
          <w:bCs/>
          <w:lang w:val="en-US" w:eastAsia="zh-CN"/>
        </w:rPr>
        <w:t>保障饮用水水源安全。</w:t>
      </w:r>
      <w:r>
        <w:rPr>
          <w:rFonts w:hint="default"/>
          <w:lang w:val="en-US" w:eastAsia="zh-CN"/>
        </w:rPr>
        <w:t>推进水源地规范化建设和环境整治，加大水源地环境隐患排查整治工作，杜绝新的污染源产生，确保“十四五”期间我市县级以上集中式饮用水水源水质均达到或好于《地下水质量标准》Ⅲ类标准，水源水质优良比例达到100%。加快农村乡镇级饮用水水源地保护区的划定、保护区边界标志设立、保护区内环境问题整治工作，持续提升农村饮水安全保障水平。</w:t>
      </w:r>
    </w:p>
    <w:p>
      <w:pPr>
        <w:bidi w:val="0"/>
        <w:rPr>
          <w:rFonts w:hint="default"/>
          <w:lang w:val="en-US" w:eastAsia="zh-CN"/>
        </w:rPr>
      </w:pPr>
      <w:r>
        <w:rPr>
          <w:rFonts w:hint="default"/>
          <w:b/>
          <w:bCs/>
          <w:lang w:val="en-US" w:eastAsia="zh-CN"/>
        </w:rPr>
        <w:t>实施排污口规范化整治。</w:t>
      </w:r>
      <w:r>
        <w:rPr>
          <w:rFonts w:hint="default"/>
          <w:lang w:val="en-US" w:eastAsia="zh-CN"/>
        </w:rPr>
        <w:t>按照“封堵一批、整治一批、规范一批”原则，对全市沿河重点排放口实施规范化设置，实施污水截流治理或雨污分流改造。对排污问题突出的排污口进行溯源，查清排污单位，厘清排污责任。实施入河排污口达标整治，优化流域干流及一级支流沿岸产业布局，将工业污染源纳入在线监控范围，全面推进工业园区污水处理设施建设和污水管网排查整治。2022年底前，基本完成全市流域汇水面积50平方公里以上一级支流排污口整治。2025年底前，基本完成全市浑太流域、大洋河流域入河（湖库）排污口整治，实现数字化管理。</w:t>
      </w:r>
    </w:p>
    <w:p>
      <w:pPr>
        <w:bidi w:val="0"/>
        <w:rPr>
          <w:rFonts w:hint="default"/>
          <w:lang w:val="en-US" w:eastAsia="zh-CN"/>
        </w:rPr>
      </w:pPr>
      <w:r>
        <w:rPr>
          <w:rFonts w:hint="default"/>
          <w:b/>
          <w:bCs/>
          <w:lang w:val="en-US" w:eastAsia="zh-CN"/>
        </w:rPr>
        <w:t>全面提升污水治理能力。</w:t>
      </w:r>
      <w:r>
        <w:rPr>
          <w:rFonts w:hint="default"/>
          <w:lang w:val="en-US" w:eastAsia="zh-CN"/>
        </w:rPr>
        <w:t>加快推进生活污水收集处理设施改造和建设，对东台污水处理厂、鞍山市西部第二污水处理厂等7座生活污水处理厂实施改建、扩建工程。2022年底前完成对达道湾、二污水等4座重点污水处理厂提标改造，使其排水满足河流水质达标要求。推动城市建成区污水管网全覆盖以及老旧污水管网改造和破损修复，全面推进城中村、老旧城区和城乡结合部的生活污水收集处理。加快现有合流制排水系统治理，新建城区、城镇、开发区排水管网实行雨污分流。</w:t>
      </w:r>
    </w:p>
    <w:p>
      <w:pPr>
        <w:bidi w:val="0"/>
        <w:rPr>
          <w:rFonts w:hint="default"/>
          <w:b/>
          <w:bCs/>
          <w:lang w:val="en-US" w:eastAsia="zh-CN"/>
        </w:rPr>
      </w:pPr>
      <w:r>
        <w:rPr>
          <w:rFonts w:hint="default"/>
          <w:b/>
          <w:bCs/>
          <w:lang w:val="en-US" w:eastAsia="zh-CN"/>
        </w:rPr>
        <w:t>（三）增强水资源管理</w:t>
      </w:r>
    </w:p>
    <w:p>
      <w:pPr>
        <w:bidi w:val="0"/>
        <w:rPr>
          <w:rFonts w:hint="default"/>
          <w:lang w:val="en-US" w:eastAsia="zh-CN"/>
        </w:rPr>
      </w:pPr>
      <w:r>
        <w:rPr>
          <w:rFonts w:hint="default"/>
          <w:b/>
          <w:bCs/>
          <w:lang w:val="en-US" w:eastAsia="zh-CN"/>
        </w:rPr>
        <w:t>加强河流水资源管理。</w:t>
      </w:r>
      <w:r>
        <w:rPr>
          <w:rFonts w:hint="default"/>
          <w:lang w:val="en-US" w:eastAsia="zh-CN"/>
        </w:rPr>
        <w:t>加强流域水生态基本流量保障工程建设和运行监管，统筹水文监测站布设尽可能与水质监测站保持一致，实施监测数据共享</w:t>
      </w:r>
      <w:r>
        <w:rPr>
          <w:rFonts w:hint="eastAsia"/>
          <w:lang w:val="en-US" w:eastAsia="zh-CN"/>
        </w:rPr>
        <w:t>；</w:t>
      </w:r>
      <w:r>
        <w:rPr>
          <w:rFonts w:hint="default"/>
          <w:lang w:val="en-US" w:eastAsia="zh-CN"/>
        </w:rPr>
        <w:t>推</w:t>
      </w:r>
      <w:r>
        <w:rPr>
          <w:rFonts w:hint="eastAsia"/>
          <w:lang w:val="en-US" w:eastAsia="zh-CN"/>
        </w:rPr>
        <w:t>进</w:t>
      </w:r>
      <w:r>
        <w:rPr>
          <w:rFonts w:hint="default"/>
          <w:lang w:val="en-US" w:eastAsia="zh-CN"/>
        </w:rPr>
        <w:t>水系连通工程项目</w:t>
      </w:r>
      <w:r>
        <w:rPr>
          <w:rFonts w:hint="eastAsia"/>
          <w:lang w:val="en-US" w:eastAsia="zh-CN"/>
        </w:rPr>
        <w:t>，</w:t>
      </w:r>
      <w:r>
        <w:rPr>
          <w:rFonts w:hint="default"/>
          <w:lang w:val="en-US" w:eastAsia="zh-CN"/>
        </w:rPr>
        <w:t>加强重点流域干支流源头水、闸坝、河道综合整治，增强流域涵养水源功能、水系连通性、河水流动性，保障重点流域干支流生态基本流量</w:t>
      </w:r>
      <w:r>
        <w:rPr>
          <w:rFonts w:hint="eastAsia"/>
          <w:lang w:val="en-US" w:eastAsia="zh-CN"/>
        </w:rPr>
        <w:t>；</w:t>
      </w:r>
      <w:r>
        <w:rPr>
          <w:rFonts w:hint="default"/>
          <w:lang w:val="en-US" w:eastAsia="zh-CN"/>
        </w:rPr>
        <w:t>因地制宜加强排灌沟渠建设和高效节水灌溉，推动高标准农田建设。</w:t>
      </w:r>
    </w:p>
    <w:p>
      <w:pPr>
        <w:bidi w:val="0"/>
        <w:rPr>
          <w:rFonts w:hint="default"/>
          <w:lang w:val="en-US" w:eastAsia="zh-CN"/>
        </w:rPr>
      </w:pPr>
      <w:r>
        <w:rPr>
          <w:rFonts w:hint="default"/>
          <w:b/>
          <w:bCs/>
          <w:lang w:val="en-US" w:eastAsia="zh-CN"/>
        </w:rPr>
        <w:t>加强浅层地温资源管理。</w:t>
      </w:r>
      <w:r>
        <w:rPr>
          <w:rFonts w:hint="default"/>
          <w:lang w:val="en-US" w:eastAsia="zh-CN"/>
        </w:rPr>
        <w:t>加强浅层地温资源有序开发和地源热泵使用规范管理。建立浅层地温资源监测与监管机制，做好地源热泵对地质、水资源、水环境影响的评估、监测和监管，确保该地区的地质环境、水资源、水环境免受破坏。</w:t>
      </w:r>
    </w:p>
    <w:p>
      <w:pPr>
        <w:bidi w:val="0"/>
        <w:rPr>
          <w:rFonts w:hint="default"/>
          <w:b/>
          <w:bCs/>
          <w:lang w:val="en-US" w:eastAsia="zh-CN"/>
        </w:rPr>
      </w:pPr>
      <w:r>
        <w:rPr>
          <w:rFonts w:hint="default"/>
          <w:b/>
          <w:bCs/>
          <w:lang w:val="en-US" w:eastAsia="zh-CN"/>
        </w:rPr>
        <w:t>（四）推动水生态保护修复</w:t>
      </w:r>
    </w:p>
    <w:p>
      <w:pPr>
        <w:bidi w:val="0"/>
        <w:rPr>
          <w:rFonts w:hint="default"/>
          <w:lang w:val="en-US" w:eastAsia="zh-CN"/>
        </w:rPr>
      </w:pPr>
      <w:r>
        <w:rPr>
          <w:rFonts w:hint="default"/>
          <w:b/>
          <w:bCs/>
          <w:lang w:val="en-US" w:eastAsia="zh-CN"/>
        </w:rPr>
        <w:t>持续开展河道生态环境综合整治。</w:t>
      </w:r>
      <w:r>
        <w:rPr>
          <w:rFonts w:hint="default"/>
          <w:lang w:val="en-US" w:eastAsia="zh-CN"/>
        </w:rPr>
        <w:t>实施南沙河、运粮河、杨柳河、五道河及小柳河等河流生态化改造、河道清淤等工程，推进省厅“25+X”重点管控工程实施，在运粮河、南沙河等流域因地制宜建设人工湿地，提升水体净化能力，确保河流水质改善并稳定达标。</w:t>
      </w:r>
    </w:p>
    <w:p>
      <w:pPr>
        <w:bidi w:val="0"/>
        <w:rPr>
          <w:rFonts w:hint="default"/>
          <w:lang w:val="en-US" w:eastAsia="zh-CN"/>
        </w:rPr>
      </w:pPr>
      <w:r>
        <w:rPr>
          <w:rFonts w:hint="default"/>
          <w:b/>
          <w:bCs/>
          <w:lang w:val="en-US" w:eastAsia="zh-CN"/>
        </w:rPr>
        <w:t>加强水源涵养与水土保持。</w:t>
      </w:r>
      <w:r>
        <w:rPr>
          <w:rFonts w:hint="default"/>
          <w:lang w:val="en-US" w:eastAsia="zh-CN"/>
        </w:rPr>
        <w:t>增强辽河干流及小柳河，太子河的南沙河、杨柳河、五道河、海城河中上游水土保持功能，大洋河水土保持与水源涵养功能，推进辽河、太子河、大洋河水源涵养、水土保持监督管护工作，开展大麦科湿地生态系统保护与修复，提高湿地生态系统功能。</w:t>
      </w:r>
    </w:p>
    <w:p>
      <w:pPr>
        <w:bidi w:val="0"/>
        <w:rPr>
          <w:rFonts w:hint="default"/>
          <w:lang w:val="en-US" w:eastAsia="zh-CN"/>
        </w:rPr>
      </w:pPr>
      <w:r>
        <w:rPr>
          <w:rFonts w:hint="default"/>
          <w:b/>
          <w:bCs/>
          <w:lang w:val="en-US" w:eastAsia="zh-CN"/>
        </w:rPr>
        <w:t>加强水生生物多样性保护。</w:t>
      </w:r>
      <w:r>
        <w:rPr>
          <w:rFonts w:hint="default"/>
          <w:lang w:val="en-US" w:eastAsia="zh-CN"/>
        </w:rPr>
        <w:t>以辽河国家公园台安段、大洋河流域为重点保护区域，打造带状生态廊道，打通水生生物栖息地之间连通性，加强大麦科湿地、大洋河流域鱼类、底栖生物、水生植物等土著生物多样性保护。</w:t>
      </w:r>
    </w:p>
    <w:p>
      <w:pPr>
        <w:pStyle w:val="2"/>
        <w:rPr>
          <w:rFonts w:hint="default"/>
          <w:lang w:val="en-US" w:eastAsia="zh-CN"/>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jc w:val="center"/>
        </w:trPr>
        <w:tc>
          <w:tcPr>
            <w:tcW w:w="9071" w:type="dxa"/>
            <w:noWrap/>
            <w:vAlign w:val="center"/>
          </w:tcPr>
          <w:p>
            <w:pPr>
              <w:keepNext w:val="0"/>
              <w:keepLines w:val="0"/>
              <w:pageBreakBefore w:val="0"/>
              <w:kinsoku/>
              <w:wordWrap/>
              <w:overflowPunct/>
              <w:topLinePunct w:val="0"/>
              <w:autoSpaceDE/>
              <w:autoSpaceDN/>
              <w:bidi w:val="0"/>
              <w:snapToGrid/>
              <w:spacing w:line="300" w:lineRule="auto"/>
              <w:ind w:firstLine="482" w:firstLineChars="200"/>
              <w:jc w:val="center"/>
              <w:rPr>
                <w:rFonts w:hint="default"/>
                <w:lang w:val="en-US" w:eastAsia="zh-CN"/>
              </w:rPr>
            </w:pPr>
            <w:r>
              <w:rPr>
                <w:rFonts w:hint="default" w:ascii="Times New Roman" w:hAnsi="Times New Roman" w:cs="Times New Roman"/>
                <w:b/>
                <w:bCs/>
                <w:sz w:val="24"/>
                <w:szCs w:val="24"/>
                <w:lang w:val="en-US" w:eastAsia="zh-CN"/>
              </w:rPr>
              <w:t>专栏四 碧水工程项目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jc w:val="center"/>
        </w:trPr>
        <w:tc>
          <w:tcPr>
            <w:tcW w:w="9071" w:type="dxa"/>
            <w:noWrap/>
            <w:vAlign w:val="center"/>
          </w:tcPr>
          <w:p>
            <w:pPr>
              <w:pStyle w:val="66"/>
              <w:bidi w:val="0"/>
              <w:rPr>
                <w:rFonts w:hint="default"/>
                <w:lang w:val="zh-CN" w:eastAsia="zh-CN"/>
              </w:rPr>
            </w:pPr>
            <w:r>
              <w:rPr>
                <w:rFonts w:hint="default"/>
                <w:lang w:val="zh-CN" w:eastAsia="zh-CN"/>
              </w:rPr>
              <w:t>（一）排污口规范化整治工程</w:t>
            </w:r>
          </w:p>
          <w:p>
            <w:pPr>
              <w:pStyle w:val="66"/>
              <w:bidi w:val="0"/>
              <w:rPr>
                <w:rFonts w:hint="default"/>
                <w:lang w:val="zh-CN" w:eastAsia="zh-CN"/>
              </w:rPr>
            </w:pPr>
            <w:r>
              <w:rPr>
                <w:rFonts w:hint="default"/>
                <w:lang w:val="zh-CN" w:eastAsia="zh-CN"/>
              </w:rPr>
              <w:t>实施入河暗渠排口规范化建设改造、污水排放口封堵、雨污分流改造、超标入河排污口溯源、入河排污口整治及规范化建设等工程。</w:t>
            </w:r>
          </w:p>
          <w:p>
            <w:pPr>
              <w:pStyle w:val="66"/>
              <w:bidi w:val="0"/>
              <w:rPr>
                <w:rFonts w:hint="default"/>
                <w:lang w:val="zh-CN" w:eastAsia="zh-CN"/>
              </w:rPr>
            </w:pPr>
            <w:r>
              <w:rPr>
                <w:rFonts w:hint="default"/>
                <w:lang w:val="zh-CN" w:eastAsia="zh-CN"/>
              </w:rPr>
              <w:t>（二）污水治理能力提升工程</w:t>
            </w:r>
          </w:p>
          <w:p>
            <w:pPr>
              <w:pStyle w:val="66"/>
              <w:bidi w:val="0"/>
              <w:rPr>
                <w:rFonts w:hint="default"/>
                <w:lang w:val="zh-CN" w:eastAsia="zh-CN"/>
              </w:rPr>
            </w:pPr>
            <w:r>
              <w:rPr>
                <w:rFonts w:hint="default"/>
                <w:lang w:val="zh-CN" w:eastAsia="zh-CN"/>
              </w:rPr>
              <w:t>推进海城城镇污水处理扩建、感王污水处理厂提标改造、判甲炉污水处理厂扩建及提标改造、台安农业高新技术产业园污水处理厂提标改造、东台污水处理厂二期扩建、岫岩县雅河办事处工业集聚区污水收集管网建设及改造等工程项目。</w:t>
            </w:r>
          </w:p>
          <w:p>
            <w:pPr>
              <w:pStyle w:val="66"/>
              <w:bidi w:val="0"/>
              <w:rPr>
                <w:rFonts w:hint="default"/>
                <w:lang w:val="zh-CN" w:eastAsia="zh-CN"/>
              </w:rPr>
            </w:pPr>
            <w:r>
              <w:rPr>
                <w:rFonts w:hint="default"/>
                <w:lang w:val="zh-CN" w:eastAsia="zh-CN"/>
              </w:rPr>
              <w:t>（三）加强黑臭水体监督和管理</w:t>
            </w:r>
          </w:p>
          <w:p>
            <w:pPr>
              <w:pStyle w:val="66"/>
              <w:bidi w:val="0"/>
              <w:rPr>
                <w:rFonts w:hint="default"/>
                <w:lang w:val="en-US" w:eastAsia="zh-CN"/>
              </w:rPr>
            </w:pPr>
            <w:r>
              <w:rPr>
                <w:rFonts w:hint="default"/>
                <w:lang w:val="zh-CN" w:eastAsia="zh-CN"/>
              </w:rPr>
              <w:t>持续开展城市建成区内黑臭水体整治专项督查，加强台安县桑林镇黑臭水体整治，开展农村黑臭水体监督与管理，定期排查与整治农村黑臭水体。</w:t>
            </w:r>
          </w:p>
        </w:tc>
      </w:tr>
    </w:tbl>
    <w:p>
      <w:pPr>
        <w:pStyle w:val="47"/>
        <w:bidi w:val="0"/>
        <w:rPr>
          <w:rFonts w:hint="default"/>
          <w:b/>
          <w:bCs/>
          <w:lang w:val="en-US" w:eastAsia="zh-CN"/>
        </w:rPr>
      </w:pPr>
      <w:r>
        <w:rPr>
          <w:rFonts w:hint="default"/>
          <w:b/>
          <w:bCs/>
          <w:lang w:val="en-US" w:eastAsia="zh-CN"/>
        </w:rPr>
        <w:t>第五节 加强土壤污染防范，推进农村环境综合整治</w:t>
      </w:r>
    </w:p>
    <w:p>
      <w:pPr>
        <w:bidi w:val="0"/>
        <w:rPr>
          <w:rFonts w:hint="default"/>
          <w:b/>
          <w:bCs/>
          <w:lang w:val="en-US" w:eastAsia="zh-CN"/>
        </w:rPr>
      </w:pPr>
      <w:r>
        <w:rPr>
          <w:rFonts w:hint="default"/>
          <w:b/>
          <w:bCs/>
          <w:lang w:val="en-US" w:eastAsia="zh-CN"/>
        </w:rPr>
        <w:t>（一）加强土壤污染防范体系建设</w:t>
      </w:r>
    </w:p>
    <w:p>
      <w:pPr>
        <w:bidi w:val="0"/>
        <w:rPr>
          <w:rFonts w:hint="default"/>
          <w:b w:val="0"/>
          <w:bCs w:val="0"/>
          <w:highlight w:val="none"/>
          <w:lang w:val="en-US" w:eastAsia="zh-CN"/>
        </w:rPr>
      </w:pPr>
      <w:r>
        <w:rPr>
          <w:rFonts w:hint="default"/>
          <w:b/>
          <w:bCs/>
          <w:highlight w:val="none"/>
          <w:lang w:val="en-US" w:eastAsia="zh-CN"/>
        </w:rPr>
        <w:t>加强空间布局管控</w:t>
      </w:r>
      <w:r>
        <w:rPr>
          <w:rFonts w:hint="eastAsia"/>
          <w:b/>
          <w:bCs/>
          <w:highlight w:val="none"/>
          <w:lang w:val="en-US" w:eastAsia="zh-CN"/>
        </w:rPr>
        <w:t>。</w:t>
      </w:r>
      <w:r>
        <w:rPr>
          <w:rFonts w:hint="default"/>
          <w:b w:val="0"/>
          <w:bCs w:val="0"/>
          <w:highlight w:val="none"/>
          <w:lang w:val="en-US" w:eastAsia="zh-CN"/>
        </w:rPr>
        <w:t>根据土壤污染状况和风险合理规划土地用途</w:t>
      </w:r>
      <w:r>
        <w:rPr>
          <w:rFonts w:hint="eastAsia"/>
          <w:b w:val="0"/>
          <w:bCs w:val="0"/>
          <w:highlight w:val="none"/>
          <w:lang w:val="en-US" w:eastAsia="zh-CN"/>
        </w:rPr>
        <w:t>，</w:t>
      </w:r>
      <w:r>
        <w:rPr>
          <w:rFonts w:hint="default"/>
          <w:b w:val="0"/>
          <w:bCs w:val="0"/>
          <w:highlight w:val="none"/>
          <w:lang w:val="en-US" w:eastAsia="zh-CN"/>
        </w:rPr>
        <w:t>永久基本农田集中区域禁止规划新建可能造成土壤污染的建设项目</w:t>
      </w:r>
      <w:r>
        <w:rPr>
          <w:rFonts w:hint="eastAsia"/>
          <w:b w:val="0"/>
          <w:bCs w:val="0"/>
          <w:highlight w:val="none"/>
          <w:lang w:val="en-US" w:eastAsia="zh-CN"/>
        </w:rPr>
        <w:t>，</w:t>
      </w:r>
      <w:r>
        <w:rPr>
          <w:rFonts w:hint="default"/>
          <w:b w:val="0"/>
          <w:bCs w:val="0"/>
          <w:highlight w:val="none"/>
          <w:lang w:val="en-US" w:eastAsia="zh-CN"/>
        </w:rPr>
        <w:t>居住区和学校、医院、疗养院、养老院等单位周边</w:t>
      </w:r>
      <w:r>
        <w:rPr>
          <w:rFonts w:hint="eastAsia"/>
          <w:b w:val="0"/>
          <w:bCs w:val="0"/>
          <w:highlight w:val="none"/>
          <w:lang w:val="en-US" w:eastAsia="zh-CN"/>
        </w:rPr>
        <w:t>，</w:t>
      </w:r>
      <w:r>
        <w:rPr>
          <w:rFonts w:hint="default"/>
          <w:b w:val="0"/>
          <w:bCs w:val="0"/>
          <w:highlight w:val="none"/>
          <w:lang w:val="en-US" w:eastAsia="zh-CN"/>
        </w:rPr>
        <w:t>禁止新 (改、扩)建可能造成土壤污染的建设项目</w:t>
      </w:r>
      <w:r>
        <w:rPr>
          <w:rFonts w:hint="eastAsia"/>
          <w:b w:val="0"/>
          <w:bCs w:val="0"/>
          <w:highlight w:val="none"/>
          <w:lang w:val="en-US" w:eastAsia="zh-CN"/>
        </w:rPr>
        <w:t>。</w:t>
      </w:r>
      <w:r>
        <w:rPr>
          <w:rFonts w:hint="default"/>
          <w:b w:val="0"/>
          <w:bCs w:val="0"/>
          <w:highlight w:val="none"/>
          <w:lang w:val="en-US" w:eastAsia="zh-CN"/>
        </w:rPr>
        <w:t>新 (改、扩)建涉及有毒有害物质可能造成土壤污染的建设项目</w:t>
      </w:r>
      <w:r>
        <w:rPr>
          <w:rFonts w:hint="eastAsia"/>
          <w:b w:val="0"/>
          <w:bCs w:val="0"/>
          <w:highlight w:val="none"/>
          <w:lang w:val="en-US" w:eastAsia="zh-CN"/>
        </w:rPr>
        <w:t>，</w:t>
      </w:r>
      <w:r>
        <w:rPr>
          <w:rFonts w:hint="default"/>
          <w:b w:val="0"/>
          <w:bCs w:val="0"/>
          <w:highlight w:val="none"/>
          <w:lang w:val="en-US" w:eastAsia="zh-CN"/>
        </w:rPr>
        <w:t>提出并落实土壤和地下水污染防治要求</w:t>
      </w:r>
      <w:r>
        <w:rPr>
          <w:rFonts w:hint="eastAsia"/>
          <w:b w:val="0"/>
          <w:bCs w:val="0"/>
          <w:highlight w:val="none"/>
          <w:lang w:val="en-US" w:eastAsia="zh-CN"/>
        </w:rPr>
        <w:t>。</w:t>
      </w:r>
    </w:p>
    <w:p>
      <w:pPr>
        <w:bidi w:val="0"/>
        <w:rPr>
          <w:rFonts w:hint="default"/>
          <w:b w:val="0"/>
          <w:bCs w:val="0"/>
          <w:highlight w:val="none"/>
          <w:lang w:val="en-US" w:eastAsia="zh-CN"/>
        </w:rPr>
      </w:pPr>
      <w:r>
        <w:rPr>
          <w:rFonts w:hint="default"/>
          <w:b/>
          <w:bCs/>
          <w:highlight w:val="none"/>
          <w:lang w:val="en-US" w:eastAsia="zh-CN"/>
        </w:rPr>
        <w:t>推进污染源头控制</w:t>
      </w:r>
      <w:r>
        <w:rPr>
          <w:rFonts w:hint="eastAsia"/>
          <w:b/>
          <w:bCs/>
          <w:highlight w:val="none"/>
          <w:lang w:val="en-US" w:eastAsia="zh-CN"/>
        </w:rPr>
        <w:t>。</w:t>
      </w:r>
      <w:r>
        <w:rPr>
          <w:rFonts w:hint="default"/>
          <w:b w:val="0"/>
          <w:bCs w:val="0"/>
          <w:highlight w:val="none"/>
          <w:lang w:val="en-US" w:eastAsia="zh-CN"/>
        </w:rPr>
        <w:t>严格重金属污染防控</w:t>
      </w:r>
      <w:r>
        <w:rPr>
          <w:rFonts w:hint="eastAsia"/>
          <w:b w:val="0"/>
          <w:bCs w:val="0"/>
          <w:highlight w:val="none"/>
          <w:lang w:val="en-US" w:eastAsia="zh-CN"/>
        </w:rPr>
        <w:t>，</w:t>
      </w:r>
      <w:r>
        <w:rPr>
          <w:rFonts w:hint="default"/>
          <w:b w:val="0"/>
          <w:bCs w:val="0"/>
          <w:highlight w:val="none"/>
          <w:lang w:val="en-US" w:eastAsia="zh-CN"/>
        </w:rPr>
        <w:t>持续推进耕地周边涉镉等重金属行业企业排查整治</w:t>
      </w:r>
      <w:r>
        <w:rPr>
          <w:rFonts w:hint="eastAsia"/>
          <w:b w:val="0"/>
          <w:bCs w:val="0"/>
          <w:highlight w:val="none"/>
          <w:lang w:val="en-US" w:eastAsia="zh-CN"/>
        </w:rPr>
        <w:t>，</w:t>
      </w:r>
      <w:r>
        <w:rPr>
          <w:rFonts w:hint="default"/>
          <w:b w:val="0"/>
          <w:bCs w:val="0"/>
          <w:highlight w:val="none"/>
          <w:lang w:val="en-US" w:eastAsia="zh-CN"/>
        </w:rPr>
        <w:t>动态更新污染源排查整治清单</w:t>
      </w:r>
      <w:r>
        <w:rPr>
          <w:rFonts w:hint="eastAsia"/>
          <w:b w:val="0"/>
          <w:bCs w:val="0"/>
          <w:highlight w:val="none"/>
          <w:lang w:val="en-US" w:eastAsia="zh-CN"/>
        </w:rPr>
        <w:t>，2025</w:t>
      </w:r>
      <w:r>
        <w:rPr>
          <w:rFonts w:hint="default"/>
          <w:b w:val="0"/>
          <w:bCs w:val="0"/>
          <w:highlight w:val="none"/>
          <w:lang w:val="en-US" w:eastAsia="zh-CN"/>
        </w:rPr>
        <w:t>年底前</w:t>
      </w:r>
      <w:r>
        <w:rPr>
          <w:rFonts w:hint="eastAsia"/>
          <w:b w:val="0"/>
          <w:bCs w:val="0"/>
          <w:highlight w:val="none"/>
          <w:lang w:val="en-US" w:eastAsia="zh-CN"/>
        </w:rPr>
        <w:t>，</w:t>
      </w:r>
      <w:r>
        <w:rPr>
          <w:rFonts w:hint="default"/>
          <w:b w:val="0"/>
          <w:bCs w:val="0"/>
          <w:highlight w:val="none"/>
          <w:lang w:val="en-US" w:eastAsia="zh-CN"/>
        </w:rPr>
        <w:t>涉镉等重金属行业企业全部实现水、大气污染物排放自动监测</w:t>
      </w:r>
      <w:r>
        <w:rPr>
          <w:rFonts w:hint="eastAsia"/>
          <w:b w:val="0"/>
          <w:bCs w:val="0"/>
          <w:highlight w:val="none"/>
          <w:lang w:val="en-US" w:eastAsia="zh-CN"/>
        </w:rPr>
        <w:t>。</w:t>
      </w:r>
    </w:p>
    <w:p>
      <w:pPr>
        <w:bidi w:val="0"/>
        <w:rPr>
          <w:rFonts w:hint="default"/>
          <w:lang w:val="en-US" w:eastAsia="zh-CN"/>
        </w:rPr>
      </w:pPr>
      <w:r>
        <w:rPr>
          <w:rFonts w:hint="default"/>
          <w:b/>
          <w:bCs/>
          <w:lang w:val="en-US" w:eastAsia="zh-CN"/>
        </w:rPr>
        <w:t>防范新增土壤污染。</w:t>
      </w:r>
      <w:r>
        <w:rPr>
          <w:rFonts w:hint="default"/>
          <w:lang w:val="en-US" w:eastAsia="zh-CN"/>
        </w:rPr>
        <w:t>定期更新土壤污染重点监管单位名录，建立地下水重点污染源清单，到2025年底，全市土壤污染重点监管单位排污许可证应当全部载明土壤和地下水污染防治要求。定期对土壤污染重点监管单位和地下水重点污染源周边土壤、地下水开展监督性监测。督促企业每年开展一次土壤及地下水环境自行监测。</w:t>
      </w:r>
    </w:p>
    <w:p>
      <w:pPr>
        <w:bidi w:val="0"/>
        <w:rPr>
          <w:rFonts w:hint="default"/>
          <w:lang w:val="en-US" w:eastAsia="zh-CN"/>
        </w:rPr>
      </w:pPr>
      <w:r>
        <w:rPr>
          <w:rFonts w:hint="default"/>
          <w:b/>
          <w:bCs/>
          <w:lang w:val="en-US" w:eastAsia="zh-CN"/>
        </w:rPr>
        <w:t>强化部门联动监管机制。</w:t>
      </w:r>
      <w:r>
        <w:rPr>
          <w:rFonts w:hint="default"/>
          <w:lang w:val="en-US" w:eastAsia="zh-CN"/>
        </w:rPr>
        <w:t>动态更新高风险区域监控点位，建立重点行业企业用地土壤污染状况调查和污染源普查成果数据平台，开展土壤污染健康风险评估，选取典型超筛选值农用地和建设用地开展评估。定期召开土壤污染联席会议，抓好相关部门和重点企业土壤污染防治相关法律法规宣贯，统筹推进全市土壤污染防治工作。重点加强建设用地准入管理，从土地征收、规划、出让等环节层层监管，确保土壤环境质量满足规划标准方可开发利用。</w:t>
      </w:r>
    </w:p>
    <w:p>
      <w:pPr>
        <w:bidi w:val="0"/>
        <w:rPr>
          <w:rFonts w:hint="default"/>
          <w:b/>
          <w:bCs/>
          <w:lang w:val="en-US" w:eastAsia="zh-CN"/>
        </w:rPr>
      </w:pPr>
      <w:r>
        <w:rPr>
          <w:rFonts w:hint="default"/>
          <w:b/>
          <w:bCs/>
          <w:lang w:val="en-US" w:eastAsia="zh-CN"/>
        </w:rPr>
        <w:t>（二）强化土壤安全利用</w:t>
      </w:r>
    </w:p>
    <w:p>
      <w:pPr>
        <w:bidi w:val="0"/>
        <w:rPr>
          <w:rFonts w:hint="default"/>
          <w:lang w:val="en-US" w:eastAsia="zh-CN"/>
        </w:rPr>
      </w:pPr>
      <w:r>
        <w:rPr>
          <w:rFonts w:hint="default"/>
          <w:b/>
          <w:bCs/>
          <w:lang w:val="en-US" w:eastAsia="zh-CN"/>
        </w:rPr>
        <w:t>强化耕地安全利用。</w:t>
      </w:r>
      <w:r>
        <w:rPr>
          <w:rFonts w:hint="default"/>
          <w:lang w:val="en-US" w:eastAsia="zh-CN"/>
        </w:rPr>
        <w:t>持续推进耕地周边涉镉等重金属行业企业排查整治，动态更新污染源排查整治清单。严格保护优先保护类农用地，确保其土壤环境质量不降。推广应用品种替代、水肥调控、土壤调理等技术，建立完善安全利用技术库和农作物种植推荐清单。加强严格管控类耕地监管，依法划定特定农产品禁止生产区域，鼓励采取种植结构调整、退耕还林还草等措施。自2021年起，每年制定年度安全利用工作方案，全面推进落实以县（市、区）为单位动态调整耕地土壤环境质量类别，完成省下达的安全利用和严格管控任务，受污染耕地安全利用率高于93%。</w:t>
      </w:r>
    </w:p>
    <w:p>
      <w:pPr>
        <w:bidi w:val="0"/>
        <w:rPr>
          <w:rFonts w:hint="default"/>
          <w:lang w:val="en-US" w:eastAsia="zh-CN"/>
        </w:rPr>
      </w:pPr>
      <w:r>
        <w:rPr>
          <w:rFonts w:hint="default"/>
          <w:b/>
          <w:bCs/>
          <w:lang w:val="en-US" w:eastAsia="zh-CN"/>
        </w:rPr>
        <w:t>有序实施建设用地风险管控。</w:t>
      </w:r>
      <w:r>
        <w:rPr>
          <w:rFonts w:hint="default"/>
          <w:lang w:val="en-US" w:eastAsia="zh-CN"/>
        </w:rPr>
        <w:t>实行建设用地土壤污染风险管控和修复名录制度。完成重点行业企业用地土壤污染状况调查成果集成与上报，印发优先管控地块名单，健全土壤和地下水环境基础数据库，加强部门间信息共享。强化土壤修复过程二次污染防控，加强重点地区危险化学品搬迁改造腾退土地污染风险管控和治理修复，督促矿山企业依法依规编制矿山地质环境保护与土地复垦方案。严格涉重金属企业环境准入管理，</w:t>
      </w:r>
      <w:r>
        <w:rPr>
          <w:rFonts w:hint="eastAsia"/>
          <w:lang w:val="en-US" w:eastAsia="zh-CN"/>
        </w:rPr>
        <w:t>对</w:t>
      </w:r>
      <w:r>
        <w:rPr>
          <w:rFonts w:hint="default"/>
          <w:lang w:val="en-US" w:eastAsia="zh-CN"/>
        </w:rPr>
        <w:t>新（改、扩）建涉重金属重点行业企业建设项目实施“</w:t>
      </w:r>
      <w:r>
        <w:rPr>
          <w:rFonts w:hint="eastAsia"/>
          <w:lang w:val="en-US" w:eastAsia="zh-CN"/>
        </w:rPr>
        <w:t>倍</w:t>
      </w:r>
      <w:r>
        <w:rPr>
          <w:rFonts w:hint="default"/>
          <w:lang w:val="en-US" w:eastAsia="zh-CN"/>
        </w:rPr>
        <w:t>量替代”。完善涉重金属重点行业企业清单，依法依规纳入重点排污单位名录，严格落实土壤污染防治和风险管控措施。</w:t>
      </w:r>
    </w:p>
    <w:p>
      <w:pPr>
        <w:bidi w:val="0"/>
        <w:rPr>
          <w:rFonts w:hint="default"/>
          <w:lang w:val="en-US" w:eastAsia="zh-CN"/>
        </w:rPr>
      </w:pPr>
      <w:r>
        <w:rPr>
          <w:rFonts w:hint="default"/>
          <w:b/>
          <w:bCs/>
          <w:lang w:val="en-US" w:eastAsia="zh-CN"/>
        </w:rPr>
        <w:t>推进土壤安全利用示范与修复工程。</w:t>
      </w:r>
      <w:r>
        <w:rPr>
          <w:rFonts w:hint="default"/>
          <w:lang w:val="en-US" w:eastAsia="zh-CN"/>
        </w:rPr>
        <w:t>推动区域受污染农用地安全利用示范，开展一批农用地安全利用示范工程。以有色金属矿山、石化污染场地、暂不开发的受污染建设地块为重点，按照“发现一块、管控一块”的原则，在重点区域、重点行业，实施一批风险管控和治理修复重点工程。对已经停产或废弃的工业企业污染地块进行土壤修复试点。2022年完成铁西区原炼油厂地块治理修复和原海城市铅锌冶炼厂污染地块安全利用；2025年前完成原鞍山市化工三厂地块1安全利用和原鞍山市化工一厂污染场地污染修复工程。</w:t>
      </w:r>
    </w:p>
    <w:p>
      <w:pPr>
        <w:bidi w:val="0"/>
        <w:rPr>
          <w:rFonts w:hint="default"/>
          <w:b/>
          <w:bCs/>
          <w:lang w:val="en-US" w:eastAsia="zh-CN"/>
        </w:rPr>
      </w:pPr>
      <w:r>
        <w:rPr>
          <w:rFonts w:hint="default"/>
          <w:b/>
          <w:bCs/>
          <w:lang w:val="en-US" w:eastAsia="zh-CN"/>
        </w:rPr>
        <w:t>（三）持续开展地下水风险管控</w:t>
      </w:r>
    </w:p>
    <w:p>
      <w:pPr>
        <w:bidi w:val="0"/>
        <w:rPr>
          <w:rFonts w:hint="default"/>
          <w:lang w:val="en-US" w:eastAsia="zh-CN"/>
        </w:rPr>
      </w:pPr>
      <w:r>
        <w:rPr>
          <w:rFonts w:hint="default"/>
          <w:lang w:val="en-US" w:eastAsia="zh-CN"/>
        </w:rPr>
        <w:t>推动地下水环境分区管理。以饮用水水源保护为核心，加强地下水型饮用水水源补给区保护，科学划定地下水污染防治重点区，强化地下水污染源及周边风险管控，选择典型区域，探索地下水污染防治重点区管控模式与配套政策。2022年底前，完成全市地下水污染防治分区划分项目，通过将全市地下水划分为污染保护区、防控区及治理区，并提出分区防治措施，为实施地下水污染源分类监管提供技术支撑。</w:t>
      </w:r>
    </w:p>
    <w:p>
      <w:pPr>
        <w:bidi w:val="0"/>
        <w:rPr>
          <w:rFonts w:hint="default"/>
          <w:lang w:val="en-US" w:eastAsia="zh-CN"/>
        </w:rPr>
      </w:pPr>
      <w:r>
        <w:rPr>
          <w:rFonts w:hint="default"/>
          <w:b/>
          <w:bCs/>
          <w:lang w:val="en-US" w:eastAsia="zh-CN"/>
        </w:rPr>
        <w:t>推进地下水污染调查评估。</w:t>
      </w:r>
      <w:r>
        <w:rPr>
          <w:rFonts w:hint="default"/>
          <w:lang w:val="en-US" w:eastAsia="zh-CN"/>
        </w:rPr>
        <w:t>持续开展“双源”（地下水型饮用水源和重点污染源）地下水环境状况调查评估，排查城镇地下水型饮用水水源污染风险。开展污染源周边地下水环境状况评估，对化学品生产企业、工业集聚区 、尾矿库、矿山开采区、危险废物处置场、垃圾填埋场等地下水污染源及周边区域，开展地下水环境状况专项调查，评估地下水环境污染风险。2021年完成化工园区地下水环境状况调查评估。2023年底前，完成危险废物填埋场地下水环境状况调查评估。2025年底前，完成一批其他污染源地下水环境状况调查评估。完善联动监管机制，联合开展区域地下水污染成因、趋势分析和区域地下水污染防治区划、管控等工作。到2025年，实现地下水环境“一张图”管理。</w:t>
      </w:r>
    </w:p>
    <w:p>
      <w:pPr>
        <w:bidi w:val="0"/>
        <w:rPr>
          <w:rFonts w:hint="default"/>
          <w:lang w:val="en-US" w:eastAsia="zh-CN"/>
        </w:rPr>
      </w:pPr>
      <w:r>
        <w:rPr>
          <w:rFonts w:hint="default"/>
          <w:b/>
          <w:bCs/>
          <w:lang w:val="en-US" w:eastAsia="zh-CN"/>
        </w:rPr>
        <w:t>加强地下水环境风险管控。</w:t>
      </w:r>
      <w:r>
        <w:rPr>
          <w:rFonts w:hint="default"/>
          <w:lang w:val="en-US" w:eastAsia="zh-CN"/>
        </w:rPr>
        <w:t>加强地下水污染源头防治，202</w:t>
      </w:r>
      <w:r>
        <w:rPr>
          <w:rFonts w:hint="eastAsia"/>
          <w:lang w:val="en-US" w:eastAsia="zh-CN"/>
        </w:rPr>
        <w:t>1</w:t>
      </w:r>
      <w:r>
        <w:rPr>
          <w:rFonts w:hint="default"/>
          <w:lang w:val="en-US" w:eastAsia="zh-CN"/>
        </w:rPr>
        <w:t>年起，化学品生产企业、危险废物处置场、垃圾填埋场等申领排污许可证时，载明地下水污染防渗和水质监测相关义务，采取防渗防漏等措施，建设地下水水质监测井并进行监测。2025年底前，完成石油加工、化工、焦化工业集聚区重点区域地下水污染风险管控。</w:t>
      </w:r>
    </w:p>
    <w:p>
      <w:pPr>
        <w:bidi w:val="0"/>
        <w:rPr>
          <w:rFonts w:hint="default"/>
          <w:b/>
          <w:bCs/>
          <w:lang w:val="en-US" w:eastAsia="zh-CN"/>
        </w:rPr>
      </w:pPr>
      <w:r>
        <w:rPr>
          <w:rFonts w:hint="default"/>
          <w:b/>
          <w:bCs/>
          <w:lang w:val="en-US" w:eastAsia="zh-CN"/>
        </w:rPr>
        <w:t>（四）深入推进农村环境整治</w:t>
      </w:r>
    </w:p>
    <w:p>
      <w:pPr>
        <w:bidi w:val="0"/>
        <w:rPr>
          <w:rFonts w:hint="default"/>
          <w:lang w:val="en-US" w:eastAsia="zh-CN"/>
        </w:rPr>
      </w:pPr>
      <w:r>
        <w:rPr>
          <w:rFonts w:hint="default"/>
          <w:b/>
          <w:bCs/>
          <w:lang w:val="en-US" w:eastAsia="zh-CN"/>
        </w:rPr>
        <w:t>加强农村人居环境整治。</w:t>
      </w:r>
      <w:r>
        <w:rPr>
          <w:rFonts w:hint="default"/>
          <w:lang w:val="en-US" w:eastAsia="zh-CN"/>
        </w:rPr>
        <w:t>建立健全“户分类、村收集、镇转运、市（县）处理”的垃圾收运处置体系，加快补齐垃圾收、运、治理设施短板。推行城乡一体化、政府购买服务等多元化垃圾收集与处理模式。2023 年，稳步解决“垃圾围村”、“垃圾入河”等相关问题。2025年，农村生活垃圾收运处置体系实现全覆盖，农村生活垃圾处置覆盖率达到90%。因地制宜、因村施策治理农村生活污水，有条件的村庄实行生活污水处理设施全覆盖，2021年已建成的农村生活污水治理设施运行率达到90%，2025年，全市农村生活污水治理率达到35%以上。</w:t>
      </w:r>
    </w:p>
    <w:p>
      <w:pPr>
        <w:bidi w:val="0"/>
        <w:rPr>
          <w:rFonts w:hint="default"/>
          <w:lang w:val="en-US" w:eastAsia="zh-CN"/>
        </w:rPr>
      </w:pPr>
      <w:r>
        <w:rPr>
          <w:rFonts w:hint="default"/>
          <w:b/>
          <w:bCs/>
          <w:lang w:val="en-US" w:eastAsia="zh-CN"/>
        </w:rPr>
        <w:t>强化农村人居环境监管。</w:t>
      </w:r>
      <w:r>
        <w:rPr>
          <w:rFonts w:hint="default"/>
          <w:lang w:val="en-US" w:eastAsia="zh-CN"/>
        </w:rPr>
        <w:t>建立健全基于制度、标准、队伍、经费的农村生态环境保护长效机制，明确农村生态环境保护责任，建立台账管理机制，推动政府推进、村民自治的农村生态环境治理模式，完善奖补与帮扶机制。到2025年，建立农村生活污水处理设施运维绩效考核管理机制，污水处理设施运行财政保障清单，全面推广农村污水治理设施社会化运维，经费由县级财政保障，县（区）为主，省、市予以适当补助。</w:t>
      </w:r>
    </w:p>
    <w:p>
      <w:pPr>
        <w:bidi w:val="0"/>
        <w:rPr>
          <w:rFonts w:hint="default"/>
          <w:lang w:val="en-US" w:eastAsia="zh-CN"/>
        </w:rPr>
      </w:pPr>
      <w:r>
        <w:rPr>
          <w:rFonts w:hint="default"/>
          <w:b/>
          <w:bCs/>
          <w:lang w:val="en-US" w:eastAsia="zh-CN"/>
        </w:rPr>
        <w:t>加强农业面源污染防治。</w:t>
      </w:r>
      <w:r>
        <w:rPr>
          <w:rFonts w:hint="default"/>
          <w:lang w:val="en-US" w:eastAsia="zh-CN"/>
        </w:rPr>
        <w:t>采取多种形式指导农户施肥，推进化肥减量增效。大力推进农业病虫害统防统治工作，示范推广绿色防控技术措施，减少农药使用量，提高农药利用率。加强秸秆与农用地膜综合利用，建立辐射周边区域秸秆综合利技术与途径，提高秸秆综合利用率，2025年底前，秸秆综合利用率达到90%以上。推进台安县、海城市农田残留地膜、农药化肥塑料包装物等清理整治工作，实现地膜残留量零增长。加强畜禽养殖粪污治理与资源化，重点健全粪肥还田监管体系和制度，推进畜禽养殖废弃物资源化利用，规范畜禽养殖禁养区划定与管理，推进规模畜禽养殖场配套建设粪污处理设施。畜禽养殖大县编制完成畜禽养殖污染防治规划，到2025年，畜禽粪污资源化利用率达到80%以上，基本实现清洁生产、健康养殖。</w:t>
      </w:r>
    </w:p>
    <w:p>
      <w:pPr>
        <w:pStyle w:val="2"/>
        <w:rPr>
          <w:rFonts w:hint="default"/>
          <w:lang w:val="en-US" w:eastAsia="zh-CN"/>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jc w:val="center"/>
        </w:trPr>
        <w:tc>
          <w:tcPr>
            <w:tcW w:w="9071" w:type="dxa"/>
            <w:noWrap/>
            <w:vAlign w:val="center"/>
          </w:tcPr>
          <w:p>
            <w:pPr>
              <w:keepNext w:val="0"/>
              <w:keepLines w:val="0"/>
              <w:pageBreakBefore w:val="0"/>
              <w:kinsoku/>
              <w:wordWrap/>
              <w:overflowPunct/>
              <w:topLinePunct w:val="0"/>
              <w:autoSpaceDE/>
              <w:autoSpaceDN/>
              <w:bidi w:val="0"/>
              <w:snapToGrid/>
              <w:spacing w:line="300" w:lineRule="auto"/>
              <w:ind w:firstLine="482" w:firstLineChars="200"/>
              <w:jc w:val="center"/>
              <w:rPr>
                <w:rFonts w:hint="default"/>
                <w:lang w:val="en-US" w:eastAsia="zh-CN"/>
              </w:rPr>
            </w:pPr>
            <w:r>
              <w:rPr>
                <w:rFonts w:hint="default" w:ascii="Times New Roman" w:hAnsi="Times New Roman" w:cs="Times New Roman"/>
                <w:b/>
                <w:bCs/>
                <w:sz w:val="24"/>
                <w:szCs w:val="24"/>
                <w:lang w:val="en-US" w:eastAsia="zh-CN"/>
              </w:rPr>
              <w:t>专栏五 净土工程</w:t>
            </w:r>
            <w:r>
              <w:rPr>
                <w:rFonts w:hint="eastAsia" w:ascii="Times New Roman" w:hAnsi="Times New Roman" w:cs="Times New Roman"/>
                <w:b/>
                <w:bCs/>
                <w:sz w:val="24"/>
                <w:szCs w:val="24"/>
                <w:lang w:val="en-US" w:eastAsia="zh-CN"/>
              </w:rPr>
              <w:t>与</w:t>
            </w:r>
            <w:r>
              <w:rPr>
                <w:rFonts w:hint="default" w:ascii="Times New Roman" w:hAnsi="Times New Roman" w:cs="Times New Roman"/>
                <w:b/>
                <w:bCs/>
                <w:sz w:val="24"/>
                <w:szCs w:val="24"/>
                <w:lang w:val="en-US" w:eastAsia="zh-CN"/>
              </w:rPr>
              <w:t>农村环境综合整治工程项目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jc w:val="center"/>
        </w:trPr>
        <w:tc>
          <w:tcPr>
            <w:tcW w:w="9071" w:type="dxa"/>
            <w:noWrap/>
            <w:vAlign w:val="center"/>
          </w:tcPr>
          <w:p>
            <w:pPr>
              <w:pStyle w:val="66"/>
              <w:bidi w:val="0"/>
              <w:rPr>
                <w:rFonts w:hint="default"/>
                <w:lang w:val="zh-CN" w:eastAsia="zh-CN"/>
              </w:rPr>
            </w:pPr>
            <w:r>
              <w:rPr>
                <w:rFonts w:hint="default"/>
                <w:lang w:val="zh-CN" w:eastAsia="zh-CN"/>
              </w:rPr>
              <w:t>（一）土壤污染风险管控和修复工程</w:t>
            </w:r>
          </w:p>
          <w:p>
            <w:pPr>
              <w:pStyle w:val="66"/>
              <w:bidi w:val="0"/>
              <w:rPr>
                <w:rFonts w:hint="default"/>
                <w:lang w:val="zh-CN" w:eastAsia="zh-CN"/>
              </w:rPr>
            </w:pPr>
            <w:r>
              <w:rPr>
                <w:rFonts w:hint="default"/>
                <w:lang w:val="zh-CN" w:eastAsia="zh-CN"/>
              </w:rPr>
              <w:t>开展化工园区、生活垃圾填埋场地下水环境状况调查评估、海城市铅锌冶炼厂排查整治、化工企业地块土壤污染修复等项目。</w:t>
            </w:r>
          </w:p>
          <w:p>
            <w:pPr>
              <w:pStyle w:val="66"/>
              <w:bidi w:val="0"/>
              <w:rPr>
                <w:rFonts w:hint="default"/>
                <w:lang w:val="zh-CN" w:eastAsia="zh-CN"/>
              </w:rPr>
            </w:pPr>
            <w:r>
              <w:rPr>
                <w:rFonts w:hint="default"/>
                <w:lang w:val="zh-CN" w:eastAsia="zh-CN"/>
              </w:rPr>
              <w:t>（二）地下水污染风险管控工程</w:t>
            </w:r>
          </w:p>
          <w:p>
            <w:pPr>
              <w:pStyle w:val="66"/>
              <w:bidi w:val="0"/>
              <w:rPr>
                <w:rFonts w:hint="default"/>
                <w:lang w:val="zh-CN" w:eastAsia="zh-CN"/>
              </w:rPr>
            </w:pPr>
            <w:r>
              <w:rPr>
                <w:rFonts w:hint="default"/>
                <w:lang w:val="zh-CN" w:eastAsia="zh-CN"/>
              </w:rPr>
              <w:t>开展全市地下水污染防治分区划分项目，实施石油加工、化工、焦化工业集聚区重点区域地下水污染风险管控等项目。</w:t>
            </w:r>
          </w:p>
          <w:p>
            <w:pPr>
              <w:pStyle w:val="66"/>
              <w:bidi w:val="0"/>
              <w:rPr>
                <w:rFonts w:hint="default"/>
                <w:lang w:val="zh-CN" w:eastAsia="zh-CN"/>
              </w:rPr>
            </w:pPr>
            <w:r>
              <w:rPr>
                <w:rFonts w:hint="default"/>
                <w:lang w:val="zh-CN" w:eastAsia="zh-CN"/>
              </w:rPr>
              <w:t>（三）农村环境综合整治工程</w:t>
            </w:r>
          </w:p>
          <w:p>
            <w:pPr>
              <w:pStyle w:val="66"/>
              <w:bidi w:val="0"/>
              <w:rPr>
                <w:rFonts w:hint="default"/>
                <w:lang w:val="zh-CN" w:eastAsia="zh-CN"/>
              </w:rPr>
            </w:pPr>
            <w:r>
              <w:rPr>
                <w:rFonts w:hint="default"/>
                <w:lang w:val="zh-CN" w:eastAsia="zh-CN"/>
              </w:rPr>
              <w:t>开展经开区城乡生活垃圾治理及环卫设施建设、海城市农村人居环境综合整治、千山镇谷首峪村垃圾转运点改建工程、台安县农村生活污水治理等工程项目。</w:t>
            </w:r>
          </w:p>
          <w:p>
            <w:pPr>
              <w:pStyle w:val="66"/>
              <w:bidi w:val="0"/>
              <w:rPr>
                <w:rFonts w:hint="default"/>
                <w:lang w:val="zh-CN" w:eastAsia="zh-CN"/>
              </w:rPr>
            </w:pPr>
            <w:r>
              <w:rPr>
                <w:rFonts w:hint="default"/>
                <w:lang w:val="zh-CN" w:eastAsia="zh-CN"/>
              </w:rPr>
              <w:t>（四）农业废弃物资源化利用工程</w:t>
            </w:r>
          </w:p>
          <w:p>
            <w:pPr>
              <w:pStyle w:val="66"/>
              <w:bidi w:val="0"/>
              <w:rPr>
                <w:rFonts w:hint="default"/>
                <w:lang w:val="en-US" w:eastAsia="zh-CN"/>
              </w:rPr>
            </w:pPr>
            <w:r>
              <w:rPr>
                <w:rFonts w:hint="default"/>
                <w:lang w:val="zh-CN" w:eastAsia="zh-CN"/>
              </w:rPr>
              <w:t>开展秸秆与农用地膜综合利用、畜禽养殖粪污治理与资源化，推进台安县化肥减量增效有关技术示范等工程项目。</w:t>
            </w:r>
          </w:p>
        </w:tc>
      </w:tr>
    </w:tbl>
    <w:p>
      <w:pPr>
        <w:pStyle w:val="47"/>
        <w:bidi w:val="0"/>
        <w:rPr>
          <w:rFonts w:hint="default"/>
          <w:b/>
          <w:bCs/>
          <w:lang w:val="en-US" w:eastAsia="zh-CN"/>
        </w:rPr>
      </w:pPr>
      <w:r>
        <w:rPr>
          <w:rFonts w:hint="default"/>
          <w:b/>
          <w:bCs/>
          <w:lang w:val="en-US" w:eastAsia="zh-CN"/>
        </w:rPr>
        <w:t>第六节 夯实生态保护修复，构筑生态安全屏障</w:t>
      </w:r>
    </w:p>
    <w:p>
      <w:pPr>
        <w:bidi w:val="0"/>
        <w:rPr>
          <w:rFonts w:hint="default"/>
          <w:b/>
          <w:bCs/>
          <w:lang w:val="en-US" w:eastAsia="zh-CN"/>
        </w:rPr>
      </w:pPr>
      <w:r>
        <w:rPr>
          <w:rFonts w:hint="default"/>
          <w:b/>
          <w:bCs/>
          <w:lang w:val="en-US" w:eastAsia="zh-CN"/>
        </w:rPr>
        <w:t>（一）筑牢生态安全格局</w:t>
      </w:r>
    </w:p>
    <w:p>
      <w:pPr>
        <w:bidi w:val="0"/>
        <w:rPr>
          <w:rFonts w:hint="default"/>
          <w:lang w:val="en-US" w:eastAsia="zh-CN"/>
        </w:rPr>
      </w:pPr>
      <w:r>
        <w:rPr>
          <w:rFonts w:hint="default"/>
          <w:b/>
          <w:bCs/>
          <w:lang w:val="en-US" w:eastAsia="zh-CN"/>
        </w:rPr>
        <w:t>守住自然生态安全边界。</w:t>
      </w:r>
      <w:r>
        <w:rPr>
          <w:rFonts w:hint="default"/>
          <w:lang w:val="en-US" w:eastAsia="zh-CN"/>
        </w:rPr>
        <w:t>筑牢以生态保护红线为骨架，以自然保护地为节点的生态安全格局，严守生态保护红线，守住自然生态安全边界。筑牢东南部山地丘陵区的水土保持和生物多样性安全屏障、西北防护林生态安全屏障。</w:t>
      </w:r>
    </w:p>
    <w:p>
      <w:pPr>
        <w:bidi w:val="0"/>
        <w:rPr>
          <w:rFonts w:hint="default"/>
          <w:lang w:val="en-US" w:eastAsia="zh-CN"/>
        </w:rPr>
      </w:pPr>
      <w:r>
        <w:rPr>
          <w:rFonts w:hint="default"/>
          <w:b/>
          <w:bCs/>
          <w:lang w:val="en-US" w:eastAsia="zh-CN"/>
        </w:rPr>
        <w:t>加强不同类型生态保护地修复。</w:t>
      </w:r>
      <w:r>
        <w:rPr>
          <w:rFonts w:hint="default"/>
          <w:lang w:val="en-US" w:eastAsia="zh-CN"/>
        </w:rPr>
        <w:t>聚焦自然保护地、重点生态功能区、生态脆弱区、生态敏感区、城市生态系统保护修复。加强鞍山东中部山地生态系统修复，加大森林植被保护力度，加强水源涵养与水土保持，提高受损与退化的森林、林木、灌木、草地修复。健全耕地休耕轮作制度，提升生态系统的稳定性和可持续性。加强台安县三北防护林、沙化治理工程建设，加大植被恢复力度，推进植树造林、封育保护，打造鞍山西部人工绿网区。</w:t>
      </w:r>
    </w:p>
    <w:p>
      <w:pPr>
        <w:bidi w:val="0"/>
        <w:rPr>
          <w:rFonts w:hint="default"/>
          <w:lang w:val="en-US" w:eastAsia="zh-CN"/>
        </w:rPr>
      </w:pPr>
      <w:r>
        <w:rPr>
          <w:rFonts w:hint="default"/>
          <w:b/>
          <w:bCs/>
          <w:lang w:val="en-US" w:eastAsia="zh-CN"/>
        </w:rPr>
        <w:t>推进矿山综合治理与修复。</w:t>
      </w:r>
      <w:r>
        <w:rPr>
          <w:rFonts w:hint="default"/>
          <w:lang w:val="en-US" w:eastAsia="zh-CN"/>
        </w:rPr>
        <w:t>严格占用林地审批，禁止以生态修复、环境治理、宕口整治等名义临时使用林地进行采石、挖沙、取土等破坏环境行为。全面开展鞍山市所有生产矿山、闭坑矿山、破损山体修复治理，重点对海城市、岫岩满族自治县、千山区、鞍钢集团矿山修复治理，到2023年底，全市计划实现修复治理面积15000亩。</w:t>
      </w:r>
    </w:p>
    <w:p>
      <w:pPr>
        <w:bidi w:val="0"/>
        <w:rPr>
          <w:rFonts w:hint="default"/>
          <w:lang w:val="en-US" w:eastAsia="zh-CN"/>
        </w:rPr>
      </w:pPr>
      <w:r>
        <w:rPr>
          <w:rFonts w:hint="default"/>
          <w:b/>
          <w:bCs/>
          <w:lang w:val="en-US" w:eastAsia="zh-CN"/>
        </w:rPr>
        <w:t>加强辽河国家公园台安段生态建设。</w:t>
      </w:r>
      <w:r>
        <w:rPr>
          <w:rFonts w:hint="default"/>
          <w:lang w:val="en-US" w:eastAsia="zh-CN"/>
        </w:rPr>
        <w:t>根据《辽河国家公园总体规划》方案，以台安大麦科省级自然保护区为基础，融入台安生态、文化和地标要素，创建辽河国家公园（台安段），将其打造成全省河道、湿地生态修复样板。</w:t>
      </w:r>
    </w:p>
    <w:p>
      <w:pPr>
        <w:bidi w:val="0"/>
        <w:rPr>
          <w:rFonts w:hint="default"/>
          <w:b/>
          <w:bCs/>
          <w:lang w:val="en-US" w:eastAsia="zh-CN"/>
        </w:rPr>
      </w:pPr>
      <w:r>
        <w:rPr>
          <w:rFonts w:hint="default"/>
          <w:b/>
          <w:bCs/>
          <w:lang w:val="en-US" w:eastAsia="zh-CN"/>
        </w:rPr>
        <w:t>（二）加强生物多样性保护</w:t>
      </w:r>
    </w:p>
    <w:p>
      <w:pPr>
        <w:bidi w:val="0"/>
        <w:rPr>
          <w:rFonts w:hint="default"/>
          <w:lang w:val="en-US" w:eastAsia="zh-CN"/>
        </w:rPr>
      </w:pPr>
      <w:r>
        <w:rPr>
          <w:rFonts w:hint="default"/>
          <w:b/>
          <w:bCs/>
          <w:lang w:val="en-US" w:eastAsia="zh-CN"/>
        </w:rPr>
        <w:t>加强生物多样性保护。</w:t>
      </w:r>
      <w:r>
        <w:rPr>
          <w:rFonts w:hint="default"/>
          <w:lang w:val="en-US" w:eastAsia="zh-CN"/>
        </w:rPr>
        <w:t>重点保护野生动物繁殖、栖息环境，保护候鸟迁徙通道。营造生物栖息环境，保护候鸟迁徙，恢复生物多样性栖息生境。加大典型生态系统、物种等多样性保护力度，恢复山地生态系统生物多样性生境。逐步建立和完善珍稀、濒危物种数据库。</w:t>
      </w:r>
    </w:p>
    <w:p>
      <w:pPr>
        <w:bidi w:val="0"/>
        <w:rPr>
          <w:rFonts w:hint="default"/>
          <w:lang w:val="en-US" w:eastAsia="zh-CN"/>
        </w:rPr>
      </w:pPr>
      <w:r>
        <w:rPr>
          <w:rFonts w:hint="default"/>
          <w:b/>
          <w:bCs/>
          <w:lang w:val="en-US" w:eastAsia="zh-CN"/>
        </w:rPr>
        <w:t>加强生物外来物种监管。</w:t>
      </w:r>
      <w:r>
        <w:rPr>
          <w:rFonts w:hint="default"/>
          <w:lang w:val="en-US" w:eastAsia="zh-CN"/>
        </w:rPr>
        <w:t>配合全省外来入侵物种调查与评估，及时更新外来入侵物种名录。加强对自然保护地、生物多样性保护优先区域等重点区域外来入侵物种防控工作监督，开展自然保护地外来入侵物种防控成效评估。防范外来物种入侵，积极保护生物多样性，保障全市生物物种安全。</w:t>
      </w:r>
    </w:p>
    <w:p>
      <w:pPr>
        <w:bidi w:val="0"/>
        <w:rPr>
          <w:rFonts w:hint="default"/>
          <w:b/>
          <w:bCs/>
          <w:lang w:val="en-US" w:eastAsia="zh-CN"/>
        </w:rPr>
      </w:pPr>
      <w:r>
        <w:rPr>
          <w:rFonts w:hint="default"/>
          <w:b/>
          <w:bCs/>
          <w:lang w:val="en-US" w:eastAsia="zh-CN"/>
        </w:rPr>
        <w:t>（三）健全生态保护监管制度</w:t>
      </w:r>
    </w:p>
    <w:p>
      <w:pPr>
        <w:bidi w:val="0"/>
        <w:rPr>
          <w:rFonts w:hint="default"/>
          <w:lang w:val="en-US" w:eastAsia="zh-CN"/>
        </w:rPr>
      </w:pPr>
      <w:r>
        <w:rPr>
          <w:rFonts w:hint="default"/>
          <w:b/>
          <w:bCs/>
          <w:lang w:val="en-US" w:eastAsia="zh-CN"/>
        </w:rPr>
        <w:t>健全生态保护监管体制。</w:t>
      </w:r>
      <w:r>
        <w:rPr>
          <w:rFonts w:hint="default"/>
          <w:lang w:val="en-US" w:eastAsia="zh-CN"/>
        </w:rPr>
        <w:t>构建“严审、严防、严管、严惩、严考”的生态红线保护监管体制机制，建立健全生态保护红线调查、监测、评估和考核等监管制度，出台生态保护红线监管办法，完善监管指标体系和标准规范，核定生态保护红线生态功能基线水平，实施面积与质量双重监管。完善自然保护地监管制度，加强自然保护地监管，定期开展遥感监测和实地核查，督促地方各级政府及其有关部门细化职责，落实责任主体，完善自然保护地生态环境监管体系。</w:t>
      </w:r>
    </w:p>
    <w:p>
      <w:pPr>
        <w:bidi w:val="0"/>
        <w:rPr>
          <w:rFonts w:hint="default"/>
          <w:lang w:val="en-US" w:eastAsia="zh-CN"/>
        </w:rPr>
      </w:pPr>
      <w:r>
        <w:rPr>
          <w:rFonts w:hint="default"/>
          <w:b/>
          <w:bCs/>
          <w:lang w:val="en-US" w:eastAsia="zh-CN"/>
        </w:rPr>
        <w:t>强化生态保护执法监督。</w:t>
      </w:r>
      <w:r>
        <w:rPr>
          <w:rFonts w:hint="default"/>
          <w:lang w:val="en-US" w:eastAsia="zh-CN"/>
        </w:rPr>
        <w:t>开展生态环境保护统一执法，完善执法信息移交、反馈机制，强化生态环境保护综合执法与自然资源、水利、林业等相关部门协同执法，持续开展“绿盾”自然保护地强化监督。</w:t>
      </w:r>
    </w:p>
    <w:p>
      <w:pPr>
        <w:bidi w:val="0"/>
        <w:ind w:left="0" w:leftChars="0" w:firstLine="482" w:firstLineChars="200"/>
        <w:rPr>
          <w:rFonts w:hint="default"/>
          <w:b/>
          <w:bCs/>
          <w:lang w:val="en-US" w:eastAsia="zh-CN"/>
        </w:rPr>
      </w:pPr>
      <w:r>
        <w:rPr>
          <w:rFonts w:hint="default"/>
          <w:b/>
          <w:bCs/>
          <w:lang w:val="en-US" w:eastAsia="zh-CN"/>
        </w:rPr>
        <w:t>（四）加强生态保护监管成效评估</w:t>
      </w:r>
    </w:p>
    <w:p>
      <w:pPr>
        <w:bidi w:val="0"/>
        <w:rPr>
          <w:rFonts w:hint="default"/>
          <w:lang w:val="en-US" w:eastAsia="zh-CN"/>
        </w:rPr>
      </w:pPr>
      <w:r>
        <w:rPr>
          <w:rFonts w:hint="default"/>
          <w:lang w:val="en-US" w:eastAsia="zh-CN"/>
        </w:rPr>
        <w:t>定期组织开展生态保护修复工程实施成效自评估，开展生态保护修复工程实施全过程生态质量监管，将生态状况评估结果作为自然保护地与生态保护红线</w:t>
      </w:r>
      <w:r>
        <w:rPr>
          <w:rFonts w:hint="eastAsia"/>
          <w:lang w:val="en-US" w:eastAsia="zh-CN"/>
        </w:rPr>
        <w:t>、</w:t>
      </w:r>
      <w:r>
        <w:rPr>
          <w:rFonts w:hint="default"/>
          <w:lang w:val="en-US" w:eastAsia="zh-CN"/>
        </w:rPr>
        <w:t>生态保护补偿、市财政重点生态功能区转移支付政策的重要依据。根据区域生态功能提升效果</w:t>
      </w:r>
      <w:r>
        <w:rPr>
          <w:rFonts w:hint="eastAsia"/>
          <w:lang w:val="en-US" w:eastAsia="zh-CN"/>
        </w:rPr>
        <w:t>，</w:t>
      </w:r>
      <w:r>
        <w:rPr>
          <w:rFonts w:hint="default"/>
          <w:lang w:val="en-US" w:eastAsia="zh-CN"/>
        </w:rPr>
        <w:t>优化生态保护修复治理专项资金配置。</w:t>
      </w:r>
    </w:p>
    <w:tbl>
      <w:tblPr>
        <w:tblStyle w:val="22"/>
        <w:tblpPr w:leftFromText="180" w:rightFromText="180" w:vertAnchor="page" w:horzAnchor="page" w:tblpX="1289" w:tblpY="5079"/>
        <w:tblOverlap w:val="never"/>
        <w:tblW w:w="9071" w:type="dxa"/>
        <w:tblInd w:w="0"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trPr>
        <w:tc>
          <w:tcPr>
            <w:tcW w:w="9071" w:type="dxa"/>
            <w:noWrap/>
            <w:vAlign w:val="center"/>
          </w:tcPr>
          <w:p>
            <w:pPr>
              <w:keepNext w:val="0"/>
              <w:keepLines w:val="0"/>
              <w:pageBreakBefore w:val="0"/>
              <w:kinsoku/>
              <w:wordWrap/>
              <w:overflowPunct/>
              <w:topLinePunct w:val="0"/>
              <w:autoSpaceDE/>
              <w:autoSpaceDN/>
              <w:bidi w:val="0"/>
              <w:snapToGrid/>
              <w:spacing w:line="300" w:lineRule="auto"/>
              <w:ind w:firstLine="482" w:firstLineChars="200"/>
              <w:jc w:val="center"/>
              <w:rPr>
                <w:rFonts w:hint="default"/>
                <w:lang w:val="en-US" w:eastAsia="zh-CN"/>
              </w:rPr>
            </w:pPr>
            <w:r>
              <w:rPr>
                <w:rFonts w:hint="default" w:ascii="Times New Roman" w:hAnsi="Times New Roman" w:cs="Times New Roman"/>
                <w:b/>
                <w:bCs/>
                <w:sz w:val="24"/>
                <w:szCs w:val="24"/>
                <w:lang w:val="en-US" w:eastAsia="zh-CN"/>
              </w:rPr>
              <w:t>专栏六 生态修复工程项目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trPr>
        <w:tc>
          <w:tcPr>
            <w:tcW w:w="9071" w:type="dxa"/>
            <w:noWrap/>
            <w:vAlign w:val="center"/>
          </w:tcPr>
          <w:p>
            <w:pPr>
              <w:pStyle w:val="66"/>
              <w:bidi w:val="0"/>
              <w:rPr>
                <w:rFonts w:hint="default"/>
                <w:lang w:val="zh-CN" w:eastAsia="zh-CN"/>
              </w:rPr>
            </w:pPr>
            <w:r>
              <w:rPr>
                <w:rFonts w:hint="default"/>
                <w:lang w:val="zh-CN" w:eastAsia="zh-CN"/>
              </w:rPr>
              <w:t>（一）加大生态保护修复工程</w:t>
            </w:r>
          </w:p>
          <w:p>
            <w:pPr>
              <w:pStyle w:val="66"/>
              <w:bidi w:val="0"/>
              <w:rPr>
                <w:rFonts w:hint="default"/>
                <w:lang w:val="zh-CN" w:eastAsia="zh-CN"/>
              </w:rPr>
            </w:pPr>
            <w:r>
              <w:rPr>
                <w:rFonts w:hint="default"/>
                <w:lang w:val="zh-CN" w:eastAsia="zh-CN"/>
              </w:rPr>
              <w:t>加强东中部山地森林植被保护修复、自然保护地建设。</w:t>
            </w:r>
          </w:p>
          <w:p>
            <w:pPr>
              <w:pStyle w:val="66"/>
              <w:bidi w:val="0"/>
              <w:rPr>
                <w:rFonts w:hint="default"/>
                <w:lang w:val="zh-CN" w:eastAsia="zh-CN"/>
              </w:rPr>
            </w:pPr>
            <w:r>
              <w:rPr>
                <w:rFonts w:hint="default"/>
                <w:lang w:val="zh-CN" w:eastAsia="zh-CN"/>
              </w:rPr>
              <w:t>（二）防风固沙工程</w:t>
            </w:r>
          </w:p>
          <w:p>
            <w:pPr>
              <w:pStyle w:val="66"/>
              <w:bidi w:val="0"/>
              <w:rPr>
                <w:rFonts w:hint="default"/>
                <w:lang w:val="zh-CN" w:eastAsia="zh-CN"/>
              </w:rPr>
            </w:pPr>
            <w:r>
              <w:rPr>
                <w:rFonts w:hint="default"/>
                <w:lang w:val="zh-CN" w:eastAsia="zh-CN"/>
              </w:rPr>
              <w:t>加强台安县三北防护林六期工程、台安县沙化治理工程建设，推进植树造林、封育保护，建设西部人工绿网区工程。</w:t>
            </w:r>
          </w:p>
          <w:p>
            <w:pPr>
              <w:pStyle w:val="66"/>
              <w:bidi w:val="0"/>
              <w:rPr>
                <w:rFonts w:hint="default"/>
                <w:lang w:val="zh-CN" w:eastAsia="zh-CN"/>
              </w:rPr>
            </w:pPr>
            <w:r>
              <w:rPr>
                <w:rFonts w:hint="default"/>
                <w:lang w:val="zh-CN" w:eastAsia="zh-CN"/>
              </w:rPr>
              <w:t>（三）矿山地质环境恢复治理与土地复垦工程</w:t>
            </w:r>
          </w:p>
          <w:p>
            <w:pPr>
              <w:pStyle w:val="66"/>
              <w:bidi w:val="0"/>
              <w:rPr>
                <w:rFonts w:hint="default"/>
                <w:lang w:val="en-US" w:eastAsia="zh-CN"/>
              </w:rPr>
            </w:pPr>
            <w:r>
              <w:rPr>
                <w:rFonts w:hint="default"/>
                <w:lang w:val="zh-CN" w:eastAsia="zh-CN"/>
              </w:rPr>
              <w:t>加强海城市、千山区、鞍钢集团矿山修复项目建设，实施闭坑矿山生态治理及历史遗留矿山、生产矿山地质环境恢复等工程项目，开展灵山山体修复工程，消除地质灾害隐患等。</w:t>
            </w:r>
          </w:p>
        </w:tc>
      </w:tr>
    </w:tbl>
    <w:p>
      <w:pPr>
        <w:pStyle w:val="2"/>
        <w:rPr>
          <w:rFonts w:hint="default"/>
          <w:lang w:val="en-US" w:eastAsia="zh-CN"/>
        </w:rPr>
      </w:pPr>
    </w:p>
    <w:p>
      <w:pPr>
        <w:pStyle w:val="47"/>
        <w:bidi w:val="0"/>
        <w:rPr>
          <w:rFonts w:hint="eastAsia"/>
          <w:b/>
          <w:bCs/>
          <w:lang w:val="en-US" w:eastAsia="zh-CN"/>
        </w:rPr>
      </w:pPr>
      <w:r>
        <w:rPr>
          <w:rFonts w:hint="eastAsia"/>
          <w:b/>
          <w:bCs/>
          <w:lang w:val="en-US" w:eastAsia="zh-CN"/>
        </w:rPr>
        <w:t xml:space="preserve"> 第七节 强化环境风险防控，保障环境安全</w:t>
      </w:r>
    </w:p>
    <w:p>
      <w:pPr>
        <w:bidi w:val="0"/>
        <w:rPr>
          <w:rFonts w:hint="eastAsia"/>
          <w:b/>
          <w:bCs/>
          <w:lang w:val="en-US" w:eastAsia="zh-CN"/>
        </w:rPr>
      </w:pPr>
      <w:r>
        <w:rPr>
          <w:rFonts w:hint="eastAsia"/>
          <w:b/>
          <w:bCs/>
          <w:lang w:val="en-US" w:eastAsia="zh-CN"/>
        </w:rPr>
        <w:t>（一）建立健全环境风险监管体系</w:t>
      </w:r>
    </w:p>
    <w:p>
      <w:pPr>
        <w:bidi w:val="0"/>
        <w:rPr>
          <w:rFonts w:hint="eastAsia"/>
          <w:lang w:val="en-US" w:eastAsia="zh-CN"/>
        </w:rPr>
      </w:pPr>
      <w:r>
        <w:rPr>
          <w:rFonts w:hint="eastAsia"/>
          <w:b/>
          <w:bCs/>
          <w:lang w:val="en-US" w:eastAsia="zh-CN"/>
        </w:rPr>
        <w:t>加强应急评估预警体系建设</w:t>
      </w:r>
      <w:r>
        <w:rPr>
          <w:rFonts w:hint="eastAsia"/>
          <w:lang w:val="en-US" w:eastAsia="zh-CN"/>
        </w:rPr>
        <w:t>。加强涉危、涉重企业、化工园区，实施分类分级风险管控，加强环境风险预警防控，探索化工园区封闭式管理的可行路径。实施企业环境应急预案电子化备案，实现涉危涉重企业电子化备案全覆盖，完成《鞍山市突发环境事件应急预案》修订；2022年底前，完成县（市）区政府、开发区管委会突发环境事件应急预案修编，到2025年，重点企业环境应急预案电子化备案率实现全覆盖。</w:t>
      </w:r>
    </w:p>
    <w:p>
      <w:pPr>
        <w:bidi w:val="0"/>
        <w:rPr>
          <w:rFonts w:hint="eastAsia"/>
          <w:lang w:val="en-US" w:eastAsia="zh-CN"/>
        </w:rPr>
      </w:pPr>
      <w:r>
        <w:rPr>
          <w:rFonts w:hint="eastAsia"/>
          <w:b/>
          <w:bCs/>
          <w:lang w:val="en-US" w:eastAsia="zh-CN"/>
        </w:rPr>
        <w:t>加强应急监管体系建设。</w:t>
      </w:r>
      <w:r>
        <w:rPr>
          <w:rFonts w:hint="eastAsia"/>
          <w:lang w:val="en-US" w:eastAsia="zh-CN"/>
        </w:rPr>
        <w:t>完善平战结合、区域联动的环境应急监管体系，做好突发环境事件应急处置工作，组织开展“以案促建，提升环境应急能力活动”。补充完善环境应急专家库，强化部门和企业环境应急处置队伍的互补，完善应急监测快速反应协调联动机制，推动快速响应监测仪器在应急监测现场的使用；2023年底前，培育社会化专业应急处置队伍，建立区域联动的应急响应与调度支援机制。</w:t>
      </w:r>
    </w:p>
    <w:p>
      <w:pPr>
        <w:bidi w:val="0"/>
        <w:rPr>
          <w:rFonts w:hint="eastAsia"/>
          <w:lang w:val="en-US" w:eastAsia="zh-CN"/>
        </w:rPr>
      </w:pPr>
      <w:r>
        <w:rPr>
          <w:rFonts w:hint="eastAsia"/>
          <w:b/>
          <w:bCs/>
          <w:lang w:val="en-US" w:eastAsia="zh-CN"/>
        </w:rPr>
        <w:t>加强应急物资保障体系。</w:t>
      </w:r>
      <w:r>
        <w:rPr>
          <w:rFonts w:hint="eastAsia"/>
          <w:lang w:val="en-US" w:eastAsia="zh-CN"/>
        </w:rPr>
        <w:t>积极推进环境应急物资信息管理系统建设，补充完善政企互补的各级环境应急物资储备库，到2025年，完善区域应急物资库建设，建立“政企互补”的机制，绘制重点区域环境风险“一张图”，积极推进鞍山腾鳌精细化工有机新材料、台安经济开发区、鞍山经济开发区3个省级化工产业园区有毒有害气体预警体系建设。</w:t>
      </w:r>
    </w:p>
    <w:p>
      <w:pPr>
        <w:bidi w:val="0"/>
        <w:rPr>
          <w:rFonts w:hint="eastAsia"/>
          <w:b/>
          <w:bCs/>
          <w:lang w:val="en-US" w:eastAsia="zh-CN"/>
        </w:rPr>
      </w:pPr>
      <w:r>
        <w:rPr>
          <w:rFonts w:hint="eastAsia"/>
          <w:b/>
          <w:bCs/>
          <w:lang w:val="en-US" w:eastAsia="zh-CN"/>
        </w:rPr>
        <w:t>（二）提升固体废物处置利用能力</w:t>
      </w:r>
    </w:p>
    <w:p>
      <w:pPr>
        <w:bidi w:val="0"/>
        <w:rPr>
          <w:rFonts w:hint="eastAsia"/>
          <w:lang w:val="en-US" w:eastAsia="zh-CN"/>
        </w:rPr>
      </w:pPr>
      <w:r>
        <w:rPr>
          <w:rFonts w:hint="eastAsia"/>
          <w:lang w:val="en-US" w:eastAsia="zh-CN"/>
        </w:rPr>
        <w:t>提升危险废物处理处置能力。鼓励优先建设可有效解决废焦油、废油泥等突出危险废物的先进工艺处置设施，淘汰落后处置工艺及设施，激励危险废物处置企业升级改造。向社会公开《危险废物重点监管单位清单》，完成全市危险废物申报登记。2023年，建设2个企业内部危险废物处置设施，1个危险废物贮存库，危险废物处置利用率到达95%。到2025 年，危险废物产生单位和利用处置单位规范化环境管理抽查合格率分别达到95%和98%。</w:t>
      </w:r>
    </w:p>
    <w:p>
      <w:pPr>
        <w:bidi w:val="0"/>
        <w:rPr>
          <w:rFonts w:hint="eastAsia"/>
          <w:lang w:val="en-US" w:eastAsia="zh-CN"/>
        </w:rPr>
      </w:pPr>
      <w:r>
        <w:rPr>
          <w:rFonts w:hint="eastAsia"/>
          <w:b/>
          <w:bCs/>
          <w:lang w:val="en-US" w:eastAsia="zh-CN"/>
        </w:rPr>
        <w:t>加强医疗危险废物收集处理。</w:t>
      </w:r>
      <w:r>
        <w:rPr>
          <w:rFonts w:hint="eastAsia"/>
          <w:lang w:val="en-US" w:eastAsia="zh-CN"/>
        </w:rPr>
        <w:t>加强医疗废物监管，严守疫情医疗废物防线。强化医疗废物申报登记工作，生态环境、与卫健部门密切配合，详细掌握全市各级医疗卫生机构医疗废物产生及处置情况。采取区域集中、定时收取等方式，2022年，县级以上医疗废物全收集、全处理，并逐步覆盖到建制镇和偏远农村地区。2025年，建设医疗废弃物处理厂1座，实现全市医疗废物应收尽收，应处尽处，无害化处置率达到100%。</w:t>
      </w:r>
    </w:p>
    <w:p>
      <w:pPr>
        <w:bidi w:val="0"/>
        <w:rPr>
          <w:rFonts w:hint="eastAsia"/>
          <w:lang w:val="en-US" w:eastAsia="zh-CN"/>
        </w:rPr>
      </w:pPr>
      <w:r>
        <w:rPr>
          <w:rFonts w:hint="eastAsia"/>
          <w:b/>
          <w:bCs/>
          <w:lang w:val="en-US" w:eastAsia="zh-CN"/>
        </w:rPr>
        <w:t>推进尾矿库污染治理与监管。</w:t>
      </w:r>
      <w:r>
        <w:rPr>
          <w:rFonts w:hint="eastAsia"/>
          <w:lang w:val="en-US" w:eastAsia="zh-CN"/>
        </w:rPr>
        <w:t>深入开展尾矿库环境风险隐患排查，建立环境风险隐患问题清单、责任清单、销号清单，实行按月调度、督办、通报，形成闭环管理，2025年底前，建立尾矿库分级分类管理制度，实行“一库一档”，完善尾矿库环境监管清单。</w:t>
      </w:r>
    </w:p>
    <w:p>
      <w:pPr>
        <w:bidi w:val="0"/>
        <w:rPr>
          <w:rFonts w:hint="eastAsia"/>
          <w:lang w:val="en-US" w:eastAsia="zh-CN"/>
        </w:rPr>
      </w:pPr>
      <w:r>
        <w:rPr>
          <w:rFonts w:hint="eastAsia"/>
          <w:b/>
          <w:bCs/>
          <w:lang w:val="en-US" w:eastAsia="zh-CN"/>
        </w:rPr>
        <w:t>强化固体废物综合利用。</w:t>
      </w:r>
      <w:r>
        <w:rPr>
          <w:rFonts w:hint="eastAsia"/>
          <w:lang w:val="en-US" w:eastAsia="zh-CN"/>
        </w:rPr>
        <w:t>完善和落实有关鼓励固体废物综合利用和处置的优惠政策，鼓励引导社会资本进入工业固体废物综合利用市场，推进废钢铁、废钢渣、废旧轮胎等主要再生资源综合利用，重点推动“再生资源加工及综合利用企业”标准化建设，培育一批“固体废物资源化利用示范企业”。到2025年，</w:t>
      </w:r>
      <w:r>
        <w:rPr>
          <w:rFonts w:hint="eastAsia"/>
          <w:highlight w:val="none"/>
          <w:lang w:val="en-US" w:eastAsia="zh-CN"/>
        </w:rPr>
        <w:t>重点建设尾矿与钢铁渣再生利用工程，污泥处</w:t>
      </w:r>
      <w:r>
        <w:rPr>
          <w:rFonts w:hint="eastAsia"/>
          <w:lang w:val="en-US" w:eastAsia="zh-CN"/>
        </w:rPr>
        <w:t>理厂1座，建筑垃圾处理（填埋）场1座，飞灰填埋场1座，城市污泥无害化处置率达到90%以上。</w:t>
      </w:r>
    </w:p>
    <w:p>
      <w:pPr>
        <w:bidi w:val="0"/>
        <w:rPr>
          <w:rFonts w:hint="eastAsia"/>
          <w:b/>
          <w:bCs/>
          <w:lang w:val="en-US" w:eastAsia="zh-CN"/>
        </w:rPr>
      </w:pPr>
      <w:r>
        <w:rPr>
          <w:rFonts w:hint="eastAsia"/>
          <w:b/>
          <w:bCs/>
          <w:lang w:val="en-US" w:eastAsia="zh-CN"/>
        </w:rPr>
        <w:t>（三）重视新污染物监管</w:t>
      </w:r>
    </w:p>
    <w:p>
      <w:pPr>
        <w:bidi w:val="0"/>
        <w:rPr>
          <w:rFonts w:hint="eastAsia"/>
          <w:lang w:val="en-US" w:eastAsia="zh-CN"/>
        </w:rPr>
      </w:pPr>
      <w:r>
        <w:rPr>
          <w:rFonts w:hint="eastAsia"/>
          <w:lang w:val="en-US" w:eastAsia="zh-CN"/>
        </w:rPr>
        <w:t>强化优先控制化学品、新化学物质以及持久性有机污染物等高风险化学物质的环境监管，落实优先控制化学物质管控措施，严格控制新化学物质环境风险。落实《新化学物质环境管理登记办法》及相关配套文件，以3年内登记企业为重点检查对象，督导企业落实首次活动报告和年度报告制度，实施新化学物质的风险控制措施要求，开展登记后风险跟踪评估。落实《优先控制化学品名录》相关措施，推进涉名录企业强制性清洁生产审核。开展须限控的 POPs 使用、排放、库存和废弃处置的调查，采取措施减少或消除新增 POPs 带来的环境风险。</w:t>
      </w:r>
    </w:p>
    <w:p>
      <w:pPr>
        <w:bidi w:val="0"/>
        <w:rPr>
          <w:rFonts w:hint="eastAsia"/>
          <w:b/>
          <w:bCs/>
          <w:lang w:val="en-US" w:eastAsia="zh-CN"/>
        </w:rPr>
      </w:pPr>
      <w:r>
        <w:rPr>
          <w:rFonts w:hint="eastAsia"/>
          <w:b/>
          <w:bCs/>
          <w:lang w:val="en-US" w:eastAsia="zh-CN"/>
        </w:rPr>
        <w:t>（四）加强核与辐射环境安全监管</w:t>
      </w:r>
    </w:p>
    <w:p>
      <w:pPr>
        <w:bidi w:val="0"/>
        <w:rPr>
          <w:rFonts w:hint="eastAsia"/>
          <w:lang w:val="en-US" w:eastAsia="zh-CN"/>
        </w:rPr>
      </w:pPr>
      <w:r>
        <w:rPr>
          <w:rFonts w:hint="eastAsia"/>
          <w:lang w:val="en-US" w:eastAsia="zh-CN"/>
        </w:rPr>
        <w:t>健全核辐射安全监管体系，完善核与辐射事故应急预案，有效防范核与辐射事故风险。加强核与辐射环境安全监管，开展核与辐射环境安全风险隐患排查治理。加强核与辐射应急能力建设，组织全市核与辐射事故应急演习，编制出台《鞍山市辐射事故应急预案》。</w:t>
      </w:r>
    </w:p>
    <w:p>
      <w:pPr>
        <w:rPr>
          <w:rFonts w:hint="eastAsia"/>
          <w:lang w:val="en-US" w:eastAsia="zh-CN"/>
        </w:rPr>
      </w:pPr>
      <w:r>
        <w:rPr>
          <w:rFonts w:hint="eastAsia"/>
          <w:lang w:val="en-US" w:eastAsia="zh-CN"/>
        </w:rPr>
        <w:br w:type="page"/>
      </w:r>
    </w:p>
    <w:tbl>
      <w:tblPr>
        <w:tblStyle w:val="22"/>
        <w:tblpPr w:leftFromText="180" w:rightFromText="180" w:vertAnchor="page" w:horzAnchor="page" w:tblpX="1442" w:tblpY="1487"/>
        <w:tblOverlap w:val="never"/>
        <w:tblW w:w="9071" w:type="dxa"/>
        <w:tblInd w:w="0"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trPr>
        <w:tc>
          <w:tcPr>
            <w:tcW w:w="9071" w:type="dxa"/>
            <w:noWrap/>
            <w:vAlign w:val="center"/>
          </w:tcPr>
          <w:p>
            <w:pPr>
              <w:keepNext w:val="0"/>
              <w:keepLines w:val="0"/>
              <w:pageBreakBefore w:val="0"/>
              <w:kinsoku/>
              <w:wordWrap/>
              <w:overflowPunct/>
              <w:topLinePunct w:val="0"/>
              <w:autoSpaceDE/>
              <w:autoSpaceDN/>
              <w:bidi w:val="0"/>
              <w:snapToGrid/>
              <w:spacing w:line="300" w:lineRule="auto"/>
              <w:ind w:firstLine="482" w:firstLineChars="200"/>
              <w:jc w:val="center"/>
              <w:rPr>
                <w:rFonts w:hint="default"/>
                <w:lang w:val="en-US" w:eastAsia="zh-CN"/>
              </w:rPr>
            </w:pPr>
            <w:r>
              <w:rPr>
                <w:rFonts w:hint="eastAsia"/>
                <w:b/>
                <w:bCs/>
              </w:rPr>
              <w:t>专栏七 强化环境风险防控工程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trPr>
        <w:tc>
          <w:tcPr>
            <w:tcW w:w="9071" w:type="dxa"/>
            <w:noWrap/>
            <w:vAlign w:val="center"/>
          </w:tcPr>
          <w:p>
            <w:pPr>
              <w:keepNext w:val="0"/>
              <w:keepLines w:val="0"/>
              <w:pageBreakBefore w:val="0"/>
              <w:widowControl/>
              <w:kinsoku/>
              <w:wordWrap/>
              <w:overflowPunct/>
              <w:topLinePunct w:val="0"/>
              <w:autoSpaceDE/>
              <w:autoSpaceDN/>
              <w:bidi w:val="0"/>
              <w:adjustRightInd w:val="0"/>
              <w:snapToGrid/>
              <w:spacing w:line="240" w:lineRule="auto"/>
              <w:ind w:right="0"/>
              <w:jc w:val="left"/>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（一）环境风险监管工程</w:t>
            </w:r>
          </w:p>
          <w:p>
            <w:pPr>
              <w:keepNext w:val="0"/>
              <w:keepLines w:val="0"/>
              <w:pageBreakBefore w:val="0"/>
              <w:widowControl/>
              <w:kinsoku/>
              <w:wordWrap/>
              <w:overflowPunct/>
              <w:topLinePunct w:val="0"/>
              <w:autoSpaceDE/>
              <w:autoSpaceDN/>
              <w:bidi w:val="0"/>
              <w:adjustRightInd w:val="0"/>
              <w:snapToGrid/>
              <w:spacing w:line="240" w:lineRule="auto"/>
              <w:ind w:right="0" w:firstLine="480" w:firstLineChars="200"/>
              <w:jc w:val="left"/>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实施化工园区及危险化学品企业排查问题整改任务，修编县</w:t>
            </w:r>
            <w:r>
              <w:rPr>
                <w:rFonts w:hint="eastAsia" w:ascii="Times New Roman" w:hAnsi="Times New Roman" w:eastAsia="仿宋" w:cs="Times New Roman"/>
                <w:color w:val="auto"/>
                <w:kern w:val="0"/>
                <w:sz w:val="24"/>
                <w:szCs w:val="24"/>
                <w:highlight w:val="none"/>
                <w:lang w:val="en-US" w:eastAsia="zh-CN" w:bidi="ar"/>
              </w:rPr>
              <w:t>（</w:t>
            </w:r>
            <w:r>
              <w:rPr>
                <w:rFonts w:hint="default" w:ascii="Times New Roman" w:hAnsi="Times New Roman" w:eastAsia="仿宋" w:cs="Times New Roman"/>
                <w:color w:val="auto"/>
                <w:kern w:val="0"/>
                <w:sz w:val="24"/>
                <w:szCs w:val="24"/>
                <w:highlight w:val="none"/>
                <w:lang w:val="en-US" w:eastAsia="zh-CN" w:bidi="ar"/>
              </w:rPr>
              <w:t>市</w:t>
            </w:r>
            <w:r>
              <w:rPr>
                <w:rFonts w:hint="eastAsia" w:ascii="Times New Roman" w:hAnsi="Times New Roman" w:eastAsia="仿宋" w:cs="Times New Roman"/>
                <w:color w:val="auto"/>
                <w:kern w:val="0"/>
                <w:sz w:val="24"/>
                <w:szCs w:val="24"/>
                <w:highlight w:val="none"/>
                <w:lang w:val="en-US" w:eastAsia="zh-CN" w:bidi="ar"/>
              </w:rPr>
              <w:t>）</w:t>
            </w:r>
            <w:r>
              <w:rPr>
                <w:rFonts w:hint="default" w:ascii="Times New Roman" w:hAnsi="Times New Roman" w:eastAsia="仿宋" w:cs="Times New Roman"/>
                <w:color w:val="auto"/>
                <w:kern w:val="0"/>
                <w:sz w:val="24"/>
                <w:szCs w:val="24"/>
                <w:highlight w:val="none"/>
                <w:lang w:val="en-US" w:eastAsia="zh-CN" w:bidi="ar"/>
              </w:rPr>
              <w:t>区政府突发环境事件应急预案，重点企业</w:t>
            </w:r>
            <w:r>
              <w:rPr>
                <w:rFonts w:hint="eastAsia" w:ascii="Times New Roman" w:hAnsi="Times New Roman" w:eastAsia="仿宋" w:cs="Times New Roman"/>
                <w:color w:val="auto"/>
                <w:kern w:val="0"/>
                <w:sz w:val="24"/>
                <w:szCs w:val="24"/>
                <w:highlight w:val="none"/>
                <w:lang w:val="en-US" w:eastAsia="zh-CN" w:bidi="ar"/>
              </w:rPr>
              <w:t>突发</w:t>
            </w:r>
            <w:r>
              <w:rPr>
                <w:rFonts w:hint="default" w:ascii="Times New Roman" w:hAnsi="Times New Roman" w:eastAsia="仿宋" w:cs="Times New Roman"/>
                <w:color w:val="auto"/>
                <w:kern w:val="0"/>
                <w:sz w:val="24"/>
                <w:szCs w:val="24"/>
                <w:highlight w:val="none"/>
                <w:lang w:val="en-US" w:eastAsia="zh-CN" w:bidi="ar"/>
              </w:rPr>
              <w:t>环境</w:t>
            </w:r>
            <w:r>
              <w:rPr>
                <w:rFonts w:hint="eastAsia" w:ascii="Times New Roman" w:hAnsi="Times New Roman" w:eastAsia="仿宋" w:cs="Times New Roman"/>
                <w:color w:val="auto"/>
                <w:kern w:val="0"/>
                <w:sz w:val="24"/>
                <w:szCs w:val="24"/>
                <w:highlight w:val="none"/>
                <w:lang w:val="en-US" w:eastAsia="zh-CN" w:bidi="ar"/>
              </w:rPr>
              <w:t>事件</w:t>
            </w:r>
            <w:r>
              <w:rPr>
                <w:rFonts w:hint="default" w:ascii="Times New Roman" w:hAnsi="Times New Roman" w:eastAsia="仿宋" w:cs="Times New Roman"/>
                <w:color w:val="auto"/>
                <w:kern w:val="0"/>
                <w:sz w:val="24"/>
                <w:szCs w:val="24"/>
                <w:highlight w:val="none"/>
                <w:lang w:val="en-US" w:eastAsia="zh-CN" w:bidi="ar"/>
              </w:rPr>
              <w:t>应急预案</w:t>
            </w:r>
            <w:r>
              <w:rPr>
                <w:rFonts w:hint="eastAsia" w:ascii="Times New Roman" w:hAnsi="Times New Roman" w:eastAsia="仿宋" w:cs="Times New Roman"/>
                <w:color w:val="auto"/>
                <w:kern w:val="0"/>
                <w:sz w:val="24"/>
                <w:szCs w:val="24"/>
                <w:highlight w:val="none"/>
                <w:lang w:val="en-US" w:eastAsia="zh-CN" w:bidi="ar"/>
              </w:rPr>
              <w:t>电子化</w:t>
            </w:r>
            <w:r>
              <w:rPr>
                <w:rFonts w:hint="default" w:ascii="Times New Roman" w:hAnsi="Times New Roman" w:eastAsia="仿宋" w:cs="Times New Roman"/>
                <w:color w:val="auto"/>
                <w:kern w:val="0"/>
                <w:sz w:val="24"/>
                <w:szCs w:val="24"/>
                <w:highlight w:val="none"/>
                <w:lang w:val="en-US" w:eastAsia="zh-CN" w:bidi="ar"/>
              </w:rPr>
              <w:t>备案</w:t>
            </w:r>
            <w:r>
              <w:rPr>
                <w:rFonts w:hint="eastAsia" w:ascii="Times New Roman" w:hAnsi="Times New Roman" w:eastAsia="仿宋" w:cs="Times New Roman"/>
                <w:color w:val="auto"/>
                <w:kern w:val="0"/>
                <w:sz w:val="24"/>
                <w:szCs w:val="24"/>
                <w:highlight w:val="none"/>
                <w:lang w:val="en-US" w:eastAsia="zh-CN" w:bidi="ar"/>
              </w:rPr>
              <w:t>，</w:t>
            </w:r>
            <w:r>
              <w:rPr>
                <w:rFonts w:hint="default" w:ascii="Times New Roman" w:hAnsi="Times New Roman" w:eastAsia="仿宋" w:cs="Times New Roman"/>
                <w:color w:val="auto"/>
                <w:kern w:val="0"/>
                <w:sz w:val="24"/>
                <w:szCs w:val="24"/>
                <w:highlight w:val="none"/>
                <w:lang w:val="en-US" w:eastAsia="zh-CN" w:bidi="ar"/>
              </w:rPr>
              <w:t>完善区域应急物资库建设。</w:t>
            </w:r>
          </w:p>
          <w:p>
            <w:pPr>
              <w:keepNext w:val="0"/>
              <w:keepLines w:val="0"/>
              <w:pageBreakBefore w:val="0"/>
              <w:widowControl/>
              <w:kinsoku/>
              <w:wordWrap/>
              <w:overflowPunct/>
              <w:topLinePunct w:val="0"/>
              <w:autoSpaceDE/>
              <w:autoSpaceDN/>
              <w:bidi w:val="0"/>
              <w:adjustRightInd w:val="0"/>
              <w:snapToGrid/>
              <w:spacing w:line="240" w:lineRule="auto"/>
              <w:ind w:right="0"/>
              <w:jc w:val="left"/>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w:t>
            </w:r>
            <w:r>
              <w:rPr>
                <w:rFonts w:hint="eastAsia" w:ascii="Times New Roman" w:hAnsi="Times New Roman" w:eastAsia="仿宋" w:cs="Times New Roman"/>
                <w:color w:val="auto"/>
                <w:kern w:val="0"/>
                <w:sz w:val="24"/>
                <w:szCs w:val="24"/>
                <w:highlight w:val="none"/>
                <w:lang w:val="en-US" w:eastAsia="zh-CN" w:bidi="ar"/>
              </w:rPr>
              <w:t>二</w:t>
            </w:r>
            <w:r>
              <w:rPr>
                <w:rFonts w:hint="default" w:ascii="Times New Roman" w:hAnsi="Times New Roman" w:eastAsia="仿宋" w:cs="Times New Roman"/>
                <w:color w:val="auto"/>
                <w:kern w:val="0"/>
                <w:sz w:val="24"/>
                <w:szCs w:val="24"/>
                <w:highlight w:val="none"/>
                <w:lang w:val="en-US" w:eastAsia="zh-CN" w:bidi="ar"/>
              </w:rPr>
              <w:t>）危险废物处理处置能力提升工程</w:t>
            </w:r>
          </w:p>
          <w:p>
            <w:pPr>
              <w:keepNext w:val="0"/>
              <w:keepLines w:val="0"/>
              <w:pageBreakBefore w:val="0"/>
              <w:widowControl/>
              <w:kinsoku/>
              <w:wordWrap/>
              <w:overflowPunct/>
              <w:topLinePunct w:val="0"/>
              <w:autoSpaceDE/>
              <w:autoSpaceDN/>
              <w:bidi w:val="0"/>
              <w:adjustRightInd w:val="0"/>
              <w:snapToGrid/>
              <w:spacing w:line="240" w:lineRule="auto"/>
              <w:ind w:right="0" w:firstLine="480" w:firstLineChars="200"/>
              <w:jc w:val="left"/>
              <w:textAlignment w:val="center"/>
              <w:rPr>
                <w:rFonts w:hint="default" w:ascii="Times New Roman" w:hAnsi="Times New Roman" w:eastAsia="仿宋" w:cs="Times New Roman"/>
                <w:color w:val="auto"/>
                <w:kern w:val="0"/>
                <w:sz w:val="24"/>
                <w:szCs w:val="24"/>
                <w:highlight w:val="none"/>
                <w:lang w:val="zh-CN" w:eastAsia="zh-CN" w:bidi="ar"/>
              </w:rPr>
            </w:pPr>
            <w:r>
              <w:rPr>
                <w:rFonts w:hint="eastAsia" w:ascii="Times New Roman" w:hAnsi="Times New Roman" w:eastAsia="仿宋" w:cs="Times New Roman"/>
                <w:color w:val="auto"/>
                <w:kern w:val="0"/>
                <w:sz w:val="24"/>
                <w:szCs w:val="24"/>
                <w:highlight w:val="none"/>
                <w:lang w:val="zh-CN" w:eastAsia="zh-CN" w:bidi="ar"/>
              </w:rPr>
              <w:t>开展</w:t>
            </w:r>
            <w:r>
              <w:rPr>
                <w:rFonts w:hint="default" w:ascii="Times New Roman" w:hAnsi="Times New Roman" w:eastAsia="仿宋" w:cs="Times New Roman"/>
                <w:color w:val="auto"/>
                <w:kern w:val="0"/>
                <w:sz w:val="24"/>
                <w:szCs w:val="24"/>
                <w:highlight w:val="none"/>
                <w:lang w:val="zh-CN" w:eastAsia="zh-CN" w:bidi="ar"/>
              </w:rPr>
              <w:t>鞍山钢铁本部危险废物内部处置、鞍山钢铁冷轧厂危险废物贮存库</w:t>
            </w:r>
            <w:r>
              <w:rPr>
                <w:rFonts w:hint="eastAsia" w:ascii="Times New Roman" w:hAnsi="Times New Roman" w:eastAsia="仿宋" w:cs="Times New Roman"/>
                <w:color w:val="auto"/>
                <w:kern w:val="0"/>
                <w:sz w:val="24"/>
                <w:szCs w:val="24"/>
                <w:highlight w:val="none"/>
                <w:lang w:val="zh-CN" w:eastAsia="zh-CN" w:bidi="ar"/>
              </w:rPr>
              <w:t>、</w:t>
            </w:r>
            <w:r>
              <w:rPr>
                <w:rFonts w:hint="default" w:ascii="Times New Roman" w:hAnsi="Times New Roman" w:eastAsia="仿宋" w:cs="Times New Roman"/>
                <w:color w:val="auto"/>
                <w:kern w:val="0"/>
                <w:sz w:val="24"/>
                <w:szCs w:val="24"/>
                <w:highlight w:val="none"/>
                <w:lang w:val="zh-CN" w:eastAsia="zh-CN" w:bidi="ar"/>
              </w:rPr>
              <w:t>医疗垃圾焚烧处理、垃圾焚烧厂飞灰填埋、经开区铅酸电池环保处理等工程建设。</w:t>
            </w:r>
          </w:p>
          <w:p>
            <w:pPr>
              <w:keepNext w:val="0"/>
              <w:keepLines w:val="0"/>
              <w:pageBreakBefore w:val="0"/>
              <w:widowControl/>
              <w:kinsoku/>
              <w:wordWrap/>
              <w:overflowPunct/>
              <w:topLinePunct w:val="0"/>
              <w:autoSpaceDE/>
              <w:autoSpaceDN/>
              <w:bidi w:val="0"/>
              <w:adjustRightInd w:val="0"/>
              <w:snapToGrid/>
              <w:spacing w:line="240" w:lineRule="auto"/>
              <w:ind w:left="0" w:leftChars="0" w:right="0" w:firstLine="480" w:firstLineChars="200"/>
              <w:jc w:val="left"/>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w:t>
            </w:r>
            <w:r>
              <w:rPr>
                <w:rFonts w:hint="eastAsia" w:ascii="Times New Roman" w:hAnsi="Times New Roman" w:eastAsia="仿宋" w:cs="Times New Roman"/>
                <w:color w:val="auto"/>
                <w:kern w:val="0"/>
                <w:sz w:val="24"/>
                <w:szCs w:val="24"/>
                <w:highlight w:val="none"/>
                <w:lang w:val="en-US" w:eastAsia="zh-CN" w:bidi="ar"/>
              </w:rPr>
              <w:t>三</w:t>
            </w:r>
            <w:r>
              <w:rPr>
                <w:rFonts w:hint="default" w:ascii="Times New Roman" w:hAnsi="Times New Roman" w:eastAsia="仿宋" w:cs="Times New Roman"/>
                <w:color w:val="auto"/>
                <w:kern w:val="0"/>
                <w:sz w:val="24"/>
                <w:szCs w:val="24"/>
                <w:highlight w:val="none"/>
                <w:lang w:val="en-US" w:eastAsia="zh-CN" w:bidi="ar"/>
              </w:rPr>
              <w:t>）</w:t>
            </w:r>
            <w:r>
              <w:rPr>
                <w:rFonts w:hint="eastAsia" w:ascii="Times New Roman" w:hAnsi="Times New Roman" w:eastAsia="仿宋" w:cs="Times New Roman"/>
                <w:color w:val="auto"/>
                <w:kern w:val="0"/>
                <w:sz w:val="24"/>
                <w:szCs w:val="24"/>
                <w:highlight w:val="none"/>
                <w:lang w:val="en-US" w:eastAsia="zh-CN" w:bidi="ar"/>
              </w:rPr>
              <w:t>工业和其它</w:t>
            </w:r>
            <w:r>
              <w:rPr>
                <w:rFonts w:hint="default" w:ascii="Times New Roman" w:hAnsi="Times New Roman" w:eastAsia="仿宋" w:cs="Times New Roman"/>
                <w:color w:val="auto"/>
                <w:kern w:val="0"/>
                <w:sz w:val="24"/>
                <w:szCs w:val="24"/>
                <w:highlight w:val="none"/>
                <w:lang w:val="en-US" w:eastAsia="zh-CN" w:bidi="ar"/>
              </w:rPr>
              <w:t>固废综合</w:t>
            </w:r>
            <w:r>
              <w:rPr>
                <w:rFonts w:hint="eastAsia" w:ascii="Times New Roman" w:hAnsi="Times New Roman" w:eastAsia="仿宋" w:cs="Times New Roman"/>
                <w:color w:val="auto"/>
                <w:kern w:val="0"/>
                <w:sz w:val="24"/>
                <w:szCs w:val="24"/>
                <w:highlight w:val="none"/>
                <w:lang w:val="en-US" w:eastAsia="zh-CN" w:bidi="ar"/>
              </w:rPr>
              <w:t>处置</w:t>
            </w:r>
            <w:r>
              <w:rPr>
                <w:rFonts w:hint="default" w:ascii="Times New Roman" w:hAnsi="Times New Roman" w:eastAsia="仿宋" w:cs="Times New Roman"/>
                <w:color w:val="auto"/>
                <w:kern w:val="0"/>
                <w:sz w:val="24"/>
                <w:szCs w:val="24"/>
                <w:highlight w:val="none"/>
                <w:lang w:val="en-US" w:eastAsia="zh-CN" w:bidi="ar"/>
              </w:rPr>
              <w:t>利用工程</w:t>
            </w:r>
          </w:p>
          <w:p>
            <w:pPr>
              <w:pStyle w:val="66"/>
              <w:bidi w:val="0"/>
              <w:rPr>
                <w:rFonts w:hint="default"/>
                <w:lang w:val="en-US" w:eastAsia="zh-CN"/>
              </w:rPr>
            </w:pPr>
            <w:r>
              <w:rPr>
                <w:rFonts w:hint="default" w:ascii="Times New Roman" w:hAnsi="Times New Roman" w:eastAsia="仿宋" w:cs="Times New Roman"/>
                <w:color w:val="auto"/>
                <w:kern w:val="0"/>
                <w:sz w:val="24"/>
                <w:szCs w:val="24"/>
                <w:highlight w:val="none"/>
                <w:lang w:val="en-US" w:eastAsia="zh-CN" w:bidi="ar"/>
              </w:rPr>
              <w:t>推动“再生资源加工及综合利用企业”标准化建设，</w:t>
            </w:r>
            <w:r>
              <w:rPr>
                <w:rFonts w:hint="default" w:ascii="Times New Roman" w:hAnsi="Times New Roman" w:eastAsia="仿宋" w:cs="Times New Roman"/>
                <w:color w:val="auto"/>
                <w:kern w:val="0"/>
                <w:sz w:val="24"/>
                <w:szCs w:val="24"/>
                <w:highlight w:val="none"/>
                <w:lang w:val="zh-CN" w:eastAsia="zh-CN" w:bidi="ar"/>
              </w:rPr>
              <w:t>培育一批“固体废物资源化利用示范企业”。</w:t>
            </w:r>
            <w:r>
              <w:rPr>
                <w:rFonts w:hint="eastAsia" w:ascii="Times New Roman" w:hAnsi="Times New Roman" w:eastAsia="仿宋" w:cs="Times New Roman"/>
                <w:color w:val="auto"/>
                <w:kern w:val="0"/>
                <w:sz w:val="24"/>
                <w:szCs w:val="24"/>
                <w:highlight w:val="none"/>
                <w:lang w:val="zh-CN" w:eastAsia="zh-CN" w:bidi="ar"/>
              </w:rPr>
              <w:t>推</w:t>
            </w:r>
            <w:r>
              <w:rPr>
                <w:rFonts w:hint="default" w:ascii="Times New Roman" w:hAnsi="Times New Roman" w:eastAsia="仿宋" w:cs="Times New Roman"/>
                <w:color w:val="auto"/>
                <w:kern w:val="0"/>
                <w:sz w:val="24"/>
                <w:szCs w:val="24"/>
                <w:highlight w:val="none"/>
                <w:lang w:val="en-US" w:eastAsia="zh-CN" w:bidi="ar"/>
              </w:rPr>
              <w:t>进鞍钢矿业资源利用（鞍山）有限公司固废处置项目</w:t>
            </w:r>
            <w:r>
              <w:rPr>
                <w:rFonts w:hint="eastAsia" w:ascii="Times New Roman" w:hAnsi="Times New Roman" w:eastAsia="仿宋" w:cs="Times New Roman"/>
                <w:color w:val="auto"/>
                <w:kern w:val="0"/>
                <w:sz w:val="24"/>
                <w:szCs w:val="24"/>
                <w:highlight w:val="none"/>
                <w:lang w:val="en-US" w:eastAsia="zh-CN" w:bidi="ar"/>
              </w:rPr>
              <w:t>、</w:t>
            </w:r>
            <w:r>
              <w:rPr>
                <w:rFonts w:hint="default" w:ascii="Times New Roman" w:hAnsi="Times New Roman" w:eastAsia="仿宋" w:cs="Times New Roman"/>
                <w:color w:val="auto"/>
                <w:kern w:val="0"/>
                <w:sz w:val="24"/>
                <w:szCs w:val="24"/>
                <w:highlight w:val="none"/>
                <w:lang w:val="en-US" w:eastAsia="zh-CN" w:bidi="ar"/>
              </w:rPr>
              <w:t>台安农高区污泥综合利用</w:t>
            </w:r>
            <w:r>
              <w:rPr>
                <w:rFonts w:hint="eastAsia" w:ascii="Times New Roman" w:hAnsi="Times New Roman" w:eastAsia="仿宋" w:cs="Times New Roman"/>
                <w:color w:val="auto"/>
                <w:kern w:val="0"/>
                <w:sz w:val="24"/>
                <w:szCs w:val="24"/>
                <w:highlight w:val="none"/>
                <w:lang w:val="en-US" w:eastAsia="zh-CN" w:bidi="ar"/>
              </w:rPr>
              <w:t>项目、</w:t>
            </w:r>
            <w:r>
              <w:rPr>
                <w:rFonts w:hint="default" w:ascii="Times New Roman" w:hAnsi="Times New Roman" w:eastAsia="仿宋" w:cs="Times New Roman"/>
                <w:i w:val="0"/>
                <w:iCs w:val="0"/>
                <w:color w:val="auto"/>
                <w:kern w:val="0"/>
                <w:sz w:val="24"/>
                <w:szCs w:val="24"/>
                <w:highlight w:val="none"/>
                <w:u w:val="none"/>
                <w:lang w:val="en-US" w:eastAsia="zh-CN" w:bidi="ar"/>
              </w:rPr>
              <w:t>鞍山市餐厨垃圾处理项目等</w:t>
            </w:r>
            <w:r>
              <w:rPr>
                <w:rFonts w:hint="eastAsia" w:ascii="Times New Roman" w:hAnsi="Times New Roman" w:eastAsia="仿宋" w:cs="Times New Roman"/>
                <w:color w:val="auto"/>
                <w:kern w:val="0"/>
                <w:sz w:val="24"/>
                <w:szCs w:val="24"/>
                <w:highlight w:val="none"/>
                <w:lang w:val="en-US" w:eastAsia="zh-CN" w:bidi="ar"/>
              </w:rPr>
              <w:t>。</w:t>
            </w:r>
            <w:r>
              <w:rPr>
                <w:rFonts w:hint="default"/>
                <w:highlight w:val="none"/>
                <w:lang w:val="zh-CN" w:eastAsia="zh-CN"/>
              </w:rPr>
              <w:t>。</w:t>
            </w:r>
          </w:p>
        </w:tc>
      </w:tr>
    </w:tbl>
    <w:p>
      <w:pPr>
        <w:pStyle w:val="47"/>
        <w:bidi w:val="0"/>
        <w:rPr>
          <w:rFonts w:hint="eastAsia"/>
          <w:b/>
          <w:bCs/>
          <w:lang w:val="en-US" w:eastAsia="zh-CN"/>
        </w:rPr>
      </w:pPr>
      <w:r>
        <w:rPr>
          <w:rFonts w:hint="eastAsia"/>
          <w:b/>
          <w:bCs/>
          <w:lang w:val="en-US" w:eastAsia="zh-CN"/>
        </w:rPr>
        <w:t>第八节 推进城市人居环境建设，打造城市绿色底色</w:t>
      </w:r>
    </w:p>
    <w:p>
      <w:pPr>
        <w:bidi w:val="0"/>
        <w:rPr>
          <w:rFonts w:hint="eastAsia"/>
          <w:b/>
          <w:bCs/>
          <w:lang w:val="en-US" w:eastAsia="zh-CN"/>
        </w:rPr>
      </w:pPr>
      <w:r>
        <w:rPr>
          <w:rFonts w:hint="eastAsia"/>
          <w:b/>
          <w:bCs/>
          <w:lang w:val="en-US" w:eastAsia="zh-CN"/>
        </w:rPr>
        <w:t>（一）全面加强城市噪声烟气治理</w:t>
      </w:r>
    </w:p>
    <w:p>
      <w:pPr>
        <w:bidi w:val="0"/>
        <w:rPr>
          <w:rFonts w:hint="eastAsia"/>
          <w:lang w:val="en-US" w:eastAsia="zh-CN"/>
        </w:rPr>
      </w:pPr>
      <w:r>
        <w:rPr>
          <w:rFonts w:hint="eastAsia"/>
          <w:b/>
          <w:bCs/>
          <w:lang w:val="en-US" w:eastAsia="zh-CN"/>
        </w:rPr>
        <w:t>深化城市噪声治理。</w:t>
      </w:r>
      <w:r>
        <w:rPr>
          <w:rFonts w:hint="eastAsia"/>
          <w:lang w:val="en-US" w:eastAsia="zh-CN"/>
        </w:rPr>
        <w:t>加强噪声污染防治统筹规划，确定工业生产、建筑施工、交通运输和社会生活等领域的重点噪声排放源单位，加强城市声环境管理，对噪声敏感建筑物集中区域应逐步配套建设隔声屏障。到2025年，环境噪声污染防治能力得到进一步加强，重点源噪声污染排放达到相关目标要求，城市区域环境和道路交通噪声达到功能区标准要求，明显改善噪声扰民、施工扰民、交通噪声扰民等现象。</w:t>
      </w:r>
    </w:p>
    <w:p>
      <w:pPr>
        <w:bidi w:val="0"/>
        <w:rPr>
          <w:rFonts w:hint="eastAsia"/>
          <w:lang w:val="en-US" w:eastAsia="zh-CN"/>
        </w:rPr>
      </w:pPr>
      <w:r>
        <w:rPr>
          <w:rFonts w:hint="eastAsia"/>
          <w:b/>
          <w:bCs/>
          <w:lang w:val="en-US" w:eastAsia="zh-CN"/>
        </w:rPr>
        <w:t>加强城市生产生活烟气监管。</w:t>
      </w:r>
      <w:r>
        <w:rPr>
          <w:rFonts w:hint="eastAsia"/>
          <w:lang w:val="en-US" w:eastAsia="zh-CN"/>
        </w:rPr>
        <w:t>加强餐饮油烟管理，严格落实餐饮企业油烟净化器安装使用率达到100%，加强无组织排放恶臭、异味、有毒有害等气体监管，严控在密闭室外空间进行喷漆等作业。</w:t>
      </w:r>
    </w:p>
    <w:p>
      <w:pPr>
        <w:bidi w:val="0"/>
        <w:rPr>
          <w:rFonts w:hint="eastAsia"/>
          <w:lang w:val="en-US" w:eastAsia="zh-CN"/>
        </w:rPr>
      </w:pPr>
      <w:r>
        <w:rPr>
          <w:rFonts w:hint="eastAsia"/>
          <w:b/>
          <w:bCs/>
          <w:lang w:val="en-US" w:eastAsia="zh-CN"/>
        </w:rPr>
        <w:t>（二）稳步推进城市生活垃圾分类</w:t>
      </w:r>
    </w:p>
    <w:p>
      <w:pPr>
        <w:bidi w:val="0"/>
        <w:rPr>
          <w:rFonts w:hint="eastAsia"/>
          <w:lang w:val="en-US" w:eastAsia="zh-CN"/>
        </w:rPr>
      </w:pPr>
      <w:r>
        <w:rPr>
          <w:rFonts w:hint="eastAsia"/>
          <w:b/>
          <w:bCs/>
          <w:lang w:val="en-US" w:eastAsia="zh-CN"/>
        </w:rPr>
        <w:t>落实《鞍山市生活垃圾分类管理条例》。</w:t>
      </w:r>
      <w:r>
        <w:rPr>
          <w:rFonts w:hint="eastAsia"/>
          <w:lang w:val="en-US" w:eastAsia="zh-CN"/>
        </w:rPr>
        <w:t>编制生活垃圾分类专项规划。加大宣传，提高民众垃圾分类参与意识，鼓励单位和个人在生产、生活中减少生活垃圾的产生，限制一次性用品的使用，减少包装废弃物产生，健全再生资源回收网络与产业链，促进源头减量。建立垃圾分类监管机制，设置垃圾分类标志明显的可回收垃圾箱，加强垃圾分类执法力度，提高生活垃圾分类质量，减轻城市垃圾处理负担，促进垃圾处理良性循环，提高城市生活垃圾处理减量化、资源化和无害化水平，改善城市生态环境，助力城市生态文明建设。</w:t>
      </w:r>
    </w:p>
    <w:p>
      <w:pPr>
        <w:bidi w:val="0"/>
        <w:rPr>
          <w:rFonts w:hint="eastAsia"/>
          <w:b/>
          <w:bCs/>
          <w:lang w:val="en-US" w:eastAsia="zh-CN"/>
        </w:rPr>
      </w:pPr>
      <w:r>
        <w:rPr>
          <w:rFonts w:hint="eastAsia"/>
          <w:b/>
          <w:bCs/>
          <w:lang w:val="en-US" w:eastAsia="zh-CN"/>
        </w:rPr>
        <w:t>（三）大力倡导城市绿色低碳出行</w:t>
      </w:r>
    </w:p>
    <w:p>
      <w:pPr>
        <w:bidi w:val="0"/>
        <w:rPr>
          <w:rFonts w:hint="eastAsia"/>
          <w:lang w:val="en-US" w:eastAsia="zh-CN"/>
        </w:rPr>
      </w:pPr>
      <w:r>
        <w:rPr>
          <w:rFonts w:hint="eastAsia"/>
          <w:b/>
          <w:bCs/>
          <w:lang w:val="en-US" w:eastAsia="zh-CN"/>
        </w:rPr>
        <w:t>广泛宣传绿色低碳出行。</w:t>
      </w:r>
      <w:r>
        <w:rPr>
          <w:rFonts w:hint="eastAsia"/>
          <w:lang w:val="en-US" w:eastAsia="zh-CN"/>
        </w:rPr>
        <w:t>鼓励大家采用公共交通工具、自行车、步行等低碳出行方式，减少机动车尾气排放。加强绿色低碳出行基础设施建设，推广新能源、智能化、数字化、轻量化交通装备。优化中心城区建成区公交线网，500米站点覆盖率提高到92%以上，根据客流情况调整车辆投入，完善车辆间隔等问题，开通点对点直达的公交线路，加快实施定制公交。鼓励引导绿色出行，让交通更加环保、出行更加低碳，为市民绿色出行提供保障，2025年底，基本形成绿色出行新风尚。</w:t>
      </w:r>
    </w:p>
    <w:p>
      <w:pPr>
        <w:bidi w:val="0"/>
        <w:rPr>
          <w:rFonts w:hint="eastAsia"/>
          <w:b/>
          <w:bCs/>
          <w:lang w:val="en-US" w:eastAsia="zh-CN"/>
        </w:rPr>
      </w:pPr>
      <w:r>
        <w:rPr>
          <w:rFonts w:hint="eastAsia"/>
          <w:lang w:val="en-US" w:eastAsia="zh-CN"/>
        </w:rPr>
        <w:t> </w:t>
      </w:r>
      <w:r>
        <w:rPr>
          <w:rFonts w:hint="eastAsia"/>
          <w:b/>
          <w:bCs/>
          <w:lang w:val="en-US" w:eastAsia="zh-CN"/>
        </w:rPr>
        <w:t>（四）全面加强城市绿地建设</w:t>
      </w:r>
    </w:p>
    <w:p>
      <w:pPr>
        <w:bidi w:val="0"/>
        <w:rPr>
          <w:rFonts w:hint="eastAsia"/>
          <w:lang w:val="en-US" w:eastAsia="zh-CN"/>
        </w:rPr>
      </w:pPr>
      <w:r>
        <w:rPr>
          <w:rFonts w:hint="eastAsia"/>
          <w:b/>
          <w:bCs/>
          <w:lang w:val="en-US" w:eastAsia="zh-CN"/>
        </w:rPr>
        <w:t>全面加强城市绿化建设。</w:t>
      </w:r>
      <w:r>
        <w:rPr>
          <w:rFonts w:hint="eastAsia"/>
          <w:lang w:val="en-US" w:eastAsia="zh-CN"/>
        </w:rPr>
        <w:t>以千山、玉佛山风景林地为依托，以防护林带为屏障，以道路绿化为骨架，以公园绿化、社区绿化、庭院绿化、厂区绿化等为重点，以水系绿化为纽带建设城区园林绿化。对标国家园林城市要求公园绿地服务半径覆盖率为80%要求，重点增强公园绿地游憩服务覆盖率，提升大中型公园绿地质量。</w:t>
      </w:r>
    </w:p>
    <w:p>
      <w:pPr>
        <w:bidi w:val="0"/>
        <w:rPr>
          <w:rFonts w:hint="eastAsia"/>
          <w:lang w:val="en-US" w:eastAsia="zh-CN"/>
        </w:rPr>
      </w:pPr>
      <w:r>
        <w:rPr>
          <w:rFonts w:hint="eastAsia"/>
          <w:b/>
          <w:bCs/>
          <w:lang w:val="en-US" w:eastAsia="zh-CN"/>
        </w:rPr>
        <w:t>完善城市绿地体系。</w:t>
      </w:r>
      <w:r>
        <w:rPr>
          <w:rFonts w:hint="eastAsia"/>
          <w:lang w:val="en-US" w:eastAsia="zh-CN"/>
        </w:rPr>
        <w:t>按照居民出行“300米见绿、500米入园”服务半径标准，强化城市公园、社区公园、绿化隔离地、街旁绿地、庭院绿化、厂矿与企事业单位等中小型绿地建设，打造口袋公园，增强城市绿色活力。优化铁东区和立山区公园绿地分布与建设，加强铁西区和千山区公园绿地规划与建设，开展郊野、游憩、休闲、民俗、文化、产业等主题公园建设，加强南沙河、运粮河、杨柳河等滨河生态景观建设。</w:t>
      </w:r>
    </w:p>
    <w:tbl>
      <w:tblPr>
        <w:tblStyle w:val="22"/>
        <w:tblpPr w:leftFromText="180" w:rightFromText="180" w:vertAnchor="page" w:horzAnchor="page" w:tblpX="1232" w:tblpY="5516"/>
        <w:tblOverlap w:val="never"/>
        <w:tblW w:w="9071" w:type="dxa"/>
        <w:tblInd w:w="0"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trPr>
        <w:tc>
          <w:tcPr>
            <w:tcW w:w="9071" w:type="dxa"/>
            <w:noWrap/>
            <w:vAlign w:val="center"/>
          </w:tcPr>
          <w:p>
            <w:pPr>
              <w:keepNext w:val="0"/>
              <w:keepLines w:val="0"/>
              <w:pageBreakBefore w:val="0"/>
              <w:kinsoku/>
              <w:wordWrap/>
              <w:overflowPunct/>
              <w:topLinePunct w:val="0"/>
              <w:autoSpaceDE/>
              <w:autoSpaceDN/>
              <w:bidi w:val="0"/>
              <w:snapToGrid/>
              <w:spacing w:line="300" w:lineRule="auto"/>
              <w:ind w:firstLine="482" w:firstLineChars="200"/>
              <w:jc w:val="center"/>
              <w:rPr>
                <w:rFonts w:hint="default"/>
                <w:lang w:val="en-US" w:eastAsia="zh-CN"/>
              </w:rPr>
            </w:pPr>
            <w:r>
              <w:rPr>
                <w:rFonts w:hint="eastAsia"/>
                <w:b/>
                <w:bCs/>
              </w:rPr>
              <w:t>专栏八 城市人居环境治理工程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97" w:hRule="atLeast"/>
        </w:trPr>
        <w:tc>
          <w:tcPr>
            <w:tcW w:w="9071" w:type="dxa"/>
            <w:noWrap/>
            <w:vAlign w:val="center"/>
          </w:tcPr>
          <w:p>
            <w:pPr>
              <w:pStyle w:val="66"/>
              <w:bidi w:val="0"/>
              <w:rPr>
                <w:rFonts w:hint="default"/>
                <w:lang w:val="zh-CN" w:eastAsia="zh-CN"/>
              </w:rPr>
            </w:pPr>
            <w:r>
              <w:rPr>
                <w:rFonts w:hint="default"/>
                <w:lang w:val="zh-CN" w:eastAsia="zh-CN"/>
              </w:rPr>
              <w:t>（一）深化噪声治理工程</w:t>
            </w:r>
          </w:p>
          <w:p>
            <w:pPr>
              <w:pStyle w:val="66"/>
              <w:bidi w:val="0"/>
              <w:rPr>
                <w:rFonts w:hint="default"/>
                <w:lang w:val="zh-CN" w:eastAsia="zh-CN"/>
              </w:rPr>
            </w:pPr>
            <w:r>
              <w:rPr>
                <w:rFonts w:hint="default"/>
                <w:lang w:val="zh-CN" w:eastAsia="zh-CN"/>
              </w:rPr>
              <w:t>逐步配套噪声敏感建筑物集中区域隔声屏障建设，降低噪声对人们生产、生活影响。</w:t>
            </w:r>
          </w:p>
          <w:p>
            <w:pPr>
              <w:pStyle w:val="66"/>
              <w:bidi w:val="0"/>
              <w:rPr>
                <w:rFonts w:hint="default"/>
                <w:lang w:val="zh-CN" w:eastAsia="zh-CN"/>
              </w:rPr>
            </w:pPr>
            <w:r>
              <w:rPr>
                <w:rFonts w:hint="default"/>
                <w:lang w:val="zh-CN" w:eastAsia="zh-CN"/>
              </w:rPr>
              <w:t>（二）城市绿地建设工程</w:t>
            </w:r>
          </w:p>
          <w:p>
            <w:pPr>
              <w:pStyle w:val="66"/>
              <w:bidi w:val="0"/>
              <w:rPr>
                <w:rFonts w:hint="default"/>
                <w:lang w:val="en-US" w:eastAsia="zh-CN"/>
              </w:rPr>
            </w:pPr>
            <w:r>
              <w:rPr>
                <w:rFonts w:hint="default"/>
                <w:lang w:val="zh-CN" w:eastAsia="zh-CN"/>
              </w:rPr>
              <w:t>开展高新区城区绿化工程建设，强化城市公园、社区公园、绿化隔离地、街旁绿地、庭院绿化、裸露地绿化等工程建设。</w:t>
            </w:r>
          </w:p>
        </w:tc>
      </w:tr>
    </w:tbl>
    <w:p>
      <w:pPr>
        <w:pStyle w:val="2"/>
        <w:rPr>
          <w:rFonts w:hint="eastAsia"/>
          <w:lang w:val="en-US" w:eastAsia="zh-CN"/>
        </w:rPr>
      </w:pPr>
    </w:p>
    <w:p>
      <w:pPr>
        <w:pStyle w:val="47"/>
        <w:bidi w:val="0"/>
        <w:rPr>
          <w:rFonts w:hint="eastAsia"/>
          <w:b/>
          <w:bCs/>
          <w:lang w:val="en-US" w:eastAsia="zh-CN"/>
        </w:rPr>
      </w:pPr>
      <w:r>
        <w:rPr>
          <w:rFonts w:hint="eastAsia"/>
          <w:b/>
          <w:bCs/>
          <w:lang w:val="en-US" w:eastAsia="zh-CN"/>
        </w:rPr>
        <w:t>第九节 加快现代生态环境治理体系建设，提升环境治理能力</w:t>
      </w:r>
    </w:p>
    <w:p>
      <w:pPr>
        <w:rPr>
          <w:rFonts w:hint="eastAsia"/>
          <w:lang w:val="en-US" w:eastAsia="zh-CN"/>
        </w:rPr>
      </w:pPr>
      <w:r>
        <w:rPr>
          <w:rFonts w:hint="eastAsia"/>
          <w:b/>
          <w:bCs/>
          <w:lang w:val="en-US" w:eastAsia="zh-CN"/>
        </w:rPr>
        <w:t xml:space="preserve">（一）健全生态环境管理体制机制 </w:t>
      </w:r>
    </w:p>
    <w:p>
      <w:pPr>
        <w:rPr>
          <w:rFonts w:hint="eastAsia"/>
          <w:b w:val="0"/>
          <w:bCs w:val="0"/>
          <w:lang w:val="en-US" w:eastAsia="zh-CN"/>
        </w:rPr>
      </w:pPr>
      <w:r>
        <w:rPr>
          <w:rFonts w:hint="eastAsia"/>
          <w:b/>
          <w:bCs/>
          <w:lang w:val="en-US" w:eastAsia="zh-CN"/>
        </w:rPr>
        <w:t>建立健全生态环境协同治理机制。</w:t>
      </w:r>
      <w:r>
        <w:rPr>
          <w:rFonts w:hint="eastAsia"/>
          <w:b w:val="0"/>
          <w:bCs w:val="0"/>
          <w:lang w:val="en-US" w:eastAsia="zh-CN"/>
        </w:rPr>
        <w:t>落实“中央统筹、省负总责、市县抓落实”工作机制，贯彻执行党中央、国务院各项决策部署和省委、省政府工作安排，各级政府对本行政区域的生态环境保护工作及生态环境质量负总责；建立健全发改、工信、交通、自然资源、生态环境、住建、农业农村等各相关职能部门生态环境保护工作协调机制，制定生态环境保护责任清单，落实《鞍山市生态环境保护工作责任规定（试行）》，统筹做好监管执法、市场规范、资金安排、宣传教育等工作。</w:t>
      </w:r>
    </w:p>
    <w:p>
      <w:pPr>
        <w:rPr>
          <w:rFonts w:hint="eastAsia"/>
          <w:lang w:val="en-US" w:eastAsia="zh-CN"/>
        </w:rPr>
      </w:pPr>
      <w:r>
        <w:rPr>
          <w:rFonts w:hint="eastAsia"/>
          <w:b/>
          <w:bCs/>
          <w:lang w:val="en-US" w:eastAsia="zh-CN"/>
        </w:rPr>
        <w:t>健全落实生态环境保护督察制度机制。</w:t>
      </w:r>
      <w:r>
        <w:rPr>
          <w:rFonts w:hint="eastAsia"/>
          <w:lang w:val="en-US" w:eastAsia="zh-CN"/>
        </w:rPr>
        <w:t>健全完善高位推进、精准管理、跟踪问效和清单管理、定期调度、预警通报、督查督办、考核问责、信息公开、验收销号机制，配合做好中央和省生态环境保护督察工作，推动督察反馈问题整改，压实生态环境保护责任，高效推进整改工作。</w:t>
      </w:r>
    </w:p>
    <w:p>
      <w:pPr>
        <w:rPr>
          <w:rFonts w:hint="eastAsia"/>
          <w:lang w:val="en-US" w:eastAsia="zh-CN"/>
        </w:rPr>
      </w:pPr>
      <w:r>
        <w:rPr>
          <w:rFonts w:hint="eastAsia"/>
          <w:b/>
          <w:bCs/>
          <w:lang w:val="en-US" w:eastAsia="zh-CN"/>
        </w:rPr>
        <w:t>（二）完善生态环境监管制度体系</w:t>
      </w:r>
    </w:p>
    <w:p>
      <w:pPr>
        <w:rPr>
          <w:rFonts w:hint="eastAsia"/>
          <w:lang w:val="en-US" w:eastAsia="zh-CN"/>
        </w:rPr>
      </w:pPr>
      <w:r>
        <w:rPr>
          <w:rFonts w:hint="eastAsia"/>
          <w:b/>
          <w:bCs/>
          <w:lang w:val="en-US" w:eastAsia="zh-CN"/>
        </w:rPr>
        <w:t>全面实行排污许可制</w:t>
      </w:r>
      <w:r>
        <w:rPr>
          <w:rFonts w:hint="eastAsia"/>
          <w:lang w:val="en-US" w:eastAsia="zh-CN"/>
        </w:rPr>
        <w:t>。推动构建以排污许可制为核心的固定污染源“一证式”监管体系，有效衔接排污许可制度与环境影响评价、总量控制、环境监测、排污权交易、信用评价、环境税等制度，建立并实施固定污染源全流程闭环监管工作机制，开展排污许可专项执法检查，提升我市固定污染源精细化、信息化管理能力。</w:t>
      </w:r>
    </w:p>
    <w:p>
      <w:pPr>
        <w:rPr>
          <w:rFonts w:hint="eastAsia"/>
          <w:lang w:val="en-US" w:eastAsia="zh-CN"/>
        </w:rPr>
      </w:pPr>
      <w:r>
        <w:rPr>
          <w:rFonts w:hint="eastAsia"/>
          <w:b/>
          <w:bCs/>
          <w:lang w:val="en-US" w:eastAsia="zh-CN"/>
        </w:rPr>
        <w:t>健全环境治理信用体系。</w:t>
      </w:r>
      <w:r>
        <w:rPr>
          <w:rFonts w:hint="eastAsia"/>
          <w:lang w:val="en-US" w:eastAsia="zh-CN"/>
        </w:rPr>
        <w:t>开展企业环境信用评价工作，依据评价结果实施分级分类监管。建立完善排污企业和生态环境社会化服务机构黑名单制度，将环境违法企业依法依规纳入失信联合惩戒对象名单，将其违法信息记入信用记录，按照有关规定纳入市公共信用信息管理平台，依法向社会公开。依据国家有关企业环境信息依法披露的要求，落实环境信息披露制度，依法披露企业环境信息。</w:t>
      </w:r>
    </w:p>
    <w:p>
      <w:pPr>
        <w:rPr>
          <w:rFonts w:hint="eastAsia"/>
          <w:lang w:val="en-US" w:eastAsia="zh-CN"/>
        </w:rPr>
      </w:pPr>
      <w:r>
        <w:rPr>
          <w:rFonts w:hint="eastAsia"/>
          <w:b/>
          <w:bCs/>
          <w:lang w:val="en-US" w:eastAsia="zh-CN"/>
        </w:rPr>
        <w:t>健全生态保护和修复制度</w:t>
      </w:r>
      <w:r>
        <w:rPr>
          <w:rFonts w:hint="eastAsia"/>
          <w:lang w:val="en-US" w:eastAsia="zh-CN"/>
        </w:rPr>
        <w:t>。加强矿产资源勘查、开发利用和保护的统一规划，新建矿山按照绿色矿山标准进行规划、设计、建设和运营管理，加强生产矿山地质环境保护与恢复治理，加大废弃矿山治理修复力度；制定生态破坏恢复监管方案，全面推进对生态环境有影响的自然资源开发利用活动、生态环境建设和生态破坏恢复的监督管理，以绿色矿山建设引领矿业转型发展。</w:t>
      </w:r>
    </w:p>
    <w:p>
      <w:pPr>
        <w:rPr>
          <w:rFonts w:hint="eastAsia"/>
          <w:lang w:val="en-US" w:eastAsia="zh-CN"/>
        </w:rPr>
      </w:pPr>
      <w:r>
        <w:rPr>
          <w:rFonts w:hint="eastAsia"/>
          <w:b/>
          <w:bCs/>
          <w:lang w:val="en-US" w:eastAsia="zh-CN"/>
        </w:rPr>
        <w:t>建立健全国土空间开发保护制度。</w:t>
      </w:r>
      <w:r>
        <w:rPr>
          <w:rFonts w:hint="eastAsia"/>
          <w:lang w:val="en-US" w:eastAsia="zh-CN"/>
        </w:rPr>
        <w:t>建立完善“三线一单”制度体系，基本建立全市国土空间规划体系，形成以国土空间规划为基础，以统一用途管制为手段的国土空间开发保护制度，统筹落实生态保护红线、永久基本农田、城镇开发边界等三条控制线。</w:t>
      </w:r>
    </w:p>
    <w:p>
      <w:pPr>
        <w:rPr>
          <w:rFonts w:hint="eastAsia"/>
          <w:b/>
          <w:bCs/>
          <w:lang w:val="en-US" w:eastAsia="zh-CN"/>
        </w:rPr>
      </w:pPr>
      <w:r>
        <w:rPr>
          <w:rFonts w:hint="eastAsia"/>
          <w:b/>
          <w:bCs/>
          <w:lang w:val="en-US" w:eastAsia="zh-CN"/>
        </w:rPr>
        <w:t>（三）健全生态环境治理政策法规体系</w:t>
      </w:r>
    </w:p>
    <w:p>
      <w:pPr>
        <w:rPr>
          <w:rFonts w:hint="eastAsia"/>
          <w:lang w:val="en-US" w:eastAsia="zh-CN"/>
        </w:rPr>
      </w:pPr>
      <w:r>
        <w:rPr>
          <w:rFonts w:hint="eastAsia"/>
          <w:b/>
          <w:bCs/>
          <w:lang w:val="en-US" w:eastAsia="zh-CN"/>
        </w:rPr>
        <w:t>健全财政资金支持政策。</w:t>
      </w:r>
      <w:r>
        <w:rPr>
          <w:rFonts w:hint="eastAsia"/>
          <w:lang w:val="en-US" w:eastAsia="zh-CN"/>
        </w:rPr>
        <w:t>加强中央环保投资项目储备库建设，积极争取国家资金支持。统筹使用市以上基本建设等环境治理资金，形成常态化、稳定化的财政资金投入机制。建立健全环境治理多元投入机制，引导社会资本参与生态环境建设。</w:t>
      </w:r>
    </w:p>
    <w:p>
      <w:pPr>
        <w:rPr>
          <w:rFonts w:hint="eastAsia"/>
          <w:lang w:val="en-US" w:eastAsia="zh-CN"/>
        </w:rPr>
      </w:pPr>
      <w:r>
        <w:rPr>
          <w:rFonts w:hint="eastAsia"/>
          <w:b/>
          <w:bCs/>
          <w:lang w:val="en-US" w:eastAsia="zh-CN"/>
        </w:rPr>
        <w:t>落实环境保护税法优惠政策。</w:t>
      </w:r>
      <w:r>
        <w:rPr>
          <w:rFonts w:hint="eastAsia"/>
          <w:lang w:val="en-US" w:eastAsia="zh-CN"/>
        </w:rPr>
        <w:t>严格执行环境保护税法，落实“多排多缴、少排少缴、不排不缴”的激励约束机制。落实国家对生态环保咨询、设备与产品制造、工程和环保产业等的税收优惠政策。</w:t>
      </w:r>
    </w:p>
    <w:p>
      <w:pPr>
        <w:rPr>
          <w:rFonts w:hint="eastAsia"/>
          <w:lang w:val="en-US" w:eastAsia="zh-CN"/>
        </w:rPr>
      </w:pPr>
      <w:r>
        <w:rPr>
          <w:rFonts w:hint="eastAsia"/>
          <w:b/>
          <w:bCs/>
          <w:lang w:val="en-US" w:eastAsia="zh-CN"/>
        </w:rPr>
        <w:t>完善金融扶持政策体系。</w:t>
      </w:r>
      <w:r>
        <w:rPr>
          <w:rFonts w:hint="eastAsia"/>
          <w:lang w:val="en-US" w:eastAsia="zh-CN"/>
        </w:rPr>
        <w:t>加快建立绿色信贷服务体系，支持信托金融机构采用多种方式为第三方治理、节能环保企业绿色发展提供金融服务。建立完善环境高风险领域环境污染强制责任保险制度，鼓励发展重大环保装备融资租赁。</w:t>
      </w:r>
    </w:p>
    <w:p>
      <w:pPr>
        <w:rPr>
          <w:rFonts w:hint="eastAsia"/>
          <w:b/>
          <w:bCs/>
          <w:lang w:val="en-US" w:eastAsia="zh-CN"/>
        </w:rPr>
      </w:pPr>
      <w:r>
        <w:rPr>
          <w:rFonts w:hint="eastAsia"/>
          <w:b/>
          <w:bCs/>
          <w:lang w:val="en-US" w:eastAsia="zh-CN"/>
        </w:rPr>
        <w:t>（四）健全生态环境治理市场体系</w:t>
      </w:r>
    </w:p>
    <w:p>
      <w:pPr>
        <w:rPr>
          <w:rFonts w:hint="eastAsia"/>
          <w:lang w:val="en-US" w:eastAsia="zh-CN"/>
        </w:rPr>
      </w:pPr>
      <w:r>
        <w:rPr>
          <w:rFonts w:hint="eastAsia"/>
          <w:b/>
          <w:bCs/>
          <w:lang w:val="en-US" w:eastAsia="zh-CN"/>
        </w:rPr>
        <w:t>构建规范开放环境治理市场。</w:t>
      </w:r>
      <w:r>
        <w:rPr>
          <w:rFonts w:hint="eastAsia"/>
          <w:lang w:val="en-US" w:eastAsia="zh-CN"/>
        </w:rPr>
        <w:t>深化“放管服”改革，持续推进“减证便民”行动。规范、推广政府和社会资本合作模式，规范市场秩序，制定《鞍山市生态环境第三方服务技术单位监督管理暂行规定》，开展小城镇环境综合治理托管服务试点。</w:t>
      </w:r>
    </w:p>
    <w:p>
      <w:pPr>
        <w:rPr>
          <w:rFonts w:hint="eastAsia"/>
          <w:lang w:val="en-US" w:eastAsia="zh-CN"/>
        </w:rPr>
      </w:pPr>
      <w:r>
        <w:rPr>
          <w:rFonts w:hint="eastAsia"/>
          <w:lang w:val="en-US" w:eastAsia="zh-CN"/>
        </w:rPr>
        <w:t>深化生态环境价格改革。严格落实“谁污染、谁付费”政策，建立健全“污染者付费+第三方治理”等机制。制定污水垃圾处理收费标准和实施措施，完善差别化用电、用水、用气价格政策，鼓励绿色节约行为。</w:t>
      </w:r>
    </w:p>
    <w:p>
      <w:pPr>
        <w:rPr>
          <w:rFonts w:hint="eastAsia"/>
          <w:b/>
          <w:bCs/>
          <w:lang w:val="en-US" w:eastAsia="zh-CN"/>
        </w:rPr>
      </w:pPr>
      <w:r>
        <w:rPr>
          <w:rFonts w:hint="eastAsia"/>
          <w:b/>
          <w:bCs/>
          <w:lang w:val="en-US" w:eastAsia="zh-CN"/>
        </w:rPr>
        <w:t>（五）健全环境治理监管体系</w:t>
      </w:r>
    </w:p>
    <w:p>
      <w:pPr>
        <w:rPr>
          <w:rFonts w:hint="default"/>
          <w:lang w:val="en-US" w:eastAsia="zh-CN"/>
        </w:rPr>
      </w:pPr>
      <w:r>
        <w:rPr>
          <w:rFonts w:hint="eastAsia"/>
          <w:b/>
          <w:bCs/>
          <w:lang w:val="en-US" w:eastAsia="zh-CN"/>
        </w:rPr>
        <w:t>完善区域联防联控机制。</w:t>
      </w:r>
      <w:r>
        <w:rPr>
          <w:rFonts w:hint="eastAsia"/>
          <w:lang w:val="en-US" w:eastAsia="zh-CN"/>
        </w:rPr>
        <w:t>积极参与沈阳现代化都市圈重污染天气联防联控机制建设，健全突发环境事件应急联防联控机制和协作制度，加强风险研判、事件应对、纠纷处理等方面合作；健全区域联防联控机制，联合防控和协调解决跨区域环境污染；加强重污染天气应对，完善重污染天气应急预案，适时开展重污染天气联合应急演练。</w:t>
      </w:r>
    </w:p>
    <w:p>
      <w:pPr>
        <w:rPr>
          <w:rFonts w:hint="eastAsia"/>
          <w:lang w:val="en-US" w:eastAsia="zh-CN"/>
        </w:rPr>
      </w:pPr>
      <w:r>
        <w:rPr>
          <w:rFonts w:hint="eastAsia"/>
          <w:b/>
          <w:bCs/>
          <w:lang w:val="en-US" w:eastAsia="zh-CN"/>
        </w:rPr>
        <w:t>完善生态环境监测体系。</w:t>
      </w:r>
      <w:r>
        <w:rPr>
          <w:rFonts w:hint="eastAsia"/>
          <w:lang w:val="en-US" w:eastAsia="zh-CN"/>
        </w:rPr>
        <w:t>建立天地一体、上下协同、信息共享和生态保护红线重点区域的生态环境质量监测网络。重点加强VOCs监测站建设。强化自然保护地、重点生态功能区和生态保护红线等重点区域的生态质量监测。开展运粮河水环境监管能力、南沙河排水智慧监控平台系统、鞍山市生态环境大数据智慧监管平台工程建设，以现场抽查和网络核查方式，每季度帮扶指导1%重点排污单位自行监测及信息公开。落实社会化生态环境监测机构监督管理办法，推进市级生态环境监测机构能力建设，确保基层监测机构业务用房、仪器装备、监测人员等满足监测需要。</w:t>
      </w:r>
    </w:p>
    <w:p>
      <w:pPr>
        <w:rPr>
          <w:rFonts w:hint="eastAsia"/>
          <w:lang w:val="en-US" w:eastAsia="zh-CN"/>
        </w:rPr>
      </w:pPr>
      <w:r>
        <w:rPr>
          <w:rFonts w:hint="eastAsia"/>
          <w:lang w:val="en-US" w:eastAsia="zh-CN"/>
        </w:rPr>
        <w:t>以省鞍山生态环境监测中心为载体，建立区域互补，覆盖全市环境应急监测体系，落实在线监控设施“建、管、用”要求，强化对重点排污单位在线监控设施监管，落实国家和省关于自动监测设施运维机构监管要求，组织社会环境监测机构数据质量状况专项行动。</w:t>
      </w:r>
    </w:p>
    <w:p>
      <w:pPr>
        <w:rPr>
          <w:rFonts w:hint="eastAsia"/>
          <w:lang w:val="en-US" w:eastAsia="zh-CN"/>
        </w:rPr>
      </w:pPr>
      <w:r>
        <w:rPr>
          <w:rFonts w:hint="eastAsia"/>
          <w:b/>
          <w:bCs/>
          <w:lang w:val="en-US" w:eastAsia="zh-CN"/>
        </w:rPr>
        <w:t>健全生态环境综合执法体系。</w:t>
      </w:r>
      <w:r>
        <w:rPr>
          <w:rFonts w:hint="eastAsia"/>
          <w:lang w:val="en-US" w:eastAsia="zh-CN"/>
        </w:rPr>
        <w:t>全面落实《辽宁省生态环境行政处罚裁量若干规定（试行）》，扎实推进生态环境保护综合行政执法改革，加快补齐应对气候变化、生态监管等领域执法能力短板，推进执法能力规范化建设。推动生态环境执法权限和力量向市县下移。建立市级执法指挥工作专班，全面推行“双随机、一公开”模式，推行跨区域跨流域联合执法、交叉执法。建立健全生态环境保护综合行政执法、公安、检察、审判等机关协同联动机制，完善信息共享、案情通报、联合调查、案件移送、重大案件会商督办和案件双向咨询制度。积极推进在市中院和有条件的基层法院设立专门的环境审判部门，探索建立环境资源刑事、民事、行政案件“三合一”归口审理机制，大力提升专业化审判水平。</w:t>
      </w:r>
    </w:p>
    <w:p>
      <w:pPr>
        <w:rPr>
          <w:rFonts w:hint="eastAsia"/>
          <w:b/>
          <w:bCs/>
          <w:lang w:val="en-US" w:eastAsia="zh-CN"/>
        </w:rPr>
      </w:pPr>
      <w:r>
        <w:rPr>
          <w:rFonts w:hint="eastAsia"/>
          <w:b/>
          <w:bCs/>
          <w:lang w:val="en-US" w:eastAsia="zh-CN"/>
        </w:rPr>
        <w:t>（六）健全环境治理全民行动体系</w:t>
      </w:r>
    </w:p>
    <w:p>
      <w:pPr>
        <w:bidi w:val="0"/>
        <w:rPr>
          <w:rFonts w:hint="eastAsia"/>
          <w:lang w:val="en-US" w:eastAsia="zh-CN"/>
        </w:rPr>
      </w:pPr>
      <w:r>
        <w:rPr>
          <w:rFonts w:hint="eastAsia"/>
          <w:b/>
          <w:bCs/>
          <w:lang w:val="en-US" w:eastAsia="zh-CN"/>
        </w:rPr>
        <w:t>各类社团充分发挥主体作用。</w:t>
      </w:r>
      <w:r>
        <w:rPr>
          <w:rFonts w:hint="eastAsia"/>
          <w:lang w:val="en-US" w:eastAsia="zh-CN"/>
        </w:rPr>
        <w:t>工会、共青团、妇联等群团组织要积极组织广大职工、青年、妇女开展生态环境保护相关活动，积极参与生态环境治理。行业协会、商会要发挥桥梁纽带作用，促进行业自律，提升行业环境治理水平。广泛发展生态环保志愿服务项目和志愿者队伍，加强对社会组织的管理和指导。</w:t>
      </w:r>
    </w:p>
    <w:p>
      <w:pPr>
        <w:bidi w:val="0"/>
        <w:rPr>
          <w:rFonts w:hint="eastAsia"/>
          <w:lang w:val="en-US" w:eastAsia="zh-CN"/>
        </w:rPr>
      </w:pPr>
      <w:r>
        <w:rPr>
          <w:rFonts w:hint="eastAsia"/>
          <w:b/>
          <w:bCs/>
          <w:lang w:val="en-US" w:eastAsia="zh-CN"/>
        </w:rPr>
        <w:t>强化公众社会监督。</w:t>
      </w:r>
      <w:r>
        <w:rPr>
          <w:rFonts w:hint="eastAsia"/>
          <w:lang w:val="en-US" w:eastAsia="zh-CN"/>
        </w:rPr>
        <w:t>健全环境决策公众参与机制，保障公众的知情权、监督权、参与权。充分利用报刊、电视、广播网络和新媒体等渠道，加强宣传生态环境保护典型经验做法和曝光突出问题。健全公众监督和举报反馈机制，进一步拓宽信、访、网、电、微等举报渠道，充分发挥“12369”“12345”热线作用，完善环境信访举报办理与反馈机制，切实解决群众投诉举报问题。建立实施生态环境违法行为举报奖励制度，扩大公众参与环保监督渠道。完善生态环境保护新闻发布制度，设立新闻发言人，主动回应社会重大关切问题。</w:t>
      </w:r>
    </w:p>
    <w:p>
      <w:pPr>
        <w:bidi w:val="0"/>
        <w:rPr>
          <w:rFonts w:hint="eastAsia"/>
          <w:highlight w:val="none"/>
          <w:lang w:val="en-US" w:eastAsia="zh-CN"/>
        </w:rPr>
      </w:pPr>
      <w:r>
        <w:rPr>
          <w:rFonts w:hint="eastAsia"/>
          <w:b/>
          <w:bCs/>
          <w:lang w:val="en-US" w:eastAsia="zh-CN"/>
        </w:rPr>
        <w:t>大力践行绿色生活方式</w:t>
      </w:r>
      <w:r>
        <w:rPr>
          <w:rFonts w:hint="eastAsia"/>
          <w:lang w:val="en-US" w:eastAsia="zh-CN"/>
        </w:rPr>
        <w:t>。依托“鞍山云”“微鞍山”“鞍山发布”等平台，“六·五”环境日等重大纪念日，广泛宣传生态环境保护相关理论知识、绿色低碳生活理念和生活</w:t>
      </w:r>
      <w:r>
        <w:rPr>
          <w:rFonts w:hint="eastAsia"/>
          <w:highlight w:val="none"/>
          <w:lang w:val="en-US" w:eastAsia="zh-CN"/>
        </w:rPr>
        <w:t>方式，开展节约型机关、绿色家庭、绿色学校、绿色社区、绿色出行、绿色商场、绿色建筑等重点领域创建活动。党政机关要厉行勤俭节约、反对铺张浪费。</w:t>
      </w:r>
    </w:p>
    <w:p>
      <w:pPr>
        <w:pStyle w:val="47"/>
        <w:bidi w:val="0"/>
        <w:ind w:firstLine="3654" w:firstLineChars="1300"/>
        <w:jc w:val="both"/>
        <w:rPr>
          <w:rFonts w:hint="eastAsia"/>
          <w:b/>
          <w:bCs/>
          <w:highlight w:val="yellow"/>
          <w:lang w:val="en-US" w:eastAsia="zh-CN"/>
        </w:rPr>
      </w:pPr>
    </w:p>
    <w:p>
      <w:pPr>
        <w:pStyle w:val="47"/>
        <w:bidi w:val="0"/>
        <w:ind w:firstLine="3654" w:firstLineChars="1300"/>
        <w:jc w:val="both"/>
        <w:rPr>
          <w:rFonts w:hint="eastAsia"/>
          <w:b/>
          <w:bCs/>
          <w:highlight w:val="yellow"/>
          <w:lang w:val="en-US" w:eastAsia="zh-CN"/>
        </w:rPr>
      </w:pPr>
    </w:p>
    <w:tbl>
      <w:tblPr>
        <w:tblStyle w:val="22"/>
        <w:tblpPr w:leftFromText="180" w:rightFromText="180" w:vertAnchor="page" w:horzAnchor="page" w:tblpX="1248" w:tblpY="2067"/>
        <w:tblOverlap w:val="never"/>
        <w:tblW w:w="9071" w:type="dxa"/>
        <w:tblInd w:w="0"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449" w:hRule="atLeast"/>
        </w:trPr>
        <w:tc>
          <w:tcPr>
            <w:tcW w:w="9071" w:type="dxa"/>
            <w:noWrap/>
            <w:vAlign w:val="center"/>
          </w:tcPr>
          <w:p>
            <w:pPr>
              <w:bidi w:val="0"/>
              <w:jc w:val="center"/>
              <w:rPr>
                <w:rFonts w:hint="default"/>
                <w:highlight w:val="yellow"/>
                <w:lang w:val="en-US" w:eastAsia="zh-CN"/>
              </w:rPr>
            </w:pPr>
            <w:r>
              <w:rPr>
                <w:rFonts w:hint="eastAsia"/>
                <w:highlight w:val="none"/>
                <w:lang w:val="en-US" w:eastAsia="zh-CN"/>
              </w:rPr>
              <w:br w:type="page"/>
            </w:r>
            <w:r>
              <w:rPr>
                <w:rFonts w:hint="default" w:ascii="Times New Roman" w:hAnsi="Times New Roman" w:cs="Times New Roman"/>
                <w:b/>
                <w:bCs/>
                <w:sz w:val="24"/>
                <w:szCs w:val="24"/>
                <w:highlight w:val="none"/>
                <w:lang w:val="en-US" w:eastAsia="zh-CN"/>
              </w:rPr>
              <w:t>专栏九 生态环境信息化与监控工程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PrEx>
        <w:trPr>
          <w:trHeight w:val="812" w:hRule="atLeast"/>
        </w:trPr>
        <w:tc>
          <w:tcPr>
            <w:tcW w:w="9071" w:type="dxa"/>
            <w:noWrap/>
            <w:vAlign w:val="center"/>
          </w:tcPr>
          <w:p>
            <w:pPr>
              <w:pStyle w:val="66"/>
              <w:bidi w:val="0"/>
              <w:rPr>
                <w:rFonts w:hint="default"/>
                <w:highlight w:val="yellow"/>
                <w:lang w:val="en-US" w:eastAsia="zh-CN"/>
              </w:rPr>
            </w:pPr>
            <w:r>
              <w:rPr>
                <w:rFonts w:hint="default"/>
                <w:highlight w:val="none"/>
                <w:lang w:val="zh-CN" w:eastAsia="zh-CN"/>
              </w:rPr>
              <w:t>积极推进化工园区有毒有害气体预警体系建设，重点流域水环境监管能力建设工程。推进生态环境大数据智慧监管平台、大气环境质量监管监控等工程建设。</w:t>
            </w:r>
          </w:p>
        </w:tc>
      </w:tr>
    </w:tbl>
    <w:p>
      <w:pPr>
        <w:pStyle w:val="47"/>
        <w:bidi w:val="0"/>
        <w:jc w:val="center"/>
        <w:rPr>
          <w:rFonts w:hint="default"/>
          <w:b/>
          <w:bCs/>
          <w:color w:val="0000FF"/>
          <w:sz w:val="36"/>
          <w:szCs w:val="36"/>
          <w:highlight w:val="none"/>
          <w:lang w:val="en-US" w:eastAsia="zh-CN"/>
        </w:rPr>
      </w:pPr>
      <w:r>
        <w:rPr>
          <w:rFonts w:hint="eastAsia"/>
          <w:b/>
          <w:bCs/>
          <w:highlight w:val="none"/>
          <w:lang w:val="en-US" w:eastAsia="zh-CN"/>
        </w:rPr>
        <w:t>第十节 保障措施</w:t>
      </w:r>
    </w:p>
    <w:p>
      <w:pPr>
        <w:bidi w:val="0"/>
        <w:rPr>
          <w:rFonts w:hint="eastAsia"/>
          <w:b/>
          <w:bCs/>
          <w:lang w:val="en-US" w:eastAsia="zh-CN"/>
        </w:rPr>
      </w:pPr>
      <w:r>
        <w:rPr>
          <w:rFonts w:hint="eastAsia"/>
          <w:b/>
          <w:bCs/>
          <w:lang w:val="en-US" w:eastAsia="zh-CN"/>
        </w:rPr>
        <w:t>（一）加强组织领导</w:t>
      </w:r>
    </w:p>
    <w:p>
      <w:pPr>
        <w:bidi w:val="0"/>
        <w:rPr>
          <w:rFonts w:hint="eastAsia"/>
          <w:lang w:val="en-US" w:eastAsia="zh-CN"/>
        </w:rPr>
      </w:pPr>
      <w:r>
        <w:rPr>
          <w:rFonts w:hint="eastAsia"/>
          <w:b/>
          <w:bCs/>
          <w:lang w:val="en-US" w:eastAsia="zh-CN"/>
        </w:rPr>
        <w:t>全面落实“党政同责、一岗双责”。</w:t>
      </w:r>
      <w:r>
        <w:rPr>
          <w:rFonts w:hint="eastAsia"/>
          <w:lang w:val="en-US" w:eastAsia="zh-CN"/>
        </w:rPr>
        <w:t>把生态环境保护目标、任务、措施和重点工程纳入本地区国民经济和社会发展规划，确保各项工作任务落地落实。有关部门要按照职责分工，制定落实方案计划，强化部门协作和地方指导，推动目标任务落实。各地区各部门编制相关规划时，要与本规划做好衔接，加强生态环境保护、节能减排约束性指标管理。</w:t>
      </w:r>
    </w:p>
    <w:p>
      <w:pPr>
        <w:bidi w:val="0"/>
        <w:rPr>
          <w:rFonts w:hint="eastAsia"/>
          <w:b/>
          <w:bCs/>
          <w:lang w:val="en-US" w:eastAsia="zh-CN"/>
        </w:rPr>
      </w:pPr>
      <w:r>
        <w:rPr>
          <w:rFonts w:hint="eastAsia"/>
          <w:b/>
          <w:bCs/>
          <w:lang w:val="en-US" w:eastAsia="zh-CN"/>
        </w:rPr>
        <w:t>（二）加大资金投入</w:t>
      </w:r>
    </w:p>
    <w:p>
      <w:pPr>
        <w:bidi w:val="0"/>
        <w:rPr>
          <w:rFonts w:hint="eastAsia"/>
          <w:lang w:val="en-US" w:eastAsia="zh-CN"/>
        </w:rPr>
      </w:pPr>
      <w:r>
        <w:rPr>
          <w:rFonts w:hint="eastAsia"/>
          <w:b/>
          <w:bCs/>
          <w:lang w:val="en-US" w:eastAsia="zh-CN"/>
        </w:rPr>
        <w:t>落实生态环境领域财政事权和支出责任划分要求，加大财政保障力度。</w:t>
      </w:r>
      <w:r>
        <w:rPr>
          <w:rFonts w:hint="eastAsia"/>
          <w:lang w:val="en-US" w:eastAsia="zh-CN"/>
        </w:rPr>
        <w:t>建立健全稳定的环境保护与污染治理财政资金投入机制。加强财政预算与规划实施的有效衔接，按照生态环境治理要求，整合生态环保资金。拓宽资金筹措渠道，积极推进政府和社会资本合作，运用市场机制，引导社会资本参与生态环境保护项目建设，推动形成多元投入机制。持续推进“十四五”生态环境保护重大项目实施。</w:t>
      </w:r>
    </w:p>
    <w:p>
      <w:pPr>
        <w:bidi w:val="0"/>
        <w:rPr>
          <w:rFonts w:hint="eastAsia"/>
          <w:b/>
          <w:bCs/>
          <w:lang w:val="en-US" w:eastAsia="zh-CN"/>
        </w:rPr>
      </w:pPr>
      <w:r>
        <w:rPr>
          <w:rFonts w:hint="eastAsia"/>
          <w:b/>
          <w:bCs/>
          <w:lang w:val="en-US" w:eastAsia="zh-CN"/>
        </w:rPr>
        <w:t>（三）强化调度评估</w:t>
      </w:r>
    </w:p>
    <w:p>
      <w:pPr>
        <w:bidi w:val="0"/>
        <w:rPr>
          <w:rFonts w:hint="eastAsia"/>
          <w:lang w:val="en-US" w:eastAsia="zh-CN"/>
        </w:rPr>
      </w:pPr>
      <w:r>
        <w:rPr>
          <w:rFonts w:hint="eastAsia"/>
          <w:b/>
          <w:bCs/>
          <w:lang w:val="en-US" w:eastAsia="zh-CN"/>
        </w:rPr>
        <w:t>落实评估考核机制。</w:t>
      </w:r>
      <w:r>
        <w:rPr>
          <w:rFonts w:hint="eastAsia"/>
          <w:lang w:val="en-US" w:eastAsia="zh-CN"/>
        </w:rPr>
        <w:t>各地区各部门要认真落实本规划要求，积极推进任务落实,每年对规划执行情况进行总结,切实推动解决生态环境突出问题和强化薄弱工作环节。生态环境部门会同相关部门围绕规划目标指标、重点任务、重点工程进展情况进行调整调度，在2023年、2025年底，分别对本规划执行情况进行中期评估和终期考核。</w:t>
      </w:r>
    </w:p>
    <w:p>
      <w:pPr>
        <w:bidi w:val="0"/>
        <w:rPr>
          <w:rFonts w:hint="eastAsia"/>
          <w:b/>
          <w:bCs/>
          <w:lang w:val="en-US" w:eastAsia="zh-CN"/>
        </w:rPr>
      </w:pPr>
      <w:r>
        <w:rPr>
          <w:rFonts w:hint="eastAsia"/>
          <w:b/>
          <w:bCs/>
          <w:lang w:val="en-US" w:eastAsia="zh-CN"/>
        </w:rPr>
        <w:t>（四）加强铁军建设</w:t>
      </w:r>
    </w:p>
    <w:p>
      <w:pPr>
        <w:bidi w:val="0"/>
        <w:rPr>
          <w:rFonts w:hint="eastAsia"/>
          <w:lang w:val="en-US" w:eastAsia="zh-CN"/>
        </w:rPr>
      </w:pPr>
      <w:r>
        <w:rPr>
          <w:rFonts w:hint="eastAsia"/>
          <w:b/>
          <w:bCs/>
          <w:lang w:val="en-US" w:eastAsia="zh-CN"/>
        </w:rPr>
        <w:t>强化队伍建设。</w:t>
      </w:r>
      <w:r>
        <w:rPr>
          <w:rFonts w:hint="eastAsia"/>
          <w:lang w:val="en-US" w:eastAsia="zh-CN"/>
        </w:rPr>
        <w:t>全面推进生态环境监测监察执法机构能力标准化建设.持续加强生态环境保护铁军建设。提升县区、乡镇（街道）等基层生态环境队伍能力，加强环境监管队伍建设，通过业务培训、比赛竞赛、挂职锻炼、经验交流等多种方式，提高业务能力,建设 “政治强、本领高、作风 硬、敢担当,特别能吃苦、特别能战斗、特别能奉献”的生态环境保护铁军。</w:t>
      </w:r>
    </w:p>
    <w:p>
      <w:pPr>
        <w:bidi w:val="0"/>
        <w:rPr>
          <w:rFonts w:hint="eastAsia"/>
          <w:b/>
          <w:bCs/>
          <w:lang w:val="en-US" w:eastAsia="zh-CN"/>
        </w:rPr>
      </w:pPr>
      <w:r>
        <w:rPr>
          <w:rFonts w:hint="eastAsia"/>
          <w:b/>
          <w:bCs/>
          <w:lang w:val="en-US" w:eastAsia="zh-CN"/>
        </w:rPr>
        <w:t>（五）加强科技支撑</w:t>
      </w:r>
    </w:p>
    <w:p>
      <w:pPr>
        <w:bidi w:val="0"/>
        <w:rPr>
          <w:rFonts w:hint="eastAsia"/>
          <w:lang w:val="en-US" w:eastAsia="zh-CN"/>
        </w:rPr>
      </w:pPr>
      <w:r>
        <w:rPr>
          <w:rFonts w:hint="eastAsia"/>
          <w:b/>
          <w:bCs/>
          <w:lang w:val="en-US" w:eastAsia="zh-CN"/>
        </w:rPr>
        <w:t>加强生态环境科技创新。</w:t>
      </w:r>
      <w:r>
        <w:rPr>
          <w:rFonts w:hint="eastAsia"/>
          <w:lang w:val="en-US" w:eastAsia="zh-CN"/>
        </w:rPr>
        <w:t>依托高校和科研院所、优质企业等培育建设一批绿色技术创新平台，加快构建以企业为主体、市场为导向、产学研相结合的技术创新体系。开展碳达峰碳中和、清洁能源高效利用、生态系统修复等绿色低碳重点领域的研究。深化大气、水、土壤、固废等领域低碳治理技术研发。整合科技资源，激发创新活力，不断提升环境科技支撑能力。</w:t>
      </w:r>
    </w:p>
    <w:p>
      <w:pPr>
        <w:bidi w:val="0"/>
        <w:rPr>
          <w:rFonts w:hint="eastAsia"/>
          <w:b/>
          <w:bCs/>
          <w:lang w:val="en-US" w:eastAsia="zh-CN"/>
        </w:rPr>
      </w:pPr>
      <w:r>
        <w:rPr>
          <w:rFonts w:hint="eastAsia"/>
          <w:b/>
          <w:bCs/>
          <w:lang w:val="en-US" w:eastAsia="zh-CN"/>
        </w:rPr>
        <w:t xml:space="preserve">（六）强化宣传引导 </w:t>
      </w:r>
    </w:p>
    <w:p>
      <w:pPr>
        <w:bidi w:val="0"/>
        <w:rPr>
          <w:rFonts w:hint="eastAsia"/>
          <w:lang w:val="en-US" w:eastAsia="zh-CN"/>
        </w:rPr>
      </w:pPr>
      <w:r>
        <w:rPr>
          <w:rFonts w:hint="eastAsia"/>
          <w:b/>
          <w:bCs/>
          <w:lang w:val="en-US" w:eastAsia="zh-CN"/>
        </w:rPr>
        <w:t>发挥舆论和宣传，实现公共参群众监督的氛围。</w:t>
      </w:r>
      <w:r>
        <w:rPr>
          <w:rFonts w:hint="eastAsia"/>
          <w:lang w:val="en-US" w:eastAsia="zh-CN"/>
        </w:rPr>
        <w:t>充分利用报纸、电视、网络、社交平台和数字媒介等各类媒体，定期公布环境质量、环境项目建设等规划实施信息，确保规划实施情况及时公开.充分利用新闻媒体进行宣传，做好典型案例的报道与经验广。通过形式多样的宣传，引导公众积极参与生态环境保护工作。</w:t>
      </w:r>
    </w:p>
    <w:p>
      <w:pPr>
        <w:bidi w:val="0"/>
        <w:ind w:left="0" w:leftChars="0" w:firstLine="0" w:firstLineChars="0"/>
        <w:jc w:val="left"/>
        <w:rPr>
          <w:rFonts w:hint="eastAsia"/>
          <w:b/>
          <w:bCs/>
          <w:lang w:val="en-US" w:eastAsia="zh-CN"/>
        </w:rPr>
      </w:pPr>
    </w:p>
    <w:p>
      <w:pPr>
        <w:rPr>
          <w:rFonts w:hint="eastAsia"/>
          <w:b/>
          <w:bCs/>
          <w:lang w:val="en-US" w:eastAsia="zh-CN"/>
        </w:rPr>
      </w:pPr>
      <w:r>
        <w:rPr>
          <w:rFonts w:hint="eastAsia"/>
          <w:b/>
          <w:bCs/>
          <w:lang w:val="en-US" w:eastAsia="zh-CN"/>
        </w:rPr>
        <w:br w:type="page"/>
      </w:r>
    </w:p>
    <w:p>
      <w:pPr>
        <w:bidi w:val="0"/>
        <w:ind w:left="0" w:leftChars="0" w:firstLine="0" w:firstLineChars="0"/>
        <w:jc w:val="left"/>
        <w:rPr>
          <w:rFonts w:hint="eastAsia" w:ascii="楷体_GB2312" w:hAnsi="楷体_GB2312" w:eastAsia="方正黑体_GBK" w:cs="楷体_GB2312"/>
          <w:b/>
          <w:bCs/>
          <w:kern w:val="2"/>
          <w:sz w:val="28"/>
          <w:szCs w:val="32"/>
          <w:highlight w:val="none"/>
          <w:lang w:val="en-US" w:eastAsia="zh-CN" w:bidi="ar-SA"/>
        </w:rPr>
      </w:pPr>
      <w:r>
        <w:rPr>
          <w:rFonts w:hint="eastAsia"/>
          <w:b/>
          <w:bCs/>
          <w:lang w:val="en-US" w:eastAsia="zh-CN"/>
        </w:rPr>
        <w:t xml:space="preserve">附件：          </w:t>
      </w:r>
      <w:r>
        <w:rPr>
          <w:rFonts w:hint="eastAsia" w:ascii="楷体_GB2312" w:hAnsi="楷体_GB2312" w:eastAsia="方正黑体_GBK" w:cs="楷体_GB2312"/>
          <w:b/>
          <w:bCs/>
          <w:kern w:val="2"/>
          <w:sz w:val="28"/>
          <w:szCs w:val="32"/>
          <w:highlight w:val="none"/>
          <w:lang w:val="en-US" w:eastAsia="zh-CN" w:bidi="ar-SA"/>
        </w:rPr>
        <w:t xml:space="preserve"> </w:t>
      </w:r>
    </w:p>
    <w:p>
      <w:pPr>
        <w:bidi w:val="0"/>
        <w:ind w:left="0" w:leftChars="0" w:firstLine="0" w:firstLineChars="0"/>
        <w:jc w:val="center"/>
        <w:rPr>
          <w:rFonts w:hint="default" w:ascii="楷体_GB2312" w:hAnsi="楷体_GB2312" w:eastAsia="方正黑体_GBK" w:cs="楷体_GB2312"/>
          <w:b/>
          <w:bCs/>
          <w:kern w:val="2"/>
          <w:sz w:val="28"/>
          <w:szCs w:val="32"/>
          <w:highlight w:val="none"/>
          <w:lang w:val="en-US" w:eastAsia="zh-CN" w:bidi="ar-SA"/>
        </w:rPr>
      </w:pPr>
      <w:r>
        <w:rPr>
          <w:rFonts w:hint="eastAsia" w:ascii="黑体" w:hAnsi="黑体" w:eastAsia="黑体" w:cs="黑体"/>
          <w:b/>
          <w:bCs/>
          <w:kern w:val="2"/>
          <w:sz w:val="28"/>
          <w:szCs w:val="32"/>
          <w:highlight w:val="none"/>
          <w:lang w:val="en-US" w:eastAsia="zh-CN" w:bidi="ar-SA"/>
        </w:rPr>
        <w:t>鞍山市生态环境保护“十四五”规划工程项目</w:t>
      </w:r>
    </w:p>
    <w:p>
      <w:pPr>
        <w:bidi w:val="0"/>
        <w:rPr>
          <w:rFonts w:hint="default"/>
          <w:lang w:val="en-US" w:eastAsia="zh-CN"/>
        </w:rPr>
      </w:pPr>
    </w:p>
    <w:p>
      <w:pPr>
        <w:bidi w:val="0"/>
        <w:rPr>
          <w:rFonts w:hint="default"/>
          <w:lang w:val="en-US" w:eastAsia="zh-CN"/>
        </w:rPr>
      </w:pPr>
      <w:r>
        <w:rPr>
          <w:rFonts w:hint="default"/>
          <w:lang w:val="en-US" w:eastAsia="zh-CN"/>
        </w:rPr>
        <w:t>鞍山市生态环境保护“十四五”规划工程项目分为产业绿色转型工程项目、蓝天工程、碧水工程、净土工程、生态修复工程、环境风险防治工程、农村环境综合整治、城市人居环境治理、生态环境治理体系与能力建设共9大类</w:t>
      </w:r>
      <w:r>
        <w:rPr>
          <w:rFonts w:hint="eastAsia"/>
          <w:lang w:val="en-US" w:eastAsia="zh-CN"/>
        </w:rPr>
        <w:t>、</w:t>
      </w:r>
      <w:r>
        <w:rPr>
          <w:rFonts w:hint="default"/>
          <w:lang w:val="en-US" w:eastAsia="zh-CN"/>
        </w:rPr>
        <w:t>101个工程项目</w:t>
      </w:r>
      <w:r>
        <w:rPr>
          <w:rFonts w:hint="eastAsia"/>
          <w:lang w:val="en-US" w:eastAsia="zh-CN"/>
        </w:rPr>
        <w:t>，</w:t>
      </w:r>
      <w:r>
        <w:rPr>
          <w:rFonts w:hint="default"/>
          <w:lang w:val="en-US" w:eastAsia="zh-CN"/>
        </w:rPr>
        <w:t>总投资额为172</w:t>
      </w:r>
      <w:r>
        <w:rPr>
          <w:rFonts w:hint="eastAsia"/>
          <w:lang w:val="en-US" w:eastAsia="zh-CN"/>
        </w:rPr>
        <w:t>.20</w:t>
      </w:r>
      <w:r>
        <w:rPr>
          <w:rFonts w:hint="default"/>
          <w:lang w:val="en-US" w:eastAsia="zh-CN"/>
        </w:rPr>
        <w:t>亿元。</w:t>
      </w:r>
    </w:p>
    <w:p>
      <w:pPr>
        <w:pStyle w:val="2"/>
        <w:rPr>
          <w:rFonts w:hint="default"/>
          <w:lang w:val="en-US" w:eastAsia="zh-CN"/>
        </w:rPr>
      </w:pP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3"/>
        <w:gridCol w:w="606"/>
        <w:gridCol w:w="4477"/>
        <w:gridCol w:w="1317"/>
        <w:gridCol w:w="1035"/>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blHeader/>
        </w:trPr>
        <w:tc>
          <w:tcPr>
            <w:tcW w:w="443"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b/>
                <w:bCs/>
                <w:lang w:val="en-US" w:eastAsia="zh-CN"/>
              </w:rPr>
            </w:pPr>
            <w:r>
              <w:rPr>
                <w:rFonts w:hint="default"/>
                <w:b/>
                <w:bCs/>
                <w:lang w:val="en-US" w:eastAsia="zh-CN"/>
              </w:rPr>
              <w:t>项目</w:t>
            </w:r>
          </w:p>
          <w:p>
            <w:pPr>
              <w:pStyle w:val="65"/>
              <w:bidi w:val="0"/>
              <w:rPr>
                <w:b/>
                <w:bCs/>
              </w:rPr>
            </w:pPr>
            <w:r>
              <w:rPr>
                <w:rFonts w:hint="default"/>
                <w:b/>
                <w:bCs/>
                <w:lang w:val="en-US" w:eastAsia="zh-CN"/>
              </w:rPr>
              <w:t>类别</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b/>
                <w:bCs/>
              </w:rPr>
            </w:pPr>
            <w:r>
              <w:rPr>
                <w:rFonts w:hint="default"/>
                <w:b/>
                <w:bCs/>
                <w:lang w:val="en-US" w:eastAsia="zh-CN"/>
              </w:rPr>
              <w:t>序号</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b/>
                <w:bCs/>
              </w:rPr>
            </w:pPr>
            <w:r>
              <w:rPr>
                <w:rFonts w:hint="default"/>
                <w:b/>
                <w:bCs/>
                <w:lang w:val="en-US" w:eastAsia="zh-CN"/>
              </w:rPr>
              <w:t>项目名称</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b/>
                <w:bCs/>
              </w:rPr>
            </w:pPr>
            <w:r>
              <w:rPr>
                <w:rFonts w:hint="default"/>
                <w:b/>
                <w:bCs/>
                <w:lang w:val="en-US" w:eastAsia="zh-CN"/>
              </w:rPr>
              <w:t>所在县区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b/>
                <w:bCs/>
                <w:lang w:val="en-US" w:eastAsia="zh-CN"/>
              </w:rPr>
            </w:pPr>
            <w:r>
              <w:rPr>
                <w:rFonts w:hint="default"/>
                <w:b/>
                <w:bCs/>
                <w:lang w:val="en-US" w:eastAsia="zh-CN"/>
              </w:rPr>
              <w:t>投资额</w:t>
            </w:r>
          </w:p>
          <w:p>
            <w:pPr>
              <w:pStyle w:val="65"/>
              <w:bidi w:val="0"/>
              <w:rPr>
                <w:rFonts w:hint="default"/>
                <w:b/>
                <w:bCs/>
              </w:rPr>
            </w:pPr>
            <w:r>
              <w:rPr>
                <w:rFonts w:hint="default"/>
                <w:b/>
                <w:bCs/>
                <w:lang w:val="en-US" w:eastAsia="zh-CN"/>
              </w:rPr>
              <w:t>（万元）</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b/>
                <w:bCs/>
                <w:lang w:val="en-US" w:eastAsia="zh-CN"/>
              </w:rPr>
            </w:pPr>
            <w:r>
              <w:rPr>
                <w:rFonts w:hint="default"/>
                <w:b/>
                <w:bCs/>
                <w:lang w:val="en-US" w:eastAsia="zh-CN"/>
              </w:rPr>
              <w:t>完成</w:t>
            </w:r>
          </w:p>
          <w:p>
            <w:pPr>
              <w:pStyle w:val="65"/>
              <w:bidi w:val="0"/>
              <w:rPr>
                <w:rFonts w:hint="default"/>
                <w:b/>
                <w:bCs/>
              </w:rPr>
            </w:pPr>
            <w:r>
              <w:rPr>
                <w:rFonts w:hint="default"/>
                <w:b/>
                <w:bCs/>
                <w:lang w:val="en-US" w:eastAsia="zh-CN"/>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lang w:val="en-US" w:eastAsia="zh-CN"/>
              </w:rPr>
            </w:pPr>
            <w:r>
              <w:rPr>
                <w:rFonts w:hint="default"/>
                <w:lang w:val="en-US" w:eastAsia="zh-CN"/>
              </w:rPr>
              <w:t>产业</w:t>
            </w:r>
          </w:p>
          <w:p>
            <w:pPr>
              <w:pStyle w:val="65"/>
              <w:bidi w:val="0"/>
              <w:rPr>
                <w:rFonts w:hint="default"/>
                <w:lang w:val="en-US" w:eastAsia="zh-CN"/>
              </w:rPr>
            </w:pPr>
            <w:r>
              <w:rPr>
                <w:rFonts w:hint="default"/>
                <w:lang w:val="en-US" w:eastAsia="zh-CN"/>
              </w:rPr>
              <w:t>绿色</w:t>
            </w:r>
          </w:p>
          <w:p>
            <w:pPr>
              <w:pStyle w:val="65"/>
              <w:bidi w:val="0"/>
              <w:rPr>
                <w:rFonts w:hint="eastAsia"/>
                <w:lang w:val="en-US" w:eastAsia="zh-CN"/>
              </w:rPr>
            </w:pPr>
            <w:r>
              <w:rPr>
                <w:rFonts w:hint="eastAsia"/>
                <w:lang w:val="en-US" w:eastAsia="zh-CN"/>
              </w:rPr>
              <w:t>转型</w:t>
            </w:r>
          </w:p>
          <w:p>
            <w:pPr>
              <w:pStyle w:val="65"/>
              <w:bidi w:val="0"/>
              <w:rPr>
                <w:rFonts w:hint="default"/>
              </w:rPr>
            </w:pPr>
            <w:r>
              <w:rPr>
                <w:rFonts w:hint="default"/>
                <w:lang w:val="en-US" w:eastAsia="zh-CN"/>
              </w:rPr>
              <w:t>工程</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鞍山市铁东区大孤山独立工矿区产业转型替代产业园建设项目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铁东区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8150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鞍钢集团节能环保工程公司工程技术产业和节能环保产业技术推广与</w:t>
            </w:r>
            <w:bookmarkStart w:id="165" w:name="_GoBack"/>
            <w:bookmarkEnd w:id="165"/>
            <w:r>
              <w:rPr>
                <w:rFonts w:hint="default"/>
                <w:lang w:val="en-US" w:eastAsia="zh-CN"/>
              </w:rPr>
              <w:t>应用项目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高新区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海城镁矿集团有限公司大型新能源微电网菱镁行业高效节能环保智能生产线</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23000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lang w:val="en-US" w:eastAsia="zh-CN"/>
              </w:rPr>
            </w:pPr>
            <w:r>
              <w:rPr>
                <w:rFonts w:hint="default"/>
                <w:lang w:val="en-US" w:eastAsia="zh-CN"/>
              </w:rPr>
              <w:t>蓝天</w:t>
            </w:r>
          </w:p>
          <w:p>
            <w:pPr>
              <w:pStyle w:val="65"/>
              <w:bidi w:val="0"/>
              <w:rPr>
                <w:rFonts w:hint="default"/>
              </w:rPr>
            </w:pPr>
            <w:r>
              <w:rPr>
                <w:rFonts w:hint="default"/>
                <w:lang w:val="en-US" w:eastAsia="zh-CN"/>
              </w:rPr>
              <w:t>工程</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岫岩NOx减排项目1</w:t>
            </w:r>
            <w:r>
              <w:rPr>
                <w:rFonts w:hint="eastAsia"/>
                <w:lang w:val="en-US" w:eastAsia="zh-CN"/>
              </w:rPr>
              <w:t>6</w:t>
            </w:r>
            <w:r>
              <w:rPr>
                <w:rFonts w:hint="default"/>
                <w:lang w:val="en-US" w:eastAsia="zh-CN"/>
              </w:rPr>
              <w:t>项</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岫岩县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7036</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鞍山盛盟煤气化有限公司煤场全封闭工程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千山区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5900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鞍山钢铁集团拟建设大气污染治理项目13项</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5235</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1</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t>鞍山盛盟煤气化有限公司焦炉炉头烟收集项目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千山区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1570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t>鞍山钢铁集团</w:t>
            </w:r>
            <w:r>
              <w:rPr>
                <w:rFonts w:hint="eastAsia"/>
                <w:lang w:val="en-US" w:eastAsia="zh-CN"/>
              </w:rPr>
              <w:t>钢铁超低排放改造</w:t>
            </w:r>
            <w:r>
              <w:t>项目</w:t>
            </w:r>
            <w:r>
              <w:rPr>
                <w:rFonts w:hint="eastAsia"/>
                <w:lang w:val="en-US" w:eastAsia="zh-CN"/>
              </w:rPr>
              <w:t>19</w:t>
            </w:r>
            <w:r>
              <w:t>项</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34559</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rPr>
              <w:t>鞍钢化学科技有限公司</w:t>
            </w:r>
            <w:r>
              <w:rPr>
                <w:rFonts w:hint="default"/>
                <w:lang w:val="en-US" w:eastAsia="zh-CN"/>
              </w:rPr>
              <w:t>挥发性有机物治理</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铁西</w:t>
            </w:r>
            <w:r>
              <w:rPr>
                <w:rFonts w:hint="default"/>
                <w:lang w:val="en-US" w:eastAsia="zh-CN"/>
              </w:rPr>
              <w:t>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5</w:t>
            </w:r>
            <w:r>
              <w:rPr>
                <w:rFonts w:hint="default"/>
                <w:lang w:val="en-US" w:eastAsia="zh-CN"/>
              </w:rPr>
              <w:t>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w:t>
            </w:r>
            <w:r>
              <w:rPr>
                <w:rFonts w:hint="eastAsia"/>
                <w:lang w:val="en-US" w:eastAsia="zh-CN"/>
              </w:rPr>
              <w:t>3</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10</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海城华宇镁砂有限公司30万吨轻烧氧化镁悬浮炉项目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11</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海城华宇镁砂有限公司年产5万吨轻烧氧化镁建设项目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lang w:val="en-US" w:eastAsia="zh-CN"/>
              </w:rPr>
            </w:pPr>
            <w:r>
              <w:rPr>
                <w:rFonts w:hint="default"/>
                <w:lang w:val="en-US" w:eastAsia="zh-CN"/>
              </w:rPr>
              <w:t>海城</w:t>
            </w:r>
          </w:p>
          <w:p>
            <w:pPr>
              <w:pStyle w:val="65"/>
              <w:bidi w:val="0"/>
              <w:rPr>
                <w:rFonts w:hint="default"/>
              </w:rPr>
            </w:pPr>
            <w:r>
              <w:rPr>
                <w:rFonts w:hint="default"/>
                <w:lang w:val="en-US" w:eastAsia="zh-CN"/>
              </w:rPr>
              <w:t>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3000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12</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海城镁矿集团有限公司优质重烧镁砂科技创新示范工程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7500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13</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海城镁矿集团有限公司轻烧悬浮闪烁沸腾炉</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23000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w:t>
            </w:r>
            <w:r>
              <w:rPr>
                <w:rFonts w:hint="eastAsia"/>
                <w:lang w:val="en-US" w:eastAsia="zh-CN"/>
              </w:rPr>
              <w:t>1</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14</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海城镁矿集团有限公司BSK节能环型轻烧镁竖窑科技创新示范工程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11500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海城三星矿业有限公司轻烧窑改造悬浮炉项目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8000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16</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海城市海英高级耐火材料有限公司轻烧窑、高纯窑环保治理项目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850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后英集团海城市环保科技有限公司高纯窑环保治理项目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625</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18</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海城镁矿集团有限公司轻烧窑</w:t>
            </w:r>
            <w:r>
              <w:rPr>
                <w:rFonts w:hint="eastAsia"/>
                <w:lang w:val="en-US" w:eastAsia="zh-CN"/>
              </w:rPr>
              <w:t>，</w:t>
            </w:r>
            <w:r>
              <w:rPr>
                <w:rFonts w:hint="default"/>
                <w:lang w:val="en-US" w:eastAsia="zh-CN"/>
              </w:rPr>
              <w:t>重烧窑脱硝项目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19</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海城三星矿业有限公司高纯窑脱硫脱硝除尘提标改造项目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1300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t>202</w:t>
            </w:r>
            <w:r>
              <w:rPr>
                <w:rFonts w:hint="eastAsia"/>
              </w:rPr>
              <w:t>2</w:t>
            </w:r>
            <w: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20</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300万吨碎石生产线新建项目 /建设建材公司碎石厂300万吨碎石生产线除尘器</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eastAsia"/>
                <w:lang w:val="en-US" w:eastAsia="zh-CN"/>
              </w:rPr>
              <w:t>21</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eastAsia"/>
              </w:rPr>
              <w:t>鞍山钢铁集团有限公司大孤山球团厂8个钢铁超低排放改造项目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rPr>
              <w:t>千山区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rPr>
              <w:t>17812</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eastAsia"/>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22</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东鞍山烧结厂破碎除尘</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千山区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1167</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23</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海城市菱镁产业基地清洁工业燃气项目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108000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24</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t>1</w:t>
            </w:r>
            <w:r>
              <w:rPr>
                <w:rFonts w:hint="eastAsia"/>
                <w:lang w:val="en-US" w:eastAsia="zh-CN"/>
              </w:rPr>
              <w:t>6</w:t>
            </w:r>
            <w:r>
              <w:rPr>
                <w:rFonts w:hint="default"/>
                <w:lang w:val="en-US" w:eastAsia="zh-CN"/>
              </w:rPr>
              <w:t>家民营钢铁企业超低排放改造项目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r>
              <w:rPr>
                <w:rFonts w:hint="eastAsia"/>
                <w:lang w:val="en-US" w:eastAsia="zh-CN"/>
              </w:rPr>
              <w:t xml:space="preserve">    </w:t>
            </w:r>
            <w:r>
              <w:rPr>
                <w:rFonts w:hint="default"/>
                <w:lang w:val="en-US" w:eastAsia="zh-CN"/>
              </w:rPr>
              <w:t>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t>1</w:t>
            </w:r>
            <w:r>
              <w:rPr>
                <w:rFonts w:hint="eastAsia"/>
              </w:rPr>
              <w:t>42221</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61个挥发性有机物治理项目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海、台、岫、铁西、千山、经开区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5100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3</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26</w:t>
            </w:r>
          </w:p>
        </w:tc>
        <w:tc>
          <w:tcPr>
            <w:tcW w:w="2410" w:type="pct"/>
            <w:tcBorders>
              <w:top w:val="single" w:color="000000" w:sz="4" w:space="0"/>
              <w:left w:val="single" w:color="000000" w:sz="4" w:space="0"/>
              <w:bottom w:val="single" w:color="000000" w:sz="4" w:space="0"/>
              <w:right w:val="single" w:color="000000" w:sz="4" w:space="0"/>
            </w:tcBorders>
            <w:noWrap/>
            <w:vAlign w:val="center"/>
          </w:tcPr>
          <w:p>
            <w:pPr>
              <w:pStyle w:val="65"/>
              <w:bidi w:val="0"/>
              <w:jc w:val="left"/>
              <w:rPr>
                <w:rFonts w:hint="default"/>
              </w:rPr>
            </w:pPr>
            <w:r>
              <w:rPr>
                <w:rFonts w:hint="default"/>
                <w:lang w:val="en-US" w:eastAsia="zh-CN"/>
              </w:rPr>
              <w:t>鞍钢重机公司冶金粉材除尘环保设施项目改造</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立山区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800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鞍山钢铁集团有限公司</w:t>
            </w:r>
            <w:r>
              <w:rPr>
                <w:rFonts w:hint="eastAsia"/>
                <w:lang w:val="en-US" w:eastAsia="zh-CN"/>
              </w:rPr>
              <w:t>36</w:t>
            </w:r>
            <w:r>
              <w:rPr>
                <w:rFonts w:hint="default"/>
                <w:lang w:val="en-US" w:eastAsia="zh-CN"/>
              </w:rPr>
              <w:t>个超低排放改造项目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187905</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28</w:t>
            </w:r>
          </w:p>
        </w:tc>
        <w:tc>
          <w:tcPr>
            <w:tcW w:w="2410" w:type="pct"/>
            <w:tcBorders>
              <w:top w:val="single" w:color="000000" w:sz="4" w:space="0"/>
              <w:left w:val="single" w:color="000000" w:sz="4" w:space="0"/>
              <w:bottom w:val="single" w:color="000000" w:sz="4" w:space="0"/>
              <w:right w:val="single" w:color="000000" w:sz="4" w:space="0"/>
            </w:tcBorders>
            <w:noWrap/>
            <w:vAlign w:val="center"/>
          </w:tcPr>
          <w:p>
            <w:pPr>
              <w:pStyle w:val="65"/>
              <w:bidi w:val="0"/>
              <w:jc w:val="left"/>
              <w:rPr>
                <w:rFonts w:hint="default"/>
              </w:rPr>
            </w:pPr>
            <w:r>
              <w:rPr>
                <w:rFonts w:hint="default"/>
                <w:lang w:val="en-US" w:eastAsia="zh-CN"/>
              </w:rPr>
              <w:t>鞍山盛盟煤气化有限公司焦场半封闭工程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千山区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600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29</w:t>
            </w:r>
          </w:p>
        </w:tc>
        <w:tc>
          <w:tcPr>
            <w:tcW w:w="2410" w:type="pct"/>
            <w:tcBorders>
              <w:top w:val="single" w:color="000000" w:sz="4" w:space="0"/>
              <w:left w:val="single" w:color="000000" w:sz="4" w:space="0"/>
              <w:bottom w:val="single" w:color="000000" w:sz="4" w:space="0"/>
              <w:right w:val="single" w:color="000000" w:sz="4" w:space="0"/>
            </w:tcBorders>
            <w:noWrap/>
            <w:vAlign w:val="center"/>
          </w:tcPr>
          <w:p>
            <w:pPr>
              <w:pStyle w:val="65"/>
              <w:bidi w:val="0"/>
              <w:jc w:val="left"/>
              <w:rPr>
                <w:rFonts w:hint="default"/>
              </w:rPr>
            </w:pPr>
            <w:r>
              <w:rPr>
                <w:rFonts w:hint="default"/>
                <w:lang w:val="en-US" w:eastAsia="zh-CN"/>
              </w:rPr>
              <w:t>鞍山市科翔仪器仪表有限公司炼焦炉常温氧化法高效脱硫脱硝一体化节能设备项目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3000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30</w:t>
            </w:r>
          </w:p>
        </w:tc>
        <w:tc>
          <w:tcPr>
            <w:tcW w:w="2410" w:type="pct"/>
            <w:tcBorders>
              <w:top w:val="single" w:color="000000" w:sz="4" w:space="0"/>
              <w:left w:val="single" w:color="000000" w:sz="4" w:space="0"/>
              <w:bottom w:val="single" w:color="000000" w:sz="4" w:space="0"/>
              <w:right w:val="single" w:color="000000" w:sz="4" w:space="0"/>
            </w:tcBorders>
            <w:noWrap/>
            <w:vAlign w:val="center"/>
          </w:tcPr>
          <w:p>
            <w:pPr>
              <w:pStyle w:val="65"/>
              <w:bidi w:val="0"/>
              <w:jc w:val="left"/>
              <w:rPr>
                <w:rFonts w:hint="eastAsia"/>
                <w:lang w:val="en-US" w:eastAsia="zh-CN"/>
              </w:rPr>
            </w:pPr>
            <w:r>
              <w:rPr>
                <w:rFonts w:hint="default"/>
                <w:lang w:val="en-US" w:eastAsia="zh-CN"/>
              </w:rPr>
              <w:t>海城市峰驰耐火材料总公司</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lang w:val="en-US"/>
              </w:rPr>
            </w:pPr>
            <w:r>
              <w:rPr>
                <w:rFonts w:hint="eastAsia"/>
                <w:lang w:val="en-US" w:eastAsia="zh-CN"/>
              </w:rPr>
              <w:t>1000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2</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31</w:t>
            </w:r>
          </w:p>
        </w:tc>
        <w:tc>
          <w:tcPr>
            <w:tcW w:w="2410" w:type="pct"/>
            <w:tcBorders>
              <w:top w:val="single" w:color="000000" w:sz="4" w:space="0"/>
              <w:left w:val="single" w:color="000000" w:sz="4" w:space="0"/>
              <w:bottom w:val="single" w:color="000000" w:sz="4" w:space="0"/>
              <w:right w:val="single" w:color="000000" w:sz="4" w:space="0"/>
            </w:tcBorders>
            <w:noWrap/>
            <w:vAlign w:val="center"/>
          </w:tcPr>
          <w:p>
            <w:pPr>
              <w:pStyle w:val="65"/>
              <w:bidi w:val="0"/>
              <w:jc w:val="left"/>
              <w:rPr>
                <w:rFonts w:hint="default"/>
              </w:rPr>
            </w:pPr>
            <w:r>
              <w:rPr>
                <w:rFonts w:hint="default"/>
                <w:lang w:val="en-US" w:eastAsia="zh-CN"/>
              </w:rPr>
              <w:t>辽宁铁信实业集团有限公司沈铁鞍山服务中心（铁信货场）华芳纺织有限公司专用线罩棚</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320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lang w:val="en-US" w:eastAsia="zh-CN"/>
              </w:rPr>
            </w:pPr>
            <w:r>
              <w:rPr>
                <w:rFonts w:hint="default"/>
                <w:lang w:val="en-US" w:eastAsia="zh-CN"/>
              </w:rPr>
              <w:t>碧水</w:t>
            </w:r>
          </w:p>
          <w:p>
            <w:pPr>
              <w:pStyle w:val="65"/>
              <w:bidi w:val="0"/>
              <w:rPr>
                <w:rFonts w:hint="default"/>
              </w:rPr>
            </w:pPr>
            <w:r>
              <w:rPr>
                <w:rFonts w:hint="default"/>
                <w:lang w:val="en-US" w:eastAsia="zh-CN"/>
              </w:rPr>
              <w:t>工程</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32</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台安县桑林镇黑臭水体整治建设项目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14709</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4</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33</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岫岩岫盛资产经营有限公司污水处理厂扩建和提标改造、管网改造项目（基础设施）</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岫岩县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11700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34</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岫岩岫盛资产经营有限公司小黄河生态环保综合治理项目（基础设施）</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岫岩县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南沙河流域环境综合整治系统工程（二期）</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180000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5</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36</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运粮河生态环境综合治理工程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32230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2</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东台污水处理厂二期扩建工程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6800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38</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海城市东四管理区700吨/日一体化生活污水处理项目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1131</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39</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eastAsia"/>
                <w:lang w:val="en-US" w:eastAsia="zh-CN"/>
              </w:rPr>
              <w:t>南沙河九号桥泵站更新工程项目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980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2</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40</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岫岩县西部污水管网新建工程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岫岩县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5800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3</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41</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南沙河流域排水管网检测、清淤、非开挖修复工程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5</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42</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西佛镇鲍家沟生态环境综合治理工程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825</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43</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感王污水处理厂提标改造项目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13300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44</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判甲炉污水处理厂扩建及提标改造工程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立山区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12000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岫岩满族自治县新建污水处理设施及污水管网工程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岫岩县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23000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46</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南沙河清淤工程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3</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南沙河流域排水泵站改造工程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48</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海城市八里河上游居民生活污水的收集和处理提标改造工程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3000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49</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铁东</w:t>
            </w:r>
            <w:r>
              <w:rPr>
                <w:rFonts w:hint="eastAsia"/>
                <w:lang w:val="en-US" w:eastAsia="zh-CN"/>
              </w:rPr>
              <w:t>区南沙河</w:t>
            </w:r>
            <w:r>
              <w:rPr>
                <w:rFonts w:hint="default"/>
                <w:lang w:val="en-US" w:eastAsia="zh-CN"/>
              </w:rPr>
              <w:t>大孤山</w:t>
            </w:r>
            <w:r>
              <w:rPr>
                <w:rFonts w:hint="eastAsia"/>
                <w:lang w:val="en-US" w:eastAsia="zh-CN"/>
              </w:rPr>
              <w:t>沟</w:t>
            </w:r>
            <w:r>
              <w:rPr>
                <w:rFonts w:hint="default"/>
                <w:lang w:val="en-US" w:eastAsia="zh-CN"/>
              </w:rPr>
              <w:t>河道整治</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铁东区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1600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50</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辽宁台安经济开发区污水处理厂扩建工程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9100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51</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岫岩县雅河办事处工业集聚区污水收集管网建设及改造项目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岫岩县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52</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新甸镇大沙河、乐全河道环境综合整治项目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岫岩县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1500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53</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鞍山市西部第二污水处理厂提标改造工程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11800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54</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鞍山市达道湾污水处理厂提标改造工程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4000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台安县台安农高区污水处理厂提标改造工程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5988</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w:t>
            </w:r>
            <w:r>
              <w:rPr>
                <w:rFonts w:hint="eastAsia"/>
                <w:lang w:val="en-US" w:eastAsia="zh-CN"/>
              </w:rPr>
              <w:t>2</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56</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完达山鞍山乳品有限公司污水处理提标改造工程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生态修复工程</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鞍山市台安县沙化治理工程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109435</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58</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台安县三北防护林六期工程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1085</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59</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灵山山体修复工程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立山区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2400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60</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2021年鞍钢矿业所属铁矿山（鞍山地区）矿山地质环境治理工程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千山区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3595</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61</w:t>
            </w:r>
          </w:p>
        </w:tc>
        <w:tc>
          <w:tcPr>
            <w:tcW w:w="2410" w:type="pct"/>
            <w:tcBorders>
              <w:top w:val="single" w:color="000000" w:sz="4" w:space="0"/>
              <w:left w:val="single" w:color="000000" w:sz="4" w:space="0"/>
              <w:bottom w:val="single" w:color="000000" w:sz="4" w:space="0"/>
              <w:right w:val="single" w:color="000000" w:sz="4" w:space="0"/>
            </w:tcBorders>
            <w:noWrap/>
            <w:vAlign w:val="center"/>
          </w:tcPr>
          <w:p>
            <w:pPr>
              <w:pStyle w:val="65"/>
              <w:bidi w:val="0"/>
              <w:jc w:val="left"/>
              <w:rPr>
                <w:rFonts w:hint="default"/>
              </w:rPr>
            </w:pPr>
            <w:r>
              <w:rPr>
                <w:rFonts w:hint="default"/>
                <w:lang w:val="en-US" w:eastAsia="zh-CN"/>
              </w:rPr>
              <w:t>海城市矿山生态修复项目</w:t>
            </w:r>
          </w:p>
        </w:tc>
        <w:tc>
          <w:tcPr>
            <w:tcW w:w="708"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18236</w:t>
            </w:r>
          </w:p>
        </w:tc>
        <w:tc>
          <w:tcPr>
            <w:tcW w:w="554"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62</w:t>
            </w:r>
          </w:p>
        </w:tc>
        <w:tc>
          <w:tcPr>
            <w:tcW w:w="2410" w:type="pct"/>
            <w:tcBorders>
              <w:top w:val="single" w:color="000000" w:sz="4" w:space="0"/>
              <w:left w:val="single" w:color="000000" w:sz="4" w:space="0"/>
              <w:bottom w:val="single" w:color="000000" w:sz="4" w:space="0"/>
              <w:right w:val="single" w:color="000000" w:sz="4" w:space="0"/>
            </w:tcBorders>
            <w:noWrap/>
            <w:vAlign w:val="center"/>
          </w:tcPr>
          <w:p>
            <w:pPr>
              <w:pStyle w:val="65"/>
              <w:bidi w:val="0"/>
              <w:jc w:val="left"/>
              <w:rPr>
                <w:rFonts w:hint="default"/>
              </w:rPr>
            </w:pPr>
            <w:r>
              <w:rPr>
                <w:rFonts w:hint="default"/>
                <w:lang w:val="en-US" w:eastAsia="zh-CN"/>
              </w:rPr>
              <w:t>岫岩县矿山生态修复项目</w:t>
            </w:r>
          </w:p>
        </w:tc>
        <w:tc>
          <w:tcPr>
            <w:tcW w:w="708"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岫岩县</w:t>
            </w:r>
          </w:p>
        </w:tc>
        <w:tc>
          <w:tcPr>
            <w:tcW w:w="557"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3156</w:t>
            </w:r>
          </w:p>
        </w:tc>
        <w:tc>
          <w:tcPr>
            <w:tcW w:w="554"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63</w:t>
            </w:r>
          </w:p>
        </w:tc>
        <w:tc>
          <w:tcPr>
            <w:tcW w:w="2410" w:type="pct"/>
            <w:tcBorders>
              <w:top w:val="single" w:color="000000" w:sz="4" w:space="0"/>
              <w:left w:val="single" w:color="000000" w:sz="4" w:space="0"/>
              <w:bottom w:val="single" w:color="000000" w:sz="4" w:space="0"/>
              <w:right w:val="single" w:color="000000" w:sz="4" w:space="0"/>
            </w:tcBorders>
            <w:noWrap/>
            <w:vAlign w:val="center"/>
          </w:tcPr>
          <w:p>
            <w:pPr>
              <w:pStyle w:val="65"/>
              <w:bidi w:val="0"/>
              <w:jc w:val="left"/>
              <w:rPr>
                <w:rFonts w:hint="default"/>
              </w:rPr>
            </w:pPr>
            <w:r>
              <w:rPr>
                <w:rFonts w:hint="default"/>
                <w:lang w:val="en-US" w:eastAsia="zh-CN"/>
              </w:rPr>
              <w:t>千山区矿山生态修复项目</w:t>
            </w:r>
          </w:p>
        </w:tc>
        <w:tc>
          <w:tcPr>
            <w:tcW w:w="708"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千山区</w:t>
            </w:r>
          </w:p>
        </w:tc>
        <w:tc>
          <w:tcPr>
            <w:tcW w:w="557"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1152</w:t>
            </w:r>
          </w:p>
        </w:tc>
        <w:tc>
          <w:tcPr>
            <w:tcW w:w="554"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64</w:t>
            </w:r>
          </w:p>
        </w:tc>
        <w:tc>
          <w:tcPr>
            <w:tcW w:w="2410" w:type="pct"/>
            <w:tcBorders>
              <w:top w:val="single" w:color="000000" w:sz="4" w:space="0"/>
              <w:left w:val="single" w:color="000000" w:sz="4" w:space="0"/>
              <w:bottom w:val="single" w:color="000000" w:sz="4" w:space="0"/>
              <w:right w:val="single" w:color="000000" w:sz="4" w:space="0"/>
            </w:tcBorders>
            <w:noWrap/>
            <w:vAlign w:val="center"/>
          </w:tcPr>
          <w:p>
            <w:pPr>
              <w:pStyle w:val="65"/>
              <w:bidi w:val="0"/>
              <w:jc w:val="left"/>
              <w:rPr>
                <w:rFonts w:hint="default"/>
              </w:rPr>
            </w:pPr>
            <w:r>
              <w:rPr>
                <w:rFonts w:hint="default"/>
                <w:lang w:val="en-US" w:eastAsia="zh-CN"/>
              </w:rPr>
              <w:t>鞍钢矿山生态修复项目</w:t>
            </w:r>
          </w:p>
        </w:tc>
        <w:tc>
          <w:tcPr>
            <w:tcW w:w="708"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鞍钢</w:t>
            </w:r>
          </w:p>
        </w:tc>
        <w:tc>
          <w:tcPr>
            <w:tcW w:w="557"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7456</w:t>
            </w:r>
          </w:p>
        </w:tc>
        <w:tc>
          <w:tcPr>
            <w:tcW w:w="554"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辽宁菱镁矿业有限公司海城市菱镁矿山生态修复治理工程二期建设项目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6954</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66</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辽宁菱镁矿业有限公司金旺采石场生态修复工程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1300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lang w:val="en-US" w:eastAsia="zh-CN"/>
              </w:rPr>
            </w:pPr>
            <w:r>
              <w:rPr>
                <w:rFonts w:hint="default"/>
                <w:lang w:val="en-US" w:eastAsia="zh-CN"/>
              </w:rPr>
              <w:t>净土</w:t>
            </w:r>
          </w:p>
          <w:p>
            <w:pPr>
              <w:pStyle w:val="65"/>
              <w:bidi w:val="0"/>
              <w:rPr>
                <w:rFonts w:hint="default"/>
              </w:rPr>
            </w:pPr>
            <w:r>
              <w:rPr>
                <w:rFonts w:hint="default"/>
                <w:lang w:val="en-US" w:eastAsia="zh-CN"/>
              </w:rPr>
              <w:t>工程</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原鞍山市化工三厂地块1安全利用</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400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68</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化工园区地下水环境状况调查评估</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180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69</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原海城市铅锌冶炼厂排查整治</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w:t>
            </w:r>
            <w:r>
              <w:rPr>
                <w:rFonts w:hint="eastAsia"/>
                <w:lang w:val="en-US" w:eastAsia="zh-CN"/>
              </w:rPr>
              <w:t>3</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70</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原炼油厂地块治理修复</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600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w:t>
            </w:r>
            <w:r>
              <w:rPr>
                <w:rFonts w:hint="eastAsia"/>
                <w:lang w:val="en-US" w:eastAsia="zh-CN"/>
              </w:rPr>
              <w:t>1</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71</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全市地下水污染防治分区划分项目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450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72</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eastAsia"/>
                <w:lang w:val="en-US" w:eastAsia="zh-CN"/>
              </w:rPr>
              <w:t>垃圾</w:t>
            </w:r>
            <w:r>
              <w:rPr>
                <w:rFonts w:hint="default"/>
                <w:lang w:val="en-US" w:eastAsia="zh-CN"/>
              </w:rPr>
              <w:t>填埋场地下水环境状况调查评估</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73</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原鞍山市化工三厂地块3土壤污染</w:t>
            </w:r>
            <w:r>
              <w:rPr>
                <w:rFonts w:hint="eastAsia"/>
                <w:lang w:val="en-US" w:eastAsia="zh-CN"/>
              </w:rPr>
              <w:t>治理管控</w:t>
            </w:r>
            <w:r>
              <w:rPr>
                <w:rFonts w:hint="default"/>
                <w:lang w:val="en-US" w:eastAsia="zh-CN"/>
              </w:rPr>
              <w:t>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w:t>
            </w:r>
            <w:r>
              <w:rPr>
                <w:rFonts w:hint="eastAsia"/>
                <w:lang w:val="en-US" w:eastAsia="zh-CN"/>
              </w:rPr>
              <w:t>5</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74</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原鞍山市化工一厂污染场地污染</w:t>
            </w:r>
            <w:r>
              <w:rPr>
                <w:rFonts w:hint="eastAsia"/>
                <w:lang w:val="en-US" w:eastAsia="zh-CN"/>
              </w:rPr>
              <w:t>治理管控</w:t>
            </w:r>
            <w:r>
              <w:rPr>
                <w:rFonts w:hint="default"/>
                <w:lang w:val="en-US" w:eastAsia="zh-CN"/>
              </w:rPr>
              <w:t>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500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w:t>
            </w:r>
            <w:r>
              <w:rPr>
                <w:rFonts w:hint="eastAsia"/>
                <w:lang w:val="en-US" w:eastAsia="zh-CN"/>
              </w:rPr>
              <w:t>5</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完成石油加工、化工、焦化工业集聚区重点区域地下水污染风险管控</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76</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台安县化肥减量增效有关技术示范</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环境风险防控工程</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鞍山市羊耳峪生活垃圾填埋场封场工程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铁东区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7600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78</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eastAsia"/>
                <w:lang w:val="en-US" w:eastAsia="zh-CN"/>
              </w:rPr>
              <w:t>鞍钢化学科技有限公司危废贮存库建设项目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618</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w:t>
            </w:r>
            <w:r>
              <w:rPr>
                <w:rFonts w:hint="eastAsia"/>
                <w:lang w:val="en-US" w:eastAsia="zh-CN"/>
              </w:rPr>
              <w:t>2</w:t>
            </w:r>
            <w:r>
              <w:rPr>
                <w:rFonts w:hint="default"/>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79</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鞍山钢铁</w:t>
            </w:r>
            <w:r>
              <w:rPr>
                <w:rFonts w:hint="eastAsia"/>
                <w:lang w:val="en-US" w:eastAsia="zh-CN"/>
              </w:rPr>
              <w:t>四种</w:t>
            </w:r>
            <w:r>
              <w:rPr>
                <w:rFonts w:hint="default"/>
                <w:lang w:val="en-US" w:eastAsia="zh-CN"/>
              </w:rPr>
              <w:t>危险废物内部</w:t>
            </w:r>
            <w:r>
              <w:rPr>
                <w:rFonts w:hint="eastAsia"/>
                <w:lang w:val="en-US" w:eastAsia="zh-CN"/>
              </w:rPr>
              <w:t>回收利用</w:t>
            </w:r>
            <w:r>
              <w:rPr>
                <w:rFonts w:hint="default"/>
                <w:lang w:val="en-US" w:eastAsia="zh-CN"/>
              </w:rPr>
              <w:t>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lang w:val="en-US"/>
              </w:rPr>
            </w:pPr>
            <w:r>
              <w:rPr>
                <w:rFonts w:hint="eastAsia"/>
                <w:lang w:val="en-US" w:eastAsia="zh-CN"/>
              </w:rPr>
              <w:t>420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80</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鞍山钢铁本部钢渣处理升级改造项目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82000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81</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大孤山球团厂精矿料场建设</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千山区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3000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82</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台安农高区污泥综合利用</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1800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83</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鞍山钢铁冷轧厂危险废物贮存库项目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铁西区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495</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84</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鞍山市餐厨垃圾处理项目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铁东区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8800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鞍山冀东水泥有限责任公司水泥窑协同处置危废项目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立山区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7991</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86</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垃圾焚烧厂飞灰填埋项目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8000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经开区铅酸电池环保处理</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88</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危险废物等离子体熔融处理工程、危险废物回转窖焚烧处理工程、医疗垃圾焚烧处理工程项目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18000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89</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鞍钢矿业资源利用（鞍山）有限公司固废处置项目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高新区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296</w:t>
            </w:r>
            <w:r>
              <w:rPr>
                <w:rFonts w:hint="default"/>
                <w:lang w:val="en-US" w:eastAsia="zh-CN"/>
              </w:rPr>
              <w:t>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农村环境综合整治工程</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90</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海城市农村人居环境综合整治项目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17460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91</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经开区城乡生活垃圾治理及环卫设施建设项目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830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92</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千山镇谷首峪村垃圾转运点改建工程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高新区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93</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台安县农村人居环境整治项目</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eastAsia"/>
                <w:lang w:val="en-US" w:eastAsia="zh-CN"/>
              </w:rPr>
              <w:t>45000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城市人居环境治理工程</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94</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东鞍山烧结厂烧结噪声治理</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千山区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600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95</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高新区城区绿化项目建设</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高新区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1078</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96</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齐大山铁矿北倒噪声治理</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千山区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300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lang w:val="en-US" w:eastAsia="zh-CN"/>
              </w:rPr>
            </w:pPr>
            <w:r>
              <w:rPr>
                <w:rFonts w:hint="default"/>
                <w:lang w:val="en-US" w:eastAsia="zh-CN"/>
              </w:rPr>
              <w:t>生态环境治理体系</w:t>
            </w:r>
          </w:p>
          <w:p>
            <w:pPr>
              <w:pStyle w:val="65"/>
              <w:bidi w:val="0"/>
              <w:rPr>
                <w:rFonts w:hint="default"/>
              </w:rPr>
            </w:pPr>
            <w:r>
              <w:rPr>
                <w:rFonts w:hint="default"/>
                <w:lang w:val="en-US" w:eastAsia="zh-CN"/>
              </w:rPr>
              <w:t>与能力建设</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97</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鞍山市生态环境大数据智慧监管平台</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铁东区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14600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98</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鞍山市运粮河生态环境综合治理工程——水环境监管能力建设工程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1500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99</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化工园区有毒有害气体预警体系</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海城、经开区</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2190</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100</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南沙河排水智慧监控平台系统工程</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鞍山市</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3300</w:t>
            </w:r>
          </w:p>
        </w:tc>
        <w:tc>
          <w:tcPr>
            <w:tcW w:w="554" w:type="pct"/>
            <w:tcBorders>
              <w:top w:val="single" w:color="000000" w:sz="4" w:space="0"/>
              <w:left w:val="nil"/>
              <w:bottom w:val="single" w:color="000000" w:sz="4" w:space="0"/>
              <w:right w:val="single" w:color="000000" w:sz="4" w:space="0"/>
            </w:tcBorders>
            <w:noWrap/>
            <w:vAlign w:val="center"/>
          </w:tcPr>
          <w:p>
            <w:pPr>
              <w:pStyle w:val="65"/>
              <w:bidi w:val="0"/>
              <w:rPr>
                <w:rFonts w:hint="default"/>
              </w:rPr>
            </w:pPr>
            <w:r>
              <w:rPr>
                <w:rFonts w:hint="default"/>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pStyle w:val="65"/>
              <w:bidi w:val="0"/>
              <w:rPr>
                <w:rFonts w:hint="default"/>
              </w:rPr>
            </w:pPr>
            <w:r>
              <w:rPr>
                <w:rFonts w:hint="default"/>
                <w:lang w:val="en-US" w:eastAsia="zh-CN"/>
              </w:rPr>
              <w:t>101</w:t>
            </w:r>
          </w:p>
        </w:tc>
        <w:tc>
          <w:tcPr>
            <w:tcW w:w="2410"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jc w:val="left"/>
              <w:rPr>
                <w:rFonts w:hint="default"/>
              </w:rPr>
            </w:pPr>
            <w:r>
              <w:rPr>
                <w:rFonts w:hint="default"/>
                <w:lang w:val="en-US" w:eastAsia="zh-CN"/>
              </w:rPr>
              <w:t>台安经济开发区化工产业园有毒有害气体环境风险预警体系建设</w:t>
            </w:r>
          </w:p>
        </w:tc>
        <w:tc>
          <w:tcPr>
            <w:tcW w:w="708"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台安县</w:t>
            </w:r>
          </w:p>
        </w:tc>
        <w:tc>
          <w:tcPr>
            <w:tcW w:w="557"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971</w:t>
            </w:r>
          </w:p>
        </w:tc>
        <w:tc>
          <w:tcPr>
            <w:tcW w:w="554" w:type="pct"/>
            <w:tcBorders>
              <w:top w:val="single" w:color="000000" w:sz="4" w:space="0"/>
              <w:left w:val="single" w:color="000000" w:sz="4" w:space="0"/>
              <w:bottom w:val="single" w:color="000000" w:sz="4" w:space="0"/>
              <w:right w:val="single" w:color="000000" w:sz="4" w:space="0"/>
            </w:tcBorders>
            <w:noWrap w:val="0"/>
            <w:vAlign w:val="center"/>
          </w:tcPr>
          <w:p>
            <w:pPr>
              <w:pStyle w:val="65"/>
              <w:bidi w:val="0"/>
              <w:rPr>
                <w:rFonts w:hint="default"/>
              </w:rPr>
            </w:pPr>
            <w:r>
              <w:rPr>
                <w:rFonts w:hint="default"/>
                <w:lang w:val="en-US" w:eastAsia="zh-CN"/>
              </w:rPr>
              <w:t>2022年</w:t>
            </w:r>
          </w:p>
        </w:tc>
      </w:tr>
    </w:tbl>
    <w:p>
      <w:pPr>
        <w:rPr>
          <w:rFonts w:hint="default" w:ascii="Times New Roman" w:hAnsi="Times New Roman" w:cs="Times New Roman"/>
          <w:b/>
          <w:bCs/>
          <w:color w:val="FF0000"/>
          <w:lang w:val="en-US" w:eastAsia="zh-CN"/>
        </w:rPr>
      </w:pPr>
    </w:p>
    <w:p>
      <w:pPr>
        <w:pStyle w:val="4"/>
        <w:numPr>
          <w:ilvl w:val="0"/>
          <w:numId w:val="0"/>
        </w:numPr>
        <w:ind w:leftChars="0"/>
        <w:outlineLvl w:val="9"/>
        <w:rPr>
          <w:rFonts w:hint="default" w:ascii="Times New Roman" w:hAnsi="Times New Roman" w:cs="Times New Roman"/>
          <w:i w:val="0"/>
          <w:iCs w:val="0"/>
          <w:caps w:val="0"/>
          <w:color w:val="FF0000"/>
          <w:spacing w:val="0"/>
          <w:sz w:val="30"/>
          <w:szCs w:val="30"/>
          <w:shd w:val="clear" w:color="auto" w:fill="auto"/>
          <w:lang w:val="en-US" w:eastAsia="zh-CN" w:bidi="ar"/>
        </w:rPr>
      </w:pPr>
    </w:p>
    <w:p>
      <w:pPr>
        <w:pStyle w:val="37"/>
        <w:bidi w:val="0"/>
        <w:rPr>
          <w:rFonts w:hint="default" w:ascii="Times New Roman" w:hAnsi="Times New Roman" w:cs="Times New Roman"/>
          <w:color w:val="FF0000"/>
          <w:lang w:val="en-US" w:eastAsia="zh-CN"/>
        </w:rPr>
        <w:sectPr>
          <w:headerReference r:id="rId5" w:type="default"/>
          <w:footerReference r:id="rId7" w:type="default"/>
          <w:headerReference r:id="rId6" w:type="even"/>
          <w:footerReference r:id="rId8" w:type="even"/>
          <w:type w:val="oddPage"/>
          <w:pgSz w:w="11340" w:h="16160"/>
          <w:pgMar w:top="1701" w:right="1134" w:bottom="1134" w:left="1134" w:header="850" w:footer="992" w:gutter="0"/>
          <w:pgNumType w:fmt="decimal"/>
          <w:cols w:space="0" w:num="1"/>
          <w:rtlGutter w:val="0"/>
          <w:docGrid w:type="lines" w:linePitch="326" w:charSpace="0"/>
        </w:sectPr>
      </w:pPr>
      <w:r>
        <w:rPr>
          <w:rFonts w:hint="default" w:ascii="Times New Roman" w:hAnsi="Times New Roman" w:cs="Times New Roman"/>
          <w:color w:val="FF0000"/>
          <w:lang w:val="en-US" w:eastAsia="zh-CN"/>
        </w:rPr>
        <w:br w:type="page"/>
      </w: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Pr>
        <w:bidi w:val="0"/>
        <w:rPr>
          <w:rFonts w:hint="eastAsia"/>
          <w:lang w:val="en-US" w:eastAsia="zh-CN"/>
        </w:rPr>
      </w:pPr>
    </w:p>
    <w:sectPr>
      <w:headerReference r:id="rId9" w:type="default"/>
      <w:footerReference r:id="rId11" w:type="default"/>
      <w:headerReference r:id="rId10" w:type="even"/>
      <w:footerReference r:id="rId12" w:type="even"/>
      <w:pgSz w:w="11340" w:h="16160"/>
      <w:pgMar w:top="1701" w:right="1134" w:bottom="1134" w:left="1134" w:header="850" w:footer="992" w:gutter="0"/>
      <w:pgNumType w:fmt="decimal"/>
      <w:cols w:space="0" w:num="1"/>
      <w:rtlGutter w:val="0"/>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p>
  </w:endnote>
  <w:endnote w:type="continuationSeparator" w:id="1">
    <w:p>
      <w:pPr>
        <w:spacing w:line="240" w:lineRule="auto"/>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F65693-E7DC-4319-A2D6-EF538C3A4EF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38DCA1F-D6BB-435C-A59D-B42342CF1C8F}"/>
  </w:font>
  <w:font w:name="方正黑体_GBK">
    <w:panose1 w:val="03000509000000000000"/>
    <w:charset w:val="86"/>
    <w:family w:val="script"/>
    <w:pitch w:val="default"/>
    <w:sig w:usb0="00000001" w:usb1="080E0000" w:usb2="00000000" w:usb3="00000000" w:csb0="00040000" w:csb1="00000000"/>
    <w:embedRegular r:id="rId3" w:fontKey="{3AC8F889-3B5F-4D68-A44E-96BC1AC08EF6}"/>
  </w:font>
  <w:font w:name="方正楷体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DF815804-171E-453F-A69C-ECBC04C98EF9}"/>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embedRegular r:id="rId5" w:fontKey="{4ED7C2D5-4B18-4076-A06A-765A4B164B37}"/>
  </w:font>
  <w:font w:name="楷体">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00"/>
        <w:tab w:val="right" w:pos="9012"/>
      </w:tabs>
      <w:ind w:right="180" w:firstLine="0" w:firstLineChars="0"/>
      <w:jc w:val="lef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46747382"/>
                            <w:docPartObj>
                              <w:docPartGallery w:val="autotext"/>
                            </w:docPartObj>
                          </w:sdtPr>
                          <w:sdtContent>
                            <w:p>
                              <w:pPr>
                                <w:pStyle w:val="2"/>
                                <w:ind w:right="180" w:firstLine="0" w:firstLineChars="0"/>
                                <w:jc w:val="right"/>
                              </w:pPr>
                              <w:r>
                                <w:fldChar w:fldCharType="begin"/>
                              </w:r>
                              <w:r>
                                <w:instrText xml:space="preserve">PAGE   \* MERGEFORMAT</w:instrText>
                              </w:r>
                              <w:r>
                                <w:fldChar w:fldCharType="separate"/>
                              </w:r>
                              <w:r>
                                <w:rPr>
                                  <w:lang w:val="zh-CN"/>
                                </w:rPr>
                                <w:t>2</w:t>
                              </w:r>
                              <w:r>
                                <w:fldChar w:fldCharType="end"/>
                              </w:r>
                            </w:p>
                          </w:sdtContent>
                        </w:sd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sdt>
                    <w:sdtPr>
                      <w:id w:val="-646747382"/>
                      <w:docPartObj>
                        <w:docPartGallery w:val="autotext"/>
                      </w:docPartObj>
                    </w:sdtPr>
                    <w:sdtContent>
                      <w:p>
                        <w:pPr>
                          <w:pStyle w:val="2"/>
                          <w:ind w:right="180" w:firstLine="0" w:firstLineChars="0"/>
                          <w:jc w:val="right"/>
                        </w:pPr>
                        <w:r>
                          <w:fldChar w:fldCharType="begin"/>
                        </w:r>
                        <w:r>
                          <w:instrText xml:space="preserve">PAGE   \* MERGEFORMAT</w:instrText>
                        </w:r>
                        <w:r>
                          <w:fldChar w:fldCharType="separate"/>
                        </w:r>
                        <w:r>
                          <w:rPr>
                            <w:lang w:val="zh-CN"/>
                          </w:rPr>
                          <w:t>2</w:t>
                        </w:r>
                        <w:r>
                          <w:fldChar w:fldCharType="end"/>
                        </w:r>
                      </w:p>
                    </w:sdtContent>
                  </w:sdt>
                  <w:p>
                    <w:pPr>
                      <w:pStyle w:val="10"/>
                    </w:pP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0" name="文本框 2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ylZg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eylZgzAgAAZQ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firstLine="0" w:firstLineChars="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46747382"/>
                            <w:docPartObj>
                              <w:docPartGallery w:val="autotext"/>
                            </w:docPartObj>
                          </w:sdtPr>
                          <w:sdtContent>
                            <w:p>
                              <w:pPr>
                                <w:pStyle w:val="2"/>
                                <w:ind w:right="180" w:firstLine="0" w:firstLineChars="0"/>
                                <w:jc w:val="right"/>
                              </w:pPr>
                              <w:r>
                                <w:fldChar w:fldCharType="begin"/>
                              </w:r>
                              <w:r>
                                <w:instrText xml:space="preserve">PAGE   \* MERGEFORMAT</w:instrText>
                              </w:r>
                              <w:r>
                                <w:fldChar w:fldCharType="separate"/>
                              </w:r>
                              <w:r>
                                <w:rPr>
                                  <w:lang w:val="zh-CN"/>
                                </w:rPr>
                                <w:t>2</w:t>
                              </w:r>
                              <w:r>
                                <w:fldChar w:fldCharType="end"/>
                              </w:r>
                            </w:p>
                          </w:sdtContent>
                        </w:sd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wOCwQz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wOCwQzAgAAZQQAAA4AAAAAAAAAAQAgAAAAHwEAAGRycy9lMm9Eb2MueG1sUEsF&#10;BgAAAAAGAAYAWQEAAMQFAAAAAA==&#10;">
              <v:fill on="f" focussize="0,0"/>
              <v:stroke on="f" weight="0.5pt"/>
              <v:imagedata o:title=""/>
              <o:lock v:ext="edit" aspectratio="f"/>
              <v:textbox inset="0mm,0mm,0mm,0mm" style="mso-fit-shape-to-text:t;">
                <w:txbxContent>
                  <w:sdt>
                    <w:sdtPr>
                      <w:id w:val="-646747382"/>
                      <w:docPartObj>
                        <w:docPartGallery w:val="autotext"/>
                      </w:docPartObj>
                    </w:sdtPr>
                    <w:sdtContent>
                      <w:p>
                        <w:pPr>
                          <w:pStyle w:val="2"/>
                          <w:ind w:right="180" w:firstLine="0" w:firstLineChars="0"/>
                          <w:jc w:val="right"/>
                        </w:pPr>
                        <w:r>
                          <w:fldChar w:fldCharType="begin"/>
                        </w:r>
                        <w:r>
                          <w:instrText xml:space="preserve">PAGE   \* MERGEFORMAT</w:instrText>
                        </w:r>
                        <w:r>
                          <w:fldChar w:fldCharType="separate"/>
                        </w:r>
                        <w:r>
                          <w:rPr>
                            <w:lang w:val="zh-CN"/>
                          </w:rPr>
                          <w:t>2</w:t>
                        </w:r>
                        <w:r>
                          <w:fldChar w:fldCharType="end"/>
                        </w:r>
                      </w:p>
                    </w:sdtContent>
                  </w:sdt>
                  <w:p>
                    <w:pPr>
                      <w:pStyle w:val="1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p>
  </w:footnote>
  <w:footnote w:type="continuationSeparator" w:id="1">
    <w:p>
      <w:pPr>
        <w:spacing w:line="240" w:lineRule="auto"/>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SmallGap" w:color="auto" w:sz="12" w:space="1"/>
      </w:pBdr>
      <w:jc w:val="right"/>
      <w:rPr>
        <w:rFonts w:hint="eastAsia"/>
      </w:rPr>
    </w:pPr>
    <w:r>
      <w:rPr>
        <w:rFonts w:hint="eastAsia"/>
      </w:rPr>
      <w:t>鞍山市生态保护“十四五”规划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SmallGap" w:color="auto" w:sz="12" w:space="1"/>
      </w:pBdr>
      <w:rPr>
        <w:rFonts w:hint="eastAsia"/>
      </w:rPr>
    </w:pPr>
    <w:r>
      <w:rPr>
        <w:rFonts w:hint="eastAsia"/>
      </w:rPr>
      <w:t>鞍山市生态保护“十四五”规划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thinThickMediumGap" w:color="auto" w:sz="18" w:space="1"/>
      </w:pBdr>
      <w:kinsoku/>
      <w:wordWrap/>
      <w:overflowPunct/>
      <w:topLinePunct w:val="0"/>
      <w:autoSpaceDE/>
      <w:autoSpaceDN/>
      <w:bidi/>
      <w:adjustRightInd/>
      <w:snapToGrid w:val="0"/>
      <w:ind w:firstLine="0" w:firstLineChars="0"/>
      <w:textAlignment w:val="auto"/>
      <w:rPr>
        <w:rFonts w:hint="eastAsia"/>
      </w:rPr>
    </w:pPr>
    <w:r>
      <w:rPr>
        <w:rFonts w:hint="eastAsia"/>
      </w:rPr>
      <w:t>千山区国民经济和社会发展第十四个五年规划和二〇三五年远景目标纲要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thinThickMediumGap" w:color="auto" w:sz="18" w:space="1"/>
      </w:pBdr>
      <w:kinsoku/>
      <w:wordWrap/>
      <w:overflowPunct/>
      <w:topLinePunct w:val="0"/>
      <w:autoSpaceDE/>
      <w:autoSpaceDN/>
      <w:bidi w:val="0"/>
      <w:adjustRightInd/>
      <w:snapToGrid w:val="0"/>
      <w:ind w:firstLine="0" w:firstLineChars="0"/>
      <w:textAlignment w:val="auto"/>
      <w:rPr>
        <w:rFonts w:hint="eastAsia"/>
        <w:lang w:eastAsia="zh-CN"/>
      </w:rPr>
    </w:pPr>
    <w:r>
      <w:rPr>
        <w:rFonts w:hint="eastAsia"/>
      </w:rPr>
      <w:t>千山区国民经济和社会发展第十四个五年规划和二〇三五年远景目标纲要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44C98"/>
    <w:multiLevelType w:val="singleLevel"/>
    <w:tmpl w:val="05044C98"/>
    <w:lvl w:ilvl="0" w:tentative="0">
      <w:start w:val="2"/>
      <w:numFmt w:val="chineseCounting"/>
      <w:suff w:val="space"/>
      <w:lvlText w:val="第%1节"/>
      <w:lvlJc w:val="left"/>
      <w:rPr>
        <w:rFonts w:hint="eastAsia"/>
      </w:rPr>
    </w:lvl>
  </w:abstractNum>
  <w:abstractNum w:abstractNumId="1">
    <w:nsid w:val="30282846"/>
    <w:multiLevelType w:val="multilevel"/>
    <w:tmpl w:val="30282846"/>
    <w:lvl w:ilvl="0" w:tentative="0">
      <w:start w:val="1"/>
      <w:numFmt w:val="japaneseCounting"/>
      <w:pStyle w:val="56"/>
      <w:lvlText w:val="第%1章"/>
      <w:lvlJc w:val="left"/>
      <w:pPr>
        <w:ind w:left="4713" w:hanging="1452"/>
      </w:pPr>
      <w:rPr>
        <w:rFonts w:hint="eastAsia" w:ascii="方正小标宋简体" w:eastAsia="方正小标宋简体"/>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3367BC"/>
    <w:multiLevelType w:val="multilevel"/>
    <w:tmpl w:val="633367BC"/>
    <w:lvl w:ilvl="0" w:tentative="0">
      <w:start w:val="1"/>
      <w:numFmt w:val="chineseCountingThousand"/>
      <w:pStyle w:val="57"/>
      <w:lvlText w:val="%1、"/>
      <w:lvlJc w:val="left"/>
      <w:pPr>
        <w:ind w:left="846" w:hanging="420"/>
      </w:pPr>
      <w:rPr>
        <w:rFonts w:ascii="黑体" w:hAnsi="黑体" w:eastAsia="黑体"/>
        <w:b w:val="0"/>
        <w:bCs/>
        <w:sz w:val="36"/>
        <w:szCs w:val="36"/>
      </w:rPr>
    </w:lvl>
    <w:lvl w:ilvl="1" w:tentative="0">
      <w:start w:val="1"/>
      <w:numFmt w:val="lowerLetter"/>
      <w:lvlText w:val="%2)"/>
      <w:lvlJc w:val="left"/>
      <w:pPr>
        <w:ind w:left="1196" w:hanging="420"/>
      </w:pPr>
    </w:lvl>
    <w:lvl w:ilvl="2" w:tentative="0">
      <w:start w:val="1"/>
      <w:numFmt w:val="lowerRoman"/>
      <w:lvlText w:val="%3."/>
      <w:lvlJc w:val="right"/>
      <w:pPr>
        <w:ind w:left="1616" w:hanging="420"/>
      </w:pPr>
    </w:lvl>
    <w:lvl w:ilvl="3" w:tentative="0">
      <w:start w:val="1"/>
      <w:numFmt w:val="decimal"/>
      <w:lvlText w:val="%4."/>
      <w:lvlJc w:val="left"/>
      <w:pPr>
        <w:ind w:left="2036" w:hanging="420"/>
      </w:pPr>
    </w:lvl>
    <w:lvl w:ilvl="4" w:tentative="0">
      <w:start w:val="1"/>
      <w:numFmt w:val="lowerLetter"/>
      <w:lvlText w:val="%5)"/>
      <w:lvlJc w:val="left"/>
      <w:pPr>
        <w:ind w:left="2456" w:hanging="420"/>
      </w:pPr>
    </w:lvl>
    <w:lvl w:ilvl="5" w:tentative="0">
      <w:start w:val="1"/>
      <w:numFmt w:val="lowerRoman"/>
      <w:lvlText w:val="%6."/>
      <w:lvlJc w:val="right"/>
      <w:pPr>
        <w:ind w:left="2876" w:hanging="420"/>
      </w:pPr>
    </w:lvl>
    <w:lvl w:ilvl="6" w:tentative="0">
      <w:start w:val="1"/>
      <w:numFmt w:val="decimal"/>
      <w:lvlText w:val="%7."/>
      <w:lvlJc w:val="left"/>
      <w:pPr>
        <w:ind w:left="3296" w:hanging="420"/>
      </w:pPr>
    </w:lvl>
    <w:lvl w:ilvl="7" w:tentative="0">
      <w:start w:val="1"/>
      <w:numFmt w:val="lowerLetter"/>
      <w:lvlText w:val="%8)"/>
      <w:lvlJc w:val="left"/>
      <w:pPr>
        <w:ind w:left="3716" w:hanging="420"/>
      </w:pPr>
    </w:lvl>
    <w:lvl w:ilvl="8" w:tentative="0">
      <w:start w:val="1"/>
      <w:numFmt w:val="lowerRoman"/>
      <w:lvlText w:val="%9."/>
      <w:lvlJc w:val="right"/>
      <w:pPr>
        <w:ind w:left="4136" w:hanging="420"/>
      </w:pPr>
    </w:lvl>
  </w:abstractNum>
  <w:abstractNum w:abstractNumId="3">
    <w:nsid w:val="79B74255"/>
    <w:multiLevelType w:val="multilevel"/>
    <w:tmpl w:val="79B74255"/>
    <w:lvl w:ilvl="0" w:tentative="0">
      <w:start w:val="1"/>
      <w:numFmt w:val="chineseCountingThousand"/>
      <w:pStyle w:val="52"/>
      <w:lvlText w:val="第%1篇"/>
      <w:lvlJc w:val="center"/>
      <w:pPr>
        <w:ind w:left="5563" w:hanging="1452"/>
      </w:pPr>
      <w:rPr>
        <w:rFonts w:hint="eastAsia" w:ascii="方正小标宋简体" w:eastAsia="方正小标宋简体"/>
        <w:b w:val="0"/>
        <w:bCs w:val="0"/>
        <w:sz w:val="44"/>
        <w:szCs w:val="44"/>
      </w:rPr>
    </w:lvl>
    <w:lvl w:ilvl="1" w:tentative="0">
      <w:start w:val="1"/>
      <w:numFmt w:val="lowerLetter"/>
      <w:lvlText w:val="%2)"/>
      <w:lvlJc w:val="left"/>
      <w:pPr>
        <w:ind w:left="4951" w:hanging="420"/>
      </w:pPr>
    </w:lvl>
    <w:lvl w:ilvl="2" w:tentative="0">
      <w:start w:val="1"/>
      <w:numFmt w:val="lowerRoman"/>
      <w:lvlText w:val="%3."/>
      <w:lvlJc w:val="right"/>
      <w:pPr>
        <w:ind w:left="5371" w:hanging="420"/>
      </w:pPr>
    </w:lvl>
    <w:lvl w:ilvl="3" w:tentative="0">
      <w:start w:val="1"/>
      <w:numFmt w:val="decimal"/>
      <w:lvlText w:val="%4."/>
      <w:lvlJc w:val="left"/>
      <w:pPr>
        <w:ind w:left="5791" w:hanging="420"/>
      </w:pPr>
    </w:lvl>
    <w:lvl w:ilvl="4" w:tentative="0">
      <w:start w:val="1"/>
      <w:numFmt w:val="lowerLetter"/>
      <w:lvlText w:val="%5)"/>
      <w:lvlJc w:val="left"/>
      <w:pPr>
        <w:ind w:left="6211" w:hanging="420"/>
      </w:pPr>
    </w:lvl>
    <w:lvl w:ilvl="5" w:tentative="0">
      <w:start w:val="1"/>
      <w:numFmt w:val="lowerRoman"/>
      <w:lvlText w:val="%6."/>
      <w:lvlJc w:val="right"/>
      <w:pPr>
        <w:ind w:left="6631" w:hanging="420"/>
      </w:pPr>
    </w:lvl>
    <w:lvl w:ilvl="6" w:tentative="0">
      <w:start w:val="1"/>
      <w:numFmt w:val="decimal"/>
      <w:lvlText w:val="%7."/>
      <w:lvlJc w:val="left"/>
      <w:pPr>
        <w:ind w:left="7051" w:hanging="420"/>
      </w:pPr>
    </w:lvl>
    <w:lvl w:ilvl="7" w:tentative="0">
      <w:start w:val="1"/>
      <w:numFmt w:val="lowerLetter"/>
      <w:lvlText w:val="%8)"/>
      <w:lvlJc w:val="left"/>
      <w:pPr>
        <w:ind w:left="7471" w:hanging="420"/>
      </w:pPr>
    </w:lvl>
    <w:lvl w:ilvl="8" w:tentative="0">
      <w:start w:val="1"/>
      <w:numFmt w:val="lowerRoman"/>
      <w:lvlText w:val="%9."/>
      <w:lvlJc w:val="right"/>
      <w:pPr>
        <w:ind w:left="7891"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3NWU4ZmQ0ZTFkZmZjMDY0ZTVmOWU1ZDhkNGZjNGUifQ=="/>
  </w:docVars>
  <w:rsids>
    <w:rsidRoot w:val="00BD76F0"/>
    <w:rsid w:val="0023701B"/>
    <w:rsid w:val="003C61A4"/>
    <w:rsid w:val="004D6F46"/>
    <w:rsid w:val="005A1AE3"/>
    <w:rsid w:val="00653245"/>
    <w:rsid w:val="00746FC8"/>
    <w:rsid w:val="00771395"/>
    <w:rsid w:val="0082709B"/>
    <w:rsid w:val="00962F95"/>
    <w:rsid w:val="009D3274"/>
    <w:rsid w:val="00A34B66"/>
    <w:rsid w:val="00A638A7"/>
    <w:rsid w:val="00BD76F0"/>
    <w:rsid w:val="00CC66F8"/>
    <w:rsid w:val="00DA4953"/>
    <w:rsid w:val="00F50889"/>
    <w:rsid w:val="00FD1B41"/>
    <w:rsid w:val="010A3332"/>
    <w:rsid w:val="01AB02A9"/>
    <w:rsid w:val="020972D3"/>
    <w:rsid w:val="02B12EE8"/>
    <w:rsid w:val="02C53AE3"/>
    <w:rsid w:val="03002B53"/>
    <w:rsid w:val="03160864"/>
    <w:rsid w:val="03496985"/>
    <w:rsid w:val="034E44A7"/>
    <w:rsid w:val="0367066E"/>
    <w:rsid w:val="039B791C"/>
    <w:rsid w:val="03A42334"/>
    <w:rsid w:val="03B51CC5"/>
    <w:rsid w:val="03F11A28"/>
    <w:rsid w:val="03F97828"/>
    <w:rsid w:val="040E5C35"/>
    <w:rsid w:val="043A5387"/>
    <w:rsid w:val="04A647CA"/>
    <w:rsid w:val="04AE64AD"/>
    <w:rsid w:val="051C473F"/>
    <w:rsid w:val="055960B5"/>
    <w:rsid w:val="055E7351"/>
    <w:rsid w:val="06214B5D"/>
    <w:rsid w:val="06222317"/>
    <w:rsid w:val="06F86B11"/>
    <w:rsid w:val="07166D75"/>
    <w:rsid w:val="07571D59"/>
    <w:rsid w:val="07684CA1"/>
    <w:rsid w:val="076D7972"/>
    <w:rsid w:val="07AF27A4"/>
    <w:rsid w:val="085207C5"/>
    <w:rsid w:val="085E550C"/>
    <w:rsid w:val="0871409D"/>
    <w:rsid w:val="088B37D1"/>
    <w:rsid w:val="08B75F55"/>
    <w:rsid w:val="08CC2C4C"/>
    <w:rsid w:val="08F82D83"/>
    <w:rsid w:val="09295739"/>
    <w:rsid w:val="092B7994"/>
    <w:rsid w:val="09A42314"/>
    <w:rsid w:val="09A7761A"/>
    <w:rsid w:val="0A434298"/>
    <w:rsid w:val="0A7C082B"/>
    <w:rsid w:val="0A8A2403"/>
    <w:rsid w:val="0A9F35AB"/>
    <w:rsid w:val="0ABE08AC"/>
    <w:rsid w:val="0ACD3EB1"/>
    <w:rsid w:val="0AD3076A"/>
    <w:rsid w:val="0AF006FD"/>
    <w:rsid w:val="0AFB116A"/>
    <w:rsid w:val="0B20529D"/>
    <w:rsid w:val="0C4E25AD"/>
    <w:rsid w:val="0C5103C5"/>
    <w:rsid w:val="0C7E602C"/>
    <w:rsid w:val="0C92600F"/>
    <w:rsid w:val="0DC45038"/>
    <w:rsid w:val="0DC725E6"/>
    <w:rsid w:val="0DD644C9"/>
    <w:rsid w:val="0E305BA0"/>
    <w:rsid w:val="0EAC09F3"/>
    <w:rsid w:val="0EBE4571"/>
    <w:rsid w:val="0F0872A6"/>
    <w:rsid w:val="0F5D255B"/>
    <w:rsid w:val="0F700BEC"/>
    <w:rsid w:val="0F84728E"/>
    <w:rsid w:val="0FAB5527"/>
    <w:rsid w:val="0FCC03F1"/>
    <w:rsid w:val="10072D63"/>
    <w:rsid w:val="10421E08"/>
    <w:rsid w:val="10426FA3"/>
    <w:rsid w:val="10A32607"/>
    <w:rsid w:val="10C54849"/>
    <w:rsid w:val="11176275"/>
    <w:rsid w:val="11A411D0"/>
    <w:rsid w:val="12B7267D"/>
    <w:rsid w:val="12D54D4F"/>
    <w:rsid w:val="132912B3"/>
    <w:rsid w:val="13406B53"/>
    <w:rsid w:val="136F470A"/>
    <w:rsid w:val="13712C7E"/>
    <w:rsid w:val="13753AD2"/>
    <w:rsid w:val="13A7029C"/>
    <w:rsid w:val="13BE3940"/>
    <w:rsid w:val="143115B6"/>
    <w:rsid w:val="143A48C9"/>
    <w:rsid w:val="14D30F61"/>
    <w:rsid w:val="14E43DB7"/>
    <w:rsid w:val="159F1441"/>
    <w:rsid w:val="160B2108"/>
    <w:rsid w:val="16461E1D"/>
    <w:rsid w:val="169A5749"/>
    <w:rsid w:val="16B5396D"/>
    <w:rsid w:val="16EE3CB1"/>
    <w:rsid w:val="173A4D03"/>
    <w:rsid w:val="17445921"/>
    <w:rsid w:val="17780C55"/>
    <w:rsid w:val="17CF7FD0"/>
    <w:rsid w:val="181324E1"/>
    <w:rsid w:val="1861541E"/>
    <w:rsid w:val="18647C56"/>
    <w:rsid w:val="192C3814"/>
    <w:rsid w:val="19A64156"/>
    <w:rsid w:val="1A1C0FD5"/>
    <w:rsid w:val="1A43218E"/>
    <w:rsid w:val="1A73652E"/>
    <w:rsid w:val="1ACD6EEB"/>
    <w:rsid w:val="1ACE3FDF"/>
    <w:rsid w:val="1B39640F"/>
    <w:rsid w:val="1B7D5271"/>
    <w:rsid w:val="1B8732E5"/>
    <w:rsid w:val="1BC15F26"/>
    <w:rsid w:val="1BE8137B"/>
    <w:rsid w:val="1BF80445"/>
    <w:rsid w:val="1C2C0F26"/>
    <w:rsid w:val="1D022A6D"/>
    <w:rsid w:val="1D6519D4"/>
    <w:rsid w:val="1E19046E"/>
    <w:rsid w:val="1F3C6BFF"/>
    <w:rsid w:val="1F790EE9"/>
    <w:rsid w:val="1FA15F1A"/>
    <w:rsid w:val="1FA717A2"/>
    <w:rsid w:val="1FAD48B9"/>
    <w:rsid w:val="1FC4454B"/>
    <w:rsid w:val="1FE05077"/>
    <w:rsid w:val="205F14AB"/>
    <w:rsid w:val="20B66929"/>
    <w:rsid w:val="215C64E4"/>
    <w:rsid w:val="21A473F6"/>
    <w:rsid w:val="21AA429D"/>
    <w:rsid w:val="21AF0A1A"/>
    <w:rsid w:val="221C526B"/>
    <w:rsid w:val="229A1C76"/>
    <w:rsid w:val="22DD7D54"/>
    <w:rsid w:val="22E06BBD"/>
    <w:rsid w:val="22EB23BD"/>
    <w:rsid w:val="22EC5BE6"/>
    <w:rsid w:val="23240DDD"/>
    <w:rsid w:val="23A40F69"/>
    <w:rsid w:val="23B71BE1"/>
    <w:rsid w:val="249A52C7"/>
    <w:rsid w:val="24A45CDB"/>
    <w:rsid w:val="24C809D8"/>
    <w:rsid w:val="254354CD"/>
    <w:rsid w:val="25454DF2"/>
    <w:rsid w:val="25567EA6"/>
    <w:rsid w:val="25F610C5"/>
    <w:rsid w:val="268015B8"/>
    <w:rsid w:val="276F724B"/>
    <w:rsid w:val="27D01A89"/>
    <w:rsid w:val="27D877D6"/>
    <w:rsid w:val="28334F25"/>
    <w:rsid w:val="288A4D35"/>
    <w:rsid w:val="291E5926"/>
    <w:rsid w:val="2934299A"/>
    <w:rsid w:val="29847092"/>
    <w:rsid w:val="29CE075E"/>
    <w:rsid w:val="29E5269C"/>
    <w:rsid w:val="29EA2666"/>
    <w:rsid w:val="2A353CCC"/>
    <w:rsid w:val="2A63270D"/>
    <w:rsid w:val="2ADD0994"/>
    <w:rsid w:val="2B1E4C30"/>
    <w:rsid w:val="2B7922CD"/>
    <w:rsid w:val="2B7F3796"/>
    <w:rsid w:val="2BAD5C93"/>
    <w:rsid w:val="2BB304D0"/>
    <w:rsid w:val="2BBE011E"/>
    <w:rsid w:val="2BCD1E3E"/>
    <w:rsid w:val="2C002162"/>
    <w:rsid w:val="2C2B4D9C"/>
    <w:rsid w:val="2C446339"/>
    <w:rsid w:val="2CBE08D0"/>
    <w:rsid w:val="2DD9322C"/>
    <w:rsid w:val="2DF54C48"/>
    <w:rsid w:val="2E550C1B"/>
    <w:rsid w:val="2ED239AD"/>
    <w:rsid w:val="2F1933F8"/>
    <w:rsid w:val="2F2F2BD0"/>
    <w:rsid w:val="2F6B6554"/>
    <w:rsid w:val="2F8F325E"/>
    <w:rsid w:val="2FD62498"/>
    <w:rsid w:val="30304E93"/>
    <w:rsid w:val="306C231D"/>
    <w:rsid w:val="30DA59B9"/>
    <w:rsid w:val="315B2736"/>
    <w:rsid w:val="315F4DB5"/>
    <w:rsid w:val="317454DF"/>
    <w:rsid w:val="31BC3F10"/>
    <w:rsid w:val="31BC5257"/>
    <w:rsid w:val="320D55D9"/>
    <w:rsid w:val="321B36E9"/>
    <w:rsid w:val="326906D0"/>
    <w:rsid w:val="32712D19"/>
    <w:rsid w:val="32A60AFB"/>
    <w:rsid w:val="32B44B5D"/>
    <w:rsid w:val="33015106"/>
    <w:rsid w:val="33040454"/>
    <w:rsid w:val="33071EBA"/>
    <w:rsid w:val="33122D4E"/>
    <w:rsid w:val="33CE7972"/>
    <w:rsid w:val="33E072AF"/>
    <w:rsid w:val="34C5535F"/>
    <w:rsid w:val="34CE53E8"/>
    <w:rsid w:val="34F80AB7"/>
    <w:rsid w:val="35442F1D"/>
    <w:rsid w:val="35A572AF"/>
    <w:rsid w:val="35C75692"/>
    <w:rsid w:val="35D0159C"/>
    <w:rsid w:val="35FE5CD4"/>
    <w:rsid w:val="36001AA7"/>
    <w:rsid w:val="36081A94"/>
    <w:rsid w:val="364E7A49"/>
    <w:rsid w:val="365301F4"/>
    <w:rsid w:val="3723145F"/>
    <w:rsid w:val="37232734"/>
    <w:rsid w:val="377C758D"/>
    <w:rsid w:val="37B24644"/>
    <w:rsid w:val="38065824"/>
    <w:rsid w:val="384D4278"/>
    <w:rsid w:val="389B24DA"/>
    <w:rsid w:val="38A57632"/>
    <w:rsid w:val="38E34E7B"/>
    <w:rsid w:val="38EF5DED"/>
    <w:rsid w:val="38F25F49"/>
    <w:rsid w:val="392B4F93"/>
    <w:rsid w:val="39323A0E"/>
    <w:rsid w:val="393D32B0"/>
    <w:rsid w:val="393F5571"/>
    <w:rsid w:val="39417649"/>
    <w:rsid w:val="39A36327"/>
    <w:rsid w:val="39DE00CD"/>
    <w:rsid w:val="39E95600"/>
    <w:rsid w:val="3A473CD2"/>
    <w:rsid w:val="3A4E0299"/>
    <w:rsid w:val="3A50111F"/>
    <w:rsid w:val="3A9C55B9"/>
    <w:rsid w:val="3AA14C0B"/>
    <w:rsid w:val="3B073F63"/>
    <w:rsid w:val="3B26593A"/>
    <w:rsid w:val="3B6F65EB"/>
    <w:rsid w:val="3BAC7B73"/>
    <w:rsid w:val="3BB73184"/>
    <w:rsid w:val="3BC54590"/>
    <w:rsid w:val="3C0656D7"/>
    <w:rsid w:val="3D2F7680"/>
    <w:rsid w:val="3DFC7703"/>
    <w:rsid w:val="3E686A2D"/>
    <w:rsid w:val="3EC1389A"/>
    <w:rsid w:val="3F08020C"/>
    <w:rsid w:val="3F3678F1"/>
    <w:rsid w:val="3F5348F2"/>
    <w:rsid w:val="3F6B73E0"/>
    <w:rsid w:val="3FD027FE"/>
    <w:rsid w:val="400B7D40"/>
    <w:rsid w:val="41F70F15"/>
    <w:rsid w:val="41FE1BDC"/>
    <w:rsid w:val="42011E33"/>
    <w:rsid w:val="42F91922"/>
    <w:rsid w:val="43506B30"/>
    <w:rsid w:val="439F3610"/>
    <w:rsid w:val="43B6694C"/>
    <w:rsid w:val="43B70A44"/>
    <w:rsid w:val="43BD3414"/>
    <w:rsid w:val="44036B2E"/>
    <w:rsid w:val="446003E6"/>
    <w:rsid w:val="44CC3C4D"/>
    <w:rsid w:val="453C304B"/>
    <w:rsid w:val="454C3C3D"/>
    <w:rsid w:val="45B422A5"/>
    <w:rsid w:val="45FB7303"/>
    <w:rsid w:val="46236D54"/>
    <w:rsid w:val="464D4E7E"/>
    <w:rsid w:val="467D4684"/>
    <w:rsid w:val="473741DF"/>
    <w:rsid w:val="480E52EC"/>
    <w:rsid w:val="483704F2"/>
    <w:rsid w:val="48794CC7"/>
    <w:rsid w:val="48D7442B"/>
    <w:rsid w:val="48FF0487"/>
    <w:rsid w:val="49425FB6"/>
    <w:rsid w:val="49491B89"/>
    <w:rsid w:val="497A4743"/>
    <w:rsid w:val="49892BC8"/>
    <w:rsid w:val="4A9B208B"/>
    <w:rsid w:val="4B08477A"/>
    <w:rsid w:val="4C3B2609"/>
    <w:rsid w:val="4C3F7CB5"/>
    <w:rsid w:val="4CFA56FA"/>
    <w:rsid w:val="4D362E16"/>
    <w:rsid w:val="4D5A1DAB"/>
    <w:rsid w:val="4D67184A"/>
    <w:rsid w:val="4D9544B6"/>
    <w:rsid w:val="4DE1343F"/>
    <w:rsid w:val="4E094A4F"/>
    <w:rsid w:val="4E4B7B55"/>
    <w:rsid w:val="4E4C59C7"/>
    <w:rsid w:val="4E5505FF"/>
    <w:rsid w:val="4E59297B"/>
    <w:rsid w:val="4E8F351A"/>
    <w:rsid w:val="4EBA7B30"/>
    <w:rsid w:val="4EE07025"/>
    <w:rsid w:val="4F585CAB"/>
    <w:rsid w:val="4FC2018E"/>
    <w:rsid w:val="50476920"/>
    <w:rsid w:val="5086527C"/>
    <w:rsid w:val="516854CF"/>
    <w:rsid w:val="51F2120F"/>
    <w:rsid w:val="520504FD"/>
    <w:rsid w:val="522E2613"/>
    <w:rsid w:val="524117D4"/>
    <w:rsid w:val="52524D94"/>
    <w:rsid w:val="52734C27"/>
    <w:rsid w:val="52A110A3"/>
    <w:rsid w:val="53303F79"/>
    <w:rsid w:val="53477A7B"/>
    <w:rsid w:val="53B130BD"/>
    <w:rsid w:val="541E09F4"/>
    <w:rsid w:val="546D5592"/>
    <w:rsid w:val="54974B76"/>
    <w:rsid w:val="54CE7EAE"/>
    <w:rsid w:val="55101DBD"/>
    <w:rsid w:val="55326CE7"/>
    <w:rsid w:val="5546304A"/>
    <w:rsid w:val="55F810C6"/>
    <w:rsid w:val="56763F9A"/>
    <w:rsid w:val="56A65B28"/>
    <w:rsid w:val="56DD4ADE"/>
    <w:rsid w:val="56E9073B"/>
    <w:rsid w:val="57434EB3"/>
    <w:rsid w:val="579154E7"/>
    <w:rsid w:val="57B10631"/>
    <w:rsid w:val="57D13FD8"/>
    <w:rsid w:val="58FB6D6F"/>
    <w:rsid w:val="59340C12"/>
    <w:rsid w:val="5990323F"/>
    <w:rsid w:val="59AE23FE"/>
    <w:rsid w:val="5A630B39"/>
    <w:rsid w:val="5AA539F7"/>
    <w:rsid w:val="5ABB6D2B"/>
    <w:rsid w:val="5B8014AF"/>
    <w:rsid w:val="5BEA4111"/>
    <w:rsid w:val="5C0815F1"/>
    <w:rsid w:val="5C495956"/>
    <w:rsid w:val="5D2F51D0"/>
    <w:rsid w:val="5D5D13A8"/>
    <w:rsid w:val="5F0D7857"/>
    <w:rsid w:val="5F356875"/>
    <w:rsid w:val="5F433050"/>
    <w:rsid w:val="5F513D8A"/>
    <w:rsid w:val="5F605840"/>
    <w:rsid w:val="5F7252B7"/>
    <w:rsid w:val="5F751F44"/>
    <w:rsid w:val="5F8F564B"/>
    <w:rsid w:val="5FB24D86"/>
    <w:rsid w:val="5FD64495"/>
    <w:rsid w:val="5FF17ABD"/>
    <w:rsid w:val="5FF257CB"/>
    <w:rsid w:val="60024FFC"/>
    <w:rsid w:val="60522F53"/>
    <w:rsid w:val="608D48C7"/>
    <w:rsid w:val="617E369F"/>
    <w:rsid w:val="61BE1DCF"/>
    <w:rsid w:val="61D25E8B"/>
    <w:rsid w:val="61E0771B"/>
    <w:rsid w:val="62070485"/>
    <w:rsid w:val="628D6EE0"/>
    <w:rsid w:val="62AE44D9"/>
    <w:rsid w:val="632F68AE"/>
    <w:rsid w:val="63BB67E0"/>
    <w:rsid w:val="63F96BD9"/>
    <w:rsid w:val="640340E8"/>
    <w:rsid w:val="640D6BEF"/>
    <w:rsid w:val="6516077C"/>
    <w:rsid w:val="6563317B"/>
    <w:rsid w:val="658F7B38"/>
    <w:rsid w:val="65AF6162"/>
    <w:rsid w:val="65DA674D"/>
    <w:rsid w:val="6699666E"/>
    <w:rsid w:val="66B1533F"/>
    <w:rsid w:val="66CD006D"/>
    <w:rsid w:val="66D13C34"/>
    <w:rsid w:val="6704116A"/>
    <w:rsid w:val="6749582D"/>
    <w:rsid w:val="678035CF"/>
    <w:rsid w:val="67B46094"/>
    <w:rsid w:val="68017B3B"/>
    <w:rsid w:val="68266E3D"/>
    <w:rsid w:val="68BA1E83"/>
    <w:rsid w:val="69C56352"/>
    <w:rsid w:val="69CE567E"/>
    <w:rsid w:val="6A555B5F"/>
    <w:rsid w:val="6A6B5DBC"/>
    <w:rsid w:val="6AA45AC5"/>
    <w:rsid w:val="6ABD34FB"/>
    <w:rsid w:val="6BE53B2A"/>
    <w:rsid w:val="6BE652AD"/>
    <w:rsid w:val="6C6A5A6F"/>
    <w:rsid w:val="6C822BFD"/>
    <w:rsid w:val="6CB14AE8"/>
    <w:rsid w:val="6DC2336B"/>
    <w:rsid w:val="6DC542F9"/>
    <w:rsid w:val="6E0317A7"/>
    <w:rsid w:val="6E1766CB"/>
    <w:rsid w:val="6E295BB1"/>
    <w:rsid w:val="6E446B85"/>
    <w:rsid w:val="6E5C75BD"/>
    <w:rsid w:val="6E72671F"/>
    <w:rsid w:val="6ED666AE"/>
    <w:rsid w:val="6F5E6217"/>
    <w:rsid w:val="704002A5"/>
    <w:rsid w:val="707114C5"/>
    <w:rsid w:val="708866F1"/>
    <w:rsid w:val="70D436B1"/>
    <w:rsid w:val="70FB6362"/>
    <w:rsid w:val="70FE07ED"/>
    <w:rsid w:val="71064ADA"/>
    <w:rsid w:val="71066C13"/>
    <w:rsid w:val="71112A74"/>
    <w:rsid w:val="71447597"/>
    <w:rsid w:val="716A3883"/>
    <w:rsid w:val="71961218"/>
    <w:rsid w:val="7224645D"/>
    <w:rsid w:val="724B3326"/>
    <w:rsid w:val="729A4431"/>
    <w:rsid w:val="72AD34BA"/>
    <w:rsid w:val="72B333C0"/>
    <w:rsid w:val="735E1213"/>
    <w:rsid w:val="73640445"/>
    <w:rsid w:val="73913BBE"/>
    <w:rsid w:val="73D4693B"/>
    <w:rsid w:val="74714F78"/>
    <w:rsid w:val="751B1362"/>
    <w:rsid w:val="755204B7"/>
    <w:rsid w:val="75D17E31"/>
    <w:rsid w:val="764C36BC"/>
    <w:rsid w:val="76586291"/>
    <w:rsid w:val="77181B66"/>
    <w:rsid w:val="77887ED9"/>
    <w:rsid w:val="77F72522"/>
    <w:rsid w:val="77FD0262"/>
    <w:rsid w:val="781860FF"/>
    <w:rsid w:val="783A54A4"/>
    <w:rsid w:val="78854869"/>
    <w:rsid w:val="789F246B"/>
    <w:rsid w:val="79415062"/>
    <w:rsid w:val="7A0A4993"/>
    <w:rsid w:val="7A152E34"/>
    <w:rsid w:val="7A3C0438"/>
    <w:rsid w:val="7A82076E"/>
    <w:rsid w:val="7A93020A"/>
    <w:rsid w:val="7AA240BA"/>
    <w:rsid w:val="7ABB6715"/>
    <w:rsid w:val="7B2003DE"/>
    <w:rsid w:val="7B4914ED"/>
    <w:rsid w:val="7B9930A6"/>
    <w:rsid w:val="7B9F00D8"/>
    <w:rsid w:val="7B9F74AA"/>
    <w:rsid w:val="7BF02CC9"/>
    <w:rsid w:val="7C036DFE"/>
    <w:rsid w:val="7C355285"/>
    <w:rsid w:val="7C941C97"/>
    <w:rsid w:val="7D6E6368"/>
    <w:rsid w:val="7DBE27F1"/>
    <w:rsid w:val="7E3C13F7"/>
    <w:rsid w:val="7E460150"/>
    <w:rsid w:val="7E7E1039"/>
    <w:rsid w:val="7F1711FF"/>
    <w:rsid w:val="7F3C0BFE"/>
    <w:rsid w:val="7F510D28"/>
    <w:rsid w:val="7F7E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6"/>
    <w:qFormat/>
    <w:uiPriority w:val="9"/>
    <w:pPr>
      <w:keepNext/>
      <w:keepLines/>
      <w:spacing w:before="100" w:beforeLines="100" w:after="100" w:afterLines="100" w:line="320" w:lineRule="exact"/>
      <w:ind w:firstLine="0" w:firstLineChars="0"/>
      <w:jc w:val="center"/>
      <w:outlineLvl w:val="0"/>
    </w:pPr>
    <w:rPr>
      <w:rFonts w:eastAsia="方正黑体_GBK"/>
      <w:b/>
      <w:bCs/>
      <w:kern w:val="44"/>
      <w:sz w:val="36"/>
      <w:szCs w:val="44"/>
    </w:rPr>
  </w:style>
  <w:style w:type="paragraph" w:styleId="4">
    <w:name w:val="heading 2"/>
    <w:basedOn w:val="1"/>
    <w:next w:val="1"/>
    <w:link w:val="48"/>
    <w:qFormat/>
    <w:uiPriority w:val="0"/>
    <w:pPr>
      <w:spacing w:after="156" w:afterLines="50"/>
      <w:ind w:firstLine="643" w:firstLineChars="200"/>
      <w:outlineLvl w:val="1"/>
    </w:pPr>
    <w:rPr>
      <w:rFonts w:ascii="方正楷体简体" w:hAnsi="黑体" w:eastAsia="方正楷体简体" w:cs="Times New Roman"/>
      <w:b/>
      <w:color w:val="000000"/>
      <w:kern w:val="0"/>
      <w:sz w:val="32"/>
      <w:szCs w:val="32"/>
    </w:rPr>
  </w:style>
  <w:style w:type="paragraph" w:styleId="5">
    <w:name w:val="heading 3"/>
    <w:basedOn w:val="1"/>
    <w:next w:val="1"/>
    <w:link w:val="62"/>
    <w:qFormat/>
    <w:uiPriority w:val="0"/>
    <w:pPr>
      <w:widowControl w:val="0"/>
      <w:spacing w:after="50" w:afterLines="50" w:line="240" w:lineRule="auto"/>
      <w:ind w:firstLine="630" w:firstLineChars="196"/>
      <w:outlineLvl w:val="2"/>
    </w:pPr>
    <w:rPr>
      <w:rFonts w:ascii="仿宋_GB2312" w:hAnsi="仿宋_GB2312" w:eastAsia="仿宋_GB2312" w:cs="宋体"/>
      <w:bCs/>
      <w:color w:val="000000"/>
      <w:kern w:val="0"/>
      <w:sz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3"/>
    <w:qFormat/>
    <w:uiPriority w:val="99"/>
    <w:pPr>
      <w:tabs>
        <w:tab w:val="center" w:pos="4153"/>
        <w:tab w:val="right" w:pos="8306"/>
      </w:tabs>
      <w:ind w:firstLine="0" w:firstLineChars="0"/>
    </w:pPr>
    <w:rPr>
      <w:rFonts w:ascii="Times New Roman" w:hAnsi="Times New Roman" w:eastAsia="宋体"/>
      <w:sz w:val="18"/>
    </w:rPr>
  </w:style>
  <w:style w:type="paragraph" w:styleId="8">
    <w:name w:val="caption"/>
    <w:basedOn w:val="1"/>
    <w:next w:val="1"/>
    <w:qFormat/>
    <w:uiPriority w:val="0"/>
    <w:rPr>
      <w:rFonts w:ascii="Calibri Light" w:hAnsi="Calibri Light" w:eastAsia="黑体"/>
      <w:sz w:val="20"/>
      <w:szCs w:val="20"/>
    </w:rPr>
  </w:style>
  <w:style w:type="paragraph" w:styleId="9">
    <w:name w:val="annotation text"/>
    <w:basedOn w:val="1"/>
    <w:unhideWhenUsed/>
    <w:qFormat/>
    <w:uiPriority w:val="99"/>
    <w:pPr>
      <w:jc w:val="left"/>
    </w:pPr>
  </w:style>
  <w:style w:type="paragraph" w:styleId="10">
    <w:name w:val="Body Text"/>
    <w:basedOn w:val="1"/>
    <w:next w:val="11"/>
    <w:link w:val="31"/>
    <w:qFormat/>
    <w:uiPriority w:val="0"/>
    <w:pPr>
      <w:spacing w:after="120"/>
    </w:pPr>
    <w:rPr>
      <w:rFonts w:ascii="Calibri" w:hAnsi="Calibri"/>
    </w:rPr>
  </w:style>
  <w:style w:type="paragraph" w:styleId="11">
    <w:name w:val="Title"/>
    <w:basedOn w:val="1"/>
    <w:next w:val="1"/>
    <w:link w:val="44"/>
    <w:qFormat/>
    <w:uiPriority w:val="10"/>
    <w:pPr>
      <w:snapToGrid/>
      <w:spacing w:before="240" w:after="60"/>
      <w:jc w:val="center"/>
      <w:outlineLvl w:val="0"/>
    </w:pPr>
    <w:rPr>
      <w:rFonts w:ascii="Calibri Light" w:hAnsi="Calibri Light"/>
      <w:b/>
      <w:bCs/>
      <w:kern w:val="0"/>
      <w:sz w:val="32"/>
      <w:szCs w:val="32"/>
      <w:lang w:val="zh-CN" w:eastAsia="zh-CN"/>
    </w:rPr>
  </w:style>
  <w:style w:type="paragraph" w:styleId="12">
    <w:name w:val="Body Text Indent"/>
    <w:basedOn w:val="1"/>
    <w:qFormat/>
    <w:uiPriority w:val="0"/>
    <w:pPr>
      <w:spacing w:after="120"/>
      <w:ind w:left="420" w:leftChars="200"/>
    </w:pPr>
  </w:style>
  <w:style w:type="paragraph" w:styleId="13">
    <w:name w:val="Plain Text"/>
    <w:basedOn w:val="1"/>
    <w:qFormat/>
    <w:uiPriority w:val="99"/>
    <w:rPr>
      <w:rFonts w:ascii="宋体" w:hAnsi="Courier New"/>
      <w:kern w:val="0"/>
      <w:szCs w:val="20"/>
    </w:rPr>
  </w:style>
  <w:style w:type="paragraph" w:styleId="14">
    <w:name w:val="Body Text Indent 2"/>
    <w:basedOn w:val="1"/>
    <w:next w:val="1"/>
    <w:qFormat/>
    <w:uiPriority w:val="0"/>
    <w:pPr>
      <w:adjustRightInd w:val="0"/>
      <w:spacing w:line="360" w:lineRule="auto"/>
      <w:ind w:firstLine="420"/>
      <w:jc w:val="left"/>
    </w:pPr>
    <w:rPr>
      <w:rFonts w:ascii="宋体" w:hAnsi="宋体" w:eastAsia="宋体" w:cs="Times New Roman"/>
      <w:szCs w:val="20"/>
    </w:rPr>
  </w:style>
  <w:style w:type="paragraph" w:styleId="15">
    <w:name w:val="header"/>
    <w:basedOn w:val="1"/>
    <w:next w:val="1"/>
    <w:link w:val="34"/>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6">
    <w:name w:val="Subtitle"/>
    <w:basedOn w:val="1"/>
    <w:next w:val="1"/>
    <w:qFormat/>
    <w:uiPriority w:val="11"/>
    <w:pPr>
      <w:spacing w:before="240" w:after="60" w:line="312" w:lineRule="auto"/>
      <w:jc w:val="center"/>
      <w:outlineLvl w:val="1"/>
    </w:pPr>
    <w:rPr>
      <w:rFonts w:ascii="Calibri" w:hAnsi="Calibri"/>
      <w:b/>
      <w:bCs/>
      <w:kern w:val="28"/>
      <w:sz w:val="32"/>
      <w:szCs w:val="32"/>
    </w:rPr>
  </w:style>
  <w:style w:type="paragraph" w:styleId="17">
    <w:name w:val="footnote text"/>
    <w:basedOn w:val="1"/>
    <w:unhideWhenUsed/>
    <w:qFormat/>
    <w:uiPriority w:val="99"/>
    <w:pPr>
      <w:snapToGrid w:val="0"/>
      <w:jc w:val="left"/>
    </w:pPr>
    <w:rPr>
      <w:sz w:val="18"/>
    </w:rPr>
  </w:style>
  <w:style w:type="paragraph" w:styleId="18">
    <w:name w:val="toc 2"/>
    <w:basedOn w:val="1"/>
    <w:next w:val="1"/>
    <w:unhideWhenUsed/>
    <w:qFormat/>
    <w:uiPriority w:val="39"/>
    <w:pPr>
      <w:snapToGrid w:val="0"/>
      <w:spacing w:line="560" w:lineRule="exact"/>
      <w:ind w:left="420" w:leftChars="200" w:firstLine="640" w:firstLineChars="200"/>
    </w:pPr>
    <w:rPr>
      <w:rFonts w:ascii="仿宋_GB2312" w:hAnsi="仿宋" w:eastAsia="仿宋_GB2312" w:cs="仿宋"/>
      <w:sz w:val="32"/>
      <w:szCs w:val="32"/>
    </w:rPr>
  </w:style>
  <w:style w:type="paragraph" w:styleId="1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Body Text First Indent"/>
    <w:basedOn w:val="1"/>
    <w:link w:val="32"/>
    <w:qFormat/>
    <w:uiPriority w:val="0"/>
    <w:pPr>
      <w:spacing w:line="500" w:lineRule="exact"/>
      <w:ind w:firstLine="420"/>
    </w:pPr>
    <w:rPr>
      <w:sz w:val="28"/>
      <w:szCs w:val="20"/>
    </w:rPr>
  </w:style>
  <w:style w:type="paragraph" w:styleId="21">
    <w:name w:val="Body Text First Indent 2"/>
    <w:basedOn w:val="12"/>
    <w:qFormat/>
    <w:uiPriority w:val="0"/>
    <w:pPr>
      <w:ind w:firstLine="420" w:firstLineChars="200"/>
    </w:pPr>
  </w:style>
  <w:style w:type="table" w:styleId="23">
    <w:name w:val="Table Grid"/>
    <w:basedOn w:val="2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rFonts w:ascii="Tahoma" w:hAnsi="Tahoma" w:eastAsia="仿宋_GB2312"/>
      <w:b/>
      <w:bCs/>
      <w:sz w:val="24"/>
      <w:szCs w:val="20"/>
    </w:rPr>
  </w:style>
  <w:style w:type="character" w:styleId="26">
    <w:name w:val="page number"/>
    <w:basedOn w:val="24"/>
    <w:qFormat/>
    <w:uiPriority w:val="0"/>
  </w:style>
  <w:style w:type="character" w:styleId="27">
    <w:name w:val="Emphasis"/>
    <w:basedOn w:val="24"/>
    <w:qFormat/>
    <w:uiPriority w:val="0"/>
    <w:rPr>
      <w:i/>
    </w:rPr>
  </w:style>
  <w:style w:type="character" w:styleId="28">
    <w:name w:val="annotation reference"/>
    <w:unhideWhenUsed/>
    <w:qFormat/>
    <w:uiPriority w:val="99"/>
    <w:rPr>
      <w:sz w:val="21"/>
      <w:szCs w:val="21"/>
    </w:rPr>
  </w:style>
  <w:style w:type="character" w:styleId="29">
    <w:name w:val="footnote reference"/>
    <w:basedOn w:val="24"/>
    <w:semiHidden/>
    <w:unhideWhenUsed/>
    <w:qFormat/>
    <w:uiPriority w:val="99"/>
    <w:rPr>
      <w:vertAlign w:val="superscript"/>
    </w:rPr>
  </w:style>
  <w:style w:type="paragraph" w:customStyle="1" w:styleId="30">
    <w:name w:val="样式3"/>
    <w:basedOn w:val="1"/>
    <w:link w:val="42"/>
    <w:qFormat/>
    <w:uiPriority w:val="0"/>
    <w:rPr>
      <w:rFonts w:ascii="楷体_GB2312" w:hAnsi="楷体_GB2312" w:eastAsia="方正楷体_GBK" w:cs="楷体_GB2312"/>
      <w:b/>
      <w:szCs w:val="32"/>
    </w:rPr>
  </w:style>
  <w:style w:type="character" w:customStyle="1" w:styleId="31">
    <w:name w:val="正文文本 字符"/>
    <w:basedOn w:val="24"/>
    <w:link w:val="10"/>
    <w:qFormat/>
    <w:uiPriority w:val="0"/>
    <w:rPr>
      <w:rFonts w:ascii="Calibri" w:hAnsi="Calibri" w:eastAsia="仿宋" w:cs="Times New Roman"/>
      <w:sz w:val="30"/>
      <w:szCs w:val="24"/>
    </w:rPr>
  </w:style>
  <w:style w:type="character" w:customStyle="1" w:styleId="32">
    <w:name w:val="正文文本首行缩进 字符"/>
    <w:basedOn w:val="31"/>
    <w:link w:val="20"/>
    <w:qFormat/>
    <w:uiPriority w:val="0"/>
    <w:rPr>
      <w:rFonts w:ascii="Calibri" w:hAnsi="Calibri" w:eastAsia="仿宋" w:cs="Times New Roman"/>
      <w:sz w:val="28"/>
      <w:szCs w:val="20"/>
    </w:rPr>
  </w:style>
  <w:style w:type="character" w:customStyle="1" w:styleId="33">
    <w:name w:val="页脚 字符"/>
    <w:basedOn w:val="24"/>
    <w:link w:val="2"/>
    <w:qFormat/>
    <w:uiPriority w:val="99"/>
    <w:rPr>
      <w:rFonts w:ascii="Times New Roman" w:hAnsi="Times New Roman" w:eastAsia="宋体" w:cs="Times New Roman"/>
      <w:sz w:val="18"/>
      <w:szCs w:val="24"/>
    </w:rPr>
  </w:style>
  <w:style w:type="character" w:customStyle="1" w:styleId="34">
    <w:name w:val="页眉 字符"/>
    <w:basedOn w:val="24"/>
    <w:link w:val="15"/>
    <w:qFormat/>
    <w:uiPriority w:val="0"/>
    <w:rPr>
      <w:rFonts w:ascii="Times New Roman" w:hAnsi="Times New Roman" w:eastAsia="仿宋" w:cs="Times New Roman"/>
      <w:sz w:val="18"/>
      <w:szCs w:val="24"/>
    </w:rPr>
  </w:style>
  <w:style w:type="paragraph" w:styleId="35">
    <w:name w:val="List Paragraph"/>
    <w:basedOn w:val="1"/>
    <w:unhideWhenUsed/>
    <w:qFormat/>
    <w:uiPriority w:val="99"/>
    <w:pPr>
      <w:ind w:firstLine="420"/>
    </w:pPr>
  </w:style>
  <w:style w:type="character" w:customStyle="1" w:styleId="36">
    <w:name w:val="标题 1 字符"/>
    <w:basedOn w:val="24"/>
    <w:link w:val="3"/>
    <w:qFormat/>
    <w:uiPriority w:val="9"/>
    <w:rPr>
      <w:rFonts w:ascii="Times New Roman" w:hAnsi="Times New Roman" w:eastAsia="方正黑体_GBK" w:cs="Times New Roman"/>
      <w:b/>
      <w:bCs/>
      <w:kern w:val="44"/>
      <w:sz w:val="36"/>
      <w:szCs w:val="44"/>
    </w:rPr>
  </w:style>
  <w:style w:type="paragraph" w:customStyle="1" w:styleId="37">
    <w:name w:val="样式1"/>
    <w:basedOn w:val="3"/>
    <w:link w:val="39"/>
    <w:qFormat/>
    <w:uiPriority w:val="0"/>
    <w:pPr>
      <w:spacing w:before="50" w:beforeLines="50" w:after="50" w:afterLines="50" w:line="240" w:lineRule="exact"/>
      <w:ind w:firstLine="0" w:firstLineChars="0"/>
      <w:jc w:val="center"/>
    </w:pPr>
    <w:rPr>
      <w:rFonts w:ascii="Times New Roman" w:hAnsi="Times New Roman"/>
      <w:b w:val="0"/>
    </w:rPr>
  </w:style>
  <w:style w:type="paragraph" w:customStyle="1" w:styleId="38">
    <w:name w:val="样式2"/>
    <w:basedOn w:val="1"/>
    <w:link w:val="40"/>
    <w:qFormat/>
    <w:uiPriority w:val="0"/>
    <w:pPr>
      <w:spacing w:before="50" w:beforeLines="50" w:after="50" w:afterLines="50" w:line="360" w:lineRule="exact"/>
      <w:ind w:firstLine="0" w:firstLineChars="0"/>
      <w:jc w:val="center"/>
    </w:pPr>
    <w:rPr>
      <w:rFonts w:ascii="Times New Roman" w:hAnsi="Times New Roman" w:eastAsia="宋体"/>
      <w:b/>
      <w:sz w:val="32"/>
    </w:rPr>
  </w:style>
  <w:style w:type="character" w:customStyle="1" w:styleId="39">
    <w:name w:val="样式1 字符"/>
    <w:basedOn w:val="36"/>
    <w:link w:val="37"/>
    <w:qFormat/>
    <w:uiPriority w:val="0"/>
    <w:rPr>
      <w:rFonts w:ascii="Times New Roman" w:hAnsi="Times New Roman" w:eastAsia="方正黑体_GBK" w:cs="Times New Roman"/>
      <w:b w:val="0"/>
      <w:kern w:val="44"/>
      <w:sz w:val="36"/>
      <w:szCs w:val="44"/>
    </w:rPr>
  </w:style>
  <w:style w:type="character" w:customStyle="1" w:styleId="40">
    <w:name w:val="样式2 字符"/>
    <w:basedOn w:val="24"/>
    <w:link w:val="38"/>
    <w:qFormat/>
    <w:uiPriority w:val="0"/>
    <w:rPr>
      <w:rFonts w:ascii="Times New Roman" w:hAnsi="Times New Roman" w:eastAsia="宋体" w:cs="Times New Roman"/>
      <w:b/>
      <w:sz w:val="32"/>
      <w:szCs w:val="24"/>
    </w:rPr>
  </w:style>
  <w:style w:type="paragraph" w:customStyle="1" w:styleId="41">
    <w:name w:val="样式4"/>
    <w:basedOn w:val="1"/>
    <w:link w:val="43"/>
    <w:qFormat/>
    <w:uiPriority w:val="0"/>
    <w:pPr>
      <w:ind w:firstLine="0" w:firstLineChars="0"/>
      <w:jc w:val="center"/>
    </w:pPr>
    <w:rPr>
      <w:rFonts w:ascii="Times New Roman" w:hAnsi="Times New Roman" w:eastAsia="宋体"/>
      <w:b/>
      <w:sz w:val="21"/>
    </w:rPr>
  </w:style>
  <w:style w:type="character" w:customStyle="1" w:styleId="42">
    <w:name w:val="样式3 字符"/>
    <w:basedOn w:val="24"/>
    <w:link w:val="30"/>
    <w:qFormat/>
    <w:uiPriority w:val="0"/>
    <w:rPr>
      <w:rFonts w:ascii="楷体_GB2312" w:hAnsi="楷体_GB2312" w:eastAsia="方正楷体_GBK" w:cs="楷体_GB2312"/>
      <w:b/>
      <w:sz w:val="24"/>
      <w:szCs w:val="32"/>
    </w:rPr>
  </w:style>
  <w:style w:type="character" w:customStyle="1" w:styleId="43">
    <w:name w:val="样式4 字符"/>
    <w:basedOn w:val="24"/>
    <w:link w:val="41"/>
    <w:qFormat/>
    <w:uiPriority w:val="0"/>
    <w:rPr>
      <w:rFonts w:ascii="Times New Roman" w:hAnsi="Times New Roman" w:eastAsia="宋体" w:cs="Times New Roman"/>
      <w:b/>
      <w:sz w:val="21"/>
      <w:szCs w:val="24"/>
    </w:rPr>
  </w:style>
  <w:style w:type="character" w:customStyle="1" w:styleId="44">
    <w:name w:val="标题 字符"/>
    <w:basedOn w:val="24"/>
    <w:link w:val="11"/>
    <w:qFormat/>
    <w:uiPriority w:val="10"/>
    <w:rPr>
      <w:rFonts w:ascii="Calibri Light" w:hAnsi="Calibri Light" w:eastAsia="宋体" w:cs="Times New Roman"/>
      <w:b/>
      <w:bCs/>
      <w:kern w:val="0"/>
      <w:sz w:val="32"/>
      <w:szCs w:val="32"/>
      <w:lang w:val="zh-CN" w:eastAsia="zh-CN"/>
    </w:rPr>
  </w:style>
  <w:style w:type="paragraph" w:customStyle="1" w:styleId="45">
    <w:name w:val="样式5"/>
    <w:basedOn w:val="3"/>
    <w:next w:val="1"/>
    <w:link w:val="46"/>
    <w:qFormat/>
    <w:uiPriority w:val="0"/>
    <w:pPr>
      <w:spacing w:before="50" w:beforeLines="50" w:after="50" w:afterLines="50" w:line="360" w:lineRule="exact"/>
      <w:ind w:firstLine="0" w:firstLineChars="0"/>
      <w:jc w:val="center"/>
    </w:pPr>
    <w:rPr>
      <w:rFonts w:ascii="Times New Roman" w:hAnsi="Times New Roman"/>
      <w:b w:val="0"/>
      <w:sz w:val="28"/>
    </w:rPr>
  </w:style>
  <w:style w:type="character" w:customStyle="1" w:styleId="46">
    <w:name w:val="样式5 Char"/>
    <w:link w:val="45"/>
    <w:qFormat/>
    <w:uiPriority w:val="0"/>
    <w:rPr>
      <w:rFonts w:ascii="Times New Roman" w:hAnsi="Times New Roman" w:eastAsia="方正黑体_GBK"/>
      <w:sz w:val="28"/>
    </w:rPr>
  </w:style>
  <w:style w:type="paragraph" w:customStyle="1" w:styleId="47">
    <w:name w:val="样式6"/>
    <w:basedOn w:val="30"/>
    <w:link w:val="49"/>
    <w:qFormat/>
    <w:uiPriority w:val="0"/>
    <w:pPr>
      <w:spacing w:before="50" w:beforeLines="50" w:after="50" w:afterLines="50"/>
      <w:ind w:firstLine="0" w:firstLineChars="0"/>
      <w:jc w:val="center"/>
    </w:pPr>
    <w:rPr>
      <w:rFonts w:eastAsia="方正黑体_GBK"/>
      <w:b w:val="0"/>
      <w:sz w:val="28"/>
    </w:rPr>
  </w:style>
  <w:style w:type="character" w:customStyle="1" w:styleId="48">
    <w:name w:val="标题 2 Char"/>
    <w:link w:val="4"/>
    <w:qFormat/>
    <w:uiPriority w:val="0"/>
    <w:rPr>
      <w:rFonts w:ascii="方正楷体简体" w:hAnsi="黑体" w:eastAsia="方正楷体简体" w:cs="Times New Roman"/>
      <w:b/>
      <w:color w:val="000000"/>
      <w:kern w:val="0"/>
      <w:sz w:val="32"/>
      <w:szCs w:val="32"/>
    </w:rPr>
  </w:style>
  <w:style w:type="character" w:customStyle="1" w:styleId="49">
    <w:name w:val="样式6 Char"/>
    <w:link w:val="47"/>
    <w:qFormat/>
    <w:uiPriority w:val="0"/>
    <w:rPr>
      <w:rFonts w:eastAsia="方正黑体_GBK"/>
      <w:sz w:val="28"/>
    </w:rPr>
  </w:style>
  <w:style w:type="paragraph" w:customStyle="1" w:styleId="50">
    <w:name w:val="样式7"/>
    <w:link w:val="51"/>
    <w:qFormat/>
    <w:uiPriority w:val="0"/>
    <w:pPr>
      <w:adjustRightInd w:val="0"/>
      <w:spacing w:line="360" w:lineRule="exact"/>
      <w:ind w:firstLine="720" w:firstLineChars="200"/>
      <w:jc w:val="left"/>
    </w:pPr>
    <w:rPr>
      <w:rFonts w:ascii="Times New Roman" w:hAnsi="Times New Roman" w:eastAsia="方正黑体_GBK" w:cs="Times New Roman"/>
      <w:sz w:val="24"/>
    </w:rPr>
  </w:style>
  <w:style w:type="character" w:customStyle="1" w:styleId="51">
    <w:name w:val="样式7 Char"/>
    <w:link w:val="50"/>
    <w:qFormat/>
    <w:uiPriority w:val="0"/>
    <w:rPr>
      <w:rFonts w:ascii="Times New Roman" w:hAnsi="Times New Roman" w:eastAsia="方正黑体_GBK"/>
      <w:sz w:val="24"/>
    </w:rPr>
  </w:style>
  <w:style w:type="paragraph" w:customStyle="1" w:styleId="52">
    <w:name w:val="第一篇"/>
    <w:basedOn w:val="53"/>
    <w:qFormat/>
    <w:uiPriority w:val="0"/>
    <w:pPr>
      <w:numPr>
        <w:ilvl w:val="0"/>
        <w:numId w:val="1"/>
      </w:numPr>
      <w:spacing w:before="200" w:after="200"/>
      <w:jc w:val="center"/>
    </w:pPr>
    <w:rPr>
      <w:rFonts w:ascii="黑体" w:hAnsi="黑体" w:eastAsia="黑体"/>
      <w:sz w:val="40"/>
    </w:rPr>
  </w:style>
  <w:style w:type="paragraph" w:customStyle="1" w:styleId="53">
    <w:name w:val="1"/>
    <w:basedOn w:val="3"/>
    <w:qFormat/>
    <w:uiPriority w:val="0"/>
    <w:pPr>
      <w:keepNext w:val="0"/>
      <w:spacing w:line="480" w:lineRule="auto"/>
      <w:ind w:firstLine="0" w:firstLineChars="0"/>
    </w:pPr>
    <w:rPr>
      <w:rFonts w:hAnsi="Times New Roman"/>
      <w:sz w:val="36"/>
    </w:rPr>
  </w:style>
  <w:style w:type="paragraph" w:customStyle="1" w:styleId="54">
    <w:name w:val="正文呀"/>
    <w:basedOn w:val="1"/>
    <w:qFormat/>
    <w:uiPriority w:val="0"/>
    <w:pPr>
      <w:ind w:firstLine="640"/>
    </w:pPr>
    <w:rPr>
      <w:rFonts w:ascii="仿宋_GB2312" w:eastAsia="仿宋_GB2312"/>
      <w:sz w:val="32"/>
      <w:szCs w:val="32"/>
    </w:rPr>
  </w:style>
  <w:style w:type="paragraph" w:customStyle="1" w:styleId="55">
    <w:name w:val="_Style 14"/>
    <w:basedOn w:val="3"/>
    <w:next w:val="1"/>
    <w:unhideWhenUsed/>
    <w:qFormat/>
    <w:uiPriority w:val="39"/>
    <w:pPr>
      <w:widowControl/>
      <w:spacing w:before="240" w:after="0" w:line="259" w:lineRule="auto"/>
      <w:outlineLvl w:val="9"/>
    </w:pPr>
    <w:rPr>
      <w:rFonts w:ascii="Calibri Light" w:hAnsi="Calibri Light" w:eastAsia="宋体" w:cs="Times New Roman"/>
      <w:b w:val="0"/>
      <w:bCs w:val="0"/>
      <w:color w:val="2E74B5"/>
      <w:kern w:val="0"/>
      <w:sz w:val="32"/>
      <w:szCs w:val="32"/>
    </w:rPr>
  </w:style>
  <w:style w:type="paragraph" w:customStyle="1" w:styleId="56">
    <w:name w:val="第一章"/>
    <w:basedOn w:val="53"/>
    <w:qFormat/>
    <w:uiPriority w:val="0"/>
    <w:pPr>
      <w:numPr>
        <w:ilvl w:val="0"/>
        <w:numId w:val="2"/>
      </w:numPr>
      <w:outlineLvl w:val="1"/>
    </w:pPr>
    <w:rPr>
      <w:rFonts w:ascii="仿宋_GB2312" w:hAnsi="宋体" w:eastAsia="仿宋_GB2312"/>
    </w:rPr>
  </w:style>
  <w:style w:type="paragraph" w:customStyle="1" w:styleId="57">
    <w:name w:val="一"/>
    <w:basedOn w:val="58"/>
    <w:qFormat/>
    <w:uiPriority w:val="0"/>
    <w:pPr>
      <w:numPr>
        <w:ilvl w:val="0"/>
        <w:numId w:val="3"/>
      </w:numPr>
      <w:outlineLvl w:val="2"/>
    </w:pPr>
    <w:rPr>
      <w:rFonts w:ascii="仿宋_GB2312" w:eastAsia="仿宋_GB2312"/>
    </w:rPr>
  </w:style>
  <w:style w:type="paragraph" w:customStyle="1" w:styleId="58">
    <w:name w:val="耳机"/>
    <w:basedOn w:val="59"/>
    <w:qFormat/>
    <w:uiPriority w:val="0"/>
  </w:style>
  <w:style w:type="paragraph" w:customStyle="1" w:styleId="59">
    <w:name w:val="二级"/>
    <w:basedOn w:val="4"/>
    <w:qFormat/>
    <w:uiPriority w:val="0"/>
    <w:pPr>
      <w:keepNext w:val="0"/>
      <w:spacing w:line="408" w:lineRule="auto"/>
      <w:ind w:firstLine="0" w:firstLineChars="0"/>
    </w:pPr>
  </w:style>
  <w:style w:type="paragraph" w:customStyle="1" w:styleId="60">
    <w:name w:val="专栏1"/>
    <w:basedOn w:val="7"/>
    <w:qFormat/>
    <w:uiPriority w:val="0"/>
    <w:pPr>
      <w:jc w:val="center"/>
    </w:pPr>
    <w:rPr>
      <w:rFonts w:ascii="宋体" w:hAnsi="宋体"/>
    </w:rPr>
  </w:style>
  <w:style w:type="paragraph" w:customStyle="1" w:styleId="61">
    <w:name w:val="辽宁纲要正文"/>
    <w:basedOn w:val="1"/>
    <w:qFormat/>
    <w:uiPriority w:val="0"/>
    <w:pPr>
      <w:spacing w:line="620" w:lineRule="exact"/>
    </w:pPr>
    <w:rPr>
      <w:rFonts w:ascii="仿宋_GB2312" w:hAnsi="仿宋" w:eastAsia="仿宋_GB2312" w:cs="仿宋"/>
      <w:sz w:val="32"/>
      <w:szCs w:val="32"/>
    </w:rPr>
  </w:style>
  <w:style w:type="character" w:customStyle="1" w:styleId="62">
    <w:name w:val="标题 3 Char"/>
    <w:link w:val="5"/>
    <w:qFormat/>
    <w:uiPriority w:val="0"/>
    <w:rPr>
      <w:rFonts w:ascii="仿宋_GB2312" w:hAnsi="仿宋_GB2312" w:eastAsia="仿宋_GB2312" w:cs="宋体"/>
      <w:b/>
      <w:bCs/>
      <w:color w:val="000000"/>
      <w:kern w:val="0"/>
      <w:sz w:val="32"/>
      <w:szCs w:val="32"/>
    </w:rPr>
  </w:style>
  <w:style w:type="paragraph" w:customStyle="1" w:styleId="63">
    <w:name w:val="WPSOffice手动目录 1"/>
    <w:qFormat/>
    <w:uiPriority w:val="0"/>
    <w:pPr>
      <w:ind w:leftChars="0"/>
    </w:pPr>
    <w:rPr>
      <w:rFonts w:ascii="Times New Roman" w:hAnsi="Times New Roman" w:eastAsia="宋体" w:cs="Times New Roman"/>
      <w:sz w:val="20"/>
      <w:szCs w:val="20"/>
    </w:rPr>
  </w:style>
  <w:style w:type="table" w:customStyle="1" w:styleId="64">
    <w:name w:val="网格型1"/>
    <w:basedOn w:val="22"/>
    <w:qFormat/>
    <w:uiPriority w:val="39"/>
    <w:rPr>
      <w:rFonts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5">
    <w:name w:val="样式8"/>
    <w:basedOn w:val="1"/>
    <w:qFormat/>
    <w:uiPriority w:val="0"/>
    <w:pPr>
      <w:spacing w:line="280" w:lineRule="exact"/>
      <w:ind w:firstLine="0" w:firstLineChars="0"/>
      <w:jc w:val="center"/>
    </w:pPr>
    <w:rPr>
      <w:rFonts w:hint="eastAsia" w:ascii="Times New Roman" w:hAnsi="Times New Roman" w:eastAsia="宋体"/>
      <w:sz w:val="18"/>
      <w:szCs w:val="18"/>
    </w:rPr>
  </w:style>
  <w:style w:type="paragraph" w:customStyle="1" w:styleId="66">
    <w:name w:val="样式9"/>
    <w:basedOn w:val="1"/>
    <w:link w:val="72"/>
    <w:qFormat/>
    <w:uiPriority w:val="0"/>
    <w:pPr>
      <w:spacing w:line="280" w:lineRule="exact"/>
      <w:ind w:firstLine="360"/>
    </w:pPr>
    <w:rPr>
      <w:rFonts w:hint="eastAsia" w:ascii="Times New Roman" w:hAnsi="Times New Roman" w:eastAsia="宋体"/>
      <w:sz w:val="18"/>
      <w:szCs w:val="18"/>
    </w:rPr>
  </w:style>
  <w:style w:type="table" w:customStyle="1" w:styleId="67">
    <w:name w:val="Table Grid1"/>
    <w:basedOn w:val="22"/>
    <w:qFormat/>
    <w:uiPriority w:val="39"/>
    <w:pPr>
      <w:spacing w:after="0" w:line="240" w:lineRule="auto"/>
    </w:pPr>
    <w:rPr>
      <w:rFonts w:ascii="Calibri" w:hAnsi="Calibri"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8">
    <w:name w:val="样式10"/>
    <w:basedOn w:val="1"/>
    <w:link w:val="69"/>
    <w:qFormat/>
    <w:uiPriority w:val="0"/>
    <w:pPr>
      <w:spacing w:line="280" w:lineRule="exact"/>
      <w:ind w:firstLine="360"/>
    </w:pPr>
    <w:rPr>
      <w:rFonts w:hint="eastAsia" w:ascii="Times New Roman" w:hAnsi="Times New Roman"/>
      <w:spacing w:val="-6"/>
      <w:sz w:val="18"/>
      <w:szCs w:val="18"/>
    </w:rPr>
  </w:style>
  <w:style w:type="character" w:customStyle="1" w:styleId="69">
    <w:name w:val="样式10 Char"/>
    <w:link w:val="68"/>
    <w:qFormat/>
    <w:uiPriority w:val="0"/>
    <w:rPr>
      <w:rFonts w:hint="eastAsia" w:ascii="Times New Roman" w:hAnsi="Times New Roman"/>
      <w:spacing w:val="-6"/>
      <w:sz w:val="18"/>
      <w:szCs w:val="18"/>
    </w:rPr>
  </w:style>
  <w:style w:type="paragraph" w:customStyle="1" w:styleId="70">
    <w:name w:val="样式11"/>
    <w:basedOn w:val="1"/>
    <w:link w:val="71"/>
    <w:qFormat/>
    <w:uiPriority w:val="0"/>
    <w:pPr>
      <w:spacing w:line="240" w:lineRule="atLeast"/>
      <w:ind w:firstLine="0" w:firstLineChars="0"/>
      <w:jc w:val="left"/>
    </w:pPr>
    <w:rPr>
      <w:rFonts w:hint="eastAsia" w:ascii="Times New Roman" w:hAnsi="Times New Roman" w:eastAsia="宋体"/>
      <w:spacing w:val="6"/>
      <w:sz w:val="18"/>
      <w:szCs w:val="18"/>
    </w:rPr>
  </w:style>
  <w:style w:type="character" w:customStyle="1" w:styleId="71">
    <w:name w:val="样式11 Char"/>
    <w:link w:val="70"/>
    <w:qFormat/>
    <w:uiPriority w:val="0"/>
    <w:rPr>
      <w:rFonts w:hint="eastAsia" w:ascii="Times New Roman" w:hAnsi="Times New Roman" w:eastAsia="宋体"/>
      <w:spacing w:val="6"/>
      <w:sz w:val="18"/>
      <w:szCs w:val="18"/>
    </w:rPr>
  </w:style>
  <w:style w:type="character" w:customStyle="1" w:styleId="72">
    <w:name w:val="样式9 Char"/>
    <w:link w:val="66"/>
    <w:qFormat/>
    <w:uiPriority w:val="0"/>
    <w:rPr>
      <w:rFonts w:hint="eastAsia" w:ascii="Times New Roman" w:hAnsi="Times New Roman"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27319</Words>
  <Characters>28578</Characters>
  <Lines>103</Lines>
  <Paragraphs>29</Paragraphs>
  <TotalTime>1</TotalTime>
  <ScaleCrop>false</ScaleCrop>
  <LinksUpToDate>false</LinksUpToDate>
  <CharactersWithSpaces>28635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2021-11-23T11:29:00Z</dcterms:created>
  <dc:creator>office</dc:creator>
  <cp:lastModifiedBy>老刘</cp:lastModifiedBy>
  <cp:lastPrinted>2021-11-23T12:26:00Z</cp:lastPrinted>
  <dcterms:modified xsi:type="dcterms:W3CDTF">2022-05-21T00:31:01Z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22BC502B29BA4B25841CE56E8D34189F</vt:lpwstr>
  </property>
</Properties>
</file>