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鞍山市“证照分离”改革全覆盖涉企经营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许可“实行告知承诺”事项清单</w:t>
      </w:r>
    </w:p>
    <w:p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（共2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项，其中2项市级、县级相同）</w:t>
      </w:r>
    </w:p>
    <w:p>
      <w:pPr>
        <w:spacing w:line="560" w:lineRule="exact"/>
        <w:jc w:val="center"/>
        <w:rPr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市本级“实行告知承诺”事项共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Cs/>
          <w:sz w:val="32"/>
          <w:szCs w:val="32"/>
        </w:rPr>
        <w:t>项</w:t>
      </w:r>
    </w:p>
    <w:p>
      <w:pPr>
        <w:spacing w:line="560" w:lineRule="exact"/>
        <w:jc w:val="left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宋体" w:hAnsi="宋体" w:eastAsia="宋体" w:cs="宋体"/>
          <w:b/>
          <w:bCs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一、市人力资源和社会保障局 （1项）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经营性中外合作职业技能培训机构设立、分立、合并、变更、终止审批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二、市行政审批局（3项）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1.道路旅客运输站经营许可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2.道路货运经营许可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3.从事包装装潢印刷品和其他印刷品（不含商标、票据、保密印刷）印刷经营活动企业（不含外资企业）的设立、变更审批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三、市委宣传部（省新闻出版局委托）（2项）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1.音像制作单位设立、变更审批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2.电子出版物制作单位设立、变更审批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四、市住建局（1项）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1.从事生活垃圾（含粪便）经营性清扫、收集、运输、处理服务审批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五、市市场监管局（省委托）（2项）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1.重要工业产品生产许可证核发（食品相关产品）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2.检验检测机构资质认定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</w:rPr>
        <w:t>县级“实行告知承诺”事项共13项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一、县级以上地方财政部门（1项）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1.中介机构从事代理记账业务审批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二、县级公安机关（3项）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1.旅馆业特种行业许可证核发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2.公章刻制业特种行业许可证核发、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3.互联网上网服务营业场所信息网络安全审核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三、县级交通部门（2项）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1.道路货运经营许可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2.道路旅客运输站经营许可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四、县级人力资源社会保障部门（2项）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1.民办职业培训学校设立、分立、合并、变更及终止审批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2.人力资源服务许可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五、县级林业和草原局（1项）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1.林草种子（普通）生产经营许可证核发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六、县级市场监管局（2项）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1.小餐饮经营许可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2.食品生产加工小作坊许可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七、县级卫生健康局（1项）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1.公共场所卫生许可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八、县级消防部门（1项）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1.公众聚集场所投入使用、营业前消防安全检查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lOTk2Y2ExNGI2Mzg5YTViYmYzODYwY2UyOTU1MTIifQ=="/>
  </w:docVars>
  <w:rsids>
    <w:rsidRoot w:val="005E54BD"/>
    <w:rsid w:val="000C5C6D"/>
    <w:rsid w:val="004569B9"/>
    <w:rsid w:val="00557C17"/>
    <w:rsid w:val="005E54BD"/>
    <w:rsid w:val="00634E38"/>
    <w:rsid w:val="009E655C"/>
    <w:rsid w:val="00A23830"/>
    <w:rsid w:val="00D24EBA"/>
    <w:rsid w:val="00D541D8"/>
    <w:rsid w:val="00DA3943"/>
    <w:rsid w:val="00E37825"/>
    <w:rsid w:val="00EB6675"/>
    <w:rsid w:val="05EB6BF0"/>
    <w:rsid w:val="0D4E2FA5"/>
    <w:rsid w:val="0EE711F9"/>
    <w:rsid w:val="10C86034"/>
    <w:rsid w:val="111A2872"/>
    <w:rsid w:val="15E2762C"/>
    <w:rsid w:val="29A97994"/>
    <w:rsid w:val="2C8A61E5"/>
    <w:rsid w:val="3391278C"/>
    <w:rsid w:val="39890A1C"/>
    <w:rsid w:val="40996ECE"/>
    <w:rsid w:val="415D3E87"/>
    <w:rsid w:val="42D9753D"/>
    <w:rsid w:val="43883DAC"/>
    <w:rsid w:val="4690117F"/>
    <w:rsid w:val="4C7F003E"/>
    <w:rsid w:val="58077734"/>
    <w:rsid w:val="5BB060EB"/>
    <w:rsid w:val="5E2452A8"/>
    <w:rsid w:val="5FA16FBF"/>
    <w:rsid w:val="618A317B"/>
    <w:rsid w:val="6BF4544B"/>
    <w:rsid w:val="75AE152A"/>
    <w:rsid w:val="76501ADA"/>
    <w:rsid w:val="7B7E3F14"/>
    <w:rsid w:val="7C6751B0"/>
    <w:rsid w:val="7E1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655</Words>
  <Characters>679</Characters>
  <Lines>5</Lines>
  <Paragraphs>1</Paragraphs>
  <TotalTime>20</TotalTime>
  <ScaleCrop>false</ScaleCrop>
  <LinksUpToDate>false</LinksUpToDate>
  <CharactersWithSpaces>680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2021-07-29T06:49:00Z</dcterms:created>
  <dc:creator>Administrator</dc:creator>
  <cp:lastModifiedBy>NTKO</cp:lastModifiedBy>
  <dcterms:modified xsi:type="dcterms:W3CDTF">2022-05-12T02:14:10Z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AC69A7862C904D619B2B5953F119B61D</vt:lpwstr>
  </property>
</Properties>
</file>