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4C" w:rsidRDefault="00CD5B4C" w:rsidP="00CD5B4C">
      <w:pPr>
        <w:spacing w:line="56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安全生产行政执法文书</w:t>
      </w:r>
    </w:p>
    <w:p w:rsidR="00CD5B4C" w:rsidRDefault="00CD5B4C" w:rsidP="00CD5B4C">
      <w:pPr>
        <w:spacing w:line="56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/>
          <w:b/>
          <w:sz w:val="44"/>
          <w:szCs w:val="44"/>
        </w:rPr>
        <w:pict>
          <v:line id="_x0000_s2050" style="position:absolute;left:0;text-align:left;flip:y;z-index:251660288" from="0,0" to="441pt,0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3sd/NAAAAAgEAAA8AAAAAAAAA&#10;AQAgAAAAIgAAAGRycy9kb3ducmV2LnhtbFBLAQIUABQAAAAIAIdO4kBKGwZm4wEAAKMDAAAOAAAA&#10;AAAAAAEAIAAAABwBAABkcnMvZTJvRG9jLnhtbFBLBQYAAAAABgAGAFkBAABxBQAAAAA=&#10;" o:allowincell="f" strokeweight="3pt">
            <v:stroke linestyle="thinThin"/>
          </v:line>
        </w:pict>
      </w:r>
      <w:r>
        <w:rPr>
          <w:rFonts w:ascii="华文中宋" w:eastAsia="华文中宋" w:hAnsi="华文中宋" w:cs="黑体" w:hint="eastAsia"/>
          <w:b/>
          <w:sz w:val="44"/>
          <w:szCs w:val="44"/>
        </w:rPr>
        <w:t>行政处罚决定书</w:t>
      </w:r>
    </w:p>
    <w:p w:rsidR="00CD5B4C" w:rsidRDefault="00CD5B4C" w:rsidP="00CD5B4C">
      <w:pPr>
        <w:spacing w:line="600" w:lineRule="exact"/>
        <w:jc w:val="center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（鞍）应急危化罚〔2020〕2号</w:t>
      </w:r>
    </w:p>
    <w:p w:rsidR="00CD5B4C" w:rsidRDefault="00CD5B4C" w:rsidP="00CD5B4C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被处罚人：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</w:t>
      </w:r>
      <w:r>
        <w:rPr>
          <w:rFonts w:ascii="仿宋_GB2312" w:eastAsia="仿宋_GB2312" w:hAnsi="仿宋" w:cs="Calibri" w:hint="eastAsia"/>
          <w:sz w:val="24"/>
          <w:szCs w:val="21"/>
        </w:rPr>
        <w:t>性别：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</w:t>
      </w:r>
      <w:r>
        <w:rPr>
          <w:rFonts w:ascii="仿宋_GB2312" w:eastAsia="仿宋_GB2312" w:hAnsi="仿宋" w:cs="Calibri" w:hint="eastAsia"/>
          <w:sz w:val="24"/>
          <w:szCs w:val="21"/>
        </w:rPr>
        <w:t>年龄：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</w:t>
      </w:r>
      <w:r>
        <w:rPr>
          <w:rFonts w:ascii="仿宋_GB2312" w:eastAsia="仿宋_GB2312" w:hAnsi="仿宋" w:cs="Calibri" w:hint="eastAsia"/>
          <w:sz w:val="24"/>
          <w:szCs w:val="21"/>
        </w:rPr>
        <w:t>身份证号：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</w:t>
      </w:r>
    </w:p>
    <w:p w:rsidR="00CD5B4C" w:rsidRDefault="00CD5B4C" w:rsidP="00CD5B4C">
      <w:pPr>
        <w:spacing w:line="400" w:lineRule="exact"/>
        <w:rPr>
          <w:rFonts w:ascii="仿宋_GB2312" w:eastAsia="仿宋_GB2312" w:hAnsi="仿宋" w:cs="Calibri"/>
          <w:sz w:val="24"/>
          <w:szCs w:val="21"/>
        </w:rPr>
      </w:pPr>
      <w:r>
        <w:rPr>
          <w:rFonts w:ascii="仿宋_GB2312" w:eastAsia="仿宋_GB2312" w:hAnsi="仿宋" w:cs="Calibri" w:hint="eastAsia"/>
          <w:sz w:val="24"/>
          <w:szCs w:val="21"/>
        </w:rPr>
        <w:t>家庭住址：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  </w:t>
      </w:r>
      <w:r>
        <w:rPr>
          <w:rFonts w:ascii="仿宋_GB2312" w:eastAsia="仿宋_GB2312" w:hAnsi="仿宋" w:cs="Calibri" w:hint="eastAsia"/>
          <w:sz w:val="24"/>
          <w:szCs w:val="21"/>
        </w:rPr>
        <w:t>邮政编码：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</w:t>
      </w:r>
      <w:r>
        <w:rPr>
          <w:rFonts w:ascii="仿宋_GB2312" w:eastAsia="仿宋_GB2312" w:hAnsi="仿宋" w:cs="Calibri" w:hint="eastAsia"/>
          <w:sz w:val="24"/>
          <w:szCs w:val="21"/>
        </w:rPr>
        <w:t>联系电话：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</w:t>
      </w:r>
    </w:p>
    <w:p w:rsidR="00CD5B4C" w:rsidRDefault="00CD5B4C" w:rsidP="00CD5B4C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所在单位：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</w:t>
      </w:r>
      <w:r>
        <w:rPr>
          <w:rFonts w:ascii="仿宋_GB2312" w:eastAsia="仿宋_GB2312" w:hAnsi="仿宋" w:cs="Calibri" w:hint="eastAsia"/>
          <w:sz w:val="24"/>
          <w:szCs w:val="21"/>
        </w:rPr>
        <w:t>职务：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</w:t>
      </w:r>
      <w:r>
        <w:rPr>
          <w:rFonts w:ascii="仿宋_GB2312" w:eastAsia="仿宋_GB2312" w:hAnsi="仿宋" w:cs="Calibri" w:hint="eastAsia"/>
          <w:sz w:val="24"/>
          <w:szCs w:val="21"/>
        </w:rPr>
        <w:t>单位地址：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     </w:t>
      </w:r>
    </w:p>
    <w:p w:rsidR="00CD5B4C" w:rsidRDefault="00CD5B4C" w:rsidP="00CD5B4C">
      <w:pPr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被处罚单位：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台安县富翰华兴商贸有限公司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                                            </w:t>
      </w:r>
    </w:p>
    <w:p w:rsidR="00CD5B4C" w:rsidRDefault="00CD5B4C" w:rsidP="00CD5B4C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地址：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台安县新华农场头台村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       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</w:t>
      </w:r>
      <w:r>
        <w:rPr>
          <w:rFonts w:ascii="仿宋_GB2312" w:eastAsia="仿宋_GB2312" w:hAnsi="仿宋" w:cs="Calibri" w:hint="eastAsia"/>
          <w:sz w:val="24"/>
          <w:szCs w:val="21"/>
        </w:rPr>
        <w:t>邮政编码：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</w:t>
      </w:r>
    </w:p>
    <w:p w:rsidR="00CD5B4C" w:rsidRDefault="00CD5B4C" w:rsidP="00CD5B4C">
      <w:pPr>
        <w:spacing w:line="44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法定代表人（负责人）：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孙衡志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Calibri" w:hint="eastAsia"/>
          <w:sz w:val="24"/>
          <w:szCs w:val="21"/>
        </w:rPr>
        <w:t>务：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法定代表人    </w:t>
      </w:r>
      <w:r>
        <w:rPr>
          <w:rFonts w:ascii="仿宋_GB2312" w:eastAsia="仿宋_GB2312" w:hAnsi="仿宋" w:cs="Calibri" w:hint="eastAsia"/>
          <w:sz w:val="24"/>
          <w:szCs w:val="21"/>
        </w:rPr>
        <w:t>联系电话：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17604129999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</w:t>
      </w:r>
    </w:p>
    <w:p w:rsidR="00CD5B4C" w:rsidRDefault="00CD5B4C" w:rsidP="00CD5B4C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  <w:u w:val="single"/>
        </w:rPr>
      </w:pPr>
      <w:r>
        <w:rPr>
          <w:rFonts w:ascii="仿宋_GB2312" w:eastAsia="仿宋_GB2312" w:hAnsi="仿宋" w:cs="Calibri" w:hint="eastAsia"/>
          <w:sz w:val="24"/>
          <w:szCs w:val="24"/>
        </w:rPr>
        <w:t>违法事实及证据：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未设置安全生产管理机构且未配备安全生产管理人员。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主要证据有现场检查记录、询问笔录、责令限期整改指令书等。 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                               </w:t>
      </w:r>
    </w:p>
    <w:p w:rsidR="00CD5B4C" w:rsidRDefault="00CD5B4C" w:rsidP="00CD5B4C">
      <w:pPr>
        <w:spacing w:line="440" w:lineRule="exact"/>
        <w:rPr>
          <w:rFonts w:ascii="仿宋_GB2312" w:eastAsia="仿宋_GB2312" w:hAnsi="仿宋" w:cs="Calibri"/>
          <w:sz w:val="24"/>
          <w:szCs w:val="24"/>
          <w:u w:val="single"/>
        </w:rPr>
      </w:pP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ascii="仿宋_GB2312" w:eastAsia="仿宋_GB2312" w:hAnsi="仿宋" w:cs="Calibri" w:hint="eastAsia"/>
          <w:sz w:val="24"/>
          <w:szCs w:val="24"/>
        </w:rPr>
        <w:t>（此栏不够，可另附页）</w:t>
      </w:r>
    </w:p>
    <w:p w:rsidR="00CD5B4C" w:rsidRDefault="00CD5B4C" w:rsidP="00CD5B4C">
      <w:pPr>
        <w:spacing w:line="440" w:lineRule="exact"/>
        <w:ind w:firstLineChars="200" w:firstLine="480"/>
        <w:jc w:val="left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以上事实违反了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《安全生产法》第二十一条</w:t>
      </w:r>
      <w:r>
        <w:rPr>
          <w:rFonts w:ascii="仿宋_GB2312" w:eastAsia="仿宋_GB2312" w:hAnsi="仿宋" w:cs="Calibri" w:hint="eastAsia"/>
          <w:sz w:val="24"/>
          <w:szCs w:val="24"/>
        </w:rPr>
        <w:t xml:space="preserve">的规定，依据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《安全生产法》第九十四条 （一）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cs="Calibri" w:hint="eastAsia"/>
          <w:sz w:val="24"/>
          <w:szCs w:val="24"/>
        </w:rPr>
        <w:t>的规定，决定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给予人民币贰万元罚款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cs="Calibri" w:hint="eastAsia"/>
          <w:sz w:val="24"/>
          <w:szCs w:val="24"/>
        </w:rPr>
        <w:t>的行政处罚。</w:t>
      </w:r>
    </w:p>
    <w:p w:rsidR="00CD5B4C" w:rsidRDefault="00CD5B4C" w:rsidP="00CD5B4C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处以罚款的，罚款自收到本决定书之日起15日内缴至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>工行建鞍支行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cs="Calibri" w:hint="eastAsia"/>
          <w:sz w:val="24"/>
          <w:szCs w:val="24"/>
        </w:rPr>
        <w:t>，账号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>0704020329264037878（备注：0138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>）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Calibri" w:hint="eastAsia"/>
          <w:sz w:val="24"/>
          <w:szCs w:val="24"/>
        </w:rPr>
        <w:t>，到期不缴每日按罚款数额的3%加处罚款。</w:t>
      </w:r>
    </w:p>
    <w:p w:rsidR="00CD5B4C" w:rsidRDefault="00CD5B4C" w:rsidP="00CD5B4C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如果你单位不服本处罚决定，可以依法在60日内向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鞍山市 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 xml:space="preserve"> 人民政府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仿宋" w:cs="Calibri" w:hint="eastAsia"/>
          <w:sz w:val="24"/>
          <w:szCs w:val="24"/>
        </w:rPr>
        <w:t>申请行政复议，或者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>在6个月内依法向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鞍山市   </w:t>
      </w:r>
      <w:r>
        <w:rPr>
          <w:rFonts w:ascii="仿宋_GB2312" w:eastAsia="仿宋_GB2312" w:hAnsi="仿宋" w:cs="Calibri" w:hint="eastAsia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CD5B4C" w:rsidRDefault="00CD5B4C" w:rsidP="00CD5B4C">
      <w:pPr>
        <w:spacing w:line="560" w:lineRule="exact"/>
        <w:ind w:firstLineChars="1800" w:firstLine="432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         </w:t>
      </w:r>
    </w:p>
    <w:p w:rsidR="00CD5B4C" w:rsidRDefault="00CD5B4C" w:rsidP="00CD5B4C">
      <w:pPr>
        <w:spacing w:line="560" w:lineRule="exact"/>
        <w:ind w:firstLineChars="1800" w:firstLine="4320"/>
        <w:rPr>
          <w:rFonts w:ascii="仿宋_GB2312" w:eastAsia="仿宋_GB2312" w:hAnsi="仿宋" w:cs="Calibri"/>
          <w:sz w:val="24"/>
          <w:szCs w:val="24"/>
        </w:rPr>
      </w:pPr>
    </w:p>
    <w:p w:rsidR="00CD5B4C" w:rsidRDefault="00CD5B4C" w:rsidP="00CD5B4C">
      <w:pPr>
        <w:spacing w:line="560" w:lineRule="exact"/>
        <w:ind w:firstLineChars="1800" w:firstLine="432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 鞍山市应急管理部门（印章）</w:t>
      </w:r>
    </w:p>
    <w:p w:rsidR="00CD5B4C" w:rsidRDefault="00CD5B4C" w:rsidP="00CD5B4C">
      <w:pPr>
        <w:spacing w:line="560" w:lineRule="exact"/>
        <w:rPr>
          <w:rFonts w:ascii="仿宋_GB2312" w:eastAsia="仿宋_GB2312" w:hAnsi="仿宋" w:cs="Calibri"/>
          <w:sz w:val="24"/>
          <w:szCs w:val="24"/>
        </w:rPr>
      </w:pPr>
    </w:p>
    <w:p w:rsidR="00CD5B4C" w:rsidRDefault="00CD5B4C" w:rsidP="00CD5B4C">
      <w:pPr>
        <w:spacing w:line="560" w:lineRule="exact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                                          2020 年10月9日</w:t>
      </w:r>
    </w:p>
    <w:p w:rsidR="00CD5B4C" w:rsidRDefault="00CD5B4C" w:rsidP="00CD5B4C">
      <w:pPr>
        <w:spacing w:line="200" w:lineRule="exact"/>
        <w:ind w:firstLineChars="100" w:firstLine="210"/>
        <w:rPr>
          <w:rFonts w:ascii="仿宋_GB2312" w:eastAsia="仿宋_GB2312" w:hAnsi="仿宋" w:cs="Calibri"/>
          <w:sz w:val="24"/>
          <w:szCs w:val="24"/>
        </w:rPr>
      </w:pPr>
      <w:r w:rsidRPr="00460D6C">
        <w:rPr>
          <w:rFonts w:ascii="仿宋_GB2312" w:eastAsia="仿宋_GB2312" w:cs="Calibri"/>
          <w:szCs w:val="21"/>
        </w:rPr>
        <w:pict>
          <v:line id="_x0000_s2051" style="position:absolute;left:0;text-align:left;z-index:251661312" from="0,.8pt" to="6in,.8pt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knY5dAAAAAEAQAADwAAAAAAAAABACAA&#10;AAAiAAAAZHJzL2Rvd25yZXYueG1sUEsBAhQAFAAAAAgAh07iQLb4TRncAQAAmQMAAA4AAAAAAAAA&#10;AQAgAAAAHwEAAGRycy9lMm9Eb2MueG1sUEsFBgAAAAAGAAYAWQEAAG0FAAAAAA==&#10;" strokeweight="1.5pt"/>
        </w:pict>
      </w:r>
    </w:p>
    <w:p w:rsidR="00CD5B4C" w:rsidRDefault="00CD5B4C" w:rsidP="00CD5B4C">
      <w:pPr>
        <w:rPr>
          <w:rFonts w:ascii="仿宋_GB2312" w:eastAsia="仿宋_GB2312" w:cs="Calibri"/>
          <w:b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本文书一式两份：一份由应急管理部门备案，一份交被处罚人（单位）。</w:t>
      </w:r>
    </w:p>
    <w:p w:rsidR="00C6256C" w:rsidRPr="00CD5B4C" w:rsidRDefault="00C6256C"/>
    <w:sectPr w:rsidR="00C6256C" w:rsidRPr="00CD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6C" w:rsidRDefault="00C6256C" w:rsidP="00CD5B4C">
      <w:r>
        <w:separator/>
      </w:r>
    </w:p>
  </w:endnote>
  <w:endnote w:type="continuationSeparator" w:id="1">
    <w:p w:rsidR="00C6256C" w:rsidRDefault="00C6256C" w:rsidP="00CD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6C" w:rsidRDefault="00C6256C" w:rsidP="00CD5B4C">
      <w:r>
        <w:separator/>
      </w:r>
    </w:p>
  </w:footnote>
  <w:footnote w:type="continuationSeparator" w:id="1">
    <w:p w:rsidR="00C6256C" w:rsidRDefault="00C6256C" w:rsidP="00CD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B4C"/>
    <w:rsid w:val="00C6256C"/>
    <w:rsid w:val="00C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2020-11-05T04:18:00Z</dcterms:created>
  <dcterms:modified xsi:type="dcterms:W3CDTF">2020-11-05T04:19:00Z</dcterms:modified>
</cp:coreProperties>
</file>